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pPr>
      <w:hyperlink w:anchor="sA13583D437E20DC41B4583E2BD74AA47">
        <w:bookmarkStart w:id="0" w:name="sC3ABC4A3FEB13CEAC91783E26B322589"/>
        <w:bookmarkStart w:id="1" w:name="ezpw_2013930-10k.htm"/>
        <w:bookmarkStart w:id="2" w:name="ksezpw_201393010k"/>
        <w:bookmarkEnd w:id="0"/>
        <w:bookmarkEnd w:id="1"/>
        <w:bookmarkEnd w:id="2"/>
        <w:r>
          <w:rPr>
            <w:rStyle w:val="InternetLink"/>
            <w:rFonts w:ascii="inherit" w:hAnsi="inherit"/>
            <w:color w:val="0000FF"/>
            <w:sz w:val="17"/>
            <w:u w:val="single"/>
          </w:rPr>
          <w:t>Table of Contents</w:t>
        </w:r>
      </w:hyperlink>
    </w:p>
    <w:p>
      <w:pPr>
        <w:pStyle w:val="TextBody"/>
        <w:spacing w:before="0" w:after="0"/>
        <w:rPr/>
      </w:pPr>
      <w:r>
        <w:rPr/>
      </w:r>
    </w:p>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05"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05"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05"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05"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b/>
          <w:sz w:val="17"/>
        </w:rPr>
      </w:pPr>
      <w:r>
        <w:rPr>
          <w:rFonts w:ascii="inherit" w:hAnsi="inherit"/>
          <w:b/>
          <w:sz w:val="17"/>
        </w:rPr>
        <w:t>UNITED STATES</w:t>
      </w:r>
    </w:p>
    <w:p>
      <w:pPr>
        <w:pStyle w:val="TextBody"/>
        <w:spacing w:lineRule="auto" w:line="288" w:before="0" w:after="0"/>
        <w:jc w:val="center"/>
        <w:rPr>
          <w:rFonts w:ascii="inherit" w:hAnsi="inherit"/>
          <w:b/>
          <w:sz w:val="17"/>
        </w:rPr>
      </w:pPr>
      <w:r>
        <w:rPr>
          <w:rFonts w:ascii="inherit" w:hAnsi="inherit"/>
          <w:b/>
          <w:sz w:val="17"/>
        </w:rPr>
        <w:t>SECURITIES AND EXCHANGE COMMISSION</w:t>
      </w:r>
    </w:p>
    <w:p>
      <w:pPr>
        <w:pStyle w:val="TextBody"/>
        <w:spacing w:lineRule="auto" w:line="288" w:before="0" w:after="0"/>
        <w:jc w:val="center"/>
        <w:rPr>
          <w:rFonts w:ascii="inherit" w:hAnsi="inherit"/>
          <w:b/>
          <w:sz w:val="17"/>
        </w:rPr>
      </w:pPr>
      <w:r>
        <w:rPr>
          <w:rFonts w:ascii="inherit" w:hAnsi="inherit"/>
          <w:b/>
          <w:sz w:val="17"/>
        </w:rPr>
        <w:t>Washington, D.C. 20549</w:t>
      </w:r>
    </w:p>
    <w:p>
      <w:pPr>
        <w:pStyle w:val="TextBody"/>
        <w:spacing w:lineRule="auto" w:line="288" w:before="0" w:after="0"/>
        <w:jc w:val="center"/>
        <w:rPr>
          <w:rFonts w:ascii="inherit" w:hAnsi="inherit"/>
          <w:b/>
          <w:sz w:val="23"/>
        </w:rPr>
      </w:pPr>
      <w:r>
        <w:rPr>
          <w:rFonts w:ascii="inherit" w:hAnsi="inherit"/>
          <w:b/>
          <w:sz w:val="23"/>
        </w:rPr>
        <w:t>FORM 10-K</w:t>
      </w:r>
    </w:p>
    <w:tbl>
      <w:tblPr>
        <w:tblW w:w="10103" w:type="dxa"/>
        <w:jc w:val="left"/>
        <w:tblInd w:w="0" w:type="dxa"/>
        <w:tblCellMar>
          <w:top w:w="0" w:type="dxa"/>
          <w:left w:w="0" w:type="dxa"/>
          <w:bottom w:w="0" w:type="dxa"/>
          <w:right w:w="0" w:type="dxa"/>
        </w:tblCellMar>
      </w:tblPr>
      <w:tblGrid>
        <w:gridCol w:w="606"/>
        <w:gridCol w:w="101"/>
        <w:gridCol w:w="9396"/>
      </w:tblGrid>
      <w:tr>
        <w:trPr/>
        <w:tc>
          <w:tcPr>
            <w:tcW w:w="10103" w:type="dxa"/>
            <w:gridSpan w:val="3"/>
            <w:tcBorders/>
            <w:shd w:fill="auto" w:val="clear"/>
            <w:vAlign w:val="center"/>
          </w:tcPr>
          <w:p>
            <w:pPr>
              <w:pStyle w:val="TableContents"/>
              <w:spacing w:before="0" w:after="283"/>
              <w:rPr>
                <w:sz w:val="4"/>
                <w:szCs w:val="4"/>
              </w:rPr>
            </w:pPr>
            <w:r>
              <w:rPr>
                <w:sz w:val="4"/>
                <w:szCs w:val="4"/>
              </w:rPr>
            </w:r>
          </w:p>
        </w:tc>
      </w:tr>
      <w:tr>
        <w:trPr/>
        <w:tc>
          <w:tcPr>
            <w:tcW w:w="6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39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6" w:type="dxa"/>
            <w:tcBorders/>
            <w:shd w:fill="auto" w:val="clear"/>
            <w:vAlign w:val="center"/>
          </w:tcPr>
          <w:p>
            <w:pPr>
              <w:pStyle w:val="TableContents"/>
              <w:spacing w:before="0" w:after="0"/>
              <w:ind w:left="0" w:right="0" w:firstLine="30"/>
              <w:jc w:val="center"/>
              <w:rPr/>
            </w:pPr>
            <w:r>
              <w:rPr/>
              <w:t>☑</w:t>
            </w:r>
          </w:p>
        </w:tc>
        <w:tc>
          <w:tcPr>
            <w:tcW w:w="101" w:type="dxa"/>
            <w:tcBorders/>
            <w:shd w:fill="auto" w:val="clear"/>
            <w:vAlign w:val="center"/>
          </w:tcPr>
          <w:p>
            <w:pPr>
              <w:pStyle w:val="TableContents"/>
              <w:spacing w:before="0" w:after="0"/>
              <w:ind w:left="0" w:right="0" w:firstLine="30"/>
              <w:rPr/>
            </w:pPr>
            <w:r>
              <w:rPr/>
              <w:t> </w:t>
            </w:r>
          </w:p>
        </w:tc>
        <w:tc>
          <w:tcPr>
            <w:tcW w:w="9396" w:type="dxa"/>
            <w:tcBorders/>
            <w:shd w:fill="auto" w:val="clear"/>
            <w:vAlign w:val="center"/>
          </w:tcPr>
          <w:p>
            <w:pPr>
              <w:pStyle w:val="TableContents"/>
              <w:spacing w:before="0" w:after="0"/>
              <w:jc w:val="left"/>
              <w:rPr>
                <w:rFonts w:ascii="inherit" w:hAnsi="inherit"/>
                <w:b/>
                <w:sz w:val="17"/>
              </w:rPr>
            </w:pPr>
            <w:r>
              <w:rPr>
                <w:rFonts w:ascii="inherit" w:hAnsi="inherit"/>
                <w:b/>
                <w:sz w:val="17"/>
              </w:rPr>
              <w:t>ANNUAL REPORT PURSUANT TO SECTION 13 OR 15(d) OF THE SECURITIES EXCHANGE ACT OF 1934</w:t>
            </w:r>
          </w:p>
        </w:tc>
      </w:tr>
    </w:tbl>
    <w:p>
      <w:pPr>
        <w:pStyle w:val="TextBody"/>
        <w:spacing w:lineRule="auto" w:line="288" w:before="0" w:after="0"/>
        <w:ind w:left="0" w:right="0" w:firstLine="720"/>
        <w:jc w:val="left"/>
        <w:rPr>
          <w:sz w:val="17"/>
        </w:rPr>
      </w:pPr>
      <w:r>
        <w:rPr>
          <w:rFonts w:ascii="inherit" w:hAnsi="inherit"/>
          <w:b/>
          <w:sz w:val="17"/>
        </w:rPr>
        <w:t xml:space="preserve">For the Fiscal Year Ended </w:t>
      </w:r>
      <w:r>
        <w:rPr>
          <w:rFonts w:ascii="inherit" w:hAnsi="inherit"/>
          <w:b/>
          <w:strike w:val="false"/>
          <w:dstrike w:val="false"/>
          <w:color w:val="000000"/>
          <w:sz w:val="17"/>
          <w:u w:val="none"/>
          <w:effect w:val="none"/>
        </w:rPr>
        <w:t>September 30, 2013</w:t>
      </w:r>
    </w:p>
    <w:p>
      <w:pPr>
        <w:pStyle w:val="TextBody"/>
        <w:spacing w:lineRule="auto" w:line="288" w:before="0" w:after="0"/>
        <w:jc w:val="center"/>
        <w:rPr>
          <w:rFonts w:ascii="inherit" w:hAnsi="inherit"/>
          <w:b/>
          <w:sz w:val="17"/>
        </w:rPr>
      </w:pPr>
      <w:r>
        <w:rPr>
          <w:rFonts w:ascii="inherit" w:hAnsi="inherit"/>
          <w:b/>
          <w:sz w:val="17"/>
        </w:rPr>
        <w:t>or</w:t>
      </w:r>
    </w:p>
    <w:tbl>
      <w:tblPr>
        <w:tblW w:w="10205" w:type="dxa"/>
        <w:jc w:val="left"/>
        <w:tblInd w:w="0" w:type="dxa"/>
        <w:tblCellMar>
          <w:top w:w="0" w:type="dxa"/>
          <w:left w:w="0" w:type="dxa"/>
          <w:bottom w:w="0" w:type="dxa"/>
          <w:right w:w="0" w:type="dxa"/>
        </w:tblCellMar>
      </w:tblPr>
      <w:tblGrid>
        <w:gridCol w:w="614"/>
        <w:gridCol w:w="103"/>
        <w:gridCol w:w="9488"/>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614"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948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4" w:type="dxa"/>
            <w:tcBorders/>
            <w:shd w:fill="auto" w:val="clear"/>
            <w:vAlign w:val="center"/>
          </w:tcPr>
          <w:p>
            <w:pPr>
              <w:pStyle w:val="TableContents"/>
              <w:spacing w:before="0" w:after="0"/>
              <w:ind w:left="0" w:right="0" w:firstLine="30"/>
              <w:jc w:val="center"/>
              <w:rPr>
                <w:rFonts w:ascii="Wingdings" w:hAnsi="Wingdings"/>
                <w:sz w:val="20"/>
              </w:rPr>
            </w:pPr>
            <w:r>
              <w:rPr>
                <w:rFonts w:ascii="Wingdings" w:hAnsi="Wingdings"/>
                <w:sz w:val="20"/>
              </w:rPr>
              <w:t>o</w:t>
            </w:r>
          </w:p>
        </w:tc>
        <w:tc>
          <w:tcPr>
            <w:tcW w:w="103" w:type="dxa"/>
            <w:tcBorders/>
            <w:shd w:fill="auto" w:val="clear"/>
            <w:vAlign w:val="center"/>
          </w:tcPr>
          <w:p>
            <w:pPr>
              <w:pStyle w:val="TableContents"/>
              <w:spacing w:before="0" w:after="0"/>
              <w:ind w:left="0" w:right="0" w:firstLine="30"/>
              <w:rPr/>
            </w:pPr>
            <w:r>
              <w:rPr/>
              <w:t> </w:t>
            </w:r>
          </w:p>
        </w:tc>
        <w:tc>
          <w:tcPr>
            <w:tcW w:w="9488" w:type="dxa"/>
            <w:tcBorders/>
            <w:shd w:fill="auto" w:val="clear"/>
            <w:vAlign w:val="center"/>
          </w:tcPr>
          <w:p>
            <w:pPr>
              <w:pStyle w:val="TableContents"/>
              <w:spacing w:before="0" w:after="0"/>
              <w:jc w:val="left"/>
              <w:rPr>
                <w:rFonts w:ascii="inherit" w:hAnsi="inherit"/>
                <w:b/>
                <w:sz w:val="17"/>
              </w:rPr>
            </w:pPr>
            <w:r>
              <w:rPr>
                <w:rFonts w:ascii="inherit" w:hAnsi="inherit"/>
                <w:b/>
                <w:sz w:val="17"/>
              </w:rPr>
              <w:t>TRANSITION REPORT PURSUANT TO SECTION 13 OR 15(d) OF THE SECURITIES EXCHANGE ACT OF 1934</w:t>
            </w:r>
          </w:p>
        </w:tc>
      </w:tr>
    </w:tbl>
    <w:p>
      <w:pPr>
        <w:pStyle w:val="TextBody"/>
        <w:spacing w:lineRule="auto" w:line="288" w:before="0" w:after="0"/>
        <w:ind w:left="0" w:right="0" w:firstLine="720"/>
        <w:jc w:val="left"/>
        <w:rPr>
          <w:sz w:val="17"/>
        </w:rPr>
      </w:pPr>
      <w:r>
        <w:rPr>
          <w:rFonts w:ascii="inherit" w:hAnsi="inherit"/>
          <w:b/>
          <w:sz w:val="17"/>
        </w:rPr>
        <w:t xml:space="preserve">For the transition period from </w:t>
      </w:r>
      <w:r>
        <w:rPr>
          <w:sz w:val="17"/>
          <w:u w:val="single"/>
        </w:rPr>
        <w:t>                    </w:t>
      </w:r>
      <w:r>
        <w:rPr>
          <w:sz w:val="17"/>
        </w:rPr>
        <w:t xml:space="preserve"> </w:t>
      </w:r>
      <w:r>
        <w:rPr>
          <w:rFonts w:ascii="inherit" w:hAnsi="inherit"/>
          <w:b/>
          <w:sz w:val="17"/>
        </w:rPr>
        <w:t xml:space="preserve">to </w:t>
      </w:r>
      <w:r>
        <w:rPr>
          <w:sz w:val="17"/>
          <w:u w:val="single"/>
        </w:rPr>
        <w:t>                    </w:t>
      </w:r>
    </w:p>
    <w:p>
      <w:pPr>
        <w:pStyle w:val="TextBody"/>
        <w:spacing w:lineRule="auto" w:line="288" w:before="0" w:after="0"/>
        <w:jc w:val="center"/>
        <w:rPr>
          <w:rFonts w:ascii="inherit" w:hAnsi="inherit"/>
          <w:b/>
          <w:sz w:val="17"/>
        </w:rPr>
      </w:pPr>
      <w:r>
        <w:rPr>
          <w:rFonts w:ascii="inherit" w:hAnsi="inherit"/>
          <w:b/>
          <w:sz w:val="17"/>
        </w:rPr>
        <w:t>Commission File No. 000-19424</w:t>
      </w:r>
    </w:p>
    <w:p>
      <w:pPr>
        <w:pStyle w:val="TextBody"/>
        <w:spacing w:lineRule="auto" w:line="288" w:before="0" w:after="0"/>
        <w:jc w:val="center"/>
        <w:rPr>
          <w:rFonts w:ascii="inherit" w:hAnsi="inherit"/>
          <w:b/>
          <w:sz w:val="27"/>
        </w:rPr>
      </w:pPr>
      <w:r>
        <w:rPr>
          <w:rFonts w:ascii="inherit" w:hAnsi="inherit"/>
          <w:b/>
          <w:sz w:val="27"/>
        </w:rPr>
        <w:t>EZCORP, INC.</w:t>
      </w:r>
    </w:p>
    <w:p>
      <w:pPr>
        <w:pStyle w:val="TextBody"/>
        <w:spacing w:lineRule="auto" w:line="288" w:before="0" w:after="0"/>
        <w:jc w:val="center"/>
        <w:rPr>
          <w:rFonts w:ascii="inherit" w:hAnsi="inherit"/>
          <w:sz w:val="15"/>
        </w:rPr>
      </w:pPr>
      <w:r>
        <w:rPr>
          <w:rFonts w:ascii="inherit" w:hAnsi="inherit"/>
          <w:sz w:val="15"/>
        </w:rPr>
        <w:t>(Exact name of registrant as specified in its charter)</w:t>
      </w:r>
    </w:p>
    <w:tbl>
      <w:tblPr>
        <w:tblW w:w="9452" w:type="dxa"/>
        <w:jc w:val="center"/>
        <w:tblInd w:w="0" w:type="dxa"/>
        <w:tblCellMar>
          <w:top w:w="0" w:type="dxa"/>
          <w:left w:w="0" w:type="dxa"/>
          <w:bottom w:w="0" w:type="dxa"/>
          <w:right w:w="0" w:type="dxa"/>
        </w:tblCellMar>
      </w:tblPr>
      <w:tblGrid>
        <w:gridCol w:w="4443"/>
        <w:gridCol w:w="472"/>
        <w:gridCol w:w="4537"/>
      </w:tblGrid>
      <w:tr>
        <w:trPr/>
        <w:tc>
          <w:tcPr>
            <w:tcW w:w="9452" w:type="dxa"/>
            <w:gridSpan w:val="3"/>
            <w:tcBorders/>
            <w:shd w:fill="auto" w:val="clear"/>
            <w:vAlign w:val="center"/>
          </w:tcPr>
          <w:p>
            <w:pPr>
              <w:pStyle w:val="TableContents"/>
              <w:spacing w:before="0" w:after="283"/>
              <w:rPr>
                <w:sz w:val="4"/>
                <w:szCs w:val="4"/>
              </w:rPr>
            </w:pPr>
            <w:r>
              <w:rPr>
                <w:sz w:val="4"/>
                <w:szCs w:val="4"/>
              </w:rPr>
            </w:r>
          </w:p>
        </w:tc>
      </w:tr>
      <w:tr>
        <w:trPr/>
        <w:tc>
          <w:tcPr>
            <w:tcW w:w="4443"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53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43" w:type="dxa"/>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Delaware</w:t>
            </w:r>
          </w:p>
        </w:tc>
        <w:tc>
          <w:tcPr>
            <w:tcW w:w="472" w:type="dxa"/>
            <w:tcBorders/>
            <w:shd w:fill="auto" w:val="clear"/>
            <w:vAlign w:val="center"/>
          </w:tcPr>
          <w:p>
            <w:pPr>
              <w:pStyle w:val="TableContents"/>
              <w:spacing w:before="0" w:after="0"/>
              <w:ind w:left="0" w:right="0" w:firstLine="30"/>
              <w:jc w:val="left"/>
              <w:rPr/>
            </w:pPr>
            <w:r>
              <w:rPr/>
              <w:t> </w:t>
            </w:r>
          </w:p>
        </w:tc>
        <w:tc>
          <w:tcPr>
            <w:tcW w:w="4537" w:type="dxa"/>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74-2540145</w:t>
            </w:r>
          </w:p>
        </w:tc>
      </w:tr>
      <w:tr>
        <w:trPr/>
        <w:tc>
          <w:tcPr>
            <w:tcW w:w="4443"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(State or other jurisdiction of incorporation or organization)</w:t>
            </w:r>
          </w:p>
        </w:tc>
        <w:tc>
          <w:tcPr>
            <w:tcW w:w="472" w:type="dxa"/>
            <w:tcBorders/>
            <w:shd w:fill="auto" w:val="clear"/>
            <w:vAlign w:val="center"/>
          </w:tcPr>
          <w:p>
            <w:pPr>
              <w:pStyle w:val="TableContents"/>
              <w:spacing w:before="0" w:after="0"/>
              <w:ind w:left="0" w:right="0" w:firstLine="30"/>
              <w:jc w:val="left"/>
              <w:rPr/>
            </w:pPr>
            <w:r>
              <w:rPr/>
              <w:t> </w:t>
            </w:r>
          </w:p>
        </w:tc>
        <w:tc>
          <w:tcPr>
            <w:tcW w:w="4537" w:type="dxa"/>
            <w:tcBorders/>
            <w:shd w:fill="auto" w:val="clear"/>
            <w:vAlign w:val="center"/>
          </w:tcPr>
          <w:p>
            <w:pPr>
              <w:pStyle w:val="TableContents"/>
              <w:spacing w:before="0" w:after="0"/>
              <w:jc w:val="center"/>
              <w:rPr>
                <w:rFonts w:ascii="inherit" w:hAnsi="inherit"/>
                <w:sz w:val="15"/>
              </w:rPr>
            </w:pPr>
            <w:r>
              <w:rPr>
                <w:rFonts w:ascii="inherit" w:hAnsi="inherit"/>
                <w:sz w:val="15"/>
              </w:rPr>
              <w:t>(I.R.S. Employer Identification No.)</w:t>
            </w:r>
          </w:p>
        </w:tc>
      </w:tr>
    </w:tbl>
    <w:tbl>
      <w:tblPr>
        <w:tblW w:w="7414" w:type="dxa"/>
        <w:jc w:val="left"/>
        <w:tblInd w:w="0" w:type="dxa"/>
        <w:tblCellMar>
          <w:top w:w="0" w:type="dxa"/>
          <w:left w:w="0" w:type="dxa"/>
          <w:bottom w:w="0" w:type="dxa"/>
          <w:right w:w="0" w:type="dxa"/>
        </w:tblCellMar>
      </w:tblPr>
      <w:tblGrid>
        <w:gridCol w:w="3485"/>
        <w:gridCol w:w="370"/>
        <w:gridCol w:w="3559"/>
      </w:tblGrid>
      <w:tr>
        <w:trPr/>
        <w:tc>
          <w:tcPr>
            <w:tcW w:w="7414" w:type="dxa"/>
            <w:gridSpan w:val="3"/>
            <w:tcBorders/>
            <w:shd w:fill="auto" w:val="clear"/>
            <w:vAlign w:val="center"/>
          </w:tcPr>
          <w:p>
            <w:pPr>
              <w:pStyle w:val="TableContents"/>
              <w:spacing w:before="0" w:after="283"/>
              <w:rPr>
                <w:sz w:val="4"/>
                <w:szCs w:val="4"/>
              </w:rPr>
            </w:pPr>
            <w:r>
              <w:rPr>
                <w:sz w:val="4"/>
                <w:szCs w:val="4"/>
              </w:rPr>
            </w:r>
          </w:p>
        </w:tc>
      </w:tr>
      <w:tr>
        <w:trPr/>
        <w:tc>
          <w:tcPr>
            <w:tcW w:w="3485"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5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8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1901 Capital Parkway, Austin, Texas</w:t>
            </w:r>
          </w:p>
        </w:tc>
        <w:tc>
          <w:tcPr>
            <w:tcW w:w="370" w:type="dxa"/>
            <w:tcBorders/>
            <w:shd w:fill="auto" w:val="clear"/>
            <w:vAlign w:val="center"/>
          </w:tcPr>
          <w:p>
            <w:pPr>
              <w:pStyle w:val="TableContents"/>
              <w:spacing w:before="0" w:after="0"/>
              <w:ind w:left="0" w:right="0" w:firstLine="30"/>
              <w:jc w:val="left"/>
              <w:rPr/>
            </w:pPr>
            <w:r>
              <w:rPr/>
              <w:t> </w:t>
            </w:r>
          </w:p>
        </w:tc>
        <w:tc>
          <w:tcPr>
            <w:tcW w:w="355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78746 </w:t>
            </w:r>
          </w:p>
        </w:tc>
      </w:tr>
      <w:tr>
        <w:trPr/>
        <w:tc>
          <w:tcPr>
            <w:tcW w:w="3485"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(Address of principal executive offices)</w:t>
            </w:r>
          </w:p>
        </w:tc>
        <w:tc>
          <w:tcPr>
            <w:tcW w:w="370" w:type="dxa"/>
            <w:tcBorders/>
            <w:shd w:fill="auto" w:val="clear"/>
            <w:vAlign w:val="center"/>
          </w:tcPr>
          <w:p>
            <w:pPr>
              <w:pStyle w:val="TableContents"/>
              <w:spacing w:before="0" w:after="0"/>
              <w:ind w:left="0" w:right="0" w:firstLine="30"/>
              <w:jc w:val="left"/>
              <w:rPr/>
            </w:pPr>
            <w:r>
              <w:rPr/>
              <w:t> </w:t>
            </w:r>
          </w:p>
        </w:tc>
        <w:tc>
          <w:tcPr>
            <w:tcW w:w="3559" w:type="dxa"/>
            <w:tcBorders/>
            <w:shd w:fill="auto" w:val="clear"/>
            <w:vAlign w:val="center"/>
          </w:tcPr>
          <w:p>
            <w:pPr>
              <w:pStyle w:val="TableContents"/>
              <w:spacing w:before="0" w:after="0"/>
              <w:jc w:val="center"/>
              <w:rPr>
                <w:rFonts w:ascii="inherit" w:hAnsi="inherit"/>
                <w:sz w:val="15"/>
              </w:rPr>
            </w:pPr>
            <w:r>
              <w:rPr>
                <w:rFonts w:ascii="inherit" w:hAnsi="inherit"/>
                <w:sz w:val="15"/>
              </w:rPr>
              <w:t>(Zip Code)</w:t>
            </w:r>
          </w:p>
        </w:tc>
      </w:tr>
    </w:tbl>
    <w:p>
      <w:pPr>
        <w:pStyle w:val="TextBody"/>
        <w:spacing w:lineRule="auto" w:line="288" w:before="0" w:after="0"/>
        <w:jc w:val="center"/>
        <w:rPr>
          <w:sz w:val="17"/>
        </w:rPr>
      </w:pPr>
      <w:r>
        <w:rPr>
          <w:rFonts w:ascii="inherit" w:hAnsi="inherit"/>
          <w:sz w:val="15"/>
        </w:rPr>
        <w:t xml:space="preserve">Registrant’s telephone number, including area code: </w:t>
      </w:r>
      <w:r>
        <w:rPr>
          <w:rFonts w:ascii="inherit" w:hAnsi="inherit"/>
          <w:sz w:val="17"/>
        </w:rPr>
        <w:t>(</w:t>
      </w:r>
      <w:r>
        <w:rPr>
          <w:rFonts w:ascii="inherit" w:hAnsi="inherit"/>
          <w:b/>
          <w:sz w:val="17"/>
        </w:rPr>
        <w:t>512) 314-3400</w:t>
      </w:r>
    </w:p>
    <w:p>
      <w:pPr>
        <w:pStyle w:val="TextBody"/>
        <w:spacing w:lineRule="auto" w:line="288" w:before="0" w:after="0"/>
        <w:jc w:val="center"/>
        <w:rPr>
          <w:rFonts w:ascii="inherit" w:hAnsi="inherit"/>
          <w:sz w:val="15"/>
        </w:rPr>
      </w:pPr>
      <w:r>
        <w:rPr>
          <w:rFonts w:ascii="inherit" w:hAnsi="inherit"/>
          <w:sz w:val="15"/>
        </w:rPr>
        <w:t>Securities Registered Pursuant to Section 12(b) of the Act</w:t>
      </w:r>
    </w:p>
    <w:tbl>
      <w:tblPr>
        <w:tblW w:w="9651" w:type="dxa"/>
        <w:jc w:val="center"/>
        <w:tblInd w:w="0" w:type="dxa"/>
        <w:tblCellMar>
          <w:top w:w="0" w:type="dxa"/>
          <w:left w:w="0" w:type="dxa"/>
          <w:bottom w:w="0" w:type="dxa"/>
          <w:right w:w="0" w:type="dxa"/>
        </w:tblCellMar>
      </w:tblPr>
      <w:tblGrid>
        <w:gridCol w:w="5115"/>
        <w:gridCol w:w="193"/>
        <w:gridCol w:w="4343"/>
      </w:tblGrid>
      <w:tr>
        <w:trPr/>
        <w:tc>
          <w:tcPr>
            <w:tcW w:w="9651" w:type="dxa"/>
            <w:gridSpan w:val="3"/>
            <w:tcBorders/>
            <w:shd w:fill="auto" w:val="clear"/>
            <w:vAlign w:val="center"/>
          </w:tcPr>
          <w:p>
            <w:pPr>
              <w:pStyle w:val="TableContents"/>
              <w:spacing w:before="0" w:after="283"/>
              <w:rPr>
                <w:sz w:val="4"/>
                <w:szCs w:val="4"/>
              </w:rPr>
            </w:pPr>
            <w:r>
              <w:rPr>
                <w:sz w:val="4"/>
                <w:szCs w:val="4"/>
              </w:rPr>
            </w:r>
          </w:p>
        </w:tc>
      </w:tr>
      <w:tr>
        <w:trPr/>
        <w:tc>
          <w:tcPr>
            <w:tcW w:w="5115"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43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1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Title of Each Class</w:t>
            </w:r>
          </w:p>
        </w:tc>
        <w:tc>
          <w:tcPr>
            <w:tcW w:w="193" w:type="dxa"/>
            <w:tcBorders/>
            <w:shd w:fill="auto" w:val="clear"/>
            <w:vAlign w:val="center"/>
          </w:tcPr>
          <w:p>
            <w:pPr>
              <w:pStyle w:val="TableContents"/>
              <w:spacing w:before="0" w:after="0"/>
              <w:ind w:left="0" w:right="0" w:firstLine="30"/>
              <w:jc w:val="left"/>
              <w:rPr/>
            </w:pPr>
            <w:r>
              <w:rPr/>
              <w:t> </w:t>
            </w:r>
          </w:p>
        </w:tc>
        <w:tc>
          <w:tcPr>
            <w:tcW w:w="4343"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Name of Each Exchange on Which Registered</w:t>
            </w:r>
          </w:p>
        </w:tc>
      </w:tr>
      <w:tr>
        <w:trPr/>
        <w:tc>
          <w:tcPr>
            <w:tcW w:w="5115" w:type="dxa"/>
            <w:tcBorders/>
            <w:shd w:fill="auto" w:val="clear"/>
            <w:vAlign w:val="center"/>
          </w:tcPr>
          <w:p>
            <w:pPr>
              <w:pStyle w:val="TableContents"/>
              <w:spacing w:before="0" w:after="0"/>
              <w:ind w:left="0" w:right="0" w:firstLine="30"/>
              <w:jc w:val="left"/>
              <w:rPr>
                <w:rFonts w:ascii="inherit" w:hAnsi="inherit"/>
                <w:b/>
                <w:sz w:val="15"/>
              </w:rPr>
            </w:pPr>
            <w:r>
              <w:rPr>
                <w:rFonts w:ascii="inherit" w:hAnsi="inherit"/>
                <w:b/>
                <w:sz w:val="15"/>
              </w:rPr>
              <w:t>Class A Non-voting Common Stock, $.01 par value per share</w:t>
            </w:r>
          </w:p>
        </w:tc>
        <w:tc>
          <w:tcPr>
            <w:tcW w:w="193" w:type="dxa"/>
            <w:tcBorders/>
            <w:shd w:fill="auto" w:val="clear"/>
            <w:vAlign w:val="center"/>
          </w:tcPr>
          <w:p>
            <w:pPr>
              <w:pStyle w:val="TableContents"/>
              <w:spacing w:before="0" w:after="0"/>
              <w:ind w:left="0" w:right="0" w:firstLine="30"/>
              <w:jc w:val="left"/>
              <w:rPr/>
            </w:pPr>
            <w:r>
              <w:rPr/>
              <w:t> </w:t>
            </w:r>
          </w:p>
        </w:tc>
        <w:tc>
          <w:tcPr>
            <w:tcW w:w="4343" w:type="dxa"/>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The NASDAQ Stock Market</w:t>
            </w:r>
          </w:p>
        </w:tc>
      </w:tr>
      <w:tr>
        <w:trPr/>
        <w:tc>
          <w:tcPr>
            <w:tcW w:w="5115" w:type="dxa"/>
            <w:tcBorders/>
            <w:shd w:fill="auto" w:val="clear"/>
            <w:vAlign w:val="center"/>
          </w:tcPr>
          <w:p>
            <w:pPr>
              <w:pStyle w:val="TableContents"/>
              <w:spacing w:before="0" w:after="0"/>
              <w:ind w:left="0" w:right="0" w:firstLine="30"/>
              <w:jc w:val="center"/>
              <w:rPr/>
            </w:pPr>
            <w:r>
              <w:rPr/>
              <w:t> </w:t>
            </w:r>
          </w:p>
        </w:tc>
        <w:tc>
          <w:tcPr>
            <w:tcW w:w="193" w:type="dxa"/>
            <w:tcBorders/>
            <w:shd w:fill="auto" w:val="clear"/>
            <w:vAlign w:val="center"/>
          </w:tcPr>
          <w:p>
            <w:pPr>
              <w:pStyle w:val="TableContents"/>
              <w:spacing w:before="0" w:after="0"/>
              <w:ind w:left="0" w:right="0" w:firstLine="30"/>
              <w:jc w:val="left"/>
              <w:rPr/>
            </w:pPr>
            <w:r>
              <w:rPr/>
              <w:t> </w:t>
            </w:r>
          </w:p>
        </w:tc>
        <w:tc>
          <w:tcPr>
            <w:tcW w:w="4343" w:type="dxa"/>
            <w:tcBorders/>
            <w:shd w:fill="auto" w:val="clear"/>
            <w:vAlign w:val="center"/>
          </w:tcPr>
          <w:p>
            <w:pPr>
              <w:pStyle w:val="TableContents"/>
              <w:spacing w:before="0" w:after="0"/>
              <w:jc w:val="center"/>
              <w:rPr>
                <w:rFonts w:ascii="inherit" w:hAnsi="inherit"/>
                <w:b/>
                <w:sz w:val="15"/>
              </w:rPr>
            </w:pPr>
            <w:r>
              <w:rPr>
                <w:rFonts w:ascii="inherit" w:hAnsi="inherit"/>
                <w:b/>
                <w:sz w:val="15"/>
              </w:rPr>
              <w:t>(NASDAQ Global Select Market)</w:t>
            </w:r>
          </w:p>
        </w:tc>
      </w:tr>
    </w:tbl>
    <w:p>
      <w:pPr>
        <w:pStyle w:val="TextBody"/>
        <w:spacing w:lineRule="auto" w:line="288" w:before="0" w:after="0"/>
        <w:jc w:val="center"/>
        <w:rPr>
          <w:sz w:val="15"/>
        </w:rPr>
      </w:pPr>
      <w:r>
        <w:rPr>
          <w:rFonts w:ascii="inherit" w:hAnsi="inherit"/>
          <w:sz w:val="15"/>
        </w:rPr>
        <w:t xml:space="preserve">Securities Registered Pursuant to Section 12(g) of the Act: </w:t>
      </w:r>
      <w:r>
        <w:rPr>
          <w:rFonts w:ascii="inherit" w:hAnsi="inherit"/>
          <w:b/>
          <w:sz w:val="15"/>
        </w:rPr>
        <w:t>None</w:t>
      </w:r>
    </w:p>
    <w:p>
      <w:pPr>
        <w:pStyle w:val="TextBody"/>
        <w:spacing w:lineRule="auto" w:line="288" w:before="0" w:after="0"/>
        <w:jc w:val="left"/>
        <w:rPr>
          <w:sz w:val="15"/>
        </w:rPr>
      </w:pPr>
      <w:r>
        <w:rPr>
          <w:rFonts w:ascii="inherit" w:hAnsi="inherit"/>
          <w:sz w:val="15"/>
        </w:rPr>
        <w:t xml:space="preserve">Indicate by check mark if the registrant is a well-known seasoned issuer, as defined in Rule 405 of the Securities Act. Yes </w:t>
      </w:r>
      <w:r>
        <w:rPr>
          <w:sz w:val="15"/>
        </w:rPr>
        <w:t xml:space="preserve">☑  </w:t>
      </w:r>
      <w:r>
        <w:rPr>
          <w:rFonts w:ascii="inherit" w:hAnsi="inherit"/>
          <w:sz w:val="15"/>
        </w:rPr>
        <w:t xml:space="preserve">No </w:t>
      </w:r>
      <w:r>
        <w:rPr>
          <w:rFonts w:ascii="Wingdings" w:hAnsi="Wingdings"/>
          <w:sz w:val="15"/>
        </w:rPr>
        <w:t>o</w:t>
      </w:r>
    </w:p>
    <w:p>
      <w:pPr>
        <w:pStyle w:val="TextBody"/>
        <w:spacing w:lineRule="auto" w:line="288" w:before="0" w:after="0"/>
        <w:jc w:val="left"/>
        <w:rPr>
          <w:sz w:val="15"/>
        </w:rPr>
      </w:pPr>
      <w:r>
        <w:rPr>
          <w:rFonts w:ascii="inherit" w:hAnsi="inherit"/>
          <w:sz w:val="15"/>
        </w:rPr>
        <w:t xml:space="preserve">Indicate by check mark if the registrant is not required to file reports pursuant to Section 13 or Section 15(d) of the Act. Yes </w:t>
      </w:r>
      <w:r>
        <w:rPr>
          <w:rFonts w:ascii="Wingdings" w:hAnsi="Wingdings"/>
          <w:sz w:val="15"/>
        </w:rPr>
        <w:t>o</w:t>
      </w:r>
      <w:r>
        <w:rPr>
          <w:sz w:val="15"/>
        </w:rPr>
        <w:t xml:space="preserve"> </w:t>
      </w:r>
      <w:r>
        <w:rPr>
          <w:rFonts w:ascii="inherit" w:hAnsi="inherit"/>
          <w:sz w:val="15"/>
        </w:rPr>
        <w:t xml:space="preserve">No </w:t>
      </w:r>
      <w:r>
        <w:rPr>
          <w:sz w:val="15"/>
        </w:rPr>
        <w:t>☑</w:t>
      </w:r>
    </w:p>
    <w:p>
      <w:pPr>
        <w:pStyle w:val="TextBody"/>
        <w:spacing w:lineRule="auto" w:line="288" w:before="0" w:after="0"/>
        <w:jc w:val="left"/>
        <w:rPr>
          <w:sz w:val="15"/>
        </w:rPr>
      </w:pPr>
      <w:r>
        <w:rPr>
          <w:rFonts w:ascii="inherit" w:hAnsi="inherit"/>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sz w:val="15"/>
        </w:rPr>
        <w:t xml:space="preserve">☑ </w:t>
      </w:r>
      <w:r>
        <w:rPr>
          <w:rFonts w:ascii="inherit" w:hAnsi="inherit"/>
          <w:sz w:val="15"/>
        </w:rPr>
        <w:t xml:space="preserve">No </w:t>
      </w:r>
      <w:r>
        <w:rPr>
          <w:rFonts w:ascii="Wingdings" w:hAnsi="Wingdings"/>
          <w:sz w:val="15"/>
        </w:rPr>
        <w:t>o</w:t>
      </w:r>
    </w:p>
    <w:p>
      <w:pPr>
        <w:pStyle w:val="TextBody"/>
        <w:spacing w:lineRule="auto" w:line="288" w:before="0" w:after="0"/>
        <w:jc w:val="left"/>
        <w:rPr>
          <w:sz w:val="15"/>
        </w:rPr>
      </w:pPr>
      <w:r>
        <w:rPr>
          <w:rFonts w:ascii="inherit" w:hAnsi="inherit"/>
          <w:sz w:val="15"/>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sz w:val="15"/>
        </w:rPr>
        <w:t xml:space="preserve">☑ </w:t>
      </w:r>
      <w:r>
        <w:rPr>
          <w:rFonts w:ascii="inherit" w:hAnsi="inherit"/>
          <w:sz w:val="15"/>
        </w:rPr>
        <w:t xml:space="preserve">No </w:t>
      </w:r>
      <w:r>
        <w:rPr>
          <w:rFonts w:ascii="Wingdings" w:hAnsi="Wingdings"/>
          <w:sz w:val="15"/>
        </w:rPr>
        <w:t>o</w:t>
      </w:r>
    </w:p>
    <w:p>
      <w:pPr>
        <w:pStyle w:val="TextBody"/>
        <w:spacing w:lineRule="auto" w:line="288" w:before="0" w:after="0"/>
        <w:jc w:val="left"/>
        <w:rPr>
          <w:sz w:val="15"/>
        </w:rPr>
      </w:pPr>
      <w:r>
        <w:rPr>
          <w:rFonts w:ascii="inherit" w:hAnsi="inherit"/>
          <w:sz w:val="15"/>
        </w:rPr>
        <w:t xml:space="preserve">Indicate by check mark if disclosures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Wingdings" w:hAnsi="Wingdings"/>
          <w:sz w:val="15"/>
        </w:rPr>
        <w:t>o</w:t>
      </w:r>
    </w:p>
    <w:p>
      <w:pPr>
        <w:pStyle w:val="TextBody"/>
        <w:spacing w:lineRule="auto" w:line="288" w:before="0" w:after="0"/>
        <w:jc w:val="left"/>
        <w:rPr>
          <w:rFonts w:ascii="inherit" w:hAnsi="inherit"/>
          <w:sz w:val="15"/>
        </w:rPr>
      </w:pPr>
      <w:r>
        <w:rPr>
          <w:rFonts w:ascii="inherit" w:hAnsi="inherit"/>
          <w:sz w:val="15"/>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tbl>
      <w:tblPr>
        <w:tblW w:w="9700" w:type="dxa"/>
        <w:jc w:val="left"/>
        <w:tblInd w:w="0" w:type="dxa"/>
        <w:tblCellMar>
          <w:top w:w="0" w:type="dxa"/>
          <w:left w:w="0" w:type="dxa"/>
          <w:bottom w:w="0" w:type="dxa"/>
          <w:right w:w="0" w:type="dxa"/>
        </w:tblCellMar>
      </w:tblPr>
      <w:tblGrid>
        <w:gridCol w:w="2134"/>
        <w:gridCol w:w="97"/>
        <w:gridCol w:w="1552"/>
        <w:gridCol w:w="97"/>
        <w:gridCol w:w="3492"/>
        <w:gridCol w:w="97"/>
        <w:gridCol w:w="2231"/>
      </w:tblGrid>
      <w:tr>
        <w:trPr/>
        <w:tc>
          <w:tcPr>
            <w:tcW w:w="9700" w:type="dxa"/>
            <w:gridSpan w:val="7"/>
            <w:tcBorders/>
            <w:shd w:fill="auto" w:val="clear"/>
            <w:vAlign w:val="center"/>
          </w:tcPr>
          <w:p>
            <w:pPr>
              <w:pStyle w:val="TableContents"/>
              <w:spacing w:before="0" w:after="283"/>
              <w:rPr>
                <w:sz w:val="4"/>
                <w:szCs w:val="4"/>
              </w:rPr>
            </w:pPr>
            <w:r>
              <w:rPr>
                <w:sz w:val="4"/>
                <w:szCs w:val="4"/>
              </w:rPr>
            </w:r>
          </w:p>
        </w:tc>
      </w:tr>
      <w:tr>
        <w:trPr/>
        <w:tc>
          <w:tcPr>
            <w:tcW w:w="2134"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3492"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223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34" w:type="dxa"/>
            <w:tcBorders/>
            <w:shd w:fill="auto" w:val="clear"/>
            <w:vAlign w:val="center"/>
          </w:tcPr>
          <w:p>
            <w:pPr>
              <w:pStyle w:val="TableContents"/>
              <w:spacing w:before="0" w:after="0"/>
              <w:ind w:left="0" w:right="0" w:firstLine="30"/>
              <w:jc w:val="center"/>
              <w:rPr>
                <w:sz w:val="15"/>
              </w:rPr>
            </w:pPr>
            <w:r>
              <w:rPr>
                <w:rFonts w:ascii="inherit" w:hAnsi="inherit"/>
                <w:sz w:val="15"/>
              </w:rPr>
              <w:t xml:space="preserve">Large accelerated filer </w:t>
            </w:r>
            <w:r>
              <w:rPr>
                <w:sz w:val="15"/>
              </w:rPr>
              <w:t>☑</w:t>
            </w:r>
          </w:p>
        </w:tc>
        <w:tc>
          <w:tcPr>
            <w:tcW w:w="97" w:type="dxa"/>
            <w:tcBorders/>
            <w:shd w:fill="auto" w:val="clear"/>
            <w:vAlign w:val="center"/>
          </w:tcPr>
          <w:p>
            <w:pPr>
              <w:pStyle w:val="TableContents"/>
              <w:spacing w:before="0" w:after="0"/>
              <w:ind w:left="0" w:right="0" w:firstLine="30"/>
              <w:rPr/>
            </w:pPr>
            <w:r>
              <w:rPr/>
              <w:t> </w:t>
            </w:r>
          </w:p>
        </w:tc>
        <w:tc>
          <w:tcPr>
            <w:tcW w:w="1552" w:type="dxa"/>
            <w:tcBorders/>
            <w:shd w:fill="auto" w:val="clear"/>
            <w:vAlign w:val="center"/>
          </w:tcPr>
          <w:p>
            <w:pPr>
              <w:pStyle w:val="TableContents"/>
              <w:spacing w:before="0" w:after="0"/>
              <w:ind w:left="0" w:right="0" w:firstLine="30"/>
              <w:jc w:val="center"/>
              <w:rPr>
                <w:sz w:val="15"/>
              </w:rPr>
            </w:pPr>
            <w:r>
              <w:rPr>
                <w:rFonts w:ascii="inherit" w:hAnsi="inherit"/>
                <w:sz w:val="15"/>
              </w:rPr>
              <w:t xml:space="preserve">Accelerated filer </w:t>
            </w:r>
            <w:r>
              <w:rPr>
                <w:rFonts w:ascii="Wingdings" w:hAnsi="Wingdings"/>
                <w:sz w:val="15"/>
              </w:rPr>
              <w:t>o</w:t>
            </w:r>
          </w:p>
        </w:tc>
        <w:tc>
          <w:tcPr>
            <w:tcW w:w="97" w:type="dxa"/>
            <w:tcBorders/>
            <w:shd w:fill="auto" w:val="clear"/>
            <w:vAlign w:val="center"/>
          </w:tcPr>
          <w:p>
            <w:pPr>
              <w:pStyle w:val="TableContents"/>
              <w:spacing w:before="0" w:after="0"/>
              <w:ind w:left="0" w:right="0" w:firstLine="30"/>
              <w:rPr/>
            </w:pPr>
            <w:r>
              <w:rPr/>
              <w:t> </w:t>
            </w:r>
          </w:p>
        </w:tc>
        <w:tc>
          <w:tcPr>
            <w:tcW w:w="3492" w:type="dxa"/>
            <w:tcBorders/>
            <w:shd w:fill="auto" w:val="clear"/>
            <w:vAlign w:val="center"/>
          </w:tcPr>
          <w:p>
            <w:pPr>
              <w:pStyle w:val="TableContents"/>
              <w:spacing w:before="0" w:after="0"/>
              <w:ind w:left="0" w:right="0" w:firstLine="30"/>
              <w:jc w:val="center"/>
              <w:rPr>
                <w:sz w:val="15"/>
              </w:rPr>
            </w:pPr>
            <w:r>
              <w:rPr>
                <w:rFonts w:ascii="inherit" w:hAnsi="inherit"/>
                <w:sz w:val="15"/>
              </w:rPr>
              <w:t xml:space="preserve">Non-accelerated filer </w:t>
            </w:r>
            <w:r>
              <w:rPr>
                <w:rFonts w:ascii="Wingdings" w:hAnsi="Wingdings"/>
                <w:sz w:val="15"/>
              </w:rPr>
              <w:t>o</w:t>
            </w:r>
          </w:p>
        </w:tc>
        <w:tc>
          <w:tcPr>
            <w:tcW w:w="97" w:type="dxa"/>
            <w:tcBorders/>
            <w:shd w:fill="auto" w:val="clear"/>
            <w:vAlign w:val="center"/>
          </w:tcPr>
          <w:p>
            <w:pPr>
              <w:pStyle w:val="TableContents"/>
              <w:spacing w:before="0" w:after="0"/>
              <w:ind w:left="0" w:right="0" w:firstLine="30"/>
              <w:rPr/>
            </w:pPr>
            <w:r>
              <w:rPr/>
              <w:t> </w:t>
            </w:r>
          </w:p>
        </w:tc>
        <w:tc>
          <w:tcPr>
            <w:tcW w:w="2231" w:type="dxa"/>
            <w:tcBorders/>
            <w:shd w:fill="auto" w:val="clear"/>
            <w:vAlign w:val="center"/>
          </w:tcPr>
          <w:p>
            <w:pPr>
              <w:pStyle w:val="TableContents"/>
              <w:spacing w:before="0" w:after="0"/>
              <w:ind w:left="0" w:right="0" w:firstLine="30"/>
              <w:jc w:val="center"/>
              <w:rPr>
                <w:sz w:val="15"/>
              </w:rPr>
            </w:pPr>
            <w:r>
              <w:rPr>
                <w:rFonts w:ascii="inherit" w:hAnsi="inherit"/>
                <w:sz w:val="15"/>
              </w:rPr>
              <w:t xml:space="preserve">Smaller reporting company </w:t>
            </w:r>
            <w:r>
              <w:rPr>
                <w:rFonts w:ascii="Wingdings" w:hAnsi="Wingdings"/>
                <w:sz w:val="15"/>
              </w:rPr>
              <w:t>o</w:t>
            </w:r>
          </w:p>
        </w:tc>
      </w:tr>
      <w:tr>
        <w:trPr/>
        <w:tc>
          <w:tcPr>
            <w:tcW w:w="2134" w:type="dxa"/>
            <w:tcBorders/>
            <w:shd w:fill="auto" w:val="clear"/>
            <w:vAlign w:val="center"/>
          </w:tcPr>
          <w:p>
            <w:pPr>
              <w:pStyle w:val="TableContents"/>
              <w:spacing w:before="0" w:after="0"/>
              <w:ind w:left="0" w:right="0" w:firstLine="30"/>
              <w:jc w:val="center"/>
              <w:rPr/>
            </w:pPr>
            <w:r>
              <w:rPr/>
              <w:t> </w:t>
            </w:r>
          </w:p>
        </w:tc>
        <w:tc>
          <w:tcPr>
            <w:tcW w:w="97" w:type="dxa"/>
            <w:tcBorders/>
            <w:shd w:fill="auto" w:val="clear"/>
            <w:vAlign w:val="center"/>
          </w:tcPr>
          <w:p>
            <w:pPr>
              <w:pStyle w:val="TableContents"/>
              <w:spacing w:before="0" w:after="0"/>
              <w:ind w:left="0" w:right="0" w:firstLine="30"/>
              <w:rPr/>
            </w:pPr>
            <w:r>
              <w:rPr/>
              <w:t> </w:t>
            </w:r>
          </w:p>
        </w:tc>
        <w:tc>
          <w:tcPr>
            <w:tcW w:w="1552" w:type="dxa"/>
            <w:tcBorders/>
            <w:shd w:fill="auto" w:val="clear"/>
            <w:vAlign w:val="center"/>
          </w:tcPr>
          <w:p>
            <w:pPr>
              <w:pStyle w:val="TableContents"/>
              <w:spacing w:before="0" w:after="0"/>
              <w:ind w:left="0" w:right="0" w:firstLine="30"/>
              <w:jc w:val="center"/>
              <w:rPr/>
            </w:pPr>
            <w:r>
              <w:rPr/>
              <w:t> </w:t>
            </w:r>
          </w:p>
        </w:tc>
        <w:tc>
          <w:tcPr>
            <w:tcW w:w="97" w:type="dxa"/>
            <w:tcBorders/>
            <w:shd w:fill="auto" w:val="clear"/>
            <w:vAlign w:val="center"/>
          </w:tcPr>
          <w:p>
            <w:pPr>
              <w:pStyle w:val="TableContents"/>
              <w:spacing w:before="0" w:after="0"/>
              <w:ind w:left="0" w:right="0" w:firstLine="30"/>
              <w:rPr/>
            </w:pPr>
            <w:r>
              <w:rPr/>
              <w:t> </w:t>
            </w:r>
          </w:p>
        </w:tc>
        <w:tc>
          <w:tcPr>
            <w:tcW w:w="3492"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(Do not check if a smaller reporting company)</w:t>
            </w:r>
          </w:p>
        </w:tc>
        <w:tc>
          <w:tcPr>
            <w:tcW w:w="97" w:type="dxa"/>
            <w:tcBorders/>
            <w:shd w:fill="auto" w:val="clear"/>
            <w:vAlign w:val="center"/>
          </w:tcPr>
          <w:p>
            <w:pPr>
              <w:pStyle w:val="TableContents"/>
              <w:spacing w:before="0" w:after="0"/>
              <w:ind w:left="0" w:right="0" w:firstLine="30"/>
              <w:rPr/>
            </w:pPr>
            <w:r>
              <w:rPr/>
              <w:t> </w:t>
            </w:r>
          </w:p>
        </w:tc>
        <w:tc>
          <w:tcPr>
            <w:tcW w:w="2231" w:type="dxa"/>
            <w:tcBorders/>
            <w:shd w:fill="auto" w:val="clear"/>
            <w:vAlign w:val="center"/>
          </w:tcPr>
          <w:p>
            <w:pPr>
              <w:pStyle w:val="TableContents"/>
              <w:spacing w:before="0" w:after="0"/>
              <w:jc w:val="center"/>
              <w:rPr/>
            </w:pPr>
            <w:r>
              <w:rPr/>
              <w:t> </w:t>
            </w:r>
          </w:p>
        </w:tc>
      </w:tr>
    </w:tbl>
    <w:p>
      <w:pPr>
        <w:pStyle w:val="TextBody"/>
        <w:spacing w:lineRule="auto" w:line="288" w:before="0" w:after="0"/>
        <w:jc w:val="left"/>
        <w:rPr>
          <w:sz w:val="15"/>
        </w:rPr>
      </w:pPr>
      <w:r>
        <w:rPr>
          <w:rFonts w:ascii="inherit" w:hAnsi="inherit"/>
          <w:sz w:val="15"/>
        </w:rPr>
        <w:t xml:space="preserve">Indicate by check mark whether the registrant is a shell company (as defined in Rule 12b-2 of the Exchange Act). Yes </w:t>
      </w:r>
      <w:r>
        <w:rPr>
          <w:rFonts w:ascii="Wingdings" w:hAnsi="Wingdings"/>
          <w:sz w:val="15"/>
        </w:rPr>
        <w:t>o</w:t>
      </w:r>
      <w:r>
        <w:rPr>
          <w:sz w:val="15"/>
        </w:rPr>
        <w:t xml:space="preserve"> </w:t>
      </w:r>
      <w:r>
        <w:rPr>
          <w:rFonts w:ascii="inherit" w:hAnsi="inherit"/>
          <w:sz w:val="15"/>
        </w:rPr>
        <w:t xml:space="preserve">No </w:t>
      </w:r>
      <w:r>
        <w:rPr>
          <w:sz w:val="15"/>
        </w:rPr>
        <w:t>☑</w:t>
      </w:r>
    </w:p>
    <w:p>
      <w:pPr>
        <w:pStyle w:val="TextBody"/>
        <w:spacing w:lineRule="auto" w:line="288" w:before="0" w:after="0"/>
        <w:jc w:val="left"/>
        <w:rPr>
          <w:sz w:val="15"/>
        </w:rPr>
      </w:pPr>
      <w:r>
        <w:rPr>
          <w:rFonts w:ascii="inherit" w:hAnsi="inherit"/>
          <w:sz w:val="15"/>
        </w:rPr>
        <w:t xml:space="preserve">The only class of voting securities of the registrant issued and outstanding is the Class B Voting Common Stock, par value $.01 per share, all of which is owned by an affiliate of the registrant. There is no trading market for the Class B Voting Common Stock. The aggregate market value of the Class A Non-voting Common Stock held by non-affiliates of the registrant was $1.067 billion, based on the closing price on the NASDAQ Stock Market on </w:t>
      </w:r>
      <w:r>
        <w:rPr>
          <w:rFonts w:ascii="inherit" w:hAnsi="inherit"/>
          <w:strike w:val="false"/>
          <w:dstrike w:val="false"/>
          <w:color w:val="000000"/>
          <w:sz w:val="15"/>
          <w:u w:val="none"/>
          <w:effect w:val="none"/>
        </w:rPr>
        <w:t>March 31, 2013</w:t>
      </w:r>
      <w:r>
        <w:rPr>
          <w:rFonts w:ascii="inherit" w:hAnsi="inherit"/>
          <w:sz w:val="15"/>
        </w:rPr>
        <w:t>.</w:t>
      </w:r>
    </w:p>
    <w:p>
      <w:pPr>
        <w:pStyle w:val="TextBody"/>
        <w:spacing w:lineRule="auto" w:line="288" w:before="0" w:after="0"/>
        <w:jc w:val="left"/>
        <w:rPr>
          <w:sz w:val="15"/>
        </w:rPr>
      </w:pPr>
      <w:r>
        <w:rPr>
          <w:rFonts w:ascii="inherit" w:hAnsi="inherit"/>
          <w:sz w:val="15"/>
        </w:rPr>
        <w:t xml:space="preserve">As of </w:t>
      </w:r>
      <w:r>
        <w:rPr>
          <w:rFonts w:ascii="inherit" w:hAnsi="inherit"/>
          <w:strike w:val="false"/>
          <w:dstrike w:val="false"/>
          <w:color w:val="000000"/>
          <w:sz w:val="15"/>
          <w:u w:val="none"/>
          <w:effect w:val="none"/>
        </w:rPr>
        <w:t>October 31, 2013</w:t>
      </w:r>
      <w:r>
        <w:rPr>
          <w:rFonts w:ascii="inherit" w:hAnsi="inherit"/>
          <w:sz w:val="15"/>
        </w:rPr>
        <w:t>, 51,344,738 shares of the registrant’s Class A Non-voting Common Stock, par value $.01 per share and 2,970,171 shares of the registrant’s Class B Voting Common Stock, par value $.01 per share, were outstanding.</w:t>
      </w:r>
    </w:p>
    <w:p>
      <w:pPr>
        <w:pStyle w:val="TextBody"/>
        <w:spacing w:lineRule="auto" w:line="288" w:before="0" w:after="0"/>
        <w:jc w:val="left"/>
        <w:rPr>
          <w:rFonts w:ascii="inherit" w:hAnsi="inherit"/>
          <w:sz w:val="15"/>
        </w:rPr>
      </w:pPr>
      <w:r>
        <w:rPr>
          <w:rFonts w:ascii="inherit" w:hAnsi="inherit"/>
          <w:sz w:val="15"/>
        </w:rPr>
        <w:t>Documents incorporated by reference: None</w:t>
      </w:r>
    </w:p>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0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0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0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0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rPr/>
            </w:pPr>
            <w:r>
              <w:rPr/>
              <w:t> </w:t>
            </w:r>
          </w:p>
        </w:tc>
      </w:tr>
    </w:tbl>
    <w:p>
      <w:pPr>
        <w:pStyle w:val="TextBody"/>
        <w:rPr/>
      </w:pPr>
      <w:r>
        <w:rPr/>
      </w:r>
      <w:r>
        <w:br w:type="page"/>
      </w:r>
    </w:p>
    <w:p>
      <w:pPr>
        <w:pStyle w:val="TextBody"/>
        <w:spacing w:lineRule="auto" w:line="288" w:before="0" w:after="0"/>
        <w:rPr/>
      </w:pPr>
      <w:hyperlink w:anchor="sA13583D437E20DC41B4583E2BD74AA47">
        <w:bookmarkStart w:id="3" w:name="sA13583D437E20DC41B4583E2BD74AA47"/>
        <w:bookmarkEnd w:id="3"/>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sz w:val="17"/>
        </w:rPr>
      </w:pPr>
      <w:r>
        <w:rPr>
          <w:rFonts w:ascii="inherit" w:hAnsi="inherit"/>
          <w:b/>
          <w:sz w:val="17"/>
        </w:rPr>
        <w:t>YEAR ENDED SEPTEMBER 30, 2013</w:t>
      </w:r>
      <w:r>
        <w:rPr>
          <w:sz w:val="17"/>
        </w:rPr>
        <w:t xml:space="preserve"> </w:t>
      </w:r>
    </w:p>
    <w:p>
      <w:pPr>
        <w:pStyle w:val="TextBody"/>
        <w:spacing w:lineRule="auto" w:line="288" w:before="0" w:after="0"/>
        <w:jc w:val="center"/>
        <w:rPr>
          <w:rFonts w:ascii="inherit" w:hAnsi="inherit"/>
          <w:b/>
          <w:sz w:val="17"/>
        </w:rPr>
      </w:pPr>
      <w:r>
        <w:rPr>
          <w:rFonts w:ascii="inherit" w:hAnsi="inherit"/>
          <w:b/>
          <w:sz w:val="17"/>
        </w:rPr>
        <w:t>INDEX TO FORM 10-K</w:t>
      </w:r>
    </w:p>
    <w:tbl>
      <w:tblPr>
        <w:tblW w:w="10184" w:type="dxa"/>
        <w:jc w:val="center"/>
        <w:tblInd w:w="0" w:type="dxa"/>
        <w:tblCellMar>
          <w:top w:w="0" w:type="dxa"/>
          <w:left w:w="0" w:type="dxa"/>
          <w:bottom w:w="0" w:type="dxa"/>
          <w:right w:w="0" w:type="dxa"/>
        </w:tblCellMar>
      </w:tblPr>
      <w:tblGrid>
        <w:gridCol w:w="9472"/>
        <w:gridCol w:w="712"/>
      </w:tblGrid>
      <w:tr>
        <w:trPr/>
        <w:tc>
          <w:tcPr>
            <w:tcW w:w="10184" w:type="dxa"/>
            <w:gridSpan w:val="2"/>
            <w:tcBorders/>
            <w:shd w:fill="auto" w:val="clear"/>
            <w:vAlign w:val="center"/>
          </w:tcPr>
          <w:p>
            <w:pPr>
              <w:pStyle w:val="TableContents"/>
              <w:spacing w:before="0" w:after="283"/>
              <w:rPr>
                <w:sz w:val="4"/>
                <w:szCs w:val="4"/>
              </w:rPr>
            </w:pPr>
            <w:r>
              <w:rPr>
                <w:sz w:val="4"/>
                <w:szCs w:val="4"/>
              </w:rPr>
            </w:r>
          </w:p>
        </w:tc>
      </w:tr>
      <w:tr>
        <w:trPr/>
        <w:tc>
          <w:tcPr>
            <w:tcW w:w="9472"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4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Item</w:t>
            </w:r>
          </w:p>
        </w:tc>
        <w:tc>
          <w:tcPr>
            <w:tcW w:w="712"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Page</w:t>
            </w:r>
          </w:p>
        </w:tc>
      </w:tr>
      <w:tr>
        <w:trPr/>
        <w:tc>
          <w:tcPr>
            <w:tcW w:w="9472" w:type="dxa"/>
            <w:tcBorders/>
            <w:shd w:fill="auto" w:val="clear"/>
            <w:vAlign w:val="center"/>
          </w:tcPr>
          <w:p>
            <w:pPr>
              <w:pStyle w:val="TableContents"/>
              <w:spacing w:before="0" w:after="0"/>
              <w:ind w:left="0" w:right="0" w:firstLine="30"/>
              <w:jc w:val="left"/>
              <w:rPr>
                <w:rFonts w:ascii="inherit" w:hAnsi="inherit"/>
                <w:sz w:val="13"/>
                <w:u w:val="single"/>
              </w:rPr>
            </w:pPr>
            <w:r>
              <w:rPr>
                <w:rFonts w:ascii="inherit" w:hAnsi="inherit"/>
                <w:sz w:val="13"/>
                <w:u w:val="single"/>
              </w:rPr>
              <w:t>No.</w:t>
            </w:r>
          </w:p>
        </w:tc>
        <w:tc>
          <w:tcPr>
            <w:tcW w:w="712" w:type="dxa"/>
            <w:tcBorders/>
            <w:shd w:fill="auto" w:val="clear"/>
            <w:vAlign w:val="center"/>
          </w:tcPr>
          <w:p>
            <w:pPr>
              <w:pStyle w:val="TableContents"/>
              <w:spacing w:before="0" w:after="0"/>
              <w:ind w:left="0" w:right="0" w:firstLine="30"/>
              <w:jc w:val="center"/>
              <w:rPr>
                <w:rFonts w:ascii="inherit" w:hAnsi="inherit"/>
                <w:sz w:val="13"/>
                <w:u w:val="single"/>
              </w:rPr>
            </w:pPr>
            <w:r>
              <w:rPr>
                <w:rFonts w:ascii="inherit" w:hAnsi="inherit"/>
                <w:sz w:val="13"/>
                <w:u w:val="single"/>
              </w:rPr>
              <w:t>No.</w:t>
            </w:r>
          </w:p>
        </w:tc>
      </w:tr>
      <w:tr>
        <w:trPr/>
        <w:tc>
          <w:tcPr>
            <w:tcW w:w="9472" w:type="dxa"/>
            <w:tcBorders/>
            <w:shd w:fill="auto" w:val="clear"/>
            <w:vAlign w:val="center"/>
          </w:tcPr>
          <w:p>
            <w:pPr>
              <w:pStyle w:val="TableContents"/>
              <w:spacing w:before="0" w:after="0"/>
              <w:ind w:left="0" w:right="0" w:firstLine="30"/>
              <w:rPr/>
            </w:pPr>
            <w:r>
              <w:rPr/>
              <w:t> </w:t>
            </w:r>
          </w:p>
        </w:tc>
        <w:tc>
          <w:tcPr>
            <w:tcW w:w="712" w:type="dxa"/>
            <w:tcBorders/>
            <w:shd w:fill="auto" w:val="clear"/>
            <w:vAlign w:val="center"/>
          </w:tcPr>
          <w:p>
            <w:pPr>
              <w:pStyle w:val="TableContents"/>
              <w:spacing w:before="0" w:after="0"/>
              <w:ind w:left="0" w:right="0" w:firstLine="30"/>
              <w:rPr/>
            </w:pPr>
            <w:r>
              <w:rPr/>
              <w:t> </w:t>
            </w:r>
          </w:p>
        </w:tc>
      </w:tr>
      <w:tr>
        <w:trPr/>
        <w:tc>
          <w:tcPr>
            <w:tcW w:w="9472" w:type="dxa"/>
            <w:tcBorders/>
            <w:shd w:fill="auto" w:val="clear"/>
            <w:vAlign w:val="center"/>
          </w:tcPr>
          <w:p>
            <w:pPr>
              <w:pStyle w:val="TableContents"/>
              <w:spacing w:before="0" w:after="0"/>
              <w:ind w:left="0" w:right="0" w:firstLine="30"/>
              <w:jc w:val="center"/>
              <w:rPr/>
            </w:pPr>
            <w:hyperlink w:anchor="s331546AE4A88FE0DC02683E2BD97D31D">
              <w:r>
                <w:rPr>
                  <w:rStyle w:val="InternetLink"/>
                  <w:rFonts w:ascii="inherit" w:hAnsi="inherit"/>
                  <w:b/>
                  <w:color w:val="0000FF"/>
                  <w:sz w:val="17"/>
                  <w:u w:val="single"/>
                </w:rPr>
                <w:t>PART I</w:t>
              </w:r>
            </w:hyperlink>
          </w:p>
        </w:tc>
        <w:tc>
          <w:tcPr>
            <w:tcW w:w="712" w:type="dxa"/>
            <w:tcBorders/>
            <w:shd w:fill="auto" w:val="clear"/>
            <w:vAlign w:val="center"/>
          </w:tcPr>
          <w:p>
            <w:pPr>
              <w:pStyle w:val="TableContents"/>
              <w:spacing w:before="0" w:after="0"/>
              <w:ind w:left="0" w:right="0" w:firstLine="30"/>
              <w:jc w:val="left"/>
              <w:rPr/>
            </w:pPr>
            <w:r>
              <w:rPr/>
              <w:t> </w:t>
            </w:r>
          </w:p>
        </w:tc>
      </w:tr>
      <w:tr>
        <w:trPr/>
        <w:tc>
          <w:tcPr>
            <w:tcW w:w="9472" w:type="dxa"/>
            <w:tcBorders/>
            <w:shd w:fill="auto" w:val="clear"/>
            <w:vAlign w:val="center"/>
          </w:tcPr>
          <w:p>
            <w:pPr>
              <w:pStyle w:val="TableContents"/>
              <w:spacing w:before="0" w:after="0"/>
              <w:ind w:left="0" w:right="0" w:firstLine="30"/>
              <w:rPr/>
            </w:pPr>
            <w:hyperlink w:anchor="s39B77FCB6013551CB30883E2BDCA87F9">
              <w:r>
                <w:rPr>
                  <w:rStyle w:val="InternetLink"/>
                  <w:rFonts w:ascii="inherit" w:hAnsi="inherit"/>
                  <w:color w:val="0000FF"/>
                  <w:sz w:val="17"/>
                  <w:u w:val="single"/>
                </w:rPr>
                <w:t>1. Business</w:t>
              </w:r>
            </w:hyperlink>
          </w:p>
        </w:tc>
        <w:tc>
          <w:tcPr>
            <w:tcW w:w="712" w:type="dxa"/>
            <w:tcBorders/>
            <w:shd w:fill="auto" w:val="clear"/>
            <w:vAlign w:val="center"/>
          </w:tcPr>
          <w:p>
            <w:pPr>
              <w:pStyle w:val="TableContents"/>
              <w:spacing w:before="0" w:after="0"/>
              <w:ind w:left="0" w:right="0" w:firstLine="30"/>
              <w:jc w:val="right"/>
              <w:rPr/>
            </w:pPr>
            <w:hyperlink w:anchor="s39B77FCB6013551CB30883E2BDCA87F9">
              <w:r>
                <w:rPr>
                  <w:rStyle w:val="InternetLink"/>
                  <w:rFonts w:ascii="Times New Roman" w:hAnsi="Times New Roman"/>
                  <w:color w:val="0000FF"/>
                  <w:sz w:val="17"/>
                  <w:u w:val="single"/>
                </w:rPr>
                <w:t>3</w:t>
              </w:r>
            </w:hyperlink>
          </w:p>
        </w:tc>
      </w:tr>
      <w:tr>
        <w:trPr/>
        <w:tc>
          <w:tcPr>
            <w:tcW w:w="9472" w:type="dxa"/>
            <w:tcBorders/>
            <w:shd w:fill="auto" w:val="clear"/>
            <w:vAlign w:val="center"/>
          </w:tcPr>
          <w:p>
            <w:pPr>
              <w:pStyle w:val="TableContents"/>
              <w:spacing w:before="0" w:after="0"/>
              <w:ind w:left="0" w:right="0" w:firstLine="30"/>
              <w:rPr/>
            </w:pPr>
            <w:hyperlink w:anchor="s548C54A385EF3A91AF6E83E2BFBE6832">
              <w:r>
                <w:rPr>
                  <w:rStyle w:val="InternetLink"/>
                  <w:rFonts w:ascii="inherit" w:hAnsi="inherit"/>
                  <w:color w:val="0000FF"/>
                  <w:sz w:val="17"/>
                  <w:u w:val="single"/>
                </w:rPr>
                <w:t>1A. Risk Factors</w:t>
              </w:r>
            </w:hyperlink>
          </w:p>
        </w:tc>
        <w:tc>
          <w:tcPr>
            <w:tcW w:w="712" w:type="dxa"/>
            <w:tcBorders/>
            <w:shd w:fill="auto" w:val="clear"/>
            <w:vAlign w:val="center"/>
          </w:tcPr>
          <w:p>
            <w:pPr>
              <w:pStyle w:val="TableContents"/>
              <w:spacing w:before="0" w:after="0"/>
              <w:ind w:left="0" w:right="0" w:firstLine="30"/>
              <w:jc w:val="right"/>
              <w:rPr/>
            </w:pPr>
            <w:hyperlink w:anchor="s548C54A385EF3A91AF6E83E2BFBE6832">
              <w:r>
                <w:rPr>
                  <w:rStyle w:val="InternetLink"/>
                  <w:rFonts w:ascii="Times New Roman" w:hAnsi="Times New Roman"/>
                  <w:color w:val="0000FF"/>
                  <w:sz w:val="17"/>
                  <w:u w:val="single"/>
                </w:rPr>
                <w:t>15</w:t>
              </w:r>
            </w:hyperlink>
          </w:p>
        </w:tc>
      </w:tr>
      <w:tr>
        <w:trPr/>
        <w:tc>
          <w:tcPr>
            <w:tcW w:w="9472" w:type="dxa"/>
            <w:tcBorders/>
            <w:shd w:fill="auto" w:val="clear"/>
            <w:vAlign w:val="center"/>
          </w:tcPr>
          <w:p>
            <w:pPr>
              <w:pStyle w:val="TableContents"/>
              <w:spacing w:before="0" w:after="0"/>
              <w:ind w:left="0" w:right="0" w:firstLine="30"/>
              <w:rPr/>
            </w:pPr>
            <w:hyperlink w:anchor="sA513844D47B722E5F31583E2BFDCDACD">
              <w:r>
                <w:rPr>
                  <w:rStyle w:val="InternetLink"/>
                  <w:rFonts w:ascii="inherit" w:hAnsi="inherit"/>
                  <w:color w:val="0000FF"/>
                  <w:sz w:val="17"/>
                  <w:u w:val="single"/>
                </w:rPr>
                <w:t>1B. Unresolved Staff Comments</w:t>
              </w:r>
            </w:hyperlink>
          </w:p>
        </w:tc>
        <w:tc>
          <w:tcPr>
            <w:tcW w:w="712" w:type="dxa"/>
            <w:tcBorders/>
            <w:shd w:fill="auto" w:val="clear"/>
            <w:vAlign w:val="center"/>
          </w:tcPr>
          <w:p>
            <w:pPr>
              <w:pStyle w:val="TableContents"/>
              <w:spacing w:before="0" w:after="0"/>
              <w:ind w:left="0" w:right="0" w:firstLine="30"/>
              <w:jc w:val="right"/>
              <w:rPr/>
            </w:pPr>
            <w:hyperlink w:anchor="sA513844D47B722E5F31583E2BFDCDACD">
              <w:r>
                <w:rPr>
                  <w:rStyle w:val="InternetLink"/>
                  <w:rFonts w:ascii="Times New Roman" w:hAnsi="Times New Roman"/>
                  <w:color w:val="0000FF"/>
                  <w:sz w:val="17"/>
                  <w:u w:val="single"/>
                </w:rPr>
                <w:t>21</w:t>
              </w:r>
            </w:hyperlink>
          </w:p>
        </w:tc>
      </w:tr>
      <w:tr>
        <w:trPr/>
        <w:tc>
          <w:tcPr>
            <w:tcW w:w="9472" w:type="dxa"/>
            <w:tcBorders/>
            <w:shd w:fill="auto" w:val="clear"/>
            <w:vAlign w:val="center"/>
          </w:tcPr>
          <w:p>
            <w:pPr>
              <w:pStyle w:val="TableContents"/>
              <w:spacing w:before="0" w:after="0"/>
              <w:ind w:left="0" w:right="0" w:firstLine="30"/>
              <w:rPr/>
            </w:pPr>
            <w:hyperlink w:anchor="sECBCC6A3E6964B0FD11583E28265DAEF">
              <w:r>
                <w:rPr>
                  <w:rStyle w:val="InternetLink"/>
                  <w:rFonts w:ascii="inherit" w:hAnsi="inherit"/>
                  <w:color w:val="0000FF"/>
                  <w:sz w:val="17"/>
                  <w:u w:val="single"/>
                </w:rPr>
                <w:t>2. Properties</w:t>
              </w:r>
            </w:hyperlink>
          </w:p>
        </w:tc>
        <w:tc>
          <w:tcPr>
            <w:tcW w:w="712" w:type="dxa"/>
            <w:tcBorders/>
            <w:shd w:fill="auto" w:val="clear"/>
            <w:vAlign w:val="center"/>
          </w:tcPr>
          <w:p>
            <w:pPr>
              <w:pStyle w:val="TableContents"/>
              <w:spacing w:before="0" w:after="0"/>
              <w:ind w:left="0" w:right="0" w:firstLine="30"/>
              <w:jc w:val="right"/>
              <w:rPr/>
            </w:pPr>
            <w:hyperlink w:anchor="sECBCC6A3E6964B0FD11583E28265DAEF">
              <w:r>
                <w:rPr>
                  <w:rStyle w:val="InternetLink"/>
                  <w:rFonts w:ascii="Times New Roman" w:hAnsi="Times New Roman"/>
                  <w:color w:val="0000FF"/>
                  <w:sz w:val="17"/>
                  <w:u w:val="single"/>
                </w:rPr>
                <w:t>22</w:t>
              </w:r>
            </w:hyperlink>
          </w:p>
        </w:tc>
      </w:tr>
      <w:tr>
        <w:trPr/>
        <w:tc>
          <w:tcPr>
            <w:tcW w:w="9472" w:type="dxa"/>
            <w:tcBorders/>
            <w:shd w:fill="auto" w:val="clear"/>
            <w:vAlign w:val="center"/>
          </w:tcPr>
          <w:p>
            <w:pPr>
              <w:pStyle w:val="TableContents"/>
              <w:spacing w:before="0" w:after="0"/>
              <w:ind w:left="0" w:right="0" w:firstLine="30"/>
              <w:rPr/>
            </w:pPr>
            <w:hyperlink w:anchor="sD39ACCBD5E79D673290683E2C03EDE19">
              <w:r>
                <w:rPr>
                  <w:rStyle w:val="InternetLink"/>
                  <w:rFonts w:ascii="inherit" w:hAnsi="inherit"/>
                  <w:color w:val="0000FF"/>
                  <w:sz w:val="17"/>
                  <w:u w:val="single"/>
                </w:rPr>
                <w:t>3. Legal Proceedings</w:t>
              </w:r>
            </w:hyperlink>
          </w:p>
        </w:tc>
        <w:tc>
          <w:tcPr>
            <w:tcW w:w="712" w:type="dxa"/>
            <w:tcBorders/>
            <w:shd w:fill="auto" w:val="clear"/>
            <w:vAlign w:val="center"/>
          </w:tcPr>
          <w:p>
            <w:pPr>
              <w:pStyle w:val="TableContents"/>
              <w:spacing w:before="0" w:after="0"/>
              <w:ind w:left="0" w:right="0" w:firstLine="30"/>
              <w:jc w:val="right"/>
              <w:rPr/>
            </w:pPr>
            <w:hyperlink w:anchor="sD39ACCBD5E79D673290683E2C03EDE19">
              <w:r>
                <w:rPr>
                  <w:rStyle w:val="InternetLink"/>
                  <w:rFonts w:ascii="Times New Roman" w:hAnsi="Times New Roman"/>
                  <w:color w:val="0000FF"/>
                  <w:sz w:val="17"/>
                  <w:u w:val="single"/>
                </w:rPr>
                <w:t>24</w:t>
              </w:r>
            </w:hyperlink>
          </w:p>
        </w:tc>
      </w:tr>
      <w:tr>
        <w:trPr/>
        <w:tc>
          <w:tcPr>
            <w:tcW w:w="9472" w:type="dxa"/>
            <w:tcBorders/>
            <w:shd w:fill="auto" w:val="clear"/>
            <w:vAlign w:val="center"/>
          </w:tcPr>
          <w:p>
            <w:pPr>
              <w:pStyle w:val="TableContents"/>
              <w:spacing w:before="0" w:after="0"/>
              <w:ind w:left="0" w:right="0" w:firstLine="30"/>
              <w:rPr/>
            </w:pPr>
            <w:hyperlink w:anchor="s073E31D8E22C1FAD1A1183E2C0629C4B">
              <w:r>
                <w:rPr>
                  <w:rStyle w:val="InternetLink"/>
                  <w:rFonts w:ascii="inherit" w:hAnsi="inherit"/>
                  <w:color w:val="0033FF"/>
                  <w:sz w:val="17"/>
                  <w:u w:val="single"/>
                </w:rPr>
                <w:t>4. Mine Safety Disclosures</w:t>
              </w:r>
            </w:hyperlink>
          </w:p>
        </w:tc>
        <w:tc>
          <w:tcPr>
            <w:tcW w:w="712" w:type="dxa"/>
            <w:tcBorders/>
            <w:shd w:fill="auto" w:val="clear"/>
            <w:vAlign w:val="center"/>
          </w:tcPr>
          <w:p>
            <w:pPr>
              <w:pStyle w:val="TableContents"/>
              <w:spacing w:before="0" w:after="0"/>
              <w:ind w:left="0" w:right="0" w:firstLine="30"/>
              <w:jc w:val="right"/>
              <w:rPr/>
            </w:pPr>
            <w:hyperlink w:anchor="s073E31D8E22C1FAD1A1183E2C0629C4B">
              <w:r>
                <w:rPr>
                  <w:rStyle w:val="InternetLink"/>
                  <w:rFonts w:ascii="Times New Roman" w:hAnsi="Times New Roman"/>
                  <w:color w:val="0000FF"/>
                  <w:sz w:val="17"/>
                  <w:u w:val="single"/>
                </w:rPr>
                <w:t>24</w:t>
              </w:r>
            </w:hyperlink>
          </w:p>
        </w:tc>
      </w:tr>
      <w:tr>
        <w:trPr/>
        <w:tc>
          <w:tcPr>
            <w:tcW w:w="9472" w:type="dxa"/>
            <w:tcBorders/>
            <w:shd w:fill="auto" w:val="clear"/>
            <w:vAlign w:val="center"/>
          </w:tcPr>
          <w:p>
            <w:pPr>
              <w:pStyle w:val="TableContents"/>
              <w:spacing w:before="0" w:after="0"/>
              <w:ind w:left="0" w:right="0" w:firstLine="30"/>
              <w:rPr/>
            </w:pPr>
            <w:r>
              <w:rPr/>
              <w:t> </w:t>
            </w:r>
          </w:p>
        </w:tc>
        <w:tc>
          <w:tcPr>
            <w:tcW w:w="712" w:type="dxa"/>
            <w:tcBorders/>
            <w:shd w:fill="auto" w:val="clear"/>
            <w:vAlign w:val="center"/>
          </w:tcPr>
          <w:p>
            <w:pPr>
              <w:pStyle w:val="TableContents"/>
              <w:spacing w:before="0" w:after="0"/>
              <w:ind w:left="0" w:right="0" w:firstLine="30"/>
              <w:rPr/>
            </w:pPr>
            <w:r>
              <w:rPr/>
              <w:t> </w:t>
            </w:r>
          </w:p>
        </w:tc>
      </w:tr>
      <w:tr>
        <w:trPr/>
        <w:tc>
          <w:tcPr>
            <w:tcW w:w="9472" w:type="dxa"/>
            <w:tcBorders/>
            <w:shd w:fill="auto" w:val="clear"/>
            <w:vAlign w:val="center"/>
          </w:tcPr>
          <w:p>
            <w:pPr>
              <w:pStyle w:val="TableContents"/>
              <w:spacing w:before="0" w:after="0"/>
              <w:ind w:left="0" w:right="0" w:firstLine="30"/>
              <w:jc w:val="center"/>
              <w:rPr/>
            </w:pPr>
            <w:hyperlink w:anchor="s79D16CC42B7B67B17AC683E2C086051C">
              <w:r>
                <w:rPr>
                  <w:rStyle w:val="InternetLink"/>
                  <w:rFonts w:ascii="inherit" w:hAnsi="inherit"/>
                  <w:b/>
                  <w:color w:val="0000FF"/>
                  <w:sz w:val="17"/>
                  <w:u w:val="single"/>
                </w:rPr>
                <w:t>PART II</w:t>
              </w:r>
            </w:hyperlink>
          </w:p>
        </w:tc>
        <w:tc>
          <w:tcPr>
            <w:tcW w:w="712" w:type="dxa"/>
            <w:tcBorders/>
            <w:shd w:fill="auto" w:val="clear"/>
            <w:vAlign w:val="center"/>
          </w:tcPr>
          <w:p>
            <w:pPr>
              <w:pStyle w:val="TableContents"/>
              <w:spacing w:before="0" w:after="0"/>
              <w:ind w:left="0" w:right="0" w:firstLine="30"/>
              <w:jc w:val="left"/>
              <w:rPr/>
            </w:pPr>
            <w:r>
              <w:rPr/>
              <w:t> </w:t>
            </w:r>
          </w:p>
        </w:tc>
      </w:tr>
      <w:tr>
        <w:trPr/>
        <w:tc>
          <w:tcPr>
            <w:tcW w:w="9472" w:type="dxa"/>
            <w:tcBorders/>
            <w:shd w:fill="auto" w:val="clear"/>
            <w:vAlign w:val="center"/>
          </w:tcPr>
          <w:p>
            <w:pPr>
              <w:pStyle w:val="TableContents"/>
              <w:spacing w:before="0" w:after="0"/>
              <w:ind w:left="0" w:right="0" w:firstLine="30"/>
              <w:rPr/>
            </w:pPr>
            <w:hyperlink w:anchor="s3CA2969F8C66F3C8A05A83E2C0B86C33">
              <w:r>
                <w:rPr>
                  <w:rStyle w:val="InternetLink"/>
                  <w:rFonts w:ascii="inherit" w:hAnsi="inherit"/>
                  <w:color w:val="0000FF"/>
                  <w:sz w:val="17"/>
                  <w:u w:val="single"/>
                </w:rPr>
                <w:t>5. Market for Registrant’s Common Equity, Related Stockholder Matters and Issuer Purchases of Equity Securities</w:t>
              </w:r>
            </w:hyperlink>
          </w:p>
        </w:tc>
        <w:tc>
          <w:tcPr>
            <w:tcW w:w="712" w:type="dxa"/>
            <w:tcBorders/>
            <w:shd w:fill="auto" w:val="clear"/>
            <w:vAlign w:val="center"/>
          </w:tcPr>
          <w:p>
            <w:pPr>
              <w:pStyle w:val="TableContents"/>
              <w:spacing w:before="0" w:after="0"/>
              <w:ind w:left="0" w:right="0" w:firstLine="30"/>
              <w:jc w:val="right"/>
              <w:rPr/>
            </w:pPr>
            <w:hyperlink w:anchor="s3CA2969F8C66F3C8A05A83E2C0B86C33">
              <w:r>
                <w:rPr>
                  <w:rStyle w:val="InternetLink"/>
                  <w:rFonts w:ascii="Times New Roman" w:hAnsi="Times New Roman"/>
                  <w:color w:val="0000FF"/>
                  <w:sz w:val="17"/>
                  <w:u w:val="single"/>
                </w:rPr>
                <w:t>25</w:t>
              </w:r>
            </w:hyperlink>
          </w:p>
        </w:tc>
      </w:tr>
      <w:tr>
        <w:trPr/>
        <w:tc>
          <w:tcPr>
            <w:tcW w:w="9472" w:type="dxa"/>
            <w:tcBorders/>
            <w:shd w:fill="auto" w:val="clear"/>
            <w:vAlign w:val="center"/>
          </w:tcPr>
          <w:p>
            <w:pPr>
              <w:pStyle w:val="TableContents"/>
              <w:spacing w:before="0" w:after="0"/>
              <w:ind w:left="0" w:right="0" w:firstLine="30"/>
              <w:rPr/>
            </w:pPr>
            <w:hyperlink w:anchor="s794A378A1DC661108AFD83E285FAF800">
              <w:r>
                <w:rPr>
                  <w:rStyle w:val="InternetLink"/>
                  <w:rFonts w:ascii="inherit" w:hAnsi="inherit"/>
                  <w:color w:val="0000FF"/>
                  <w:sz w:val="17"/>
                  <w:u w:val="single"/>
                </w:rPr>
                <w:t>6. Selected Financial Data</w:t>
              </w:r>
            </w:hyperlink>
          </w:p>
        </w:tc>
        <w:tc>
          <w:tcPr>
            <w:tcW w:w="712" w:type="dxa"/>
            <w:tcBorders/>
            <w:shd w:fill="auto" w:val="clear"/>
            <w:vAlign w:val="center"/>
          </w:tcPr>
          <w:p>
            <w:pPr>
              <w:pStyle w:val="TableContents"/>
              <w:spacing w:before="0" w:after="0"/>
              <w:ind w:left="0" w:right="0" w:firstLine="30"/>
              <w:jc w:val="right"/>
              <w:rPr/>
            </w:pPr>
            <w:hyperlink w:anchor="s794A378A1DC661108AFD83E285FAF800">
              <w:r>
                <w:rPr>
                  <w:rStyle w:val="InternetLink"/>
                  <w:rFonts w:ascii="Times New Roman" w:hAnsi="Times New Roman"/>
                  <w:color w:val="0000FF"/>
                  <w:sz w:val="17"/>
                  <w:u w:val="single"/>
                </w:rPr>
                <w:t>27</w:t>
              </w:r>
            </w:hyperlink>
          </w:p>
        </w:tc>
      </w:tr>
      <w:tr>
        <w:trPr/>
        <w:tc>
          <w:tcPr>
            <w:tcW w:w="9472" w:type="dxa"/>
            <w:tcBorders/>
            <w:shd w:fill="auto" w:val="clear"/>
            <w:vAlign w:val="center"/>
          </w:tcPr>
          <w:p>
            <w:pPr>
              <w:pStyle w:val="TableContents"/>
              <w:spacing w:before="0" w:after="0"/>
              <w:ind w:left="0" w:right="0" w:firstLine="30"/>
              <w:rPr/>
            </w:pPr>
            <w:hyperlink w:anchor="s9104F9D81B8DDEE5FD9A83E28E4A38AA">
              <w:r>
                <w:rPr>
                  <w:rStyle w:val="InternetLink"/>
                  <w:rFonts w:ascii="inherit" w:hAnsi="inherit"/>
                  <w:color w:val="0000FF"/>
                  <w:sz w:val="17"/>
                  <w:u w:val="single"/>
                </w:rPr>
                <w:t>7. Management’s Discussion and Analysis of Financial Condition and Results of Operations</w:t>
              </w:r>
            </w:hyperlink>
          </w:p>
        </w:tc>
        <w:tc>
          <w:tcPr>
            <w:tcW w:w="712" w:type="dxa"/>
            <w:tcBorders/>
            <w:shd w:fill="auto" w:val="clear"/>
            <w:vAlign w:val="center"/>
          </w:tcPr>
          <w:p>
            <w:pPr>
              <w:pStyle w:val="TableContents"/>
              <w:spacing w:before="0" w:after="0"/>
              <w:ind w:left="0" w:right="0" w:firstLine="30"/>
              <w:jc w:val="right"/>
              <w:rPr/>
            </w:pPr>
            <w:hyperlink w:anchor="s9104F9D81B8DDEE5FD9A83E28E4A38AA">
              <w:r>
                <w:rPr>
                  <w:rStyle w:val="InternetLink"/>
                  <w:rFonts w:ascii="Times New Roman" w:hAnsi="Times New Roman"/>
                  <w:color w:val="0000FF"/>
                  <w:sz w:val="17"/>
                  <w:u w:val="single"/>
                </w:rPr>
                <w:t>28</w:t>
              </w:r>
            </w:hyperlink>
          </w:p>
        </w:tc>
      </w:tr>
      <w:tr>
        <w:trPr/>
        <w:tc>
          <w:tcPr>
            <w:tcW w:w="9472" w:type="dxa"/>
            <w:tcBorders/>
            <w:shd w:fill="auto" w:val="clear"/>
            <w:vAlign w:val="center"/>
          </w:tcPr>
          <w:p>
            <w:pPr>
              <w:pStyle w:val="TableContents"/>
              <w:spacing w:before="0" w:after="0"/>
              <w:ind w:left="0" w:right="0" w:firstLine="30"/>
              <w:rPr/>
            </w:pPr>
            <w:hyperlink w:anchor="s59EDCDBF3D88674EEBA883E2C255835E">
              <w:r>
                <w:rPr>
                  <w:rStyle w:val="InternetLink"/>
                  <w:rFonts w:ascii="inherit" w:hAnsi="inherit"/>
                  <w:color w:val="0000FF"/>
                  <w:sz w:val="17"/>
                  <w:u w:val="single"/>
                </w:rPr>
                <w:t>7A. Quantitative and Qualitative Disclosures About Market Risk</w:t>
              </w:r>
            </w:hyperlink>
          </w:p>
        </w:tc>
        <w:tc>
          <w:tcPr>
            <w:tcW w:w="712" w:type="dxa"/>
            <w:tcBorders/>
            <w:shd w:fill="auto" w:val="clear"/>
            <w:vAlign w:val="center"/>
          </w:tcPr>
          <w:p>
            <w:pPr>
              <w:pStyle w:val="TableContents"/>
              <w:spacing w:before="0" w:after="0"/>
              <w:ind w:left="0" w:right="0" w:firstLine="30"/>
              <w:jc w:val="right"/>
              <w:rPr/>
            </w:pPr>
            <w:hyperlink w:anchor="s59EDCDBF3D88674EEBA883E2C255835E">
              <w:r>
                <w:rPr>
                  <w:rStyle w:val="InternetLink"/>
                  <w:rFonts w:ascii="Times New Roman" w:hAnsi="Times New Roman"/>
                  <w:color w:val="0000FF"/>
                  <w:sz w:val="17"/>
                  <w:u w:val="single"/>
                </w:rPr>
                <w:t>53</w:t>
              </w:r>
            </w:hyperlink>
          </w:p>
        </w:tc>
      </w:tr>
      <w:tr>
        <w:trPr/>
        <w:tc>
          <w:tcPr>
            <w:tcW w:w="9472" w:type="dxa"/>
            <w:tcBorders/>
            <w:shd w:fill="auto" w:val="clear"/>
            <w:vAlign w:val="center"/>
          </w:tcPr>
          <w:p>
            <w:pPr>
              <w:pStyle w:val="TableContents"/>
              <w:spacing w:before="0" w:after="0"/>
              <w:ind w:left="0" w:right="0" w:firstLine="30"/>
              <w:rPr/>
            </w:pPr>
            <w:hyperlink w:anchor="s77D908E9857EBACC5F9E83E2C279A125">
              <w:r>
                <w:rPr>
                  <w:rStyle w:val="InternetLink"/>
                  <w:rFonts w:ascii="inherit" w:hAnsi="inherit"/>
                  <w:color w:val="0000FF"/>
                  <w:sz w:val="17"/>
                  <w:u w:val="single"/>
                </w:rPr>
                <w:t>8. Financial Statements and Supplementary Data</w:t>
              </w:r>
            </w:hyperlink>
          </w:p>
        </w:tc>
        <w:tc>
          <w:tcPr>
            <w:tcW w:w="712" w:type="dxa"/>
            <w:tcBorders/>
            <w:shd w:fill="auto" w:val="clear"/>
            <w:vAlign w:val="center"/>
          </w:tcPr>
          <w:p>
            <w:pPr>
              <w:pStyle w:val="TableContents"/>
              <w:spacing w:before="0" w:after="0"/>
              <w:ind w:left="0" w:right="0" w:firstLine="30"/>
              <w:jc w:val="right"/>
              <w:rPr/>
            </w:pPr>
            <w:hyperlink w:anchor="s77D908E9857EBACC5F9E83E2C279A125">
              <w:r>
                <w:rPr>
                  <w:rStyle w:val="InternetLink"/>
                  <w:rFonts w:ascii="Times New Roman" w:hAnsi="Times New Roman"/>
                  <w:color w:val="0000FF"/>
                  <w:sz w:val="17"/>
                  <w:u w:val="single"/>
                </w:rPr>
                <w:t>55</w:t>
              </w:r>
            </w:hyperlink>
          </w:p>
        </w:tc>
      </w:tr>
      <w:tr>
        <w:trPr/>
        <w:tc>
          <w:tcPr>
            <w:tcW w:w="9472" w:type="dxa"/>
            <w:tcBorders/>
            <w:shd w:fill="auto" w:val="clear"/>
            <w:vAlign w:val="center"/>
          </w:tcPr>
          <w:p>
            <w:pPr>
              <w:pStyle w:val="TableContents"/>
              <w:spacing w:before="0" w:after="0"/>
              <w:ind w:left="0" w:right="0" w:firstLine="30"/>
              <w:rPr/>
            </w:pPr>
            <w:hyperlink w:anchor="s638E50D56DCBE66CD5CD83E2C8D88E1C">
              <w:r>
                <w:rPr>
                  <w:rStyle w:val="InternetLink"/>
                  <w:rFonts w:ascii="inherit" w:hAnsi="inherit"/>
                  <w:color w:val="0000FF"/>
                  <w:sz w:val="17"/>
                  <w:u w:val="single"/>
                </w:rPr>
                <w:t>9. Changes in and Disagreements with Accountants on Accounting and Financial Disclosure</w:t>
              </w:r>
            </w:hyperlink>
          </w:p>
        </w:tc>
        <w:tc>
          <w:tcPr>
            <w:tcW w:w="712" w:type="dxa"/>
            <w:tcBorders/>
            <w:shd w:fill="auto" w:val="clear"/>
            <w:vAlign w:val="center"/>
          </w:tcPr>
          <w:p>
            <w:pPr>
              <w:pStyle w:val="TableContents"/>
              <w:spacing w:before="0" w:after="0"/>
              <w:ind w:left="0" w:right="0" w:firstLine="30"/>
              <w:jc w:val="right"/>
              <w:rPr/>
            </w:pPr>
            <w:hyperlink w:anchor="s638E50D56DCBE66CD5CD83E2C8D88E1C">
              <w:r>
                <w:rPr>
                  <w:rStyle w:val="InternetLink"/>
                  <w:rFonts w:ascii="Times New Roman" w:hAnsi="Times New Roman"/>
                  <w:color w:val="0000FF"/>
                  <w:sz w:val="17"/>
                  <w:u w:val="single"/>
                </w:rPr>
                <w:t>107</w:t>
              </w:r>
            </w:hyperlink>
          </w:p>
        </w:tc>
      </w:tr>
      <w:tr>
        <w:trPr/>
        <w:tc>
          <w:tcPr>
            <w:tcW w:w="9472" w:type="dxa"/>
            <w:tcBorders/>
            <w:shd w:fill="auto" w:val="clear"/>
            <w:vAlign w:val="center"/>
          </w:tcPr>
          <w:p>
            <w:pPr>
              <w:pStyle w:val="TableContents"/>
              <w:spacing w:before="0" w:after="0"/>
              <w:ind w:left="0" w:right="0" w:firstLine="30"/>
              <w:rPr/>
            </w:pPr>
            <w:hyperlink w:anchor="s3D71C2EEE0FF5A99043083E2C8F96F03">
              <w:r>
                <w:rPr>
                  <w:rStyle w:val="InternetLink"/>
                  <w:rFonts w:ascii="inherit" w:hAnsi="inherit"/>
                  <w:color w:val="0000FF"/>
                  <w:sz w:val="17"/>
                  <w:u w:val="single"/>
                </w:rPr>
                <w:t>9A. Controls and Procedures</w:t>
              </w:r>
            </w:hyperlink>
          </w:p>
        </w:tc>
        <w:tc>
          <w:tcPr>
            <w:tcW w:w="712" w:type="dxa"/>
            <w:tcBorders/>
            <w:shd w:fill="auto" w:val="clear"/>
            <w:vAlign w:val="center"/>
          </w:tcPr>
          <w:p>
            <w:pPr>
              <w:pStyle w:val="TableContents"/>
              <w:spacing w:before="0" w:after="0"/>
              <w:ind w:left="0" w:right="0" w:firstLine="30"/>
              <w:jc w:val="right"/>
              <w:rPr/>
            </w:pPr>
            <w:hyperlink w:anchor="s3D71C2EEE0FF5A99043083E2C8F96F03">
              <w:r>
                <w:rPr>
                  <w:rStyle w:val="InternetLink"/>
                  <w:rFonts w:ascii="Times New Roman" w:hAnsi="Times New Roman"/>
                  <w:color w:val="0000FF"/>
                  <w:sz w:val="17"/>
                  <w:u w:val="single"/>
                </w:rPr>
                <w:t>107</w:t>
              </w:r>
            </w:hyperlink>
          </w:p>
        </w:tc>
      </w:tr>
      <w:tr>
        <w:trPr/>
        <w:tc>
          <w:tcPr>
            <w:tcW w:w="9472" w:type="dxa"/>
            <w:tcBorders/>
            <w:shd w:fill="auto" w:val="clear"/>
            <w:vAlign w:val="center"/>
          </w:tcPr>
          <w:p>
            <w:pPr>
              <w:pStyle w:val="TableContents"/>
              <w:spacing w:before="0" w:after="0"/>
              <w:ind w:left="0" w:right="0" w:firstLine="30"/>
              <w:rPr/>
            </w:pPr>
            <w:hyperlink w:anchor="sA01E370C7222E39CA01183E2C9501F65">
              <w:r>
                <w:rPr>
                  <w:rStyle w:val="InternetLink"/>
                  <w:rFonts w:ascii="inherit" w:hAnsi="inherit"/>
                  <w:color w:val="0000FF"/>
                  <w:sz w:val="17"/>
                  <w:u w:val="single"/>
                </w:rPr>
                <w:t>9B. Other Information</w:t>
              </w:r>
            </w:hyperlink>
          </w:p>
        </w:tc>
        <w:tc>
          <w:tcPr>
            <w:tcW w:w="712" w:type="dxa"/>
            <w:tcBorders/>
            <w:shd w:fill="auto" w:val="clear"/>
            <w:vAlign w:val="center"/>
          </w:tcPr>
          <w:p>
            <w:pPr>
              <w:pStyle w:val="TableContents"/>
              <w:spacing w:before="0" w:after="0"/>
              <w:ind w:left="0" w:right="0" w:firstLine="30"/>
              <w:jc w:val="right"/>
              <w:rPr/>
            </w:pPr>
            <w:hyperlink w:anchor="sA01E370C7222E39CA01183E2C9501F65">
              <w:r>
                <w:rPr>
                  <w:rStyle w:val="InternetLink"/>
                  <w:rFonts w:ascii="Times New Roman" w:hAnsi="Times New Roman"/>
                  <w:color w:val="0000FF"/>
                  <w:sz w:val="17"/>
                  <w:u w:val="single"/>
                </w:rPr>
                <w:t>109</w:t>
              </w:r>
            </w:hyperlink>
          </w:p>
        </w:tc>
      </w:tr>
      <w:tr>
        <w:trPr/>
        <w:tc>
          <w:tcPr>
            <w:tcW w:w="9472" w:type="dxa"/>
            <w:tcBorders/>
            <w:shd w:fill="auto" w:val="clear"/>
            <w:vAlign w:val="center"/>
          </w:tcPr>
          <w:p>
            <w:pPr>
              <w:pStyle w:val="TableContents"/>
              <w:spacing w:before="0" w:after="0"/>
              <w:ind w:left="0" w:right="0" w:firstLine="30"/>
              <w:rPr/>
            </w:pPr>
            <w:r>
              <w:rPr/>
              <w:t> </w:t>
            </w:r>
          </w:p>
        </w:tc>
        <w:tc>
          <w:tcPr>
            <w:tcW w:w="712" w:type="dxa"/>
            <w:tcBorders/>
            <w:shd w:fill="auto" w:val="clear"/>
            <w:vAlign w:val="center"/>
          </w:tcPr>
          <w:p>
            <w:pPr>
              <w:pStyle w:val="TableContents"/>
              <w:spacing w:before="0" w:after="0"/>
              <w:ind w:left="0" w:right="0" w:firstLine="30"/>
              <w:rPr/>
            </w:pPr>
            <w:r>
              <w:rPr/>
              <w:t> </w:t>
            </w:r>
          </w:p>
        </w:tc>
      </w:tr>
      <w:tr>
        <w:trPr/>
        <w:tc>
          <w:tcPr>
            <w:tcW w:w="9472" w:type="dxa"/>
            <w:tcBorders/>
            <w:shd w:fill="auto" w:val="clear"/>
            <w:vAlign w:val="center"/>
          </w:tcPr>
          <w:p>
            <w:pPr>
              <w:pStyle w:val="TableContents"/>
              <w:spacing w:before="0" w:after="0"/>
              <w:ind w:left="0" w:right="0" w:firstLine="30"/>
              <w:jc w:val="center"/>
              <w:rPr/>
            </w:pPr>
            <w:hyperlink w:anchor="s363A886CEF6AA21ECE1E83E2C9829E2E">
              <w:r>
                <w:rPr>
                  <w:rStyle w:val="InternetLink"/>
                  <w:rFonts w:ascii="inherit" w:hAnsi="inherit"/>
                  <w:b/>
                  <w:color w:val="0000FF"/>
                  <w:sz w:val="17"/>
                  <w:u w:val="single"/>
                </w:rPr>
                <w:t>PART III</w:t>
              </w:r>
            </w:hyperlink>
          </w:p>
        </w:tc>
        <w:tc>
          <w:tcPr>
            <w:tcW w:w="712" w:type="dxa"/>
            <w:tcBorders/>
            <w:shd w:fill="auto" w:val="clear"/>
            <w:vAlign w:val="center"/>
          </w:tcPr>
          <w:p>
            <w:pPr>
              <w:pStyle w:val="TableContents"/>
              <w:spacing w:before="0" w:after="0"/>
              <w:ind w:left="0" w:right="0" w:firstLine="30"/>
              <w:jc w:val="left"/>
              <w:rPr/>
            </w:pPr>
            <w:r>
              <w:rPr/>
              <w:t> </w:t>
            </w:r>
          </w:p>
        </w:tc>
      </w:tr>
      <w:tr>
        <w:trPr/>
        <w:tc>
          <w:tcPr>
            <w:tcW w:w="9472" w:type="dxa"/>
            <w:tcBorders/>
            <w:shd w:fill="auto" w:val="clear"/>
            <w:vAlign w:val="center"/>
          </w:tcPr>
          <w:p>
            <w:pPr>
              <w:pStyle w:val="TableContents"/>
              <w:spacing w:before="0" w:after="0"/>
              <w:ind w:left="0" w:right="0" w:firstLine="30"/>
              <w:rPr/>
            </w:pPr>
            <w:hyperlink w:anchor="sACD0E4F37D5525496F7D83E2C9A0DAF4">
              <w:r>
                <w:rPr>
                  <w:rStyle w:val="InternetLink"/>
                  <w:rFonts w:ascii="inherit" w:hAnsi="inherit"/>
                  <w:color w:val="0000FF"/>
                  <w:sz w:val="17"/>
                  <w:u w:val="single"/>
                </w:rPr>
                <w:t>10. Directors, Executive Officers and Corporate Governance</w:t>
              </w:r>
            </w:hyperlink>
          </w:p>
        </w:tc>
        <w:tc>
          <w:tcPr>
            <w:tcW w:w="712" w:type="dxa"/>
            <w:tcBorders/>
            <w:shd w:fill="auto" w:val="clear"/>
            <w:vAlign w:val="center"/>
          </w:tcPr>
          <w:p>
            <w:pPr>
              <w:pStyle w:val="TableContents"/>
              <w:spacing w:before="0" w:after="0"/>
              <w:ind w:left="0" w:right="0" w:firstLine="30"/>
              <w:jc w:val="right"/>
              <w:rPr/>
            </w:pPr>
            <w:hyperlink w:anchor="sACD0E4F37D5525496F7D83E2C9A0DAF4">
              <w:r>
                <w:rPr>
                  <w:rStyle w:val="InternetLink"/>
                  <w:rFonts w:ascii="Times New Roman" w:hAnsi="Times New Roman"/>
                  <w:color w:val="0000FF"/>
                  <w:sz w:val="17"/>
                  <w:u w:val="single"/>
                </w:rPr>
                <w:t>110</w:t>
              </w:r>
            </w:hyperlink>
          </w:p>
        </w:tc>
      </w:tr>
      <w:tr>
        <w:trPr/>
        <w:tc>
          <w:tcPr>
            <w:tcW w:w="9472" w:type="dxa"/>
            <w:tcBorders/>
            <w:shd w:fill="auto" w:val="clear"/>
            <w:vAlign w:val="center"/>
          </w:tcPr>
          <w:p>
            <w:pPr>
              <w:pStyle w:val="TableContents"/>
              <w:spacing w:before="0" w:after="0"/>
              <w:ind w:left="0" w:right="0" w:firstLine="30"/>
              <w:rPr/>
            </w:pPr>
            <w:hyperlink w:anchor="sBC009B78D36482D7B10E83E2C9D35C38">
              <w:r>
                <w:rPr>
                  <w:rStyle w:val="InternetLink"/>
                  <w:rFonts w:ascii="inherit" w:hAnsi="inherit"/>
                  <w:color w:val="0000FF"/>
                  <w:sz w:val="17"/>
                  <w:u w:val="single"/>
                </w:rPr>
                <w:t>11. Executive Compensation</w:t>
              </w:r>
            </w:hyperlink>
          </w:p>
        </w:tc>
        <w:tc>
          <w:tcPr>
            <w:tcW w:w="712" w:type="dxa"/>
            <w:tcBorders/>
            <w:shd w:fill="auto" w:val="clear"/>
            <w:vAlign w:val="center"/>
          </w:tcPr>
          <w:p>
            <w:pPr>
              <w:pStyle w:val="TableContents"/>
              <w:spacing w:before="0" w:after="0"/>
              <w:ind w:left="0" w:right="0" w:firstLine="30"/>
              <w:jc w:val="right"/>
              <w:rPr/>
            </w:pPr>
            <w:hyperlink w:anchor="sBC009B78D36482D7B10E83E2C9D35C38">
              <w:r>
                <w:rPr>
                  <w:rStyle w:val="InternetLink"/>
                  <w:rFonts w:ascii="Times New Roman" w:hAnsi="Times New Roman"/>
                  <w:color w:val="0000FF"/>
                  <w:sz w:val="17"/>
                  <w:u w:val="single"/>
                </w:rPr>
                <w:t>115</w:t>
              </w:r>
            </w:hyperlink>
          </w:p>
        </w:tc>
      </w:tr>
      <w:tr>
        <w:trPr/>
        <w:tc>
          <w:tcPr>
            <w:tcW w:w="9472" w:type="dxa"/>
            <w:tcBorders/>
            <w:shd w:fill="auto" w:val="clear"/>
            <w:vAlign w:val="center"/>
          </w:tcPr>
          <w:p>
            <w:pPr>
              <w:pStyle w:val="TableContents"/>
              <w:spacing w:before="0" w:after="0"/>
              <w:ind w:left="0" w:right="0" w:firstLine="30"/>
              <w:rPr/>
            </w:pPr>
            <w:hyperlink w:anchor="sACA2C7F8E7639656A6BE83E28894D8FE">
              <w:r>
                <w:rPr>
                  <w:rStyle w:val="InternetLink"/>
                  <w:rFonts w:ascii="inherit" w:hAnsi="inherit"/>
                  <w:color w:val="0000FF"/>
                  <w:sz w:val="17"/>
                  <w:u w:val="single"/>
                </w:rPr>
                <w:t>12. Security Ownership of Certain Beneficial Owners and Management and Related Stockholder Matters</w:t>
              </w:r>
            </w:hyperlink>
          </w:p>
        </w:tc>
        <w:tc>
          <w:tcPr>
            <w:tcW w:w="712" w:type="dxa"/>
            <w:tcBorders/>
            <w:shd w:fill="auto" w:val="clear"/>
            <w:vAlign w:val="center"/>
          </w:tcPr>
          <w:p>
            <w:pPr>
              <w:pStyle w:val="TableContents"/>
              <w:spacing w:before="0" w:after="0"/>
              <w:ind w:left="0" w:right="0" w:firstLine="30"/>
              <w:jc w:val="right"/>
              <w:rPr/>
            </w:pPr>
            <w:hyperlink w:anchor="sACA2C7F8E7639656A6BE83E28894D8FE">
              <w:r>
                <w:rPr>
                  <w:rStyle w:val="InternetLink"/>
                  <w:rFonts w:ascii="Times New Roman" w:hAnsi="Times New Roman"/>
                  <w:color w:val="0000FF"/>
                  <w:sz w:val="17"/>
                  <w:u w:val="single"/>
                </w:rPr>
                <w:t>135</w:t>
              </w:r>
            </w:hyperlink>
          </w:p>
        </w:tc>
      </w:tr>
      <w:tr>
        <w:trPr/>
        <w:tc>
          <w:tcPr>
            <w:tcW w:w="9472" w:type="dxa"/>
            <w:tcBorders/>
            <w:shd w:fill="auto" w:val="clear"/>
            <w:vAlign w:val="center"/>
          </w:tcPr>
          <w:p>
            <w:pPr>
              <w:pStyle w:val="TableContents"/>
              <w:spacing w:before="0" w:after="0"/>
              <w:ind w:left="0" w:right="0" w:firstLine="30"/>
              <w:rPr/>
            </w:pPr>
            <w:hyperlink w:anchor="s4FF33248329990A48BE383E2CB436D2F">
              <w:r>
                <w:rPr>
                  <w:rStyle w:val="InternetLink"/>
                  <w:rFonts w:ascii="inherit" w:hAnsi="inherit"/>
                  <w:color w:val="0000FF"/>
                  <w:sz w:val="17"/>
                  <w:u w:val="single"/>
                </w:rPr>
                <w:t>13. Certain Relationships and Related Transactions, and Director Independence</w:t>
              </w:r>
            </w:hyperlink>
          </w:p>
        </w:tc>
        <w:tc>
          <w:tcPr>
            <w:tcW w:w="712" w:type="dxa"/>
            <w:tcBorders/>
            <w:shd w:fill="auto" w:val="clear"/>
            <w:vAlign w:val="center"/>
          </w:tcPr>
          <w:p>
            <w:pPr>
              <w:pStyle w:val="TableContents"/>
              <w:spacing w:before="0" w:after="0"/>
              <w:ind w:left="0" w:right="0" w:firstLine="30"/>
              <w:jc w:val="right"/>
              <w:rPr/>
            </w:pPr>
            <w:hyperlink w:anchor="s4FF33248329990A48BE383E2CB436D2F">
              <w:r>
                <w:rPr>
                  <w:rStyle w:val="InternetLink"/>
                  <w:rFonts w:ascii="Times New Roman" w:hAnsi="Times New Roman"/>
                  <w:color w:val="0000FF"/>
                  <w:sz w:val="17"/>
                  <w:u w:val="single"/>
                </w:rPr>
                <w:t>137</w:t>
              </w:r>
            </w:hyperlink>
          </w:p>
        </w:tc>
      </w:tr>
      <w:tr>
        <w:trPr/>
        <w:tc>
          <w:tcPr>
            <w:tcW w:w="9472" w:type="dxa"/>
            <w:tcBorders/>
            <w:shd w:fill="auto" w:val="clear"/>
            <w:vAlign w:val="center"/>
          </w:tcPr>
          <w:p>
            <w:pPr>
              <w:pStyle w:val="TableContents"/>
              <w:spacing w:before="0" w:after="0"/>
              <w:ind w:left="0" w:right="0" w:firstLine="30"/>
              <w:rPr/>
            </w:pPr>
            <w:hyperlink w:anchor="sF3069CE373A00669726A83E2883EFFED">
              <w:r>
                <w:rPr>
                  <w:rStyle w:val="InternetLink"/>
                  <w:rFonts w:ascii="inherit" w:hAnsi="inherit"/>
                  <w:color w:val="0000FF"/>
                  <w:sz w:val="17"/>
                  <w:u w:val="single"/>
                </w:rPr>
                <w:t>14. Principal Accountant Fees and Services</w:t>
              </w:r>
            </w:hyperlink>
          </w:p>
        </w:tc>
        <w:tc>
          <w:tcPr>
            <w:tcW w:w="712" w:type="dxa"/>
            <w:tcBorders/>
            <w:shd w:fill="auto" w:val="clear"/>
            <w:vAlign w:val="center"/>
          </w:tcPr>
          <w:p>
            <w:pPr>
              <w:pStyle w:val="TableContents"/>
              <w:spacing w:before="0" w:after="0"/>
              <w:ind w:left="0" w:right="0" w:firstLine="30"/>
              <w:jc w:val="right"/>
              <w:rPr/>
            </w:pPr>
            <w:hyperlink w:anchor="sF3069CE373A00669726A83E2883EFFED">
              <w:r>
                <w:rPr>
                  <w:rStyle w:val="InternetLink"/>
                  <w:rFonts w:ascii="Times New Roman" w:hAnsi="Times New Roman"/>
                  <w:color w:val="0000FF"/>
                  <w:sz w:val="17"/>
                  <w:u w:val="single"/>
                </w:rPr>
                <w:t>139</w:t>
              </w:r>
            </w:hyperlink>
          </w:p>
        </w:tc>
      </w:tr>
      <w:tr>
        <w:trPr/>
        <w:tc>
          <w:tcPr>
            <w:tcW w:w="9472" w:type="dxa"/>
            <w:tcBorders/>
            <w:shd w:fill="auto" w:val="clear"/>
            <w:vAlign w:val="center"/>
          </w:tcPr>
          <w:p>
            <w:pPr>
              <w:pStyle w:val="TableContents"/>
              <w:spacing w:before="0" w:after="0"/>
              <w:ind w:left="0" w:right="0" w:firstLine="30"/>
              <w:rPr/>
            </w:pPr>
            <w:r>
              <w:rPr/>
              <w:t> </w:t>
            </w:r>
          </w:p>
        </w:tc>
        <w:tc>
          <w:tcPr>
            <w:tcW w:w="712" w:type="dxa"/>
            <w:tcBorders/>
            <w:shd w:fill="auto" w:val="clear"/>
            <w:vAlign w:val="center"/>
          </w:tcPr>
          <w:p>
            <w:pPr>
              <w:pStyle w:val="TableContents"/>
              <w:spacing w:before="0" w:after="0"/>
              <w:ind w:left="0" w:right="0" w:firstLine="30"/>
              <w:rPr/>
            </w:pPr>
            <w:r>
              <w:rPr/>
              <w:t> </w:t>
            </w:r>
          </w:p>
        </w:tc>
      </w:tr>
      <w:tr>
        <w:trPr/>
        <w:tc>
          <w:tcPr>
            <w:tcW w:w="9472" w:type="dxa"/>
            <w:tcBorders/>
            <w:shd w:fill="auto" w:val="clear"/>
            <w:vAlign w:val="center"/>
          </w:tcPr>
          <w:p>
            <w:pPr>
              <w:pStyle w:val="TableContents"/>
              <w:spacing w:before="0" w:after="0"/>
              <w:ind w:left="0" w:right="0" w:firstLine="30"/>
              <w:jc w:val="center"/>
              <w:rPr/>
            </w:pPr>
            <w:hyperlink w:anchor="sD65BD7E540D7C1E0F02183E2CB941BBB">
              <w:r>
                <w:rPr>
                  <w:rStyle w:val="InternetLink"/>
                  <w:rFonts w:ascii="inherit" w:hAnsi="inherit"/>
                  <w:b/>
                  <w:color w:val="0000FF"/>
                  <w:sz w:val="17"/>
                  <w:u w:val="single"/>
                </w:rPr>
                <w:t>PART IV</w:t>
              </w:r>
            </w:hyperlink>
          </w:p>
        </w:tc>
        <w:tc>
          <w:tcPr>
            <w:tcW w:w="712" w:type="dxa"/>
            <w:tcBorders/>
            <w:shd w:fill="auto" w:val="clear"/>
            <w:vAlign w:val="center"/>
          </w:tcPr>
          <w:p>
            <w:pPr>
              <w:pStyle w:val="TableContents"/>
              <w:spacing w:before="0" w:after="0"/>
              <w:ind w:left="0" w:right="0" w:firstLine="30"/>
              <w:rPr/>
            </w:pPr>
            <w:r>
              <w:rPr/>
              <w:t> </w:t>
            </w:r>
          </w:p>
        </w:tc>
      </w:tr>
      <w:tr>
        <w:trPr/>
        <w:tc>
          <w:tcPr>
            <w:tcW w:w="9472" w:type="dxa"/>
            <w:tcBorders/>
            <w:shd w:fill="auto" w:val="clear"/>
            <w:vAlign w:val="center"/>
          </w:tcPr>
          <w:p>
            <w:pPr>
              <w:pStyle w:val="TableContents"/>
              <w:spacing w:before="0" w:after="0"/>
              <w:ind w:left="0" w:right="0" w:firstLine="30"/>
              <w:rPr/>
            </w:pPr>
            <w:hyperlink w:anchor="s7B8F6A49B966AD8AF1AC83E2CBC62EA9">
              <w:r>
                <w:rPr>
                  <w:rStyle w:val="InternetLink"/>
                  <w:rFonts w:ascii="inherit" w:hAnsi="inherit"/>
                  <w:color w:val="0000FF"/>
                  <w:sz w:val="17"/>
                  <w:u w:val="single"/>
                </w:rPr>
                <w:t>15. Exhibits and Financial Statement Schedules</w:t>
              </w:r>
            </w:hyperlink>
          </w:p>
        </w:tc>
        <w:tc>
          <w:tcPr>
            <w:tcW w:w="712" w:type="dxa"/>
            <w:tcBorders/>
            <w:shd w:fill="auto" w:val="clear"/>
            <w:vAlign w:val="center"/>
          </w:tcPr>
          <w:p>
            <w:pPr>
              <w:pStyle w:val="TableContents"/>
              <w:spacing w:before="0" w:after="0"/>
              <w:ind w:left="0" w:right="0" w:firstLine="30"/>
              <w:jc w:val="right"/>
              <w:rPr/>
            </w:pPr>
            <w:hyperlink w:anchor="s7B8F6A49B966AD8AF1AC83E2CBC62EA9">
              <w:r>
                <w:rPr>
                  <w:rStyle w:val="InternetLink"/>
                  <w:rFonts w:ascii="Times New Roman" w:hAnsi="Times New Roman"/>
                  <w:color w:val="0000FF"/>
                  <w:sz w:val="17"/>
                  <w:u w:val="single"/>
                </w:rPr>
                <w:t>140</w:t>
              </w:r>
            </w:hyperlink>
          </w:p>
        </w:tc>
      </w:tr>
      <w:tr>
        <w:trPr/>
        <w:tc>
          <w:tcPr>
            <w:tcW w:w="9472" w:type="dxa"/>
            <w:tcBorders/>
            <w:shd w:fill="auto" w:val="clear"/>
            <w:vAlign w:val="center"/>
          </w:tcPr>
          <w:p>
            <w:pPr>
              <w:pStyle w:val="TableContents"/>
              <w:spacing w:before="0" w:after="0"/>
              <w:ind w:left="0" w:right="0" w:firstLine="30"/>
              <w:rPr/>
            </w:pPr>
            <w:r>
              <w:rPr/>
              <w:t> </w:t>
            </w:r>
          </w:p>
        </w:tc>
        <w:tc>
          <w:tcPr>
            <w:tcW w:w="712" w:type="dxa"/>
            <w:tcBorders/>
            <w:shd w:fill="auto" w:val="clear"/>
            <w:vAlign w:val="center"/>
          </w:tcPr>
          <w:p>
            <w:pPr>
              <w:pStyle w:val="TableContents"/>
              <w:spacing w:before="0" w:after="0"/>
              <w:ind w:left="0" w:right="0" w:firstLine="30"/>
              <w:rPr/>
            </w:pPr>
            <w:r>
              <w:rPr/>
              <w:t> </w:t>
            </w:r>
          </w:p>
        </w:tc>
      </w:tr>
      <w:tr>
        <w:trPr/>
        <w:tc>
          <w:tcPr>
            <w:tcW w:w="9472" w:type="dxa"/>
            <w:tcBorders/>
            <w:shd w:fill="auto" w:val="clear"/>
            <w:vAlign w:val="center"/>
          </w:tcPr>
          <w:p>
            <w:pPr>
              <w:pStyle w:val="TableContents"/>
              <w:spacing w:before="0" w:after="0"/>
              <w:ind w:left="0" w:right="0" w:firstLine="30"/>
              <w:rPr/>
            </w:pPr>
            <w:hyperlink w:anchor="sC4D489C81CCCE1C398D183E2CBE7EDBD">
              <w:r>
                <w:rPr>
                  <w:rStyle w:val="InternetLink"/>
                  <w:rFonts w:ascii="inherit" w:hAnsi="inherit"/>
                  <w:color w:val="0000FF"/>
                  <w:sz w:val="17"/>
                  <w:u w:val="single"/>
                </w:rPr>
                <w:t>Signatures</w:t>
              </w:r>
            </w:hyperlink>
          </w:p>
        </w:tc>
        <w:tc>
          <w:tcPr>
            <w:tcW w:w="712" w:type="dxa"/>
            <w:tcBorders/>
            <w:shd w:fill="auto" w:val="clear"/>
            <w:vAlign w:val="center"/>
          </w:tcPr>
          <w:p>
            <w:pPr>
              <w:pStyle w:val="TableContents"/>
              <w:spacing w:before="0" w:after="0"/>
              <w:ind w:left="0" w:right="0" w:firstLine="30"/>
              <w:jc w:val="right"/>
              <w:rPr/>
            </w:pPr>
            <w:hyperlink w:anchor="sC4D489C81CCCE1C398D183E2CBE7EDBD">
              <w:r>
                <w:rPr>
                  <w:rStyle w:val="InternetLink"/>
                  <w:rFonts w:ascii="Times New Roman" w:hAnsi="Times New Roman"/>
                  <w:color w:val="0000FF"/>
                  <w:sz w:val="17"/>
                  <w:u w:val="single"/>
                </w:rPr>
                <w:t>142</w:t>
              </w:r>
            </w:hyperlink>
          </w:p>
        </w:tc>
      </w:tr>
      <w:tr>
        <w:trPr/>
        <w:tc>
          <w:tcPr>
            <w:tcW w:w="9472" w:type="dxa"/>
            <w:tcBorders/>
            <w:shd w:fill="auto" w:val="clear"/>
            <w:vAlign w:val="center"/>
          </w:tcPr>
          <w:p>
            <w:pPr>
              <w:pStyle w:val="TableContents"/>
              <w:spacing w:before="0" w:after="0"/>
              <w:ind w:left="0" w:right="0" w:firstLine="30"/>
              <w:rPr/>
            </w:pPr>
            <w:hyperlink w:anchor="sA54999D7E4D76B4D598383E2CC19A617">
              <w:r>
                <w:rPr>
                  <w:rStyle w:val="InternetLink"/>
                  <w:rFonts w:ascii="inherit" w:hAnsi="inherit"/>
                  <w:color w:val="0000FF"/>
                  <w:sz w:val="17"/>
                  <w:u w:val="single"/>
                </w:rPr>
                <w:t>Exhibit Index</w:t>
              </w:r>
            </w:hyperlink>
          </w:p>
        </w:tc>
        <w:tc>
          <w:tcPr>
            <w:tcW w:w="712" w:type="dxa"/>
            <w:tcBorders/>
            <w:shd w:fill="auto" w:val="clear"/>
            <w:vAlign w:val="center"/>
          </w:tcPr>
          <w:p>
            <w:pPr>
              <w:pStyle w:val="TableContents"/>
              <w:spacing w:before="0" w:after="0"/>
              <w:ind w:left="0" w:right="0" w:firstLine="30"/>
              <w:jc w:val="right"/>
              <w:rPr/>
            </w:pPr>
            <w:hyperlink w:anchor="sA54999D7E4D76B4D598383E2CC19A617">
              <w:r>
                <w:rPr>
                  <w:rStyle w:val="InternetLink"/>
                  <w:rFonts w:ascii="Times New Roman" w:hAnsi="Times New Roman"/>
                  <w:color w:val="0000FF"/>
                  <w:sz w:val="17"/>
                  <w:u w:val="single"/>
                </w:rPr>
                <w:t>143</w:t>
              </w:r>
            </w:hyperlink>
          </w:p>
        </w:tc>
      </w:tr>
      <w:tr>
        <w:trPr/>
        <w:tc>
          <w:tcPr>
            <w:tcW w:w="10184" w:type="dxa"/>
            <w:gridSpan w:val="2"/>
            <w:tcBorders/>
            <w:shd w:fill="auto" w:val="clear"/>
            <w:vAlign w:val="center"/>
          </w:tcPr>
          <w:p>
            <w:pPr>
              <w:pStyle w:val="TableContents"/>
              <w:spacing w:before="0" w:after="0"/>
              <w:ind w:left="0" w:right="0" w:firstLine="30"/>
              <w:rPr/>
            </w:pPr>
            <w:r>
              <w:rPr/>
              <w:t> </w:t>
            </w:r>
          </w:p>
        </w:tc>
      </w:tr>
      <w:tr>
        <w:trPr/>
        <w:tc>
          <w:tcPr>
            <w:tcW w:w="10184" w:type="dxa"/>
            <w:gridSpan w:val="2"/>
            <w:tcBorders/>
            <w:shd w:fill="auto" w:val="clear"/>
            <w:vAlign w:val="center"/>
          </w:tcPr>
          <w:p>
            <w:pPr>
              <w:pStyle w:val="TableContents"/>
              <w:spacing w:before="0" w:after="0"/>
              <w:ind w:left="0" w:right="0" w:firstLine="30"/>
              <w:rPr/>
            </w:pPr>
            <w:r>
              <w:rPr/>
              <w:t> </w:t>
            </w:r>
          </w:p>
        </w:tc>
      </w:tr>
      <w:tr>
        <w:trPr/>
        <w:tc>
          <w:tcPr>
            <w:tcW w:w="10184" w:type="dxa"/>
            <w:gridSpan w:val="2"/>
            <w:tcBorders/>
            <w:shd w:fill="auto" w:val="clear"/>
            <w:vAlign w:val="center"/>
          </w:tcPr>
          <w:p>
            <w:pPr>
              <w:pStyle w:val="TableContents"/>
              <w:spacing w:before="0" w:after="0"/>
              <w:ind w:left="0" w:right="0" w:firstLine="30"/>
              <w:rPr/>
            </w:pPr>
            <w:r>
              <w:rPr/>
              <w:t> </w:t>
            </w:r>
          </w:p>
        </w:tc>
      </w:tr>
      <w:tr>
        <w:trPr/>
        <w:tc>
          <w:tcPr>
            <w:tcW w:w="10184" w:type="dxa"/>
            <w:gridSpan w:val="2"/>
            <w:tcBorders/>
            <w:shd w:fill="auto" w:val="clear"/>
            <w:vAlign w:val="center"/>
          </w:tcPr>
          <w:p>
            <w:pPr>
              <w:pStyle w:val="TableContents"/>
              <w:spacing w:before="0" w:after="0"/>
              <w:ind w:left="0" w:right="0" w:firstLine="30"/>
              <w:rPr/>
            </w:pPr>
            <w:r>
              <w:rPr/>
              <w:t> </w:t>
            </w:r>
          </w:p>
        </w:tc>
      </w:tr>
      <w:tr>
        <w:trPr/>
        <w:tc>
          <w:tcPr>
            <w:tcW w:w="10184" w:type="dxa"/>
            <w:gridSpan w:val="2"/>
            <w:tcBorders/>
            <w:shd w:fill="auto" w:val="clear"/>
            <w:vAlign w:val="center"/>
          </w:tcPr>
          <w:p>
            <w:pPr>
              <w:pStyle w:val="TableContents"/>
              <w:spacing w:before="0" w:after="0"/>
              <w:ind w:left="0" w:right="0" w:firstLine="30"/>
              <w:rPr/>
            </w:pPr>
            <w:r>
              <w:rPr/>
              <w:t> </w:t>
            </w:r>
          </w:p>
        </w:tc>
      </w:tr>
      <w:tr>
        <w:trPr/>
        <w:tc>
          <w:tcPr>
            <w:tcW w:w="10184" w:type="dxa"/>
            <w:gridSpan w:val="2"/>
            <w:tcBorders/>
            <w:shd w:fill="auto" w:val="clear"/>
            <w:vAlign w:val="center"/>
          </w:tcPr>
          <w:p>
            <w:pPr>
              <w:pStyle w:val="TableContents"/>
              <w:spacing w:before="0" w:after="0"/>
              <w:ind w:left="0" w:right="0" w:firstLine="30"/>
              <w:rPr/>
            </w:pPr>
            <w:r>
              <w:rPr/>
              <w:t> </w:t>
            </w:r>
          </w:p>
        </w:tc>
      </w:tr>
      <w:tr>
        <w:trPr/>
        <w:tc>
          <w:tcPr>
            <w:tcW w:w="10184" w:type="dxa"/>
            <w:gridSpan w:val="2"/>
            <w:tcBorders/>
            <w:shd w:fill="auto" w:val="clear"/>
            <w:vAlign w:val="center"/>
          </w:tcPr>
          <w:p>
            <w:pPr>
              <w:pStyle w:val="TableContents"/>
              <w:spacing w:before="0" w:after="0"/>
              <w:ind w:left="0" w:right="0" w:firstLine="30"/>
              <w:rPr/>
            </w:pPr>
            <w:r>
              <w:rPr/>
              <w:t> </w:t>
            </w:r>
          </w:p>
        </w:tc>
      </w:tr>
      <w:tr>
        <w:trPr/>
        <w:tc>
          <w:tcPr>
            <w:tcW w:w="10184" w:type="dxa"/>
            <w:gridSpan w:val="2"/>
            <w:tcBorders/>
            <w:shd w:fill="auto" w:val="clear"/>
            <w:vAlign w:val="center"/>
          </w:tcPr>
          <w:p>
            <w:pPr>
              <w:pStyle w:val="TableContents"/>
              <w:spacing w:before="0" w:after="0"/>
              <w:ind w:left="0" w:right="0" w:firstLine="30"/>
              <w:rPr/>
            </w:pPr>
            <w:r>
              <w:rPr/>
              <w:t> </w:t>
            </w:r>
          </w:p>
        </w:tc>
      </w:tr>
      <w:tr>
        <w:trPr/>
        <w:tc>
          <w:tcPr>
            <w:tcW w:w="10184" w:type="dxa"/>
            <w:gridSpan w:val="2"/>
            <w:tcBorders/>
            <w:shd w:fill="auto" w:val="clear"/>
            <w:vAlign w:val="center"/>
          </w:tcPr>
          <w:p>
            <w:pPr>
              <w:pStyle w:val="TableContents"/>
              <w:spacing w:before="0" w:after="0"/>
              <w:ind w:left="0" w:right="0" w:firstLine="30"/>
              <w:rPr/>
            </w:pPr>
            <w:r>
              <w:rPr/>
              <w:t> </w:t>
            </w:r>
          </w:p>
        </w:tc>
      </w:tr>
      <w:tr>
        <w:trPr/>
        <w:tc>
          <w:tcPr>
            <w:tcW w:w="10184" w:type="dxa"/>
            <w:gridSpan w:val="2"/>
            <w:tcBorders/>
            <w:shd w:fill="auto" w:val="clear"/>
            <w:vAlign w:val="center"/>
          </w:tcPr>
          <w:p>
            <w:pPr>
              <w:pStyle w:val="TableContents"/>
              <w:spacing w:before="0" w:after="0"/>
              <w:ind w:left="0" w:right="0" w:firstLine="30"/>
              <w:rPr/>
            </w:pPr>
            <w:r>
              <w:rPr/>
              <w:t> </w:t>
            </w:r>
          </w:p>
        </w:tc>
      </w:tr>
      <w:tr>
        <w:trPr/>
        <w:tc>
          <w:tcPr>
            <w:tcW w:w="10184" w:type="dxa"/>
            <w:gridSpan w:val="2"/>
            <w:tcBorders/>
            <w:shd w:fill="auto" w:val="clear"/>
            <w:vAlign w:val="center"/>
          </w:tcPr>
          <w:p>
            <w:pPr>
              <w:pStyle w:val="TableContents"/>
              <w:spacing w:before="0" w:after="0"/>
              <w:rPr/>
            </w:pPr>
            <w:r>
              <w:rPr/>
              <w:t> </w:t>
            </w:r>
          </w:p>
        </w:tc>
      </w:tr>
    </w:tbl>
    <w:p>
      <w:pPr>
        <w:pStyle w:val="TextBody"/>
        <w:rPr/>
      </w:pPr>
      <w:r>
        <w:rPr/>
      </w:r>
      <w:r>
        <w:br w:type="page"/>
      </w:r>
    </w:p>
    <w:p>
      <w:pPr>
        <w:pStyle w:val="TextBody"/>
        <w:spacing w:lineRule="auto" w:line="288" w:before="0" w:after="0"/>
        <w:rPr/>
      </w:pPr>
      <w:hyperlink w:anchor="sA13583D437E20DC41B4583E2BD74AA47">
        <w:bookmarkStart w:id="4" w:name="s331546AE4A88FE0DC02683E2BD97D31D"/>
        <w:bookmarkEnd w:id="4"/>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20"/>
        </w:rPr>
      </w:pPr>
      <w:r>
        <w:rPr>
          <w:rFonts w:ascii="inherit" w:hAnsi="inherit"/>
          <w:b/>
          <w:sz w:val="20"/>
        </w:rPr>
        <w:t>PART I</w:t>
      </w:r>
    </w:p>
    <w:p>
      <w:pPr>
        <w:pStyle w:val="TextBody"/>
        <w:spacing w:lineRule="auto" w:line="288" w:before="0" w:after="0"/>
        <w:jc w:val="left"/>
        <w:rPr>
          <w:rFonts w:ascii="inherit" w:hAnsi="inherit"/>
          <w:sz w:val="17"/>
        </w:rPr>
      </w:pPr>
      <w:r>
        <w:rPr>
          <w:rFonts w:ascii="inherit" w:hAnsi="inherit"/>
          <w:sz w:val="17"/>
        </w:rPr>
        <w:t>This report contains forward-looking statements that reflect our future plans, estimates, beliefs and expected performance. Our actual results may differ materially from those currently anticipated and expressed or implied by those forward-looking statements because of a number of risks and uncertainties, including those discussed under “Part I — Item 1A — Risk Factors.” We caution that assumptions, expectations, projections, intentions or beliefs about future events may, and often do, vary from actual results, and the differences can be material. See also “Part II — Item 7 — Management's Discussion and Analysis of Financial Condition and Results of Operations — Cautionary Statement Regarding Risks and Uncertainties That May Affect Future Results.”</w:t>
      </w:r>
    </w:p>
    <w:p>
      <w:pPr>
        <w:pStyle w:val="TextBody"/>
        <w:spacing w:lineRule="auto" w:line="288" w:before="0" w:after="0"/>
        <w:jc w:val="left"/>
        <w:rPr>
          <w:sz w:val="17"/>
        </w:rPr>
      </w:pPr>
      <w:r>
        <w:rPr>
          <w:rFonts w:ascii="inherit" w:hAnsi="inherit"/>
          <w:sz w:val="17"/>
        </w:rPr>
        <w:t>Unless otherwise specified, references to the “company,” “we,” "our" and "us" refer to EZCORP, Inc. and its consolidated subsidiaries. References to a “fiscal” year refer to our fiscal year ended September 30 of the specified year. For example, “fiscal 2013</w:t>
      </w:r>
      <w:r>
        <w:rPr>
          <w:sz w:val="17"/>
        </w:rPr>
        <w:t xml:space="preserve">” </w:t>
      </w:r>
      <w:r>
        <w:rPr>
          <w:rFonts w:ascii="inherit" w:hAnsi="inherit"/>
          <w:sz w:val="17"/>
        </w:rPr>
        <w:t>refers to the fiscal year ended September 30, 2013.</w:t>
      </w:r>
    </w:p>
    <w:p>
      <w:pPr>
        <w:pStyle w:val="TextBody"/>
        <w:spacing w:lineRule="auto" w:line="288" w:before="0" w:after="0"/>
        <w:jc w:val="left"/>
        <w:rPr>
          <w:rFonts w:ascii="inherit" w:hAnsi="inherit"/>
          <w:b/>
          <w:sz w:val="17"/>
        </w:rPr>
      </w:pPr>
      <w:bookmarkStart w:id="5" w:name="s39B77FCB6013551CB30883E2BDCA87F9"/>
      <w:bookmarkEnd w:id="5"/>
      <w:r>
        <w:rPr>
          <w:rFonts w:ascii="inherit" w:hAnsi="inherit"/>
          <w:b/>
          <w:sz w:val="17"/>
        </w:rPr>
        <w:t>ITEM 1. BUSINESS</w:t>
      </w:r>
    </w:p>
    <w:p>
      <w:pPr>
        <w:pStyle w:val="TextBody"/>
        <w:spacing w:lineRule="auto" w:line="288" w:before="0" w:after="0"/>
        <w:jc w:val="left"/>
        <w:rPr>
          <w:rFonts w:ascii="inherit" w:hAnsi="inherit"/>
          <w:b/>
          <w:sz w:val="17"/>
        </w:rPr>
      </w:pPr>
      <w:bookmarkStart w:id="6" w:name="s4DFB6FFD6D55A6F9D21083E285CC5E98"/>
      <w:bookmarkEnd w:id="6"/>
      <w:r>
        <w:rPr>
          <w:rFonts w:ascii="inherit" w:hAnsi="inherit"/>
          <w:b/>
          <w:sz w:val="17"/>
        </w:rPr>
        <w:t>Our Business</w:t>
      </w:r>
    </w:p>
    <w:p>
      <w:pPr>
        <w:pStyle w:val="TextBody"/>
        <w:spacing w:lineRule="auto" w:line="288" w:before="0" w:after="0"/>
        <w:jc w:val="left"/>
        <w:rPr>
          <w:rFonts w:ascii="inherit" w:hAnsi="inherit"/>
          <w:sz w:val="17"/>
        </w:rPr>
      </w:pPr>
      <w:r>
        <w:rPr>
          <w:rFonts w:ascii="inherit" w:hAnsi="inherit"/>
          <w:sz w:val="17"/>
        </w:rPr>
        <w:t>EZCORP, Inc. is a Delaware corporation headquartered in Austin, Texas. We are a worldwide leader in delivering instant cash solutions to our customers through a wide variety of channels, products, services and markets. We offer our customers multiple ways to access instant cash through 1,342 locations and branches across the United States, Mexico, Canada and the United Kingdom. We offer these products through our four primary channels: in-store, online, worksite and mobile platforms.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We fulfill the growing global consumer demand for immediate access to cash, financial services and affordable pre-owned merchandise. We offer a variety of instant cash solutions, including collateralized, non-recourse loans, commonly known as pawn loans, and a variety of short-term consumer loans, including single- and multiple-payment unsecured loans and single- and multiple-payment auto title loans. In some U.S. locations (primarily in Texas), we do not offer loan products, but rather offer credit services to help customers obtain loans from independent third-party lenders.</w:t>
      </w:r>
    </w:p>
    <w:p>
      <w:pPr>
        <w:pStyle w:val="TextBody"/>
        <w:spacing w:lineRule="auto" w:line="288" w:before="0" w:after="0"/>
        <w:jc w:val="left"/>
        <w:rPr>
          <w:rFonts w:ascii="inherit" w:hAnsi="inherit"/>
          <w:sz w:val="17"/>
        </w:rPr>
      </w:pPr>
      <w:r>
        <w:rPr>
          <w:rFonts w:ascii="inherit" w:hAnsi="inherit"/>
          <w:sz w:val="17"/>
        </w:rPr>
        <w:t xml:space="preserve">We own a 60% interest in Prestaciones Finmart, S.A.P.I. de C.V., SOFOM, E.N.R. ("Grupo Finmart"), a leading payroll withholding lender headquartered in Mexico City; and a 51% interest in Renueva Commercial S.A.P.I. de C.V. ("TUYO"), a company headquartered in Mexico City that owns and operates buy/sell stores in Mexico City and the surrounding metropolitan area. </w:t>
      </w:r>
    </w:p>
    <w:p>
      <w:pPr>
        <w:pStyle w:val="TextBody"/>
        <w:spacing w:lineRule="auto" w:line="288" w:before="0" w:after="0"/>
        <w:jc w:val="left"/>
        <w:rPr>
          <w:sz w:val="17"/>
        </w:rPr>
      </w:pPr>
      <w:r>
        <w:rPr>
          <w:rFonts w:ascii="inherit" w:hAnsi="inherit"/>
          <w:sz w:val="17"/>
        </w:rPr>
        <w:t xml:space="preserve">At </w:t>
      </w:r>
      <w:r>
        <w:rPr>
          <w:rFonts w:ascii="inherit" w:hAnsi="inherit"/>
          <w:strike w:val="false"/>
          <w:dstrike w:val="false"/>
          <w:color w:val="000000"/>
          <w:sz w:val="17"/>
          <w:u w:val="none"/>
          <w:effect w:val="none"/>
        </w:rPr>
        <w:t>September 30, 2013</w:t>
      </w:r>
      <w:r>
        <w:rPr>
          <w:rFonts w:ascii="inherit" w:hAnsi="inherit"/>
          <w:sz w:val="17"/>
        </w:rPr>
        <w:t xml:space="preserve">, we operated a total of </w:t>
      </w:r>
      <w:r>
        <w:rPr>
          <w:rFonts w:ascii="Times New Roman" w:hAnsi="Times New Roman"/>
          <w:b w:val="false"/>
          <w:i w:val="false"/>
          <w:caps w:val="false"/>
          <w:smallCaps w:val="false"/>
          <w:strike w:val="false"/>
          <w:dstrike w:val="false"/>
          <w:color w:val="000000"/>
          <w:sz w:val="17"/>
          <w:u w:val="none"/>
          <w:effect w:val="none"/>
        </w:rPr>
        <w:t>1,342</w:t>
      </w:r>
      <w:r>
        <w:rPr>
          <w:sz w:val="17"/>
        </w:rPr>
        <w:t xml:space="preserve"> </w:t>
      </w:r>
      <w:r>
        <w:rPr>
          <w:rFonts w:ascii="inherit" w:hAnsi="inherit"/>
          <w:sz w:val="17"/>
        </w:rPr>
        <w:t>locations, consisting of:</w:t>
      </w:r>
    </w:p>
    <w:tbl>
      <w:tblPr>
        <w:tblW w:w="7210" w:type="dxa"/>
        <w:jc w:val="left"/>
        <w:tblInd w:w="0" w:type="dxa"/>
        <w:tblCellMar>
          <w:top w:w="0" w:type="dxa"/>
          <w:left w:w="0" w:type="dxa"/>
          <w:bottom w:w="0" w:type="dxa"/>
          <w:right w:w="0" w:type="dxa"/>
        </w:tblCellMar>
      </w:tblPr>
      <w:tblGrid>
        <w:gridCol w:w="485"/>
        <w:gridCol w:w="6725"/>
      </w:tblGrid>
      <w:tr>
        <w:trPr/>
        <w:tc>
          <w:tcPr>
            <w:tcW w:w="485" w:type="dxa"/>
            <w:tcBorders/>
            <w:shd w:fill="auto" w:val="clear"/>
            <w:vAlign w:val="center"/>
          </w:tcPr>
          <w:p>
            <w:pPr>
              <w:pStyle w:val="TableContents"/>
              <w:spacing w:before="0" w:after="283"/>
              <w:rPr>
                <w:sz w:val="4"/>
                <w:szCs w:val="4"/>
              </w:rPr>
            </w:pPr>
            <w:r>
              <w:rPr>
                <w:sz w:val="4"/>
                <w:szCs w:val="4"/>
              </w:rPr>
            </w:r>
          </w:p>
        </w:tc>
        <w:tc>
          <w:tcPr>
            <w:tcW w:w="672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7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495 U.S. pawn stores (operating primarily as EZPAWN or Value Pawn &amp; Jewelry);</w:t>
            </w:r>
          </w:p>
        </w:tc>
      </w:tr>
    </w:tbl>
    <w:tbl>
      <w:tblPr>
        <w:tblW w:w="4990" w:type="dxa"/>
        <w:jc w:val="left"/>
        <w:tblInd w:w="0" w:type="dxa"/>
        <w:tblCellMar>
          <w:top w:w="0" w:type="dxa"/>
          <w:left w:w="0" w:type="dxa"/>
          <w:bottom w:w="0" w:type="dxa"/>
          <w:right w:w="0" w:type="dxa"/>
        </w:tblCellMar>
      </w:tblPr>
      <w:tblGrid>
        <w:gridCol w:w="485"/>
        <w:gridCol w:w="4505"/>
      </w:tblGrid>
      <w:tr>
        <w:trPr/>
        <w:tc>
          <w:tcPr>
            <w:tcW w:w="485" w:type="dxa"/>
            <w:tcBorders/>
            <w:shd w:fill="auto" w:val="clear"/>
            <w:vAlign w:val="center"/>
          </w:tcPr>
          <w:p>
            <w:pPr>
              <w:pStyle w:val="TableContents"/>
              <w:spacing w:before="0" w:after="283"/>
              <w:rPr>
                <w:sz w:val="4"/>
                <w:szCs w:val="4"/>
              </w:rPr>
            </w:pPr>
            <w:r>
              <w:rPr>
                <w:sz w:val="4"/>
                <w:szCs w:val="4"/>
              </w:rPr>
            </w:r>
          </w:p>
        </w:tc>
        <w:tc>
          <w:tcPr>
            <w:tcW w:w="45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5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7 U.S. buy/sell stores (operating as Cash Converters);</w:t>
            </w:r>
          </w:p>
        </w:tc>
      </w:tr>
    </w:tbl>
    <w:tbl>
      <w:tblPr>
        <w:tblW w:w="5200" w:type="dxa"/>
        <w:jc w:val="left"/>
        <w:tblInd w:w="0" w:type="dxa"/>
        <w:tblCellMar>
          <w:top w:w="0" w:type="dxa"/>
          <w:left w:w="0" w:type="dxa"/>
          <w:bottom w:w="0" w:type="dxa"/>
          <w:right w:w="0" w:type="dxa"/>
        </w:tblCellMar>
      </w:tblPr>
      <w:tblGrid>
        <w:gridCol w:w="485"/>
        <w:gridCol w:w="4715"/>
      </w:tblGrid>
      <w:tr>
        <w:trPr/>
        <w:tc>
          <w:tcPr>
            <w:tcW w:w="485" w:type="dxa"/>
            <w:tcBorders/>
            <w:shd w:fill="auto" w:val="clear"/>
            <w:vAlign w:val="center"/>
          </w:tcPr>
          <w:p>
            <w:pPr>
              <w:pStyle w:val="TableContents"/>
              <w:spacing w:before="0" w:after="283"/>
              <w:rPr>
                <w:sz w:val="4"/>
                <w:szCs w:val="4"/>
              </w:rPr>
            </w:pPr>
            <w:r>
              <w:rPr>
                <w:sz w:val="4"/>
                <w:szCs w:val="4"/>
              </w:rPr>
            </w:r>
          </w:p>
        </w:tc>
        <w:tc>
          <w:tcPr>
            <w:tcW w:w="47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7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239 pawn stores in Mexico (operating as Empeño Fácil); </w:t>
            </w:r>
          </w:p>
        </w:tc>
      </w:tr>
    </w:tbl>
    <w:tbl>
      <w:tblPr>
        <w:tblW w:w="6220" w:type="dxa"/>
        <w:jc w:val="left"/>
        <w:tblInd w:w="0" w:type="dxa"/>
        <w:tblCellMar>
          <w:top w:w="0" w:type="dxa"/>
          <w:left w:w="0" w:type="dxa"/>
          <w:bottom w:w="0" w:type="dxa"/>
          <w:right w:w="0" w:type="dxa"/>
        </w:tblCellMar>
      </w:tblPr>
      <w:tblGrid>
        <w:gridCol w:w="485"/>
        <w:gridCol w:w="5735"/>
      </w:tblGrid>
      <w:tr>
        <w:trPr/>
        <w:tc>
          <w:tcPr>
            <w:tcW w:w="485" w:type="dxa"/>
            <w:tcBorders/>
            <w:shd w:fill="auto" w:val="clear"/>
            <w:vAlign w:val="center"/>
          </w:tcPr>
          <w:p>
            <w:pPr>
              <w:pStyle w:val="TableContents"/>
              <w:spacing w:before="0" w:after="283"/>
              <w:rPr>
                <w:sz w:val="4"/>
                <w:szCs w:val="4"/>
              </w:rPr>
            </w:pPr>
            <w:r>
              <w:rPr>
                <w:sz w:val="4"/>
                <w:szCs w:val="4"/>
              </w:rPr>
            </w:r>
          </w:p>
        </w:tc>
        <w:tc>
          <w:tcPr>
            <w:tcW w:w="57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73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489 U.S. financial services stores (operating primarily as EZMONEY);</w:t>
            </w:r>
          </w:p>
        </w:tc>
      </w:tr>
    </w:tbl>
    <w:tbl>
      <w:tblPr>
        <w:tblW w:w="7525" w:type="dxa"/>
        <w:jc w:val="left"/>
        <w:tblInd w:w="0" w:type="dxa"/>
        <w:tblCellMar>
          <w:top w:w="0" w:type="dxa"/>
          <w:left w:w="0" w:type="dxa"/>
          <w:bottom w:w="0" w:type="dxa"/>
          <w:right w:w="0" w:type="dxa"/>
        </w:tblCellMar>
      </w:tblPr>
      <w:tblGrid>
        <w:gridCol w:w="485"/>
        <w:gridCol w:w="7040"/>
      </w:tblGrid>
      <w:tr>
        <w:trPr/>
        <w:tc>
          <w:tcPr>
            <w:tcW w:w="485" w:type="dxa"/>
            <w:tcBorders/>
            <w:shd w:fill="auto" w:val="clear"/>
            <w:vAlign w:val="center"/>
          </w:tcPr>
          <w:p>
            <w:pPr>
              <w:pStyle w:val="TableContents"/>
              <w:spacing w:before="0" w:after="283"/>
              <w:rPr>
                <w:sz w:val="4"/>
                <w:szCs w:val="4"/>
              </w:rPr>
            </w:pPr>
            <w:r>
              <w:rPr>
                <w:sz w:val="4"/>
                <w:szCs w:val="4"/>
              </w:rPr>
            </w:r>
          </w:p>
        </w:tc>
        <w:tc>
          <w:tcPr>
            <w:tcW w:w="704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0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15 buy/sell and financial services stores in Canada (operating as Cash Converters); </w:t>
            </w:r>
          </w:p>
        </w:tc>
      </w:tr>
    </w:tbl>
    <w:tbl>
      <w:tblPr>
        <w:tblW w:w="5890" w:type="dxa"/>
        <w:jc w:val="left"/>
        <w:tblInd w:w="0" w:type="dxa"/>
        <w:tblCellMar>
          <w:top w:w="0" w:type="dxa"/>
          <w:left w:w="0" w:type="dxa"/>
          <w:bottom w:w="0" w:type="dxa"/>
          <w:right w:w="0" w:type="dxa"/>
        </w:tblCellMar>
      </w:tblPr>
      <w:tblGrid>
        <w:gridCol w:w="485"/>
        <w:gridCol w:w="5405"/>
      </w:tblGrid>
      <w:tr>
        <w:trPr/>
        <w:tc>
          <w:tcPr>
            <w:tcW w:w="485" w:type="dxa"/>
            <w:tcBorders/>
            <w:shd w:fill="auto" w:val="clear"/>
            <w:vAlign w:val="center"/>
          </w:tcPr>
          <w:p>
            <w:pPr>
              <w:pStyle w:val="TableContents"/>
              <w:spacing w:before="0" w:after="283"/>
              <w:rPr>
                <w:sz w:val="4"/>
                <w:szCs w:val="4"/>
              </w:rPr>
            </w:pPr>
            <w:r>
              <w:rPr>
                <w:sz w:val="4"/>
                <w:szCs w:val="4"/>
              </w:rPr>
            </w:r>
          </w:p>
        </w:tc>
        <w:tc>
          <w:tcPr>
            <w:tcW w:w="54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4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24 financial services stores in Canada (operating as CASHMAX); </w:t>
            </w:r>
          </w:p>
        </w:tc>
      </w:tr>
    </w:tbl>
    <w:tbl>
      <w:tblPr>
        <w:tblW w:w="4975" w:type="dxa"/>
        <w:jc w:val="left"/>
        <w:tblInd w:w="0" w:type="dxa"/>
        <w:tblCellMar>
          <w:top w:w="0" w:type="dxa"/>
          <w:left w:w="0" w:type="dxa"/>
          <w:bottom w:w="0" w:type="dxa"/>
          <w:right w:w="0" w:type="dxa"/>
        </w:tblCellMar>
      </w:tblPr>
      <w:tblGrid>
        <w:gridCol w:w="485"/>
        <w:gridCol w:w="4490"/>
      </w:tblGrid>
      <w:tr>
        <w:trPr/>
        <w:tc>
          <w:tcPr>
            <w:tcW w:w="485" w:type="dxa"/>
            <w:tcBorders/>
            <w:shd w:fill="auto" w:val="clear"/>
            <w:vAlign w:val="center"/>
          </w:tcPr>
          <w:p>
            <w:pPr>
              <w:pStyle w:val="TableContents"/>
              <w:spacing w:before="0" w:after="283"/>
              <w:rPr>
                <w:sz w:val="4"/>
                <w:szCs w:val="4"/>
              </w:rPr>
            </w:pPr>
            <w:r>
              <w:rPr>
                <w:sz w:val="4"/>
                <w:szCs w:val="4"/>
              </w:rPr>
            </w:r>
          </w:p>
        </w:tc>
        <w:tc>
          <w:tcPr>
            <w:tcW w:w="449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4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19 buy/sell stores in Mexico (operating as TUYO); and</w:t>
            </w:r>
          </w:p>
        </w:tc>
      </w:tr>
    </w:tbl>
    <w:tbl>
      <w:tblPr>
        <w:tblW w:w="6910" w:type="dxa"/>
        <w:jc w:val="left"/>
        <w:tblInd w:w="0" w:type="dxa"/>
        <w:tblCellMar>
          <w:top w:w="0" w:type="dxa"/>
          <w:left w:w="0" w:type="dxa"/>
          <w:bottom w:w="0" w:type="dxa"/>
          <w:right w:w="0" w:type="dxa"/>
        </w:tblCellMar>
      </w:tblPr>
      <w:tblGrid>
        <w:gridCol w:w="485"/>
        <w:gridCol w:w="6425"/>
      </w:tblGrid>
      <w:tr>
        <w:trPr/>
        <w:tc>
          <w:tcPr>
            <w:tcW w:w="485" w:type="dxa"/>
            <w:tcBorders/>
            <w:shd w:fill="auto" w:val="clear"/>
            <w:vAlign w:val="center"/>
          </w:tcPr>
          <w:p>
            <w:pPr>
              <w:pStyle w:val="TableContents"/>
              <w:spacing w:before="0" w:after="283"/>
              <w:rPr>
                <w:sz w:val="4"/>
                <w:szCs w:val="4"/>
              </w:rPr>
            </w:pPr>
            <w:r>
              <w:rPr>
                <w:sz w:val="4"/>
                <w:szCs w:val="4"/>
              </w:rPr>
            </w:r>
          </w:p>
        </w:tc>
        <w:tc>
          <w:tcPr>
            <w:tcW w:w="642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4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54 financial services branches in Mexico (operating as Crediamigo or Adex). </w:t>
            </w:r>
          </w:p>
        </w:tc>
      </w:tr>
    </w:tbl>
    <w:p>
      <w:pPr>
        <w:pStyle w:val="TextBody"/>
        <w:spacing w:lineRule="auto" w:line="288" w:before="0" w:after="0"/>
        <w:jc w:val="left"/>
        <w:rPr>
          <w:rFonts w:ascii="inherit" w:hAnsi="inherit"/>
          <w:sz w:val="17"/>
        </w:rPr>
      </w:pPr>
      <w:r>
        <w:rPr>
          <w:rFonts w:ascii="inherit" w:hAnsi="inherit"/>
          <w:sz w:val="17"/>
        </w:rPr>
        <w:t xml:space="preserve">In addition, we offer consumer loans online in the U.S. and the U.K. operating primarily as EZMONEY.com and CashGenie.com, respectively. </w:t>
      </w:r>
    </w:p>
    <w:p>
      <w:pPr>
        <w:pStyle w:val="TextBody"/>
        <w:spacing w:lineRule="auto" w:line="288" w:before="0" w:after="0"/>
        <w:jc w:val="left"/>
        <w:rPr>
          <w:rFonts w:ascii="inherit" w:hAnsi="inherit"/>
          <w:sz w:val="17"/>
        </w:rPr>
      </w:pPr>
      <w:r>
        <w:rPr>
          <w:rFonts w:ascii="inherit" w:hAnsi="inherit"/>
          <w:sz w:val="17"/>
        </w:rPr>
        <w:t xml:space="preserve">We own approximately 30% of Albemarle &amp; Bond Holdings, PLC, one of the United Kingdom's largest pawnbroking businesses with approximately 230 stores, and approximately 33% of Cash Converters International Limited, which is based in Australia and franchises and operates a worldwide network of approximately 700 locations that provide financial services and buy and sell second-hand goods. We also own the Cash Converters master franchise rights in Canada and are the franchisor of eight stores there. </w:t>
      </w:r>
    </w:p>
    <w:p>
      <w:pPr>
        <w:pStyle w:val="TextBody"/>
        <w:spacing w:lineRule="auto" w:line="288" w:before="0" w:after="0"/>
        <w:jc w:val="left"/>
        <w:rPr>
          <w:rFonts w:ascii="inherit" w:hAnsi="inherit"/>
          <w:sz w:val="17"/>
        </w:rPr>
      </w:pPr>
      <w:r>
        <w:rPr>
          <w:rFonts w:ascii="inherit" w:hAnsi="inherit"/>
          <w:sz w:val="17"/>
        </w:rPr>
        <w:t xml:space="preserve">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 and new or refurbished merchandise from third party vendors. In our Cash Converters stores, we also buy and sell second-hand goods. At our financial services stores and at some of our pawn and buy/sell stores, we offer a variety of consumer loan products, including single-payment, unsecured loans with maturity dates typically ranging from 7 to 30 days; multiple-payment unsecured loans that may be repaid over extended periods of up to seven months; single-payment 30-day loans secured by automobile titles; multiple-payment auto title loans that carry terms of two to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five months; and revolving lines of credit, both unsecured and secured by automobile titles. In Texas, our financial services stores and our pawn stores that also offer financial services do not offer loan products themselves, but rather offer credit services to help customers obtain loans from independent third-party lenders.</w:t>
      </w:r>
    </w:p>
    <w:p>
      <w:pPr>
        <w:pStyle w:val="TextBody"/>
        <w:spacing w:lineRule="auto" w:line="288" w:before="0" w:after="0"/>
        <w:jc w:val="left"/>
        <w:rPr>
          <w:rFonts w:ascii="inherit" w:hAnsi="inherit"/>
          <w:sz w:val="17"/>
        </w:rPr>
      </w:pPr>
      <w:r>
        <w:rPr>
          <w:rFonts w:ascii="inherit" w:hAnsi="inherit"/>
          <w:sz w:val="17"/>
        </w:rPr>
        <w:t>Our business consists of three reportable segments: The U.S. &amp; Canada segment, which includes all business activities in the United States and Canada; the Latin America segment, which includes our Empeño Fácil pawn operations and Grupo Finmart financial services operations in Mexico; and the Other International segment, which includes the Cash Genie online business in the U.K. and our equity interests in the net income of Albemarle &amp; Bond and Cash Converters International.</w:t>
      </w:r>
    </w:p>
    <w:p>
      <w:pPr>
        <w:pStyle w:val="TextBody"/>
        <w:spacing w:lineRule="auto" w:line="288" w:before="0" w:after="0"/>
        <w:jc w:val="left"/>
        <w:rPr>
          <w:rFonts w:ascii="inherit" w:hAnsi="inherit"/>
          <w:sz w:val="17"/>
        </w:rPr>
      </w:pPr>
      <w:r>
        <w:rPr>
          <w:rFonts w:ascii="inherit" w:hAnsi="inherit"/>
          <w:sz w:val="17"/>
        </w:rPr>
        <w:t>The following table presents store data by segment:</w:t>
      </w:r>
    </w:p>
    <w:tbl>
      <w:tblPr>
        <w:tblW w:w="10205" w:type="dxa"/>
        <w:jc w:val="left"/>
        <w:tblInd w:w="0" w:type="dxa"/>
        <w:tblCellMar>
          <w:top w:w="0" w:type="dxa"/>
          <w:left w:w="0" w:type="dxa"/>
          <w:bottom w:w="0" w:type="dxa"/>
          <w:right w:w="0" w:type="dxa"/>
        </w:tblCellMar>
      </w:tblPr>
      <w:tblGrid>
        <w:gridCol w:w="3101"/>
        <w:gridCol w:w="1064"/>
        <w:gridCol w:w="177"/>
        <w:gridCol w:w="130"/>
        <w:gridCol w:w="942"/>
        <w:gridCol w:w="193"/>
        <w:gridCol w:w="130"/>
        <w:gridCol w:w="1298"/>
        <w:gridCol w:w="142"/>
        <w:gridCol w:w="130"/>
        <w:gridCol w:w="1237"/>
        <w:gridCol w:w="216"/>
        <w:gridCol w:w="130"/>
        <w:gridCol w:w="872"/>
        <w:gridCol w:w="443"/>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310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01" w:type="dxa"/>
            <w:tcBorders/>
            <w:shd w:fill="auto" w:val="clear"/>
            <w:vAlign w:val="center"/>
          </w:tcPr>
          <w:p>
            <w:pPr>
              <w:pStyle w:val="TableContents"/>
              <w:spacing w:before="0" w:after="0"/>
              <w:ind w:left="0" w:right="0" w:firstLine="30"/>
              <w:jc w:val="left"/>
              <w:rPr/>
            </w:pPr>
            <w:r>
              <w:rPr/>
              <w:t> </w:t>
            </w:r>
          </w:p>
        </w:tc>
        <w:tc>
          <w:tcPr>
            <w:tcW w:w="7104" w:type="dxa"/>
            <w:gridSpan w:val="14"/>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2013</w:t>
            </w:r>
          </w:p>
        </w:tc>
      </w:tr>
      <w:tr>
        <w:trPr/>
        <w:tc>
          <w:tcPr>
            <w:tcW w:w="3101" w:type="dxa"/>
            <w:tcBorders/>
            <w:shd w:fill="CCEEFF" w:val="clear"/>
            <w:vAlign w:val="center"/>
          </w:tcPr>
          <w:p>
            <w:pPr>
              <w:pStyle w:val="TableContents"/>
              <w:spacing w:before="0" w:after="0"/>
              <w:ind w:left="0" w:right="0" w:firstLine="30"/>
              <w:jc w:val="left"/>
              <w:rPr/>
            </w:pPr>
            <w:r>
              <w:rPr/>
              <w:t> </w:t>
            </w:r>
          </w:p>
        </w:tc>
        <w:tc>
          <w:tcPr>
            <w:tcW w:w="5659" w:type="dxa"/>
            <w:gridSpan w:val="11"/>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30" w:type="dxa"/>
            <w:tcBorders/>
            <w:shd w:fill="CCEEFF" w:val="clear"/>
            <w:vAlign w:val="center"/>
          </w:tcPr>
          <w:p>
            <w:pPr>
              <w:pStyle w:val="TableContents"/>
              <w:spacing w:before="0" w:after="0"/>
              <w:ind w:left="0" w:right="0" w:firstLine="30"/>
              <w:rPr/>
            </w:pPr>
            <w:r>
              <w:rPr/>
              <w:t> </w:t>
            </w:r>
          </w:p>
        </w:tc>
        <w:tc>
          <w:tcPr>
            <w:tcW w:w="1315" w:type="dxa"/>
            <w:gridSpan w:val="2"/>
            <w:tcBorders/>
            <w:shd w:fill="CCEEFF" w:val="clear"/>
            <w:vAlign w:val="center"/>
          </w:tcPr>
          <w:p>
            <w:pPr>
              <w:pStyle w:val="TableContents"/>
              <w:spacing w:before="0" w:after="0"/>
              <w:ind w:left="0" w:right="0" w:firstLine="30"/>
              <w:jc w:val="left"/>
              <w:rPr/>
            </w:pPr>
            <w:r>
              <w:rPr/>
              <w:t> </w:t>
            </w:r>
          </w:p>
        </w:tc>
      </w:tr>
      <w:tr>
        <w:trPr/>
        <w:tc>
          <w:tcPr>
            <w:tcW w:w="3101" w:type="dxa"/>
            <w:tcBorders/>
            <w:shd w:fill="auto" w:val="clear"/>
            <w:vAlign w:val="center"/>
          </w:tcPr>
          <w:p>
            <w:pPr>
              <w:pStyle w:val="TableContents"/>
              <w:spacing w:before="0" w:after="0"/>
              <w:ind w:left="0" w:right="0" w:firstLine="30"/>
              <w:jc w:val="left"/>
              <w:rPr/>
            </w:pPr>
            <w:r>
              <w:rPr/>
              <w:t> </w:t>
            </w:r>
          </w:p>
        </w:tc>
        <w:tc>
          <w:tcPr>
            <w:tcW w:w="124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30" w:type="dxa"/>
            <w:tcBorders/>
            <w:shd w:fill="auto" w:val="clear"/>
            <w:vAlign w:val="center"/>
          </w:tcPr>
          <w:p>
            <w:pPr>
              <w:pStyle w:val="TableContents"/>
              <w:spacing w:before="0" w:after="0"/>
              <w:ind w:left="0" w:right="0" w:firstLine="30"/>
              <w:rPr/>
            </w:pPr>
            <w:r>
              <w:rPr/>
              <w:t> </w:t>
            </w:r>
          </w:p>
        </w:tc>
        <w:tc>
          <w:tcPr>
            <w:tcW w:w="113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30" w:type="dxa"/>
            <w:tcBorders/>
            <w:shd w:fill="auto" w:val="clear"/>
            <w:vAlign w:val="center"/>
          </w:tcPr>
          <w:p>
            <w:pPr>
              <w:pStyle w:val="TableContents"/>
              <w:spacing w:before="0" w:after="0"/>
              <w:ind w:left="0" w:right="0" w:firstLine="30"/>
              <w:rPr/>
            </w:pPr>
            <w:r>
              <w:rPr/>
              <w:t> </w:t>
            </w:r>
          </w:p>
        </w:tc>
        <w:tc>
          <w:tcPr>
            <w:tcW w:w="144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30" w:type="dxa"/>
            <w:tcBorders/>
            <w:shd w:fill="auto" w:val="clear"/>
            <w:vAlign w:val="center"/>
          </w:tcPr>
          <w:p>
            <w:pPr>
              <w:pStyle w:val="TableContents"/>
              <w:spacing w:before="0" w:after="0"/>
              <w:ind w:left="0" w:right="0" w:firstLine="30"/>
              <w:rPr/>
            </w:pPr>
            <w:r>
              <w:rPr/>
              <w:t> </w:t>
            </w:r>
          </w:p>
        </w:tc>
        <w:tc>
          <w:tcPr>
            <w:tcW w:w="1453"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30" w:type="dxa"/>
            <w:tcBorders/>
            <w:shd w:fill="auto" w:val="clear"/>
            <w:vAlign w:val="center"/>
          </w:tcPr>
          <w:p>
            <w:pPr>
              <w:pStyle w:val="TableContents"/>
              <w:spacing w:before="0" w:after="0"/>
              <w:ind w:left="0" w:right="0" w:firstLine="30"/>
              <w:rPr/>
            </w:pPr>
            <w:r>
              <w:rPr/>
              <w:t> </w:t>
            </w:r>
          </w:p>
        </w:tc>
        <w:tc>
          <w:tcPr>
            <w:tcW w:w="131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3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41" w:type="dxa"/>
            <w:gridSpan w:val="2"/>
            <w:tcBorders/>
            <w:shd w:fill="CCEEFF" w:val="clear"/>
            <w:vAlign w:val="center"/>
          </w:tcPr>
          <w:p>
            <w:pPr>
              <w:pStyle w:val="TableContents"/>
              <w:spacing w:before="0" w:after="0"/>
              <w:ind w:left="0" w:right="0" w:firstLine="30"/>
              <w:jc w:val="left"/>
              <w:rPr/>
            </w:pPr>
            <w:r>
              <w:rPr/>
              <w:t> </w:t>
            </w:r>
          </w:p>
        </w:tc>
        <w:tc>
          <w:tcPr>
            <w:tcW w:w="130"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ind w:left="0" w:right="0" w:firstLine="30"/>
              <w:jc w:val="left"/>
              <w:rPr/>
            </w:pPr>
            <w:r>
              <w:rPr/>
              <w:t> </w:t>
            </w:r>
          </w:p>
        </w:tc>
        <w:tc>
          <w:tcPr>
            <w:tcW w:w="130" w:type="dxa"/>
            <w:tcBorders/>
            <w:shd w:fill="CCEEFF" w:val="clear"/>
            <w:vAlign w:val="center"/>
          </w:tcPr>
          <w:p>
            <w:pPr>
              <w:pStyle w:val="TableContents"/>
              <w:spacing w:before="0" w:after="0"/>
              <w:ind w:left="0" w:right="0" w:firstLine="30"/>
              <w:rPr/>
            </w:pPr>
            <w:r>
              <w:rPr/>
              <w:t> </w:t>
            </w:r>
          </w:p>
        </w:tc>
        <w:tc>
          <w:tcPr>
            <w:tcW w:w="1440" w:type="dxa"/>
            <w:gridSpan w:val="2"/>
            <w:tcBorders/>
            <w:shd w:fill="CCEEFF" w:val="clear"/>
            <w:vAlign w:val="center"/>
          </w:tcPr>
          <w:p>
            <w:pPr>
              <w:pStyle w:val="TableContents"/>
              <w:spacing w:before="0" w:after="0"/>
              <w:ind w:left="0" w:right="0" w:firstLine="30"/>
              <w:jc w:val="left"/>
              <w:rPr/>
            </w:pPr>
            <w:r>
              <w:rPr/>
              <w:t> </w:t>
            </w:r>
          </w:p>
        </w:tc>
        <w:tc>
          <w:tcPr>
            <w:tcW w:w="130" w:type="dxa"/>
            <w:tcBorders/>
            <w:shd w:fill="CCEEFF" w:val="clear"/>
            <w:vAlign w:val="center"/>
          </w:tcPr>
          <w:p>
            <w:pPr>
              <w:pStyle w:val="TableContents"/>
              <w:spacing w:before="0" w:after="0"/>
              <w:ind w:left="0" w:right="0" w:firstLine="30"/>
              <w:rPr/>
            </w:pPr>
            <w:r>
              <w:rPr/>
              <w:t> </w:t>
            </w:r>
          </w:p>
        </w:tc>
        <w:tc>
          <w:tcPr>
            <w:tcW w:w="1453" w:type="dxa"/>
            <w:gridSpan w:val="2"/>
            <w:tcBorders/>
            <w:shd w:fill="CCEEFF" w:val="clear"/>
            <w:vAlign w:val="center"/>
          </w:tcPr>
          <w:p>
            <w:pPr>
              <w:pStyle w:val="TableContents"/>
              <w:spacing w:before="0" w:after="0"/>
              <w:ind w:left="0" w:right="0" w:firstLine="30"/>
              <w:jc w:val="left"/>
              <w:rPr/>
            </w:pPr>
            <w:r>
              <w:rPr/>
              <w:t> </w:t>
            </w:r>
          </w:p>
        </w:tc>
        <w:tc>
          <w:tcPr>
            <w:tcW w:w="130" w:type="dxa"/>
            <w:tcBorders/>
            <w:shd w:fill="CCEEFF" w:val="clear"/>
            <w:vAlign w:val="center"/>
          </w:tcPr>
          <w:p>
            <w:pPr>
              <w:pStyle w:val="TableContents"/>
              <w:spacing w:before="0" w:after="0"/>
              <w:ind w:left="0" w:right="0" w:firstLine="30"/>
              <w:rPr/>
            </w:pPr>
            <w:r>
              <w:rPr/>
              <w:t> </w:t>
            </w:r>
          </w:p>
        </w:tc>
        <w:tc>
          <w:tcPr>
            <w:tcW w:w="1315" w:type="dxa"/>
            <w:gridSpan w:val="2"/>
            <w:tcBorders/>
            <w:shd w:fill="CCEEFF" w:val="clear"/>
            <w:vAlign w:val="center"/>
          </w:tcPr>
          <w:p>
            <w:pPr>
              <w:pStyle w:val="TableContents"/>
              <w:spacing w:before="0" w:after="0"/>
              <w:ind w:left="0" w:right="0" w:firstLine="180"/>
              <w:jc w:val="left"/>
              <w:rPr/>
            </w:pPr>
            <w:r>
              <w:rPr/>
              <w:t> </w:t>
            </w:r>
          </w:p>
        </w:tc>
      </w:tr>
      <w:tr>
        <w:trPr/>
        <w:tc>
          <w:tcPr>
            <w:tcW w:w="3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064" w:type="dxa"/>
            <w:tcBorders/>
            <w:shd w:fill="auto" w:val="clear"/>
            <w:vAlign w:val="center"/>
          </w:tcPr>
          <w:p>
            <w:pPr>
              <w:pStyle w:val="TableContents"/>
              <w:spacing w:before="0" w:after="0"/>
              <w:jc w:val="right"/>
              <w:rPr>
                <w:rFonts w:ascii="inherit" w:hAnsi="inherit"/>
                <w:sz w:val="17"/>
              </w:rPr>
            </w:pPr>
            <w:r>
              <w:rPr>
                <w:rFonts w:ascii="inherit" w:hAnsi="inherit"/>
                <w:sz w:val="17"/>
              </w:rPr>
              <w:t>987</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942" w:type="dxa"/>
            <w:tcBorders/>
            <w:shd w:fill="auto" w:val="clear"/>
            <w:vAlign w:val="center"/>
          </w:tcPr>
          <w:p>
            <w:pPr>
              <w:pStyle w:val="TableContents"/>
              <w:spacing w:before="0" w:after="0"/>
              <w:jc w:val="right"/>
              <w:rPr>
                <w:rFonts w:ascii="inherit" w:hAnsi="inherit"/>
                <w:sz w:val="17"/>
              </w:rPr>
            </w:pPr>
            <w:r>
              <w:rPr>
                <w:rFonts w:ascii="inherit" w:hAnsi="inherit"/>
                <w:sz w:val="17"/>
              </w:rPr>
              <w:t>275</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98" w:type="dxa"/>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37" w:type="dxa"/>
            <w:tcBorders/>
            <w:shd w:fill="auto" w:val="clear"/>
            <w:vAlign w:val="center"/>
          </w:tcPr>
          <w:p>
            <w:pPr>
              <w:pStyle w:val="TableContents"/>
              <w:spacing w:before="0" w:after="0"/>
              <w:jc w:val="right"/>
              <w:rPr>
                <w:rFonts w:ascii="inherit" w:hAnsi="inherit"/>
                <w:sz w:val="17"/>
              </w:rPr>
            </w:pPr>
            <w:r>
              <w:rPr>
                <w:rFonts w:ascii="inherit" w:hAnsi="inherit"/>
                <w:sz w:val="17"/>
              </w:rPr>
              <w:t>1,262</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72" w:type="dxa"/>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44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New openings</w:t>
            </w:r>
          </w:p>
        </w:tc>
        <w:tc>
          <w:tcPr>
            <w:tcW w:w="1064" w:type="dxa"/>
            <w:tcBorders/>
            <w:shd w:fill="CCEEFF" w:val="clear"/>
            <w:vAlign w:val="center"/>
          </w:tcPr>
          <w:p>
            <w:pPr>
              <w:pStyle w:val="TableContents"/>
              <w:spacing w:before="0" w:after="0"/>
              <w:jc w:val="right"/>
              <w:rPr>
                <w:rFonts w:ascii="inherit" w:hAnsi="inherit"/>
                <w:sz w:val="17"/>
              </w:rPr>
            </w:pPr>
            <w:r>
              <w:rPr>
                <w:rFonts w:ascii="inherit" w:hAnsi="inherit"/>
                <w:sz w:val="17"/>
              </w:rPr>
              <w:t>84</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942" w:type="dxa"/>
            <w:tcBorders/>
            <w:shd w:fill="CCEEFF" w:val="clear"/>
            <w:vAlign w:val="center"/>
          </w:tcPr>
          <w:p>
            <w:pPr>
              <w:pStyle w:val="TableContents"/>
              <w:spacing w:before="0" w:after="0"/>
              <w:jc w:val="right"/>
              <w:rPr>
                <w:rFonts w:ascii="inherit" w:hAnsi="inherit"/>
                <w:sz w:val="17"/>
              </w:rPr>
            </w:pPr>
            <w:r>
              <w:rPr>
                <w:rFonts w:ascii="inherit" w:hAnsi="inherit"/>
                <w:sz w:val="17"/>
              </w:rPr>
              <w:t>73</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98" w:type="dxa"/>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37" w:type="dxa"/>
            <w:tcBorders/>
            <w:shd w:fill="CCEEFF" w:val="clear"/>
            <w:vAlign w:val="center"/>
          </w:tcPr>
          <w:p>
            <w:pPr>
              <w:pStyle w:val="TableContents"/>
              <w:spacing w:before="0" w:after="0"/>
              <w:jc w:val="right"/>
              <w:rPr>
                <w:rFonts w:ascii="inherit" w:hAnsi="inherit"/>
                <w:sz w:val="17"/>
              </w:rPr>
            </w:pPr>
            <w:r>
              <w:rPr>
                <w:rFonts w:ascii="inherit" w:hAnsi="inherit"/>
                <w:sz w:val="17"/>
              </w:rPr>
              <w:t>157</w:t>
            </w:r>
          </w:p>
        </w:tc>
        <w:tc>
          <w:tcPr>
            <w:tcW w:w="2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72" w:type="dxa"/>
            <w:tcBorders/>
            <w:shd w:fill="CCEEFF" w:val="clear"/>
            <w:vAlign w:val="center"/>
          </w:tcPr>
          <w:p>
            <w:pPr>
              <w:pStyle w:val="TableContents"/>
              <w:spacing w:before="0" w:after="0"/>
              <w:jc w:val="right"/>
              <w:rPr/>
            </w:pPr>
            <w:r>
              <w:rPr/>
              <w:t>—</w:t>
            </w:r>
          </w:p>
        </w:tc>
        <w:tc>
          <w:tcPr>
            <w:tcW w:w="44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064" w:type="dxa"/>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942" w:type="dxa"/>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98" w:type="dxa"/>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37" w:type="dxa"/>
            <w:tcBorders/>
            <w:shd w:fill="auto" w:val="clear"/>
            <w:vAlign w:val="center"/>
          </w:tcPr>
          <w:p>
            <w:pPr>
              <w:pStyle w:val="TableContents"/>
              <w:spacing w:before="0" w:after="0"/>
              <w:jc w:val="right"/>
              <w:rPr>
                <w:rFonts w:ascii="inherit" w:hAnsi="inherit"/>
                <w:sz w:val="17"/>
              </w:rPr>
            </w:pPr>
            <w:r>
              <w:rPr>
                <w:rFonts w:ascii="inherit" w:hAnsi="inherit"/>
                <w:sz w:val="17"/>
              </w:rPr>
              <w:t>38</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72" w:type="dxa"/>
            <w:tcBorders/>
            <w:shd w:fill="auto" w:val="clear"/>
            <w:vAlign w:val="center"/>
          </w:tcPr>
          <w:p>
            <w:pPr>
              <w:pStyle w:val="TableContents"/>
              <w:spacing w:before="0" w:after="0"/>
              <w:jc w:val="right"/>
              <w:rPr/>
            </w:pPr>
            <w:r>
              <w:rPr/>
              <w:t>—</w:t>
            </w:r>
          </w:p>
        </w:tc>
        <w:tc>
          <w:tcPr>
            <w:tcW w:w="44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064" w:type="dxa"/>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942" w:type="dxa"/>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1298" w:type="dxa"/>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37" w:type="dxa"/>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2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872" w:type="dxa"/>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44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3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064"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w:t>
            </w:r>
          </w:p>
        </w:tc>
        <w:tc>
          <w:tcPr>
            <w:tcW w:w="17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94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w:t>
            </w:r>
          </w:p>
        </w:tc>
        <w:tc>
          <w:tcPr>
            <w:tcW w:w="19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298"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3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(107</w:t>
            </w:r>
          </w:p>
        </w:tc>
        <w:tc>
          <w:tcPr>
            <w:tcW w:w="2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315" w:type="dxa"/>
            <w:gridSpan w:val="2"/>
            <w:tcBorders>
              <w:bottom w:val="single" w:sz="2" w:space="0" w:color="000000"/>
            </w:tcBorders>
            <w:shd w:fill="auto" w:val="clear"/>
            <w:tcMar>
              <w:bottom w:w="30" w:type="dxa"/>
            </w:tcMar>
            <w:vAlign w:val="center"/>
          </w:tcPr>
          <w:p>
            <w:pPr>
              <w:pStyle w:val="TableContents"/>
              <w:spacing w:before="0" w:after="0"/>
              <w:ind w:left="0" w:right="0" w:firstLine="180"/>
              <w:rPr/>
            </w:pPr>
            <w:r>
              <w:rPr/>
              <w:t> </w:t>
            </w:r>
          </w:p>
        </w:tc>
      </w:tr>
      <w:tr>
        <w:trPr/>
        <w:tc>
          <w:tcPr>
            <w:tcW w:w="3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06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1,030</w:t>
            </w:r>
          </w:p>
        </w:tc>
        <w:tc>
          <w:tcPr>
            <w:tcW w:w="17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94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312</w:t>
            </w:r>
          </w:p>
        </w:tc>
        <w:tc>
          <w:tcPr>
            <w:tcW w:w="19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98"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14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3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1,342</w:t>
            </w:r>
          </w:p>
        </w:tc>
        <w:tc>
          <w:tcPr>
            <w:tcW w:w="21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7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44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The following components comprised our total revenues for each of the last three fiscal years:</w:t>
      </w:r>
    </w:p>
    <w:tbl>
      <w:tblPr>
        <w:tblW w:w="10205" w:type="dxa"/>
        <w:jc w:val="left"/>
        <w:tblInd w:w="0" w:type="dxa"/>
        <w:tblCellMar>
          <w:top w:w="0" w:type="dxa"/>
          <w:left w:w="0" w:type="dxa"/>
          <w:bottom w:w="0" w:type="dxa"/>
          <w:right w:w="0" w:type="dxa"/>
        </w:tblCellMar>
      </w:tblPr>
      <w:tblGrid>
        <w:gridCol w:w="5898"/>
        <w:gridCol w:w="1043"/>
        <w:gridCol w:w="244"/>
        <w:gridCol w:w="151"/>
        <w:gridCol w:w="1043"/>
        <w:gridCol w:w="244"/>
        <w:gridCol w:w="151"/>
        <w:gridCol w:w="1043"/>
        <w:gridCol w:w="388"/>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5898"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898" w:type="dxa"/>
            <w:tcBorders/>
            <w:shd w:fill="auto" w:val="clear"/>
            <w:vAlign w:val="center"/>
          </w:tcPr>
          <w:p>
            <w:pPr>
              <w:pStyle w:val="TableContents"/>
              <w:spacing w:before="0" w:after="0"/>
              <w:ind w:left="0" w:right="0" w:firstLine="30"/>
              <w:jc w:val="left"/>
              <w:rPr/>
            </w:pPr>
            <w:r>
              <w:rPr/>
              <w:t> </w:t>
            </w:r>
          </w:p>
        </w:tc>
        <w:tc>
          <w:tcPr>
            <w:tcW w:w="4307"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898" w:type="dxa"/>
            <w:tcBorders/>
            <w:shd w:fill="auto" w:val="clear"/>
            <w:vAlign w:val="center"/>
          </w:tcPr>
          <w:p>
            <w:pPr>
              <w:pStyle w:val="TableContents"/>
              <w:spacing w:before="0" w:after="0"/>
              <w:ind w:left="0" w:right="0" w:firstLine="30"/>
              <w:jc w:val="left"/>
              <w:rPr/>
            </w:pPr>
            <w:r>
              <w:rPr/>
              <w:t> </w:t>
            </w:r>
          </w:p>
        </w:tc>
        <w:tc>
          <w:tcPr>
            <w:tcW w:w="128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1" w:type="dxa"/>
            <w:tcBorders/>
            <w:shd w:fill="auto" w:val="clear"/>
            <w:vAlign w:val="center"/>
          </w:tcPr>
          <w:p>
            <w:pPr>
              <w:pStyle w:val="TableContents"/>
              <w:spacing w:before="0" w:after="0"/>
              <w:ind w:left="0" w:right="0" w:firstLine="30"/>
              <w:rPr/>
            </w:pPr>
            <w:r>
              <w:rPr/>
              <w:t> </w:t>
            </w:r>
          </w:p>
        </w:tc>
        <w:tc>
          <w:tcPr>
            <w:tcW w:w="128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51" w:type="dxa"/>
            <w:tcBorders/>
            <w:shd w:fill="auto" w:val="clear"/>
            <w:vAlign w:val="center"/>
          </w:tcPr>
          <w:p>
            <w:pPr>
              <w:pStyle w:val="TableContents"/>
              <w:spacing w:before="0" w:after="0"/>
              <w:ind w:left="0" w:right="0" w:firstLine="30"/>
              <w:rPr/>
            </w:pPr>
            <w:r>
              <w:rPr/>
              <w:t> </w:t>
            </w:r>
          </w:p>
        </w:tc>
        <w:tc>
          <w:tcPr>
            <w:tcW w:w="143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04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36</w:t>
            </w:r>
          </w:p>
        </w:tc>
        <w:tc>
          <w:tcPr>
            <w:tcW w:w="24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04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33</w:t>
            </w:r>
          </w:p>
        </w:tc>
        <w:tc>
          <w:tcPr>
            <w:tcW w:w="24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04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34</w:t>
            </w:r>
          </w:p>
        </w:tc>
        <w:tc>
          <w:tcPr>
            <w:tcW w:w="388"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24</w:t>
            </w:r>
          </w:p>
        </w:tc>
        <w:tc>
          <w:tcPr>
            <w:tcW w:w="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043" w:type="dxa"/>
            <w:tcBorders/>
            <w:shd w:fill="CCEEFF" w:val="clear"/>
            <w:vAlign w:val="center"/>
          </w:tcPr>
          <w:p>
            <w:pPr>
              <w:pStyle w:val="TableContents"/>
              <w:spacing w:before="0" w:after="0"/>
              <w:jc w:val="right"/>
              <w:rPr>
                <w:rFonts w:ascii="inherit" w:hAnsi="inherit"/>
                <w:sz w:val="17"/>
              </w:rPr>
            </w:pPr>
            <w:r>
              <w:rPr>
                <w:rFonts w:ascii="inherit" w:hAnsi="inherit"/>
                <w:sz w:val="17"/>
              </w:rPr>
              <w:t>25</w:t>
            </w:r>
          </w:p>
        </w:tc>
        <w:tc>
          <w:tcPr>
            <w:tcW w:w="2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043" w:type="dxa"/>
            <w:tcBorders/>
            <w:shd w:fill="CCEEFF" w:val="clear"/>
            <w:vAlign w:val="center"/>
          </w:tcPr>
          <w:p>
            <w:pPr>
              <w:pStyle w:val="TableContents"/>
              <w:spacing w:before="0" w:after="0"/>
              <w:jc w:val="right"/>
              <w:rPr>
                <w:rFonts w:ascii="inherit" w:hAnsi="inherit"/>
                <w:sz w:val="17"/>
              </w:rPr>
            </w:pPr>
            <w:r>
              <w:rPr>
                <w:rFonts w:ascii="inherit" w:hAnsi="inherit"/>
                <w:sz w:val="17"/>
              </w:rPr>
              <w:t>24</w:t>
            </w:r>
          </w:p>
        </w:tc>
        <w:tc>
          <w:tcPr>
            <w:tcW w:w="2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043" w:type="dxa"/>
            <w:tcBorders/>
            <w:shd w:fill="CCEEFF" w:val="clear"/>
            <w:vAlign w:val="center"/>
          </w:tcPr>
          <w:p>
            <w:pPr>
              <w:pStyle w:val="TableContents"/>
              <w:spacing w:before="0" w:after="0"/>
              <w:jc w:val="right"/>
              <w:rPr>
                <w:rFonts w:ascii="inherit" w:hAnsi="inherit"/>
                <w:sz w:val="17"/>
              </w:rPr>
            </w:pPr>
            <w:r>
              <w:rPr>
                <w:rFonts w:ascii="inherit" w:hAnsi="inherit"/>
                <w:sz w:val="17"/>
              </w:rPr>
              <w:t>23</w:t>
            </w:r>
          </w:p>
        </w:tc>
        <w:tc>
          <w:tcPr>
            <w:tcW w:w="3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(including credit service) fees</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3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04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24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04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24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043"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88" w:type="dxa"/>
            <w:tcBorders>
              <w:bottom w:val="single" w:sz="2" w:space="0" w:color="000000"/>
            </w:tcBorders>
            <w:shd w:fill="CCEEFF" w:val="clear"/>
            <w:tcMar>
              <w:bottom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043"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100</w:t>
            </w:r>
          </w:p>
        </w:tc>
        <w:tc>
          <w:tcPr>
            <w:tcW w:w="244"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38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rFonts w:ascii="inherit" w:hAnsi="inherit"/>
          <w:b/>
          <w:sz w:val="17"/>
        </w:rPr>
      </w:pPr>
      <w:bookmarkStart w:id="7" w:name="sD945C63D0B4B731F25D383E287CEAE01"/>
      <w:bookmarkEnd w:id="7"/>
      <w:r>
        <w:rPr>
          <w:rFonts w:ascii="inherit" w:hAnsi="inherit"/>
          <w:b/>
          <w:sz w:val="17"/>
        </w:rPr>
        <w:t>Pawn and Retail Activities</w:t>
      </w:r>
    </w:p>
    <w:p>
      <w:pPr>
        <w:pStyle w:val="TextBody"/>
        <w:spacing w:lineRule="auto" w:line="288" w:before="0" w:after="0"/>
        <w:jc w:val="left"/>
        <w:rPr>
          <w:sz w:val="17"/>
        </w:rPr>
      </w:pPr>
      <w:r>
        <w:rPr>
          <w:rFonts w:ascii="inherit" w:hAnsi="inherit"/>
          <w:sz w:val="17"/>
        </w:rPr>
        <w:t xml:space="preserve">At our pawn stores, we make secured loans, which are typically small, non-recourse loans collateralized by tangible personal property. At September 30, 2013, we had an aggregate pawn loan principal balance of </w:t>
      </w:r>
      <w:r>
        <w:rPr>
          <w:rFonts w:ascii="inherit" w:hAnsi="inherit"/>
          <w:strike w:val="false"/>
          <w:dstrike w:val="false"/>
          <w:color w:val="000000"/>
          <w:sz w:val="17"/>
          <w:u w:val="none"/>
          <w:effect w:val="none"/>
        </w:rPr>
        <w:t>$156.6 million</w:t>
      </w:r>
      <w:r>
        <w:rPr>
          <w:rFonts w:ascii="inherit" w:hAnsi="inherit"/>
          <w:sz w:val="17"/>
        </w:rPr>
        <w:t xml:space="preserve">, and the average pawn loan was approximately $120. We earn pawn service charge revenue on our pawn lending. In fiscal 2013, pawn service charges accounted for approximately </w:t>
      </w:r>
      <w:r>
        <w:rPr>
          <w:rFonts w:ascii="inherit" w:hAnsi="inherit"/>
          <w:strike w:val="false"/>
          <w:dstrike w:val="false"/>
          <w:color w:val="000000"/>
          <w:sz w:val="17"/>
          <w:u w:val="none"/>
          <w:effect w:val="none"/>
        </w:rPr>
        <w:t>25%</w:t>
      </w:r>
      <w:r>
        <w:rPr>
          <w:sz w:val="17"/>
        </w:rPr>
        <w:t xml:space="preserve"> </w:t>
      </w:r>
      <w:r>
        <w:rPr>
          <w:rFonts w:ascii="inherit" w:hAnsi="inherit"/>
          <w:sz w:val="17"/>
        </w:rPr>
        <w:t xml:space="preserve">of our total revenues and </w:t>
      </w:r>
      <w:r>
        <w:rPr>
          <w:rFonts w:ascii="inherit" w:hAnsi="inherit"/>
          <w:strike w:val="false"/>
          <w:dstrike w:val="false"/>
          <w:color w:val="000000"/>
          <w:sz w:val="17"/>
          <w:u w:val="none"/>
          <w:effect w:val="none"/>
        </w:rPr>
        <w:t>39%</w:t>
      </w:r>
      <w:r>
        <w:rPr>
          <w:sz w:val="17"/>
        </w:rPr>
        <w:t xml:space="preserve"> </w:t>
      </w:r>
      <w:r>
        <w:rPr>
          <w:rFonts w:ascii="inherit" w:hAnsi="inherit"/>
          <w:sz w:val="17"/>
        </w:rPr>
        <w:t>of our net revenues.</w:t>
      </w:r>
    </w:p>
    <w:p>
      <w:pPr>
        <w:pStyle w:val="TextBody"/>
        <w:spacing w:lineRule="auto" w:line="288" w:before="0" w:after="0"/>
        <w:jc w:val="left"/>
        <w:rPr>
          <w:sz w:val="17"/>
        </w:rPr>
      </w:pPr>
      <w:r>
        <w:rPr>
          <w:rFonts w:ascii="inherit" w:hAnsi="inherit"/>
          <w:sz w:val="17"/>
        </w:rPr>
        <w:t xml:space="preserve">While allowable service charges vary by state and loan size, many of our U.S. pawn loans earn 20% per month. Our average U.S. pawn loan amount typically ranges between $130 and $135, but varies depending on the valuation of each item pawned. The total U.S. loan term ranges between 60 and 120 days, consisting of the primary term and grace period. In Mexico, pawn service charges range from 14% to 21% per month, including applicable taxes, with the majority of loans earning 21%. The total Mexico pawn loan term is 40 days, consisting of the primary term and grace period. Individual loans are made in Mexican pesos and vary depending on the valuation of each item pawned, but typically average U.S. $65. In fiscal </w:t>
      </w:r>
      <w:r>
        <w:rPr>
          <w:rFonts w:ascii="inherit" w:hAnsi="inherit"/>
          <w:strike w:val="false"/>
          <w:dstrike w:val="false"/>
          <w:color w:val="000000"/>
          <w:sz w:val="17"/>
          <w:u w:val="none"/>
          <w:effect w:val="none"/>
        </w:rPr>
        <w:t>2013</w:t>
      </w:r>
      <w:r>
        <w:rPr>
          <w:rFonts w:ascii="inherit" w:hAnsi="inherit"/>
          <w:sz w:val="17"/>
        </w:rPr>
        <w:t xml:space="preserve">,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2011, and on a consolidated basis, approximately </w:t>
      </w:r>
      <w:r>
        <w:rPr>
          <w:rFonts w:ascii="inherit" w:hAnsi="inherit"/>
          <w:strike w:val="false"/>
          <w:dstrike w:val="false"/>
          <w:color w:val="000000"/>
          <w:sz w:val="17"/>
          <w:u w:val="none"/>
          <w:effect w:val="none"/>
        </w:rPr>
        <w:t>82%</w:t>
      </w:r>
      <w:r>
        <w:rPr>
          <w:rFonts w:ascii="inherit" w:hAnsi="inherit"/>
          <w:sz w:val="17"/>
        </w:rPr>
        <w:t xml:space="preserve">, </w:t>
      </w:r>
      <w:r>
        <w:rPr>
          <w:rFonts w:ascii="inherit" w:hAnsi="inherit"/>
          <w:strike w:val="false"/>
          <w:dstrike w:val="false"/>
          <w:color w:val="000000"/>
          <w:sz w:val="17"/>
          <w:u w:val="none"/>
          <w:effect w:val="none"/>
        </w:rPr>
        <w:t>82%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81%</w:t>
      </w:r>
      <w:r>
        <w:rPr>
          <w:rFonts w:ascii="inherit" w:hAnsi="inherit"/>
          <w:sz w:val="17"/>
        </w:rPr>
        <w:t>, respectively, of our pawn loans were redeemed in full or were renewed or extended.</w:t>
      </w:r>
    </w:p>
    <w:p>
      <w:pPr>
        <w:pStyle w:val="TextBody"/>
        <w:spacing w:lineRule="auto" w:line="288" w:before="0" w:after="0"/>
        <w:jc w:val="left"/>
        <w:rPr>
          <w:rFonts w:ascii="inherit" w:hAnsi="inherit"/>
          <w:sz w:val="17"/>
        </w:rPr>
      </w:pPr>
      <w:r>
        <w:rPr>
          <w:rFonts w:ascii="inherit" w:hAnsi="inherit"/>
          <w:sz w:val="17"/>
        </w:rPr>
        <w:t xml:space="preserve">Collateral for our pawn loans consists of tangible personal property, generally jewelry, consumer electronics, tools, sporting goods and musical instruments. Approximately 55% of our pawn loan collateral is jewelry, and the vast majority of that is gold jewelry. We do not evaluate the creditworthiness of a pawn customer but rely on the estimated resale value of the collateral and the perceived probability of the loan’s redemption. We generally lend from 25% to 65% of the collateral’s estimated resale value depending on an evaluation of these factors, and up to 80% based on scrap value.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Through our lending guidelines, we targeted an annual redemption rate (the percentage of loans made that are repaid, renewed or extended) between 78% and 84% over the last three fiscal years. If a customer does not repay, renew or extend a loan, the collateral is forfeited to us and becomes inventory available for sale. We do not record loan losses or charge-offs of pawn loans because the principal amount of an unpaid loan becomes the inventory carrying cost of the forfeited collateral.</w:t>
      </w:r>
    </w:p>
    <w:p>
      <w:pPr>
        <w:pStyle w:val="TextBody"/>
        <w:spacing w:lineRule="auto" w:line="288" w:before="0" w:after="0"/>
        <w:jc w:val="left"/>
        <w:rPr>
          <w:sz w:val="17"/>
        </w:rPr>
      </w:pPr>
      <w:r>
        <w:rPr>
          <w:rFonts w:ascii="inherit" w:hAnsi="inherit"/>
          <w:sz w:val="17"/>
        </w:rPr>
        <w:t xml:space="preserve">The table below shows the dollar amount of our pawn loan activity for fiscal </w:t>
      </w:r>
      <w:r>
        <w:rPr>
          <w:rFonts w:ascii="inherit" w:hAnsi="inherit"/>
          <w:strike w:val="false"/>
          <w:dstrike w:val="false"/>
          <w:color w:val="000000"/>
          <w:sz w:val="17"/>
          <w:u w:val="none"/>
          <w:effect w:val="none"/>
        </w:rPr>
        <w:t>2013</w:t>
      </w:r>
      <w:r>
        <w:rPr>
          <w:rFonts w:ascii="inherit" w:hAnsi="inherit"/>
          <w:sz w:val="17"/>
        </w:rPr>
        <w:t xml:space="preserve">, </w:t>
      </w:r>
      <w:r>
        <w:rPr>
          <w:rFonts w:ascii="inherit" w:hAnsi="inherit"/>
          <w:strike w:val="false"/>
          <w:dstrike w:val="false"/>
          <w:color w:val="000000"/>
          <w:sz w:val="17"/>
          <w:u w:val="none"/>
          <w:effect w:val="none"/>
        </w:rPr>
        <w:t>2012</w:t>
      </w:r>
      <w:r>
        <w:rPr>
          <w:sz w:val="17"/>
        </w:rPr>
        <w:t xml:space="preserve"> </w:t>
      </w:r>
      <w:r>
        <w:rPr>
          <w:rFonts w:ascii="inherit" w:hAnsi="inherit"/>
          <w:sz w:val="17"/>
        </w:rPr>
        <w:t>and 2011:</w:t>
      </w:r>
    </w:p>
    <w:tbl>
      <w:tblPr>
        <w:tblW w:w="10205" w:type="dxa"/>
        <w:jc w:val="left"/>
        <w:tblInd w:w="0" w:type="dxa"/>
        <w:tblCellMar>
          <w:top w:w="0" w:type="dxa"/>
          <w:left w:w="0" w:type="dxa"/>
          <w:bottom w:w="0" w:type="dxa"/>
          <w:right w:w="0" w:type="dxa"/>
        </w:tblCellMar>
      </w:tblPr>
      <w:tblGrid>
        <w:gridCol w:w="6283"/>
        <w:gridCol w:w="125"/>
        <w:gridCol w:w="996"/>
        <w:gridCol w:w="120"/>
        <w:gridCol w:w="115"/>
        <w:gridCol w:w="125"/>
        <w:gridCol w:w="996"/>
        <w:gridCol w:w="120"/>
        <w:gridCol w:w="115"/>
        <w:gridCol w:w="125"/>
        <w:gridCol w:w="955"/>
        <w:gridCol w:w="130"/>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628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83" w:type="dxa"/>
            <w:tcBorders/>
            <w:shd w:fill="auto" w:val="clear"/>
            <w:vAlign w:val="center"/>
          </w:tcPr>
          <w:p>
            <w:pPr>
              <w:pStyle w:val="TableContents"/>
              <w:spacing w:before="0" w:after="0"/>
              <w:ind w:left="0" w:right="0" w:firstLine="30"/>
              <w:jc w:val="left"/>
              <w:rPr/>
            </w:pPr>
            <w:r>
              <w:rPr/>
              <w:t> </w:t>
            </w:r>
          </w:p>
        </w:tc>
        <w:tc>
          <w:tcPr>
            <w:tcW w:w="392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283" w:type="dxa"/>
            <w:tcBorders/>
            <w:shd w:fill="auto" w:val="clear"/>
            <w:vAlign w:val="center"/>
          </w:tcPr>
          <w:p>
            <w:pPr>
              <w:pStyle w:val="TableContents"/>
              <w:spacing w:before="0" w:after="0"/>
              <w:ind w:left="0" w:right="0" w:firstLine="30"/>
              <w:jc w:val="left"/>
              <w:rPr/>
            </w:pPr>
            <w:r>
              <w:rPr/>
              <w:t> </w:t>
            </w:r>
          </w:p>
        </w:tc>
        <w:tc>
          <w:tcPr>
            <w:tcW w:w="12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15" w:type="dxa"/>
            <w:tcBorders/>
            <w:shd w:fill="auto" w:val="clear"/>
            <w:vAlign w:val="center"/>
          </w:tcPr>
          <w:p>
            <w:pPr>
              <w:pStyle w:val="TableContents"/>
              <w:spacing w:before="0" w:after="0"/>
              <w:ind w:left="0" w:right="0" w:firstLine="30"/>
              <w:rPr/>
            </w:pPr>
            <w:r>
              <w:rPr/>
              <w:t> </w:t>
            </w:r>
          </w:p>
        </w:tc>
        <w:tc>
          <w:tcPr>
            <w:tcW w:w="124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5" w:type="dxa"/>
            <w:tcBorders/>
            <w:shd w:fill="auto" w:val="clear"/>
            <w:vAlign w:val="center"/>
          </w:tcPr>
          <w:p>
            <w:pPr>
              <w:pStyle w:val="TableContents"/>
              <w:spacing w:before="0" w:after="0"/>
              <w:ind w:left="0" w:right="0" w:firstLine="30"/>
              <w:rPr/>
            </w:pPr>
            <w:r>
              <w:rPr/>
              <w:t> </w:t>
            </w:r>
          </w:p>
        </w:tc>
        <w:tc>
          <w:tcPr>
            <w:tcW w:w="121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283" w:type="dxa"/>
            <w:tcBorders/>
            <w:shd w:fill="auto" w:val="clear"/>
            <w:vAlign w:val="center"/>
          </w:tcPr>
          <w:p>
            <w:pPr>
              <w:pStyle w:val="TableContents"/>
              <w:spacing w:before="0" w:after="0"/>
              <w:ind w:left="0" w:right="0" w:firstLine="30"/>
              <w:jc w:val="left"/>
              <w:rPr/>
            </w:pPr>
            <w:r>
              <w:rPr/>
              <w:t> </w:t>
            </w:r>
          </w:p>
        </w:tc>
        <w:tc>
          <w:tcPr>
            <w:tcW w:w="3922"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r>
      <w:tr>
        <w:trPr/>
        <w:tc>
          <w:tcPr>
            <w:tcW w:w="6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made</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shd w:fill="CCEEFF" w:val="clear"/>
            <w:vAlign w:val="center"/>
          </w:tcPr>
          <w:p>
            <w:pPr>
              <w:pStyle w:val="TableContents"/>
              <w:spacing w:before="0" w:after="0"/>
              <w:jc w:val="right"/>
              <w:rPr>
                <w:rFonts w:ascii="inherit" w:hAnsi="inherit"/>
                <w:sz w:val="17"/>
              </w:rPr>
            </w:pPr>
            <w:r>
              <w:rPr>
                <w:rFonts w:ascii="inherit" w:hAnsi="inherit"/>
                <w:sz w:val="17"/>
              </w:rPr>
              <w:t>595.4</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shd w:fill="CCEEFF" w:val="clear"/>
            <w:vAlign w:val="center"/>
          </w:tcPr>
          <w:p>
            <w:pPr>
              <w:pStyle w:val="TableContents"/>
              <w:spacing w:before="0" w:after="0"/>
              <w:jc w:val="right"/>
              <w:rPr>
                <w:rFonts w:ascii="inherit" w:hAnsi="inherit"/>
                <w:sz w:val="17"/>
              </w:rPr>
            </w:pPr>
            <w:r>
              <w:rPr>
                <w:rFonts w:ascii="inherit" w:hAnsi="inherit"/>
                <w:sz w:val="17"/>
              </w:rPr>
              <w:t>572.0</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5" w:type="dxa"/>
            <w:tcBorders/>
            <w:shd w:fill="CCEEFF" w:val="clear"/>
            <w:vAlign w:val="center"/>
          </w:tcPr>
          <w:p>
            <w:pPr>
              <w:pStyle w:val="TableContents"/>
              <w:spacing w:before="0" w:after="0"/>
              <w:jc w:val="right"/>
              <w:rPr>
                <w:rFonts w:ascii="inherit" w:hAnsi="inherit"/>
                <w:sz w:val="17"/>
              </w:rPr>
            </w:pPr>
            <w:r>
              <w:rPr>
                <w:rFonts w:ascii="inherit" w:hAnsi="inherit"/>
                <w:sz w:val="17"/>
              </w:rPr>
              <w:t>505.2</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repaid</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(339.3</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(318.9</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(273.5</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forfeited</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(261.8</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(245.6</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(215.3</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acquired in business acquisitions</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(0.3</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pPr>
            <w:r>
              <w:rPr/>
              <w:t>—</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due to foreign currency exchange fluctuations</w:t>
            </w:r>
          </w:p>
        </w:tc>
        <w:tc>
          <w:tcPr>
            <w:tcW w:w="112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(0.7</w:t>
            </w:r>
          </w:p>
        </w:tc>
        <w:tc>
          <w:tcPr>
            <w:tcW w:w="12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w:t>
            </w:r>
          </w:p>
        </w:tc>
        <w:tc>
          <w:tcPr>
            <w:tcW w:w="12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(0.9</w:t>
            </w:r>
          </w:p>
        </w:tc>
        <w:tc>
          <w:tcPr>
            <w:tcW w:w="13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283"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Net (decrease) increase in pawn loans outstanding at the end of the year</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120"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12.3</w:t>
            </w:r>
          </w:p>
        </w:tc>
        <w:tc>
          <w:tcPr>
            <w:tcW w:w="12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24.1</w:t>
            </w:r>
          </w:p>
        </w:tc>
        <w:tc>
          <w:tcPr>
            <w:tcW w:w="1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renewed</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shd w:fill="auto" w:val="clear"/>
            <w:vAlign w:val="center"/>
          </w:tcPr>
          <w:p>
            <w:pPr>
              <w:pStyle w:val="TableContents"/>
              <w:spacing w:before="0" w:after="0"/>
              <w:jc w:val="right"/>
              <w:rPr>
                <w:rFonts w:ascii="inherit" w:hAnsi="inherit"/>
                <w:sz w:val="17"/>
              </w:rPr>
            </w:pPr>
            <w:r>
              <w:rPr>
                <w:rFonts w:ascii="inherit" w:hAnsi="inherit"/>
                <w:sz w:val="17"/>
              </w:rPr>
              <w:t>247.3</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shd w:fill="auto" w:val="clear"/>
            <w:vAlign w:val="center"/>
          </w:tcPr>
          <w:p>
            <w:pPr>
              <w:pStyle w:val="TableContents"/>
              <w:spacing w:before="0" w:after="0"/>
              <w:jc w:val="right"/>
              <w:rPr>
                <w:rFonts w:ascii="inherit" w:hAnsi="inherit"/>
                <w:sz w:val="17"/>
              </w:rPr>
            </w:pPr>
            <w:r>
              <w:rPr>
                <w:rFonts w:ascii="inherit" w:hAnsi="inherit"/>
                <w:sz w:val="17"/>
              </w:rPr>
              <w:t>221.6</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5" w:type="dxa"/>
            <w:tcBorders/>
            <w:shd w:fill="auto" w:val="clear"/>
            <w:vAlign w:val="center"/>
          </w:tcPr>
          <w:p>
            <w:pPr>
              <w:pStyle w:val="TableContents"/>
              <w:spacing w:before="0" w:after="0"/>
              <w:jc w:val="right"/>
              <w:rPr>
                <w:rFonts w:ascii="inherit" w:hAnsi="inherit"/>
                <w:sz w:val="17"/>
              </w:rPr>
            </w:pPr>
            <w:r>
              <w:rPr>
                <w:rFonts w:ascii="inherit" w:hAnsi="inherit"/>
                <w:sz w:val="17"/>
              </w:rPr>
              <w:t>173.4</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extended</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shd w:fill="CCEEFF" w:val="clear"/>
            <w:vAlign w:val="center"/>
          </w:tcPr>
          <w:p>
            <w:pPr>
              <w:pStyle w:val="TableContents"/>
              <w:spacing w:before="0" w:after="0"/>
              <w:jc w:val="right"/>
              <w:rPr>
                <w:rFonts w:ascii="inherit" w:hAnsi="inherit"/>
                <w:sz w:val="17"/>
              </w:rPr>
            </w:pPr>
            <w:r>
              <w:rPr>
                <w:rFonts w:ascii="inherit" w:hAnsi="inherit"/>
                <w:sz w:val="17"/>
              </w:rPr>
              <w:t>1,407.4</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shd w:fill="CCEEFF" w:val="clear"/>
            <w:vAlign w:val="center"/>
          </w:tcPr>
          <w:p>
            <w:pPr>
              <w:pStyle w:val="TableContents"/>
              <w:spacing w:before="0" w:after="0"/>
              <w:jc w:val="right"/>
              <w:rPr>
                <w:rFonts w:ascii="inherit" w:hAnsi="inherit"/>
                <w:sz w:val="17"/>
              </w:rPr>
            </w:pPr>
            <w:r>
              <w:rPr>
                <w:rFonts w:ascii="inherit" w:hAnsi="inherit"/>
                <w:sz w:val="17"/>
              </w:rPr>
              <w:t>1,234.2</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5" w:type="dxa"/>
            <w:tcBorders/>
            <w:shd w:fill="CCEEFF" w:val="clear"/>
            <w:vAlign w:val="center"/>
          </w:tcPr>
          <w:p>
            <w:pPr>
              <w:pStyle w:val="TableContents"/>
              <w:spacing w:before="0" w:after="0"/>
              <w:jc w:val="right"/>
              <w:rPr>
                <w:rFonts w:ascii="inherit" w:hAnsi="inherit"/>
                <w:sz w:val="17"/>
              </w:rPr>
            </w:pPr>
            <w:r>
              <w:rPr>
                <w:rFonts w:ascii="inherit" w:hAnsi="inherit"/>
                <w:sz w:val="17"/>
              </w:rPr>
              <w:t>979.6</w:t>
            </w:r>
          </w:p>
        </w:tc>
        <w:tc>
          <w:tcPr>
            <w:tcW w:w="130"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The redemption rate of pawn loans and the gross profit realized on the sale of forfeited collateral are dependent on the loan value of customer merchandise. Jewelry can be appraised based on weight, gold content, style and value of gemstones. Other items pawned typically consist of consumer electronics, tools, sporting goods and musical instruments. These are evaluated based on recent sales experience and the selling price of similar new merchandise, adjusted for age, wear and obsolescence.</w:t>
      </w:r>
    </w:p>
    <w:p>
      <w:pPr>
        <w:pStyle w:val="TextBody"/>
        <w:spacing w:lineRule="auto" w:line="288" w:before="0" w:after="0"/>
        <w:jc w:val="left"/>
        <w:rPr>
          <w:rFonts w:ascii="inherit" w:hAnsi="inherit"/>
          <w:sz w:val="17"/>
        </w:rPr>
      </w:pPr>
      <w:r>
        <w:rPr>
          <w:rFonts w:ascii="inherit" w:hAnsi="inherit"/>
          <w:sz w:val="17"/>
        </w:rPr>
        <w:t>At the time a pawn loan is made, the customer is given a pawn ticket, which shows the name and address of the pawn store and the customer, the customer’s identification information, the date of the loan, a detailed description of the pledged goods, the amount financed, the pawn service charge, the maturity date of the loan, the total amount that must be paid to redeem the loan and the annual percentage rate.</w:t>
      </w:r>
    </w:p>
    <w:p>
      <w:pPr>
        <w:pStyle w:val="TextBody"/>
        <w:spacing w:lineRule="auto" w:line="288" w:before="0" w:after="0"/>
        <w:jc w:val="left"/>
        <w:rPr>
          <w:sz w:val="17"/>
        </w:rPr>
      </w:pPr>
      <w:r>
        <w:rPr>
          <w:rFonts w:ascii="inherit" w:hAnsi="inherit"/>
          <w:sz w:val="17"/>
        </w:rPr>
        <w:t xml:space="preserve">In our pawn stores and buy/sell stores, we acquire inventory for retail sales through pawn loan forfeitures and through purchases of customers’ merchandise and purchases of new or refurbished merchandise from third party vendors. We believe our ability to offer quality second-hand goods and refurbished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 During fiscal </w:t>
      </w:r>
      <w:r>
        <w:rPr>
          <w:rFonts w:ascii="inherit" w:hAnsi="inherit"/>
          <w:strike w:val="false"/>
          <w:dstrike w:val="false"/>
          <w:color w:val="000000"/>
          <w:sz w:val="17"/>
          <w:u w:val="none"/>
          <w:effect w:val="none"/>
        </w:rPr>
        <w:t>2013</w:t>
      </w:r>
      <w:r>
        <w:rPr>
          <w:rFonts w:ascii="inherit" w:hAnsi="inherit"/>
          <w:sz w:val="17"/>
        </w:rPr>
        <w:t xml:space="preserve">, </w:t>
      </w:r>
      <w:r>
        <w:rPr>
          <w:rFonts w:ascii="inherit" w:hAnsi="inherit"/>
          <w:strike w:val="false"/>
          <w:dstrike w:val="false"/>
          <w:color w:val="000000"/>
          <w:sz w:val="17"/>
          <w:u w:val="none"/>
          <w:effect w:val="none"/>
        </w:rPr>
        <w:t>2012</w:t>
      </w:r>
      <w:r>
        <w:rPr>
          <w:sz w:val="17"/>
        </w:rPr>
        <w:t xml:space="preserve"> </w:t>
      </w:r>
      <w:r>
        <w:rPr>
          <w:rFonts w:ascii="inherit" w:hAnsi="inherit"/>
          <w:sz w:val="17"/>
        </w:rPr>
        <w:t>and 2011, we realized gross margins on retail sales of 41%, 43%</w:t>
      </w:r>
      <w:r>
        <w:rPr>
          <w:sz w:val="17"/>
        </w:rPr>
        <w:t xml:space="preserve"> </w:t>
      </w:r>
      <w:r>
        <w:rPr>
          <w:rFonts w:ascii="inherit" w:hAnsi="inherit"/>
          <w:sz w:val="17"/>
        </w:rPr>
        <w:t>and 43%, respectively.</w:t>
      </w:r>
    </w:p>
    <w:p>
      <w:pPr>
        <w:pStyle w:val="TextBody"/>
        <w:spacing w:lineRule="auto" w:line="288" w:before="0" w:after="0"/>
        <w:jc w:val="left"/>
        <w:rPr>
          <w:rFonts w:ascii="inherit" w:hAnsi="inherit"/>
          <w:sz w:val="17"/>
        </w:rPr>
      </w:pPr>
      <w:r>
        <w:rPr>
          <w:rFonts w:ascii="inherit" w:hAnsi="inherit"/>
          <w:sz w:val="17"/>
        </w:rPr>
        <w:t>During the three most recent fiscal years, sources of inventory additions were:</w:t>
      </w:r>
    </w:p>
    <w:tbl>
      <w:tblPr>
        <w:tblW w:w="10205" w:type="dxa"/>
        <w:jc w:val="left"/>
        <w:tblInd w:w="0" w:type="dxa"/>
        <w:tblCellMar>
          <w:top w:w="0" w:type="dxa"/>
          <w:left w:w="0" w:type="dxa"/>
          <w:bottom w:w="0" w:type="dxa"/>
          <w:right w:w="0" w:type="dxa"/>
        </w:tblCellMar>
      </w:tblPr>
      <w:tblGrid>
        <w:gridCol w:w="6041"/>
        <w:gridCol w:w="1057"/>
        <w:gridCol w:w="228"/>
        <w:gridCol w:w="147"/>
        <w:gridCol w:w="1057"/>
        <w:gridCol w:w="228"/>
        <w:gridCol w:w="147"/>
        <w:gridCol w:w="1057"/>
        <w:gridCol w:w="243"/>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6041"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41" w:type="dxa"/>
            <w:tcBorders/>
            <w:shd w:fill="auto" w:val="clear"/>
            <w:vAlign w:val="center"/>
          </w:tcPr>
          <w:p>
            <w:pPr>
              <w:pStyle w:val="TableContents"/>
              <w:spacing w:before="0" w:after="0"/>
              <w:ind w:left="0" w:right="0" w:firstLine="30"/>
              <w:jc w:val="left"/>
              <w:rPr/>
            </w:pPr>
            <w:r>
              <w:rPr/>
              <w:t> </w:t>
            </w:r>
          </w:p>
        </w:tc>
        <w:tc>
          <w:tcPr>
            <w:tcW w:w="4164"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041" w:type="dxa"/>
            <w:tcBorders/>
            <w:shd w:fill="auto" w:val="clear"/>
            <w:vAlign w:val="center"/>
          </w:tcPr>
          <w:p>
            <w:pPr>
              <w:pStyle w:val="TableContents"/>
              <w:spacing w:before="0" w:after="0"/>
              <w:ind w:left="0" w:right="0" w:firstLine="30"/>
              <w:jc w:val="left"/>
              <w:rPr/>
            </w:pPr>
            <w:r>
              <w:rPr/>
              <w:t> </w:t>
            </w:r>
          </w:p>
        </w:tc>
        <w:tc>
          <w:tcPr>
            <w:tcW w:w="128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7" w:type="dxa"/>
            <w:tcBorders/>
            <w:shd w:fill="auto" w:val="clear"/>
            <w:vAlign w:val="center"/>
          </w:tcPr>
          <w:p>
            <w:pPr>
              <w:pStyle w:val="TableContents"/>
              <w:spacing w:before="0" w:after="0"/>
              <w:ind w:left="0" w:right="0" w:firstLine="30"/>
              <w:rPr/>
            </w:pPr>
            <w:r>
              <w:rPr/>
              <w:t> </w:t>
            </w:r>
          </w:p>
        </w:tc>
        <w:tc>
          <w:tcPr>
            <w:tcW w:w="128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7" w:type="dxa"/>
            <w:tcBorders/>
            <w:shd w:fill="auto" w:val="clear"/>
            <w:vAlign w:val="center"/>
          </w:tcPr>
          <w:p>
            <w:pPr>
              <w:pStyle w:val="TableContents"/>
              <w:spacing w:before="0" w:after="0"/>
              <w:ind w:left="0" w:right="0" w:firstLine="30"/>
              <w:rPr/>
            </w:pPr>
            <w:r>
              <w:rPr/>
              <w:t> </w:t>
            </w:r>
          </w:p>
        </w:tc>
        <w:tc>
          <w:tcPr>
            <w:tcW w:w="130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Forfeited pawn loan collateral</w:t>
            </w:r>
          </w:p>
        </w:tc>
        <w:tc>
          <w:tcPr>
            <w:tcW w:w="105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72</w:t>
            </w:r>
          </w:p>
        </w:tc>
        <w:tc>
          <w:tcPr>
            <w:tcW w:w="228"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CCEEFF" w:val="clear"/>
            <w:vAlign w:val="center"/>
          </w:tcPr>
          <w:p>
            <w:pPr>
              <w:pStyle w:val="TableContents"/>
              <w:spacing w:before="0" w:after="0"/>
              <w:ind w:left="0" w:right="0" w:firstLine="30"/>
              <w:rPr/>
            </w:pPr>
            <w:r>
              <w:rPr/>
              <w:t> </w:t>
            </w:r>
          </w:p>
        </w:tc>
        <w:tc>
          <w:tcPr>
            <w:tcW w:w="105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72</w:t>
            </w:r>
          </w:p>
        </w:tc>
        <w:tc>
          <w:tcPr>
            <w:tcW w:w="228"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CCEEFF" w:val="clear"/>
            <w:vAlign w:val="center"/>
          </w:tcPr>
          <w:p>
            <w:pPr>
              <w:pStyle w:val="TableContents"/>
              <w:spacing w:before="0" w:after="0"/>
              <w:ind w:left="0" w:right="0" w:firstLine="30"/>
              <w:rPr/>
            </w:pPr>
            <w:r>
              <w:rPr/>
              <w:t> </w:t>
            </w:r>
          </w:p>
        </w:tc>
        <w:tc>
          <w:tcPr>
            <w:tcW w:w="105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68</w:t>
            </w:r>
          </w:p>
        </w:tc>
        <w:tc>
          <w:tcPr>
            <w:tcW w:w="243"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Purchases </w:t>
            </w:r>
          </w:p>
        </w:tc>
        <w:tc>
          <w:tcPr>
            <w:tcW w:w="1057" w:type="dxa"/>
            <w:tcBorders/>
            <w:shd w:fill="auto" w:val="clear"/>
            <w:vAlign w:val="center"/>
          </w:tcPr>
          <w:p>
            <w:pPr>
              <w:pStyle w:val="TableContents"/>
              <w:spacing w:before="0" w:after="0"/>
              <w:jc w:val="right"/>
              <w:rPr>
                <w:rFonts w:ascii="inherit" w:hAnsi="inherit"/>
                <w:sz w:val="17"/>
              </w:rPr>
            </w:pPr>
            <w:r>
              <w:rPr>
                <w:rFonts w:ascii="inherit" w:hAnsi="inherit"/>
                <w:sz w:val="17"/>
              </w:rPr>
              <w:t>27</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auto" w:val="clear"/>
            <w:vAlign w:val="center"/>
          </w:tcPr>
          <w:p>
            <w:pPr>
              <w:pStyle w:val="TableContents"/>
              <w:spacing w:before="0" w:after="0"/>
              <w:ind w:left="0" w:right="0" w:firstLine="30"/>
              <w:rPr/>
            </w:pPr>
            <w:r>
              <w:rPr/>
              <w:t> </w:t>
            </w:r>
          </w:p>
        </w:tc>
        <w:tc>
          <w:tcPr>
            <w:tcW w:w="1057" w:type="dxa"/>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auto" w:val="clear"/>
            <w:vAlign w:val="center"/>
          </w:tcPr>
          <w:p>
            <w:pPr>
              <w:pStyle w:val="TableContents"/>
              <w:spacing w:before="0" w:after="0"/>
              <w:ind w:left="0" w:right="0" w:firstLine="30"/>
              <w:rPr/>
            </w:pPr>
            <w:r>
              <w:rPr/>
              <w:t> </w:t>
            </w:r>
          </w:p>
        </w:tc>
        <w:tc>
          <w:tcPr>
            <w:tcW w:w="1057" w:type="dxa"/>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2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Acquired in business acquisitions</w:t>
            </w:r>
          </w:p>
        </w:tc>
        <w:tc>
          <w:tcPr>
            <w:tcW w:w="1057"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2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CCEEFF" w:val="clear"/>
            <w:vAlign w:val="center"/>
          </w:tcPr>
          <w:p>
            <w:pPr>
              <w:pStyle w:val="TableContents"/>
              <w:spacing w:before="0" w:after="0"/>
              <w:ind w:left="0" w:right="0" w:firstLine="30"/>
              <w:rPr/>
            </w:pPr>
            <w:r>
              <w:rPr/>
              <w:t> </w:t>
            </w:r>
          </w:p>
        </w:tc>
        <w:tc>
          <w:tcPr>
            <w:tcW w:w="105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22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CCEEFF" w:val="clear"/>
            <w:vAlign w:val="center"/>
          </w:tcPr>
          <w:p>
            <w:pPr>
              <w:pStyle w:val="TableContents"/>
              <w:spacing w:before="0" w:after="0"/>
              <w:ind w:left="0" w:right="0" w:firstLine="30"/>
              <w:rPr/>
            </w:pPr>
            <w:r>
              <w:rPr/>
              <w:t> </w:t>
            </w:r>
          </w:p>
        </w:tc>
        <w:tc>
          <w:tcPr>
            <w:tcW w:w="1057" w:type="dxa"/>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41"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Total</w:t>
            </w:r>
          </w:p>
        </w:tc>
        <w:tc>
          <w:tcPr>
            <w:tcW w:w="10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w:t>
            </w:r>
          </w:p>
        </w:tc>
        <w:tc>
          <w:tcPr>
            <w:tcW w:w="2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auto" w:val="clear"/>
            <w:vAlign w:val="center"/>
          </w:tcPr>
          <w:p>
            <w:pPr>
              <w:pStyle w:val="TableContents"/>
              <w:spacing w:before="0" w:after="0"/>
              <w:ind w:left="0" w:right="0" w:firstLine="30"/>
              <w:rPr/>
            </w:pPr>
            <w:r>
              <w:rPr/>
              <w:t> </w:t>
            </w:r>
          </w:p>
        </w:tc>
        <w:tc>
          <w:tcPr>
            <w:tcW w:w="10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w:t>
            </w:r>
          </w:p>
        </w:tc>
        <w:tc>
          <w:tcPr>
            <w:tcW w:w="2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auto" w:val="clear"/>
            <w:vAlign w:val="center"/>
          </w:tcPr>
          <w:p>
            <w:pPr>
              <w:pStyle w:val="TableContents"/>
              <w:spacing w:before="0" w:after="0"/>
              <w:ind w:left="0" w:right="0" w:firstLine="30"/>
              <w:rPr/>
            </w:pPr>
            <w:r>
              <w:rPr/>
              <w:t> </w:t>
            </w:r>
          </w:p>
        </w:tc>
        <w:tc>
          <w:tcPr>
            <w:tcW w:w="10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w:t>
            </w:r>
          </w:p>
        </w:tc>
        <w:tc>
          <w:tcPr>
            <w:tcW w:w="2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sz w:val="17"/>
        </w:rPr>
      </w:pPr>
      <w:r>
        <w:rPr>
          <w:rFonts w:ascii="inherit" w:hAnsi="inherit"/>
          <w:sz w:val="17"/>
        </w:rPr>
        <w:t xml:space="preserve">For fiscal </w:t>
      </w:r>
      <w:r>
        <w:rPr>
          <w:rFonts w:ascii="inherit" w:hAnsi="inherit"/>
          <w:strike w:val="false"/>
          <w:dstrike w:val="false"/>
          <w:color w:val="000000"/>
          <w:sz w:val="17"/>
          <w:u w:val="none"/>
          <w:effect w:val="none"/>
        </w:rPr>
        <w:t>2013</w:t>
      </w:r>
      <w:r>
        <w:rPr>
          <w:rFonts w:ascii="inherit" w:hAnsi="inherit"/>
          <w:sz w:val="17"/>
        </w:rPr>
        <w:t xml:space="preserve">,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2011, retail activities and jewelry scrapping (sales of precious metals and gemstones to refiners and gemstone wholesalers) accounted for approximately 49%, </w:t>
      </w:r>
      <w:r>
        <w:rPr>
          <w:rFonts w:ascii="inherit" w:hAnsi="inherit"/>
          <w:strike w:val="false"/>
          <w:dstrike w:val="false"/>
          <w:color w:val="000000"/>
          <w:sz w:val="17"/>
          <w:u w:val="none"/>
          <w:effect w:val="none"/>
        </w:rPr>
        <w:t>55%</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58%</w:t>
      </w:r>
      <w:r>
        <w:rPr>
          <w:rFonts w:ascii="inherit" w:hAnsi="inherit"/>
          <w:sz w:val="17"/>
        </w:rPr>
        <w:t xml:space="preserve">, respectively, of our total revenues, or </w:t>
      </w:r>
      <w:r>
        <w:rPr>
          <w:rFonts w:ascii="inherit" w:hAnsi="inherit"/>
          <w:strike w:val="false"/>
          <w:dstrike w:val="false"/>
          <w:color w:val="000000"/>
          <w:sz w:val="17"/>
          <w:u w:val="none"/>
          <w:effect w:val="none"/>
        </w:rPr>
        <w:t>29%</w:t>
      </w:r>
      <w:r>
        <w:rPr>
          <w:rFonts w:ascii="inherit" w:hAnsi="inherit"/>
          <w:sz w:val="17"/>
        </w:rPr>
        <w:t xml:space="preserve">, </w:t>
      </w:r>
      <w:r>
        <w:rPr>
          <w:rFonts w:ascii="inherit" w:hAnsi="inherit"/>
          <w:strike w:val="false"/>
          <w:dstrike w:val="false"/>
          <w:color w:val="000000"/>
          <w:sz w:val="17"/>
          <w:u w:val="none"/>
          <w:effect w:val="none"/>
        </w:rPr>
        <w:t>35%</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37%</w:t>
      </w:r>
      <w:r>
        <w:rPr>
          <w:rFonts w:ascii="inherit" w:hAnsi="inherit"/>
          <w:sz w:val="17"/>
        </w:rPr>
        <w:t xml:space="preserve">, respectively, of net revenues. As a significant portion of our inventory and sales involve gold jewelry, our results can be heavily influenced by the market price of gold. </w:t>
      </w:r>
    </w:p>
    <w:p>
      <w:pPr>
        <w:pStyle w:val="TextBody"/>
        <w:spacing w:lineRule="auto" w:line="288" w:before="0" w:after="0"/>
        <w:jc w:val="left"/>
        <w:rPr>
          <w:rFonts w:ascii="inherit" w:hAnsi="inherit"/>
          <w:sz w:val="17"/>
        </w:rPr>
      </w:pPr>
      <w:r>
        <w:rPr>
          <w:rFonts w:ascii="inherit" w:hAnsi="inherit"/>
          <w:sz w:val="17"/>
        </w:rPr>
        <w:t>Customers may purchase a product protection plan that allows them to return or exchange certain general merchandise (non-jewelry) sold through our retail pawn operations within three to six months of purchase. We recognize the fees for this service as revenue ratably over the three to six month period of the plan.</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 xml:space="preserve">We also offer a jewelry VIP package, which guarantees customers a minimum future pawn loan amount on the item sold, allows them full credit if they trade in the item to purchase a more expensive piece of jewelry, and provides minor repair service on the item sold. These fees are recognized on sale. </w:t>
      </w:r>
    </w:p>
    <w:p>
      <w:pPr>
        <w:pStyle w:val="TextBody"/>
        <w:spacing w:lineRule="auto" w:line="288" w:before="0" w:after="0"/>
        <w:jc w:val="left"/>
        <w:rPr>
          <w:sz w:val="17"/>
        </w:rPr>
      </w:pPr>
      <w:r>
        <w:rPr>
          <w:rFonts w:ascii="inherit" w:hAnsi="inherit"/>
          <w:sz w:val="17"/>
        </w:rPr>
        <w:t>Customers may also purchase an item on layaway by paying a minimum layaway deposit of typically 10% to 20% of the item’s sale price. We hold the item for a 60 to 180-day period, during which the customer is required to pay the balance of the sales price. The initial deposit and subsequent payments are recorded as customer layaway deposits. Layaways are recorded as sales when paid in full. As of September 30, 2013, we held $8.6 million</w:t>
      </w:r>
      <w:r>
        <w:rPr>
          <w:sz w:val="17"/>
        </w:rPr>
        <w:t xml:space="preserve"> </w:t>
      </w:r>
      <w:r>
        <w:rPr>
          <w:rFonts w:ascii="inherit" w:hAnsi="inherit"/>
          <w:sz w:val="17"/>
        </w:rPr>
        <w:t>in customer layaway deposits. We record product protection, jewelry VIP and layaway fees as sales revenue, as they are incidental to sales of merchandise.</w:t>
      </w:r>
    </w:p>
    <w:p>
      <w:pPr>
        <w:pStyle w:val="TextBody"/>
        <w:spacing w:lineRule="auto" w:line="288" w:before="0" w:after="0"/>
        <w:jc w:val="left"/>
        <w:rPr>
          <w:sz w:val="17"/>
        </w:rPr>
      </w:pPr>
      <w:r>
        <w:rPr>
          <w:rFonts w:ascii="inherit" w:hAnsi="inherit"/>
          <w:sz w:val="17"/>
        </w:rPr>
        <w:t xml:space="preserve">Our inventory is stated at the lower of cost or market.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w:t>
      </w:r>
      <w:r>
        <w:rPr>
          <w:rFonts w:ascii="inherit" w:hAnsi="inherit"/>
          <w:strike w:val="false"/>
          <w:dstrike w:val="false"/>
          <w:color w:val="000000"/>
          <w:sz w:val="17"/>
          <w:u w:val="none"/>
          <w:effect w:val="none"/>
        </w:rPr>
        <w:t>2.8%</w:t>
      </w:r>
      <w:r>
        <w:rPr>
          <w:sz w:val="17"/>
        </w:rPr>
        <w:t xml:space="preserve"> </w:t>
      </w:r>
      <w:r>
        <w:rPr>
          <w:rFonts w:ascii="inherit" w:hAnsi="inherit"/>
          <w:sz w:val="17"/>
        </w:rPr>
        <w:t>of gross inventory at September 30, 2013</w:t>
      </w:r>
      <w:r>
        <w:rPr>
          <w:sz w:val="17"/>
        </w:rPr>
        <w:t xml:space="preserve"> </w:t>
      </w:r>
      <w:r>
        <w:rPr>
          <w:rFonts w:ascii="inherit" w:hAnsi="inherit"/>
          <w:sz w:val="17"/>
        </w:rPr>
        <w:t xml:space="preserve">compared to </w:t>
      </w:r>
      <w:r>
        <w:rPr>
          <w:rFonts w:ascii="inherit" w:hAnsi="inherit"/>
          <w:strike w:val="false"/>
          <w:dstrike w:val="false"/>
          <w:color w:val="000000"/>
          <w:sz w:val="17"/>
          <w:u w:val="none"/>
          <w:effect w:val="none"/>
        </w:rPr>
        <w:t>4.9%</w:t>
      </w:r>
      <w:r>
        <w:rPr>
          <w:sz w:val="17"/>
        </w:rPr>
        <w:t xml:space="preserve"> </w:t>
      </w:r>
      <w:r>
        <w:rPr>
          <w:rFonts w:ascii="inherit" w:hAnsi="inherit"/>
          <w:sz w:val="17"/>
        </w:rPr>
        <w:t>at September 30, 2012. The lower valuation allowance is reflective of periodic analyses conducted to value the inventory based on aging, profitability, sell-through rates and shrink in each classification, including jewelry and general merchandise. In addition, the closing of certain pawn stores in Mexico during fiscal 2013 favorably impacted this allowance at September 30, 2013. See “Item 1 — Business — Discontinued Operations” below.</w:t>
      </w:r>
    </w:p>
    <w:p>
      <w:pPr>
        <w:pStyle w:val="TextBody"/>
        <w:spacing w:lineRule="auto" w:line="288" w:before="0" w:after="0"/>
        <w:jc w:val="left"/>
        <w:rPr>
          <w:rFonts w:ascii="inherit" w:hAnsi="inherit"/>
          <w:b/>
          <w:sz w:val="17"/>
        </w:rPr>
      </w:pPr>
      <w:bookmarkStart w:id="8" w:name="s48554381F3FD2CBC84F383E284D2E82A"/>
      <w:bookmarkEnd w:id="8"/>
      <w:r>
        <w:rPr>
          <w:rFonts w:ascii="inherit" w:hAnsi="inherit"/>
          <w:b/>
          <w:sz w:val="17"/>
        </w:rPr>
        <w:t>Financial Services</w:t>
      </w:r>
    </w:p>
    <w:p>
      <w:pPr>
        <w:pStyle w:val="TextBody"/>
        <w:spacing w:lineRule="auto" w:line="288" w:before="0" w:after="0"/>
        <w:jc w:val="left"/>
        <w:rPr>
          <w:rFonts w:ascii="inherit" w:hAnsi="inherit"/>
          <w:sz w:val="17"/>
        </w:rPr>
      </w:pPr>
      <w:r>
        <w:rPr>
          <w:rFonts w:ascii="inherit" w:hAnsi="inherit"/>
          <w:sz w:val="17"/>
        </w:rPr>
        <w:t>We also offer a variety of financial services to customers who have limited access to other sources of credit. Many customers find our financial services a more attractive alternative than borrowing from friends or family or incurring insufficient funds fees, overdraft protection fees, utility reconnect fees and other charges imposed when they have insufficient cash to meet their needs. By utilizing our financial services, customers can exercise greater control of their personal finances without damaging the relationships they have with their merchants, service providers and family members.</w:t>
      </w:r>
    </w:p>
    <w:p>
      <w:pPr>
        <w:pStyle w:val="TextBody"/>
        <w:spacing w:lineRule="auto" w:line="288" w:before="0" w:after="0"/>
        <w:jc w:val="left"/>
        <w:rPr>
          <w:rFonts w:ascii="inherit" w:hAnsi="inherit"/>
          <w:sz w:val="17"/>
        </w:rPr>
      </w:pPr>
      <w:r>
        <w:rPr>
          <w:rFonts w:ascii="inherit" w:hAnsi="inherit"/>
          <w:sz w:val="17"/>
        </w:rPr>
        <w:t xml:space="preserve">In Texas, we do not offer consumer loans, but offer fee-based credit services to customers seeking loans. In these locations, we act as a credit services organization (or “CSO”) on behalf of customers in accordance with applicable state and local laws, and offer advice and assistance to customers in obtaining loans from unaffiliated lenders. Our services include arranging consumer loans with independent third-party lenders, assisting in the preparation of loan applications and loan documents and accepting loan payments for the lenders. We do not make, fund or participate in the consumer loans made by the lenders, but we assist customers in obtaining credit and enhance their creditworthiness by issuing letters of credit to guarantee customers’ payment obligations to the independent third-party lenders. </w:t>
      </w:r>
    </w:p>
    <w:p>
      <w:pPr>
        <w:pStyle w:val="TextBody"/>
        <w:spacing w:lineRule="auto" w:line="288" w:before="0" w:after="0"/>
        <w:jc w:val="left"/>
        <w:rPr>
          <w:rFonts w:ascii="inherit" w:hAnsi="inherit"/>
          <w:sz w:val="17"/>
        </w:rPr>
      </w:pPr>
      <w:r>
        <w:rPr>
          <w:rFonts w:ascii="inherit" w:hAnsi="inherit"/>
          <w:sz w:val="17"/>
        </w:rPr>
        <w:t>The specific financial services offered varies by location, but generally include some or all of the following:</w:t>
      </w:r>
    </w:p>
    <w:p>
      <w:pPr>
        <w:pStyle w:val="TextBody"/>
        <w:spacing w:lineRule="auto" w:line="288" w:before="0" w:after="0"/>
        <w:ind w:left="0" w:right="0" w:firstLine="360"/>
        <w:rPr>
          <w:sz w:val="17"/>
        </w:rPr>
      </w:pPr>
      <w:r>
        <w:rPr>
          <w:rFonts w:ascii="inherit" w:hAnsi="inherit"/>
          <w:i/>
          <w:sz w:val="17"/>
        </w:rPr>
        <w:t>Unsecured consumer loans</w:t>
      </w:r>
      <w:r>
        <w:rPr>
          <w:sz w:val="17"/>
        </w:rPr>
        <w:t xml:space="preserve"> — </w:t>
      </w:r>
      <w:r>
        <w:rPr>
          <w:rFonts w:ascii="inherit" w:hAnsi="inherit"/>
          <w:sz w:val="17"/>
        </w:rPr>
        <w:t>We offer a variety of unsecured consumer loans, including single-payment loans, multiple-payment loans, lines of credit and payroll withholding loans:</w:t>
      </w:r>
    </w:p>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Single-payment loans — Single-payment loans are short-term loans (generally less than 30 days and averaging about 18 days) with due dates corresponding to the customer’s next payday. Principal amounts of single-payment unsecured loans can be up to $1,500, but average approximately $500. In the U.S. we typically charge a fee of 15% to 22% of the loan amount for a 7 to 23-day period. Online in the United Kingdom, we charge a fixed fee of 30% of the loan amount for up to 28 days.</w:t>
            </w:r>
          </w:p>
        </w:tc>
      </w:tr>
    </w:tbl>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Multiple-payment loans — Multiple-payment loans typically carry a term of four to seven months, with a series of equal installment payments due monthly, semi-monthly or on the customer’s paydays. Total interest and fees on these loans vary in accordance with state law and loan terms, but over the entire loan term, total approximately 45% to 130% of the original principal amount of the loan. Principal amounts range from $100 to $3,000, but average approximately $550.</w:t>
            </w:r>
          </w:p>
        </w:tc>
      </w:tr>
    </w:tbl>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Lines of credit — Revolving lines of credit operate similarly to a typical credit card. Customers may borrow as needed, may fully repay borrowed amounts at any point and are billed at regular intervals with certain minimum principal and fee payment requirements due in each billing cycle. Billing cycle due dates range from two weeks to a month and generally correspond with the customer’s paydays. Customers may borrow up to their approved credit line, and may re-borrow any repaid amounts. We provide lines of credit ranging from $100 to $700 and typically charge an annual fee of $30 per account and a monthly fee approximating 43% of the amount borrowed.</w:t>
            </w:r>
          </w:p>
        </w:tc>
      </w:tr>
    </w:tbl>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Payroll withholding loans — In Mexico, Grupo Finmart has approximately 70 active payroll withholding agreements with Mexican employers, primarily federal, state and local governments and agencies, and provides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ind w:left="0" w:right="0" w:firstLine="900"/>
        <w:rPr>
          <w:rFonts w:ascii="inherit" w:hAnsi="inherit"/>
          <w:sz w:val="17"/>
        </w:rPr>
      </w:pPr>
      <w:r>
        <w:rPr>
          <w:rFonts w:ascii="inherit" w:hAnsi="inherit"/>
          <w:sz w:val="17"/>
        </w:rPr>
        <w:t>unsecured multiple-payment consumer loans to the employees of the various employers. Interest and principal payments are collected through payroll deductions. The average loan is approximately U.S. $1,200, with a term of 31 months and annual yields of approximately 56%.</w:t>
      </w:r>
    </w:p>
    <w:p>
      <w:pPr>
        <w:pStyle w:val="TextBody"/>
        <w:spacing w:lineRule="auto" w:line="288" w:before="0" w:after="0"/>
        <w:ind w:left="0" w:right="0" w:firstLine="360"/>
        <w:rPr>
          <w:sz w:val="17"/>
        </w:rPr>
      </w:pPr>
      <w:r>
        <w:rPr>
          <w:rFonts w:ascii="inherit" w:hAnsi="inherit"/>
          <w:i/>
          <w:sz w:val="17"/>
        </w:rPr>
        <w:t>Secured consumer loans</w:t>
      </w:r>
      <w:r>
        <w:rPr>
          <w:sz w:val="17"/>
        </w:rPr>
        <w:t xml:space="preserve"> — </w:t>
      </w:r>
      <w:r>
        <w:rPr>
          <w:rFonts w:ascii="inherit" w:hAnsi="inherit"/>
          <w:sz w:val="17"/>
        </w:rPr>
        <w:t>We offer three principal types of secured consumer loans:</w:t>
      </w:r>
    </w:p>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Single-payment auto title loans — Single-payment auto title loans are 30-day loans secured by the titles to customers’ automobiles. Loan principal amounts range from $100 to $10,000, but average about $1,000. Loan amounts are established based on customers’ income levels, an inspection of the automobile and title and reference to market values of used automobiles. We earn a fee of 10% to 30% of auto title loan amounts. </w:t>
            </w:r>
          </w:p>
        </w:tc>
      </w:tr>
    </w:tbl>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Multi-payment auto title loans — In Texas, we assist customers in obtaining multiple-payment auto title loans from unaffiliated lenders. Multiple-payment auto title loans primarily carry a term of five months with principal amounts ranging from $150 to $10,000, but average about $1,100. We earn a fee of 50% to 140% of the initial loan amount. </w:t>
            </w:r>
          </w:p>
        </w:tc>
      </w:tr>
    </w:tbl>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Auto title lines of credit —The terms and fee structure of auto title lines of credit are similar to those of unsecured lines of credit described above, except that they are secured by the titles to customers’ automobiles. We provide lines of credit ranging from $100 to $8,000 and typically charge an initial lien fee per account and a monthly fee approximating 25% of the amount borrowed.</w:t>
            </w:r>
          </w:p>
        </w:tc>
      </w:tr>
    </w:tbl>
    <w:p>
      <w:pPr>
        <w:pStyle w:val="TextBody"/>
        <w:spacing w:lineRule="auto" w:line="288" w:before="0" w:after="0"/>
        <w:jc w:val="left"/>
        <w:rPr>
          <w:rFonts w:ascii="inherit" w:hAnsi="inherit"/>
          <w:sz w:val="17"/>
        </w:rPr>
      </w:pPr>
      <w:r>
        <w:rPr>
          <w:rFonts w:ascii="inherit" w:hAnsi="inherit"/>
          <w:sz w:val="17"/>
        </w:rPr>
        <w:t>As of September 30, 2013, our U.S. online lending business operated in six states. In Louisiana, Missouri, South Dakota and Hawaii, we offer single-payment loans. The average single-payment loan principal is approximately $400 and the term is generally less than 30 days. Total interest and fees on these loans vary in accordance with state law and loan terms, but over the entire loan term, total approximately 15% to 45% of the original principal amount of the loan. In both Texas and Ohio, we offer credit services to customers seeking short-term consumer loans from unaffiliated lenders. We do not originate any of these loans made to customers, but instead earn a fee for assisting customers in obtaining credit from the unaffiliated lenders and for enhancing customers' creditworthiness by providing a guarantee to the unaffiliated lenders. In Texas and Ohio, customers may obtain single-payment unsecured consumer loans, with principal amounts up to $1,500 and average about $460. We also offer single- and multiple-payment loans online in the U.K.</w:t>
      </w:r>
    </w:p>
    <w:p>
      <w:pPr>
        <w:pStyle w:val="TextBody"/>
        <w:spacing w:lineRule="auto" w:line="288" w:before="0" w:after="0"/>
        <w:jc w:val="left"/>
        <w:rPr>
          <w:rFonts w:ascii="inherit" w:hAnsi="inherit"/>
          <w:sz w:val="17"/>
        </w:rPr>
      </w:pPr>
      <w:r>
        <w:rPr>
          <w:rFonts w:ascii="inherit" w:hAnsi="inherit"/>
          <w:sz w:val="17"/>
        </w:rPr>
        <w:t>Single-payment consumer loans are considered defaulted if they are not repaid or renewed by the maturity date. Outstanding amounts on unsecured lines of credit are considered defaulted if customers do not timely make one required scheduled payment. Multiple-payment loans are considered defaulted if the customer has failed to make two consecutive installment payments. Although defaulted loans may be collected later, we charge the loan principal to bad debt upon default, leaving only active loans in the reported balance. Subsequent collections of principal are recorded as a reduction of bad debt at the time of collection. Accrued service charges related to defaulted loans are deducted from service charge revenue upon loan default, and increase service charge revenue upon subsequent collection. We provide for a valuation allowance on both the principal and service charges receivable based on recent default and collection experience. Our consumer loan balance represents the principal amount of all active (non-defaulted) loans, net of this valuation allowance.</w:t>
      </w:r>
    </w:p>
    <w:p>
      <w:pPr>
        <w:pStyle w:val="TextBody"/>
        <w:spacing w:lineRule="auto" w:line="288" w:before="0" w:after="0"/>
        <w:jc w:val="left"/>
        <w:rPr>
          <w:rFonts w:ascii="inherit" w:hAnsi="inherit"/>
          <w:sz w:val="17"/>
        </w:rPr>
      </w:pPr>
      <w:r>
        <w:rPr>
          <w:rFonts w:ascii="inherit" w:hAnsi="inherit"/>
          <w:sz w:val="17"/>
        </w:rPr>
        <w:t>If a credit service customer defaults on a loan, we pay the lender the principal and accrued interest due under the loan and an insufficient funds fee and charge those amounts to bad debt expense. We then attempt to collect those amounts from the customer. Subsequent recoveries are recorded as a reduction of bad debt at the time of collection. We also record as bad debt expense an accrual of expected losses for principal, interest and insufficient fund fees we expect to pay the lenders on default of the lenders’ current loans. This estimate is based on recent default and collection experience and the amount of loans the lenders have outstanding.</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 xml:space="preserve">The table below shows the dollar amount of our consumer loan activity for the three most recent fiscal years. For purposes of this table, consumer loan balances include the principal portion of loans (net of valuation allowance) recorded on our balance sheet and the principal portion of active brokered loans outstanding from unaffiliated lenders, which is not included on our balance sheet. </w:t>
      </w:r>
    </w:p>
    <w:tbl>
      <w:tblPr>
        <w:tblW w:w="10205" w:type="dxa"/>
        <w:jc w:val="left"/>
        <w:tblInd w:w="0" w:type="dxa"/>
        <w:tblCellMar>
          <w:top w:w="0" w:type="dxa"/>
          <w:left w:w="0" w:type="dxa"/>
          <w:bottom w:w="0" w:type="dxa"/>
          <w:right w:w="0" w:type="dxa"/>
        </w:tblCellMar>
      </w:tblPr>
      <w:tblGrid>
        <w:gridCol w:w="5214"/>
        <w:gridCol w:w="179"/>
        <w:gridCol w:w="1023"/>
        <w:gridCol w:w="165"/>
        <w:gridCol w:w="146"/>
        <w:gridCol w:w="179"/>
        <w:gridCol w:w="1023"/>
        <w:gridCol w:w="165"/>
        <w:gridCol w:w="146"/>
        <w:gridCol w:w="179"/>
        <w:gridCol w:w="1023"/>
        <w:gridCol w:w="763"/>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21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14" w:type="dxa"/>
            <w:tcBorders/>
            <w:shd w:fill="auto" w:val="clear"/>
            <w:vAlign w:val="center"/>
          </w:tcPr>
          <w:p>
            <w:pPr>
              <w:pStyle w:val="TableContents"/>
              <w:spacing w:before="0" w:after="0"/>
              <w:ind w:left="0" w:right="0" w:firstLine="30"/>
              <w:jc w:val="left"/>
              <w:rPr/>
            </w:pPr>
            <w:r>
              <w:rPr/>
              <w:t> </w:t>
            </w:r>
          </w:p>
        </w:tc>
        <w:tc>
          <w:tcPr>
            <w:tcW w:w="499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214" w:type="dxa"/>
            <w:tcBorders/>
            <w:shd w:fill="auto" w:val="clear"/>
            <w:vAlign w:val="center"/>
          </w:tcPr>
          <w:p>
            <w:pPr>
              <w:pStyle w:val="TableContents"/>
              <w:spacing w:before="0" w:after="0"/>
              <w:ind w:left="0" w:right="0" w:firstLine="30"/>
              <w:jc w:val="left"/>
              <w:rPr/>
            </w:pPr>
            <w:r>
              <w:rPr/>
              <w:t> </w:t>
            </w:r>
          </w:p>
        </w:tc>
        <w:tc>
          <w:tcPr>
            <w:tcW w:w="136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6"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6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6"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96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214" w:type="dxa"/>
            <w:tcBorders/>
            <w:shd w:fill="auto" w:val="clear"/>
            <w:vAlign w:val="center"/>
          </w:tcPr>
          <w:p>
            <w:pPr>
              <w:pStyle w:val="TableContents"/>
              <w:spacing w:before="0" w:after="0"/>
              <w:ind w:left="0" w:right="0" w:firstLine="30"/>
              <w:jc w:val="left"/>
              <w:rPr/>
            </w:pPr>
            <w:r>
              <w:rPr/>
              <w:t> </w:t>
            </w:r>
          </w:p>
        </w:tc>
        <w:tc>
          <w:tcPr>
            <w:tcW w:w="4991"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r>
      <w:tr>
        <w:trPr/>
        <w:tc>
          <w:tcPr>
            <w:tcW w:w="5214" w:type="dxa"/>
            <w:tcBorders/>
            <w:shd w:fill="auto" w:val="clear"/>
            <w:vAlign w:val="center"/>
          </w:tcPr>
          <w:p>
            <w:pPr>
              <w:pStyle w:val="TableContents"/>
              <w:spacing w:before="0" w:after="0"/>
              <w:ind w:left="0" w:right="0" w:firstLine="30"/>
              <w:jc w:val="left"/>
              <w:rPr>
                <w:rFonts w:ascii="inherit" w:hAnsi="inherit"/>
                <w:b/>
                <w:i/>
                <w:sz w:val="17"/>
              </w:rPr>
            </w:pPr>
            <w:r>
              <w:rPr>
                <w:rFonts w:ascii="inherit" w:hAnsi="inherit"/>
                <w:b/>
                <w:i/>
                <w:sz w:val="17"/>
              </w:rPr>
              <w:t>Combined consumer loans:</w:t>
            </w:r>
          </w:p>
        </w:tc>
        <w:tc>
          <w:tcPr>
            <w:tcW w:w="1367" w:type="dxa"/>
            <w:gridSpan w:val="3"/>
            <w:tcBorders/>
            <w:shd w:fill="auto" w:val="clear"/>
            <w:vAlign w:val="center"/>
          </w:tcPr>
          <w:p>
            <w:pPr>
              <w:pStyle w:val="TableContents"/>
              <w:spacing w:before="0" w:after="0"/>
              <w:ind w:left="0" w:right="0" w:firstLine="30"/>
              <w:jc w:val="left"/>
              <w:rPr/>
            </w:pPr>
            <w:r>
              <w:rPr/>
              <w:t> </w:t>
            </w:r>
          </w:p>
        </w:tc>
        <w:tc>
          <w:tcPr>
            <w:tcW w:w="146"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jc w:val="left"/>
              <w:rPr/>
            </w:pPr>
            <w:r>
              <w:rPr/>
              <w:t> </w:t>
            </w:r>
          </w:p>
        </w:tc>
        <w:tc>
          <w:tcPr>
            <w:tcW w:w="146" w:type="dxa"/>
            <w:tcBorders/>
            <w:shd w:fill="auto" w:val="clear"/>
            <w:vAlign w:val="center"/>
          </w:tcPr>
          <w:p>
            <w:pPr>
              <w:pStyle w:val="TableContents"/>
              <w:spacing w:before="0" w:after="0"/>
              <w:ind w:left="0" w:right="0" w:firstLine="30"/>
              <w:rPr/>
            </w:pPr>
            <w:r>
              <w:rPr/>
              <w:t> </w:t>
            </w:r>
          </w:p>
        </w:tc>
        <w:tc>
          <w:tcPr>
            <w:tcW w:w="1965" w:type="dxa"/>
            <w:gridSpan w:val="3"/>
            <w:tcBorders/>
            <w:shd w:fill="auto" w:val="clear"/>
            <w:vAlign w:val="center"/>
          </w:tcPr>
          <w:p>
            <w:pPr>
              <w:pStyle w:val="TableContents"/>
              <w:spacing w:before="0" w:after="0"/>
              <w:ind w:left="0" w:right="0" w:firstLine="420"/>
              <w:jc w:val="left"/>
              <w:rPr/>
            </w:pPr>
            <w:r>
              <w:rPr/>
              <w:t> </w:t>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made</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CCEEFF" w:val="clear"/>
            <w:vAlign w:val="center"/>
          </w:tcPr>
          <w:p>
            <w:pPr>
              <w:pStyle w:val="TableContents"/>
              <w:spacing w:before="0" w:after="0"/>
              <w:jc w:val="right"/>
              <w:rPr>
                <w:rFonts w:ascii="inherit" w:hAnsi="inherit"/>
                <w:sz w:val="17"/>
              </w:rPr>
            </w:pPr>
            <w:r>
              <w:rPr>
                <w:rFonts w:ascii="inherit" w:hAnsi="inherit"/>
                <w:sz w:val="17"/>
              </w:rPr>
              <w:t>446.9</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CCEEFF" w:val="clear"/>
            <w:vAlign w:val="center"/>
          </w:tcPr>
          <w:p>
            <w:pPr>
              <w:pStyle w:val="TableContents"/>
              <w:spacing w:before="0" w:after="0"/>
              <w:jc w:val="right"/>
              <w:rPr>
                <w:rFonts w:ascii="inherit" w:hAnsi="inherit"/>
                <w:sz w:val="17"/>
              </w:rPr>
            </w:pPr>
            <w:r>
              <w:rPr>
                <w:rFonts w:ascii="inherit" w:hAnsi="inherit"/>
                <w:sz w:val="17"/>
              </w:rPr>
              <w:t>366.4</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CCEEFF" w:val="clear"/>
            <w:vAlign w:val="center"/>
          </w:tcPr>
          <w:p>
            <w:pPr>
              <w:pStyle w:val="TableContents"/>
              <w:spacing w:before="0" w:after="0"/>
              <w:jc w:val="right"/>
              <w:rPr>
                <w:rFonts w:ascii="inherit" w:hAnsi="inherit"/>
                <w:sz w:val="17"/>
              </w:rPr>
            </w:pPr>
            <w:r>
              <w:rPr>
                <w:rFonts w:ascii="inherit" w:hAnsi="inherit"/>
                <w:sz w:val="17"/>
              </w:rPr>
              <w:t>277.2</w:t>
            </w:r>
          </w:p>
        </w:tc>
        <w:tc>
          <w:tcPr>
            <w:tcW w:w="76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repaid</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(346.7</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(313.8</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(241.2</w:t>
            </w:r>
          </w:p>
        </w:tc>
        <w:tc>
          <w:tcPr>
            <w:tcW w:w="76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forfeited, net of collections on bad debt</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(57.1</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(42.4</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(38.1</w:t>
            </w:r>
          </w:p>
        </w:tc>
        <w:tc>
          <w:tcPr>
            <w:tcW w:w="76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acquired in business acquisition</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68.7</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pPr>
            <w:r>
              <w:rPr/>
              <w:t>—</w:t>
            </w:r>
          </w:p>
        </w:tc>
        <w:tc>
          <w:tcPr>
            <w:tcW w:w="76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 due to foreign currency exchange fluctuations</w:t>
            </w:r>
          </w:p>
        </w:tc>
        <w:tc>
          <w:tcPr>
            <w:tcW w:w="12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16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2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w:t>
            </w:r>
          </w:p>
        </w:tc>
        <w:tc>
          <w:tcPr>
            <w:tcW w:w="16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6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increase (decrease) in consumer loans outstanding at the end of the year</w:t>
            </w:r>
          </w:p>
        </w:tc>
        <w:tc>
          <w:tcPr>
            <w:tcW w:w="17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42.8</w:t>
            </w:r>
          </w:p>
        </w:tc>
        <w:tc>
          <w:tcPr>
            <w:tcW w:w="16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80.0</w:t>
            </w:r>
          </w:p>
        </w:tc>
        <w:tc>
          <w:tcPr>
            <w:tcW w:w="16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w:t>
            </w:r>
          </w:p>
        </w:tc>
        <w:tc>
          <w:tcPr>
            <w:tcW w:w="763"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214"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ind w:left="0" w:right="0" w:firstLine="30"/>
              <w:rPr/>
            </w:pPr>
            <w:r>
              <w:rPr/>
              <w:t> </w:t>
            </w:r>
          </w:p>
        </w:tc>
        <w:tc>
          <w:tcPr>
            <w:tcW w:w="1965" w:type="dxa"/>
            <w:gridSpan w:val="3"/>
            <w:tcBorders/>
            <w:shd w:fill="CCEEFF" w:val="clear"/>
            <w:vAlign w:val="center"/>
          </w:tcPr>
          <w:p>
            <w:pPr>
              <w:pStyle w:val="TableContents"/>
              <w:spacing w:before="0" w:after="0"/>
              <w:ind w:left="0" w:right="0" w:firstLine="180"/>
              <w:rPr/>
            </w:pPr>
            <w:r>
              <w:rPr/>
              <w:t> </w:t>
            </w:r>
          </w:p>
        </w:tc>
      </w:tr>
      <w:tr>
        <w:trPr/>
        <w:tc>
          <w:tcPr>
            <w:tcW w:w="5214" w:type="dxa"/>
            <w:tcBorders/>
            <w:shd w:fill="auto" w:val="clear"/>
            <w:vAlign w:val="center"/>
          </w:tcPr>
          <w:p>
            <w:pPr>
              <w:pStyle w:val="TableContents"/>
              <w:spacing w:before="0" w:after="0"/>
              <w:ind w:left="0" w:right="0" w:firstLine="30"/>
              <w:jc w:val="left"/>
              <w:rPr>
                <w:rFonts w:ascii="inherit" w:hAnsi="inherit"/>
                <w:b/>
                <w:i/>
                <w:sz w:val="17"/>
              </w:rPr>
            </w:pPr>
            <w:r>
              <w:rPr>
                <w:rFonts w:ascii="inherit" w:hAnsi="inherit"/>
                <w:b/>
                <w:i/>
                <w:sz w:val="17"/>
              </w:rPr>
              <w:t>Consumer loans made by unaffiliated lenders (credit services only):</w:t>
            </w:r>
          </w:p>
        </w:tc>
        <w:tc>
          <w:tcPr>
            <w:tcW w:w="1367" w:type="dxa"/>
            <w:gridSpan w:val="3"/>
            <w:tcBorders/>
            <w:shd w:fill="auto" w:val="clear"/>
            <w:vAlign w:val="center"/>
          </w:tcPr>
          <w:p>
            <w:pPr>
              <w:pStyle w:val="TableContents"/>
              <w:spacing w:before="0" w:after="0"/>
              <w:ind w:left="0" w:right="0" w:firstLine="30"/>
              <w:jc w:val="left"/>
              <w:rPr/>
            </w:pPr>
            <w:r>
              <w:rPr/>
              <w:t> </w:t>
            </w:r>
          </w:p>
        </w:tc>
        <w:tc>
          <w:tcPr>
            <w:tcW w:w="146"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jc w:val="left"/>
              <w:rPr/>
            </w:pPr>
            <w:r>
              <w:rPr/>
              <w:t> </w:t>
            </w:r>
          </w:p>
        </w:tc>
        <w:tc>
          <w:tcPr>
            <w:tcW w:w="146" w:type="dxa"/>
            <w:tcBorders/>
            <w:shd w:fill="auto" w:val="clear"/>
            <w:vAlign w:val="center"/>
          </w:tcPr>
          <w:p>
            <w:pPr>
              <w:pStyle w:val="TableContents"/>
              <w:spacing w:before="0" w:after="0"/>
              <w:ind w:left="0" w:right="0" w:firstLine="30"/>
              <w:rPr/>
            </w:pPr>
            <w:r>
              <w:rPr/>
              <w:t> </w:t>
            </w:r>
          </w:p>
        </w:tc>
        <w:tc>
          <w:tcPr>
            <w:tcW w:w="1965" w:type="dxa"/>
            <w:gridSpan w:val="3"/>
            <w:tcBorders/>
            <w:shd w:fill="auto" w:val="clear"/>
            <w:vAlign w:val="center"/>
          </w:tcPr>
          <w:p>
            <w:pPr>
              <w:pStyle w:val="TableContents"/>
              <w:spacing w:before="0" w:after="0"/>
              <w:ind w:left="0" w:right="0" w:firstLine="660"/>
              <w:rPr/>
            </w:pPr>
            <w:r>
              <w:rPr/>
              <w:t> </w:t>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made</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CCEEFF" w:val="clear"/>
            <w:vAlign w:val="center"/>
          </w:tcPr>
          <w:p>
            <w:pPr>
              <w:pStyle w:val="TableContents"/>
              <w:spacing w:before="0" w:after="0"/>
              <w:jc w:val="right"/>
              <w:rPr>
                <w:rFonts w:ascii="inherit" w:hAnsi="inherit"/>
                <w:sz w:val="17"/>
              </w:rPr>
            </w:pPr>
            <w:r>
              <w:rPr>
                <w:rFonts w:ascii="inherit" w:hAnsi="inherit"/>
                <w:sz w:val="17"/>
              </w:rPr>
              <w:t>119.2</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135.6</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130.0</w:t>
            </w:r>
          </w:p>
        </w:tc>
        <w:tc>
          <w:tcPr>
            <w:tcW w:w="763"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repaid</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(88.4</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(112.5</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(109.8</w:t>
            </w:r>
          </w:p>
        </w:tc>
        <w:tc>
          <w:tcPr>
            <w:tcW w:w="763"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forfeited, net of collections on bad debt</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(26.4</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(24.6</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(23.0</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increase (decrease) in consumer loans outstanding at the end of the year</w:t>
            </w:r>
          </w:p>
        </w:tc>
        <w:tc>
          <w:tcPr>
            <w:tcW w:w="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4.4</w:t>
            </w:r>
          </w:p>
        </w:tc>
        <w:tc>
          <w:tcPr>
            <w:tcW w:w="16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auto" w:val="clear"/>
            <w:vAlign w:val="center"/>
          </w:tcPr>
          <w:p>
            <w:pPr>
              <w:pStyle w:val="TableContents"/>
              <w:spacing w:before="0" w:after="0"/>
              <w:ind w:left="0" w:right="0" w:firstLine="30"/>
              <w:rPr/>
            </w:pPr>
            <w:r>
              <w:rPr/>
              <w:t> </w:t>
            </w:r>
          </w:p>
        </w:tc>
        <w:tc>
          <w:tcPr>
            <w:tcW w:w="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w:t>
            </w:r>
          </w:p>
        </w:tc>
        <w:tc>
          <w:tcPr>
            <w:tcW w:w="76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214"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ind w:left="0" w:right="0" w:firstLine="30"/>
              <w:rPr/>
            </w:pPr>
            <w:r>
              <w:rPr/>
              <w:t> </w:t>
            </w:r>
          </w:p>
        </w:tc>
        <w:tc>
          <w:tcPr>
            <w:tcW w:w="1965" w:type="dxa"/>
            <w:gridSpan w:val="3"/>
            <w:tcBorders/>
            <w:shd w:fill="CCEEFF" w:val="clear"/>
            <w:vAlign w:val="center"/>
          </w:tcPr>
          <w:p>
            <w:pPr>
              <w:pStyle w:val="TableContents"/>
              <w:spacing w:before="0" w:after="0"/>
              <w:ind w:left="0" w:right="0" w:firstLine="180"/>
              <w:rPr/>
            </w:pPr>
            <w:r>
              <w:rPr/>
              <w:t> </w:t>
            </w:r>
          </w:p>
        </w:tc>
      </w:tr>
      <w:tr>
        <w:trPr/>
        <w:tc>
          <w:tcPr>
            <w:tcW w:w="5214" w:type="dxa"/>
            <w:tcBorders/>
            <w:shd w:fill="auto" w:val="clear"/>
            <w:vAlign w:val="center"/>
          </w:tcPr>
          <w:p>
            <w:pPr>
              <w:pStyle w:val="TableContents"/>
              <w:spacing w:before="0" w:after="0"/>
              <w:ind w:left="0" w:right="0" w:firstLine="30"/>
              <w:jc w:val="left"/>
              <w:rPr>
                <w:rFonts w:ascii="inherit" w:hAnsi="inherit"/>
                <w:b/>
                <w:i/>
                <w:sz w:val="17"/>
              </w:rPr>
            </w:pPr>
            <w:r>
              <w:rPr>
                <w:rFonts w:ascii="inherit" w:hAnsi="inherit"/>
                <w:b/>
                <w:i/>
                <w:sz w:val="17"/>
              </w:rPr>
              <w:t>Consumer loans made by us:</w:t>
            </w:r>
          </w:p>
        </w:tc>
        <w:tc>
          <w:tcPr>
            <w:tcW w:w="1367" w:type="dxa"/>
            <w:gridSpan w:val="3"/>
            <w:tcBorders/>
            <w:shd w:fill="auto" w:val="clear"/>
            <w:vAlign w:val="center"/>
          </w:tcPr>
          <w:p>
            <w:pPr>
              <w:pStyle w:val="TableContents"/>
              <w:spacing w:before="0" w:after="0"/>
              <w:ind w:left="0" w:right="0" w:firstLine="30"/>
              <w:jc w:val="left"/>
              <w:rPr/>
            </w:pPr>
            <w:r>
              <w:rPr/>
              <w:t> </w:t>
            </w:r>
          </w:p>
        </w:tc>
        <w:tc>
          <w:tcPr>
            <w:tcW w:w="146"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jc w:val="left"/>
              <w:rPr/>
            </w:pPr>
            <w:r>
              <w:rPr/>
              <w:t> </w:t>
            </w:r>
          </w:p>
        </w:tc>
        <w:tc>
          <w:tcPr>
            <w:tcW w:w="146" w:type="dxa"/>
            <w:tcBorders/>
            <w:shd w:fill="auto" w:val="clear"/>
            <w:vAlign w:val="center"/>
          </w:tcPr>
          <w:p>
            <w:pPr>
              <w:pStyle w:val="TableContents"/>
              <w:spacing w:before="0" w:after="0"/>
              <w:ind w:left="0" w:right="0" w:firstLine="30"/>
              <w:rPr/>
            </w:pPr>
            <w:r>
              <w:rPr/>
              <w:t> </w:t>
            </w:r>
          </w:p>
        </w:tc>
        <w:tc>
          <w:tcPr>
            <w:tcW w:w="1965" w:type="dxa"/>
            <w:gridSpan w:val="3"/>
            <w:tcBorders/>
            <w:shd w:fill="auto" w:val="clear"/>
            <w:vAlign w:val="center"/>
          </w:tcPr>
          <w:p>
            <w:pPr>
              <w:pStyle w:val="TableContents"/>
              <w:spacing w:before="0" w:after="0"/>
              <w:ind w:left="0" w:right="0" w:firstLine="660"/>
              <w:rPr/>
            </w:pPr>
            <w:r>
              <w:rPr/>
              <w:t> </w:t>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made</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CCEEFF" w:val="clear"/>
            <w:vAlign w:val="center"/>
          </w:tcPr>
          <w:p>
            <w:pPr>
              <w:pStyle w:val="TableContents"/>
              <w:spacing w:before="0" w:after="0"/>
              <w:jc w:val="right"/>
              <w:rPr>
                <w:rFonts w:ascii="inherit" w:hAnsi="inherit"/>
                <w:sz w:val="17"/>
              </w:rPr>
            </w:pPr>
            <w:r>
              <w:rPr>
                <w:rFonts w:ascii="inherit" w:hAnsi="inherit"/>
                <w:sz w:val="17"/>
              </w:rPr>
              <w:t>327.7</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230.8</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147.2</w:t>
            </w:r>
          </w:p>
        </w:tc>
        <w:tc>
          <w:tcPr>
            <w:tcW w:w="763"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repaid</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(258.3</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(201.3</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(131.4</w:t>
            </w:r>
          </w:p>
        </w:tc>
        <w:tc>
          <w:tcPr>
            <w:tcW w:w="763"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forfeited, net of collections on bad debt</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(30.7</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(17.8</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w:t>
            </w:r>
          </w:p>
        </w:tc>
        <w:tc>
          <w:tcPr>
            <w:tcW w:w="763"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acquired in business acquisition</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68.7</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202" w:type="dxa"/>
            <w:gridSpan w:val="2"/>
            <w:tcBorders/>
            <w:shd w:fill="auto" w:val="clear"/>
            <w:vAlign w:val="center"/>
          </w:tcPr>
          <w:p>
            <w:pPr>
              <w:pStyle w:val="TableContents"/>
              <w:spacing w:before="0" w:after="0"/>
              <w:jc w:val="right"/>
              <w:rPr/>
            </w:pPr>
            <w:r>
              <w:rPr/>
              <w:t>—</w:t>
            </w:r>
          </w:p>
        </w:tc>
        <w:tc>
          <w:tcPr>
            <w:tcW w:w="763"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2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 due to foreign currency exchange fluctuations</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02" w:type="dxa"/>
            <w:gridSpan w:val="2"/>
            <w:tcBorders/>
            <w:shd w:fill="CCEEFF" w:val="clear"/>
            <w:vAlign w:val="center"/>
          </w:tcPr>
          <w:p>
            <w:pPr>
              <w:pStyle w:val="TableContents"/>
              <w:spacing w:before="0" w:after="0"/>
              <w:jc w:val="right"/>
              <w:rPr/>
            </w:pPr>
            <w:r>
              <w:rPr/>
              <w:t>—</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increase in consumer loans outstanding at the end of the year</w:t>
            </w:r>
          </w:p>
        </w:tc>
        <w:tc>
          <w:tcPr>
            <w:tcW w:w="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38.4</w:t>
            </w:r>
          </w:p>
        </w:tc>
        <w:tc>
          <w:tcPr>
            <w:tcW w:w="16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81.5</w:t>
            </w:r>
          </w:p>
        </w:tc>
        <w:tc>
          <w:tcPr>
            <w:tcW w:w="16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w:t>
            </w:r>
          </w:p>
        </w:tc>
        <w:tc>
          <w:tcPr>
            <w:tcW w:w="76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The profitability of unsecured consumer loans is highly dependent on our ability to manage the default rate and collect defaulted loan principal, interest and insufficient fund fees. In determining whether to lend or provide credit services, we perform a review of customer information, such as making a credit reporting agency inquiry, evaluating and verifying income sources and levels, verifying employment and verifying a telephone number where the customers may be contacted.</w:t>
      </w:r>
    </w:p>
    <w:p>
      <w:pPr>
        <w:pStyle w:val="TextBody"/>
        <w:spacing w:lineRule="auto" w:line="288" w:before="0" w:after="0"/>
        <w:jc w:val="left"/>
        <w:rPr>
          <w:rFonts w:ascii="inherit" w:hAnsi="inherit"/>
          <w:sz w:val="17"/>
        </w:rPr>
      </w:pPr>
      <w:r>
        <w:rPr>
          <w:rFonts w:ascii="inherit" w:hAnsi="inherit"/>
          <w:sz w:val="17"/>
        </w:rPr>
        <w:t>Auto title loans are secured by the titles to customers’ automobiles. Lending decisions and loan amounts are determined on the basis of customers’ income levels, an inspection of the automobile and title and reference to market values of used automobiles. Through charges to bad debt expense, we provide a bad debt allowance on the current and delinquent balances of auto title loans and auto title lines of credit, and increase the allowance as the loans age or in response to other potential indicators of loss. Auction proceeds from repossessed automobiles are recorded as an offset to bad debt.</w:t>
      </w:r>
    </w:p>
    <w:p>
      <w:pPr>
        <w:pStyle w:val="TextBody"/>
        <w:spacing w:lineRule="auto" w:line="288" w:before="0" w:after="0"/>
        <w:jc w:val="left"/>
        <w:rPr>
          <w:rFonts w:ascii="inherit" w:hAnsi="inherit"/>
          <w:sz w:val="17"/>
        </w:rPr>
      </w:pPr>
      <w:r>
        <w:rPr>
          <w:rFonts w:ascii="inherit" w:hAnsi="inherit"/>
          <w:sz w:val="17"/>
        </w:rPr>
        <w:t>At the time a consumer loan is made, a loan agreement and credit services agreement, when applicable, are given to the customer. It presents the name and address of the lender, the customer and the credit services company when applicable, the customer’s identification information, the date of the loan, the amount financed, the interest or service charges due on maturity, the maturity date of the loan, the total amount that must be paid and the annual percentage rate. At the time a line of credit is granted, customers receive a similar agreement specifying the terms of the credit line, fees and annual percentage rate and repayment terms.</w:t>
      </w:r>
    </w:p>
    <w:p>
      <w:pPr>
        <w:pStyle w:val="TextBody"/>
        <w:spacing w:lineRule="auto" w:line="288" w:before="0" w:after="0"/>
        <w:jc w:val="left"/>
        <w:rPr>
          <w:rFonts w:ascii="inherit" w:hAnsi="inherit"/>
          <w:b/>
          <w:sz w:val="17"/>
        </w:rPr>
      </w:pPr>
      <w:bookmarkStart w:id="9" w:name="s8AC83838F69F90343D3583E2BE6EF8F8"/>
      <w:bookmarkEnd w:id="9"/>
      <w:r>
        <w:rPr>
          <w:rFonts w:ascii="inherit" w:hAnsi="inherit"/>
          <w:b/>
          <w:sz w:val="17"/>
        </w:rPr>
        <w:t>Seasonality</w:t>
      </w:r>
    </w:p>
    <w:p>
      <w:pPr>
        <w:pStyle w:val="TextBody"/>
        <w:spacing w:lineRule="auto" w:line="288" w:before="0" w:after="0"/>
        <w:jc w:val="left"/>
        <w:rPr>
          <w:rFonts w:ascii="inherit" w:hAnsi="inherit"/>
          <w:sz w:val="17"/>
        </w:rPr>
      </w:pPr>
      <w:r>
        <w:rPr>
          <w:rFonts w:ascii="inherit" w:hAnsi="inherit"/>
          <w:sz w:val="17"/>
        </w:rPr>
        <w:t xml:space="preserve">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w:t>
      </w:r>
    </w:p>
    <w:p>
      <w:pPr>
        <w:pStyle w:val="TextBody"/>
        <w:spacing w:lineRule="auto" w:line="288" w:before="0" w:after="0"/>
        <w:jc w:val="left"/>
        <w:rPr>
          <w:rFonts w:ascii="inherit" w:hAnsi="inherit"/>
          <w:sz w:val="17"/>
        </w:rPr>
      </w:pPr>
      <w:r>
        <w:rPr>
          <w:rFonts w:ascii="inherit" w:hAnsi="inherit"/>
          <w:sz w:val="17"/>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pStyle w:val="TextBody"/>
        <w:spacing w:lineRule="auto" w:line="288" w:before="0" w:after="0"/>
        <w:jc w:val="left"/>
        <w:rPr>
          <w:rFonts w:ascii="inherit" w:hAnsi="inherit"/>
          <w:sz w:val="17"/>
        </w:rPr>
      </w:pPr>
      <w:r>
        <w:rPr>
          <w:rFonts w:ascii="inherit" w:hAnsi="inherit"/>
          <w:sz w:val="17"/>
        </w:rPr>
        <w:t xml:space="preserve">The payroll withholding lending business is less impacted by seasonality, with the exception of the summer months when new loan originations tend to moderate. </w:t>
      </w:r>
    </w:p>
    <w:p>
      <w:pPr>
        <w:pStyle w:val="TextBody"/>
        <w:spacing w:lineRule="auto" w:line="288" w:before="0" w:after="0"/>
        <w:jc w:val="left"/>
        <w:rPr>
          <w:rFonts w:ascii="inherit" w:hAnsi="inherit"/>
          <w:sz w:val="17"/>
        </w:rPr>
      </w:pPr>
      <w:r>
        <w:rPr>
          <w:rFonts w:ascii="inherit" w:hAnsi="inherit"/>
          <w:sz w:val="17"/>
        </w:rPr>
        <w:t xml:space="preserve">The net effect of these factors is that net revenues and net income typically are strongest in the fourth fiscal quarter and weakest in the third fiscal quarter. </w:t>
      </w:r>
    </w:p>
    <w:p>
      <w:pPr>
        <w:pStyle w:val="TextBody"/>
        <w:spacing w:lineRule="auto" w:line="288" w:before="0" w:after="0"/>
        <w:jc w:val="left"/>
        <w:rPr>
          <w:rFonts w:ascii="inherit" w:hAnsi="inherit"/>
          <w:b/>
          <w:sz w:val="17"/>
        </w:rPr>
      </w:pPr>
      <w:bookmarkStart w:id="10" w:name="s400292C51967F3E5946483E2BE91CF38"/>
      <w:bookmarkEnd w:id="10"/>
      <w:r>
        <w:rPr>
          <w:rFonts w:ascii="inherit" w:hAnsi="inherit"/>
          <w:b/>
          <w:sz w:val="17"/>
        </w:rPr>
        <w:t>Operations</w:t>
      </w:r>
    </w:p>
    <w:p>
      <w:pPr>
        <w:pStyle w:val="TextBody"/>
        <w:spacing w:lineRule="auto" w:line="288" w:before="0" w:after="0"/>
        <w:jc w:val="left"/>
        <w:rPr>
          <w:rFonts w:ascii="inherit" w:hAnsi="inherit"/>
          <w:sz w:val="17"/>
        </w:rPr>
      </w:pPr>
      <w:r>
        <w:rPr>
          <w:rFonts w:ascii="inherit" w:hAnsi="inherit"/>
          <w:sz w:val="17"/>
        </w:rPr>
        <w:t>A typical company pawn store employs approximately six full-time team members, consisting of a store manager, an assistant manager and four pawnbrokers. Each store manager is responsible for ensuring that the store is run in accordance with our policies, procedures and operating guidelines, and reports to an area manager. Area managers are responsible for the performance of all stores within their area and report to one of our regional directors. Managers and regional directors receive incentive compensation based on their performance in comparison to an operating budget. Our U.S. pawnbrokers are also eligible to receive incentive compensation based on the store’s performance and their individual productivity performance. The incentive compensation for our pawn employees typically ranges between 5% to 30% of their total compensation.</w:t>
      </w:r>
    </w:p>
    <w:p>
      <w:pPr>
        <w:pStyle w:val="TextBody"/>
        <w:spacing w:lineRule="auto" w:line="288" w:before="0" w:after="0"/>
        <w:jc w:val="left"/>
        <w:rPr>
          <w:rFonts w:ascii="inherit" w:hAnsi="inherit"/>
          <w:sz w:val="17"/>
        </w:rPr>
      </w:pPr>
      <w:r>
        <w:rPr>
          <w:rFonts w:ascii="inherit" w:hAnsi="inherit"/>
          <w:sz w:val="17"/>
        </w:rPr>
        <w:t>Financial services stores typically employ two to three team members per location, consisting of a store manager and one or two customer service representatives. Each store manager is responsible for ensuring that the store is run in accordance with our policies, procedures and operating guidelines, and reports to an area manager, who is responsible for the stores within a specific operating area and reports to a regional director. Managers and regional directors receive incentive compensation based on their performance in comparison to an operating budget.</w:t>
      </w:r>
    </w:p>
    <w:p>
      <w:pPr>
        <w:pStyle w:val="TextBody"/>
        <w:spacing w:lineRule="auto" w:line="288" w:before="0" w:after="0"/>
        <w:jc w:val="left"/>
        <w:rPr>
          <w:rFonts w:ascii="inherit" w:hAnsi="inherit"/>
          <w:sz w:val="17"/>
        </w:rPr>
      </w:pPr>
      <w:r>
        <w:rPr>
          <w:rFonts w:ascii="inherit" w:hAnsi="inherit"/>
          <w:sz w:val="17"/>
        </w:rPr>
        <w:t>In the majority of our financial services stores, store employees attempt to collect defaulted consumer loans in the first 30 days after default. After the initial 30 days, our centralized collection center assumes collection responsibility for these loans. The centralized collection center also collects defaulted consumer loans for all other locations from the date of default. After attempting to collect for approximately 90 days, we generally sell the remaining defaulted consumer loans to a third party or refer them to an outside collection agency for a contingency fee.</w:t>
      </w:r>
    </w:p>
    <w:p>
      <w:pPr>
        <w:pStyle w:val="TextBody"/>
        <w:spacing w:lineRule="auto" w:line="288" w:before="0" w:after="0"/>
        <w:jc w:val="left"/>
        <w:rPr>
          <w:rFonts w:ascii="inherit" w:hAnsi="inherit"/>
          <w:sz w:val="17"/>
        </w:rPr>
      </w:pPr>
      <w:r>
        <w:rPr>
          <w:rFonts w:ascii="inherit" w:hAnsi="inherit"/>
          <w:sz w:val="17"/>
        </w:rPr>
        <w:t>Our payroll withholding lending business in Mexico operates using a network of low-cost branch offices dedicated to making loans to employees of government agencies and other employers with whom Grupo Finmart has processing and withholding agreements in place. A centralized corporate office provides the lending approval function, processing of loans and repayments, collections, sales support and other administrative functions. Each branch location is headed by a sales manager and, depending upon size of the region, may have between eight and fifteen sales professionals reporting through the branch. Sales professionals are commission-based, with earnings tied to loans originated. All loan requests are approved or declined through the centralized credit process. Grupo Finmart also utilizes a network of brokers to augment the sales force.</w:t>
      </w:r>
    </w:p>
    <w:p>
      <w:pPr>
        <w:pStyle w:val="TextBody"/>
        <w:spacing w:lineRule="auto" w:line="288" w:before="0" w:after="0"/>
        <w:jc w:val="left"/>
        <w:rPr>
          <w:rFonts w:ascii="inherit" w:hAnsi="inherit"/>
          <w:sz w:val="17"/>
        </w:rPr>
      </w:pPr>
      <w:r>
        <w:rPr>
          <w:rFonts w:ascii="inherit" w:hAnsi="inherit"/>
          <w:sz w:val="17"/>
        </w:rPr>
        <w:t>We have an internally developed store level point of sale system that automates the recording of pawn, merchandise purchase and sale transactions. We also have a separate loan management computer system specifically designed to handle consumer loan transactions. We have redundant backup systems in the event of a system failure or natural disaster. Financial data from stores owned by our wholly owned subsidiaries is processed at the corporate office each day and the preceding day’s data are available for management review via our internal network. For stores and operations owned by majority-owned subsidiaries, weekly financial data is provided to the corporate office. Our communications network provides information access between the stores and the corporate office.</w:t>
      </w:r>
    </w:p>
    <w:p>
      <w:pPr>
        <w:pStyle w:val="TextBody"/>
        <w:spacing w:lineRule="auto" w:line="288" w:before="0" w:after="0"/>
        <w:jc w:val="left"/>
        <w:rPr>
          <w:rFonts w:ascii="inherit" w:hAnsi="inherit"/>
          <w:sz w:val="17"/>
        </w:rPr>
      </w:pPr>
      <w:r>
        <w:rPr>
          <w:rFonts w:ascii="inherit" w:hAnsi="inherit"/>
          <w:sz w:val="17"/>
        </w:rPr>
        <w:t>Our internal audit staff monitors the perpetual inventory system, lending practices, regulatory compliance and compliance with our policies and procedures. Each location is typically audited multiple times annually, adjusted based on estimated risk.</w:t>
      </w:r>
    </w:p>
    <w:p>
      <w:pPr>
        <w:pStyle w:val="TextBody"/>
        <w:spacing w:lineRule="auto" w:line="288" w:before="0" w:after="0"/>
        <w:jc w:val="left"/>
        <w:rPr>
          <w:rFonts w:ascii="inherit" w:hAnsi="inherit"/>
          <w:sz w:val="17"/>
        </w:rPr>
      </w:pPr>
      <w:r>
        <w:rPr>
          <w:rFonts w:ascii="inherit" w:hAnsi="inherit"/>
          <w:sz w:val="17"/>
        </w:rPr>
        <w:t xml:space="preserve">As of September 30, 2013, we employed approximately 7,500 team members. We believe that our success is dependent upon our team members’ ability to provide prompt and courteous customer service and to execute our operating procedures and standards. We seek to hire people who will become long-term, career team members. To achieve our long-range personnel goals, we offer a structured career development program for all of our field team members. This program includes computer-based training, formal structured classroom training and supervised on-the-job training. All store team members, including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managers, must meet certain competency criteria prior to hire or promotion and participate in on-going training classes and formal instructional programs. Our career development program develops and advances our employees and provides training for the efficient integration of experienced managers and team members from outside the company.</w:t>
      </w:r>
    </w:p>
    <w:p>
      <w:pPr>
        <w:pStyle w:val="TextBody"/>
        <w:spacing w:lineRule="auto" w:line="288" w:before="0" w:after="0"/>
        <w:jc w:val="left"/>
        <w:rPr>
          <w:rFonts w:ascii="inherit" w:hAnsi="inherit"/>
          <w:b/>
          <w:sz w:val="17"/>
        </w:rPr>
      </w:pPr>
      <w:bookmarkStart w:id="11" w:name="s6C5C0A0F81AD449804FD83E2BEC3AED8"/>
      <w:bookmarkEnd w:id="11"/>
      <w:r>
        <w:rPr>
          <w:rFonts w:ascii="inherit" w:hAnsi="inherit"/>
          <w:b/>
          <w:sz w:val="17"/>
        </w:rPr>
        <w:t>Trademarks and Trade Names</w:t>
      </w:r>
    </w:p>
    <w:p>
      <w:pPr>
        <w:pStyle w:val="TextBody"/>
        <w:spacing w:lineRule="auto" w:line="288" w:before="0" w:after="0"/>
        <w:jc w:val="left"/>
        <w:rPr>
          <w:rFonts w:ascii="inherit" w:hAnsi="inherit"/>
          <w:sz w:val="17"/>
        </w:rPr>
      </w:pPr>
      <w:r>
        <w:rPr>
          <w:rFonts w:ascii="inherit" w:hAnsi="inherit"/>
          <w:sz w:val="17"/>
        </w:rPr>
        <w:t xml:space="preserve">We operate our U.S. pawn stores principally under the names “EZPAWN” or “Value Pawn” and the Mexico pawn stores under the name “EMPEÑO FÁCIL.” Our U.S. financial services stores operate under a variety of names, including “EZMONEY Payday Loans,” “EZ Loan Services,” “EZ Payday Advance” and “EZPAWN Payday Loans,” and our CSO stores operate under the name “EZMONEY Loan Services.” Our financial services and buy/sell stores in Canada operate under the names “CASHMAX” or “Cash Converters.” In Mexico, we offer payroll withholding loans under the names “Crediamigo” and “Adex." In the U.K. we offer consumer loans online under the name "Cash Genie." We have registered with the United States Patent and Trademark Office the names EZPAWN, EZMONEY and EZCORP, among others. We hold a trademark in Mexico for the name “EMPEÑO FÁCIL” and are the master franchisee in Canada for the “Cash Converters” brand. </w:t>
      </w:r>
    </w:p>
    <w:p>
      <w:pPr>
        <w:pStyle w:val="TextBody"/>
        <w:spacing w:lineRule="auto" w:line="288" w:before="0" w:after="0"/>
        <w:jc w:val="left"/>
        <w:rPr>
          <w:rFonts w:ascii="inherit" w:hAnsi="inherit"/>
          <w:b/>
          <w:sz w:val="17"/>
        </w:rPr>
      </w:pPr>
      <w:bookmarkStart w:id="12" w:name="sA4487AB5CE4BD85CE2BE83E2BEE375FC"/>
      <w:bookmarkEnd w:id="12"/>
      <w:r>
        <w:rPr>
          <w:rFonts w:ascii="inherit" w:hAnsi="inherit"/>
          <w:b/>
          <w:sz w:val="17"/>
        </w:rPr>
        <w:t>Growth and Expansion</w:t>
      </w:r>
    </w:p>
    <w:p>
      <w:pPr>
        <w:pStyle w:val="TextBody"/>
        <w:spacing w:lineRule="auto" w:line="288" w:before="0" w:after="0"/>
        <w:jc w:val="left"/>
        <w:rPr>
          <w:rFonts w:ascii="inherit" w:hAnsi="inherit"/>
          <w:sz w:val="17"/>
        </w:rPr>
      </w:pPr>
      <w:r>
        <w:rPr>
          <w:rFonts w:ascii="inherit" w:hAnsi="inherit"/>
          <w:sz w:val="17"/>
        </w:rPr>
        <w:t>We plan to expand the number of locations we operate through opening de novo locations and through acquisitions. We believe that the largest growth opportunities are with de novo stores in Mexico and the U.S., pawn store acquisitions in the U.S. and online lending, both in the U.S. and internationally. We continually evaluate and test new products and formats, which may result in expansion opportunities or strategic investments.</w:t>
      </w:r>
    </w:p>
    <w:p>
      <w:pPr>
        <w:pStyle w:val="TextBody"/>
        <w:spacing w:lineRule="auto" w:line="288" w:before="0" w:after="0"/>
        <w:jc w:val="left"/>
        <w:rPr>
          <w:sz w:val="17"/>
        </w:rPr>
      </w:pPr>
      <w:r>
        <w:rPr>
          <w:rFonts w:ascii="inherit" w:hAnsi="inherit"/>
          <w:sz w:val="17"/>
        </w:rPr>
        <w:t xml:space="preserve">The cost of opening de novo stores varies based on the size, type and location of stores opened. During fiscal </w:t>
      </w:r>
      <w:r>
        <w:rPr>
          <w:rFonts w:ascii="inherit" w:hAnsi="inherit"/>
          <w:strike w:val="false"/>
          <w:dstrike w:val="false"/>
          <w:color w:val="000000"/>
          <w:sz w:val="17"/>
          <w:u w:val="none"/>
          <w:effect w:val="none"/>
        </w:rPr>
        <w:t>2013</w:t>
      </w:r>
      <w:r>
        <w:rPr>
          <w:rFonts w:ascii="inherit" w:hAnsi="inherit"/>
          <w:sz w:val="17"/>
        </w:rPr>
        <w:t>, we opened 15 de novo U.S./Canada locations, each requiring an average property and equipment investment of approximately $360,000. We also opened 69 U.S. Financial Services stores, each requiring an average property and equipment investment of approximately $90,000. In Mexico, we opened 66 de novo pawn stores, each requiring an average property and equipment investment of approximately $190,000.</w:t>
      </w:r>
    </w:p>
    <w:p>
      <w:pPr>
        <w:pStyle w:val="TextBody"/>
        <w:spacing w:lineRule="auto" w:line="288" w:before="0" w:after="0"/>
        <w:jc w:val="left"/>
        <w:rPr>
          <w:rFonts w:ascii="inherit" w:hAnsi="inherit"/>
          <w:sz w:val="17"/>
        </w:rPr>
      </w:pPr>
      <w:r>
        <w:rPr>
          <w:rFonts w:ascii="inherit" w:hAnsi="inherit"/>
          <w:sz w:val="17"/>
        </w:rPr>
        <w:t>Our ability to add new stores is dependent on several variables, such as the availability of acceptable sites or acquisition candidates, the regulatory environment, local zoning ordinances, access to capital and the availability of qualified personnel.</w:t>
      </w:r>
    </w:p>
    <w:p>
      <w:pPr>
        <w:pStyle w:val="TextBody"/>
        <w:spacing w:lineRule="auto" w:line="288" w:before="0" w:after="0"/>
        <w:jc w:val="left"/>
        <w:rPr>
          <w:rFonts w:ascii="inherit" w:hAnsi="inherit"/>
          <w:b/>
          <w:sz w:val="17"/>
        </w:rPr>
      </w:pPr>
      <w:r>
        <w:rPr>
          <w:rFonts w:ascii="inherit" w:hAnsi="inherit"/>
          <w:b/>
          <w:sz w:val="17"/>
        </w:rPr>
        <w:t>Discontinued Operations</w:t>
      </w:r>
    </w:p>
    <w:p>
      <w:pPr>
        <w:pStyle w:val="TextBody"/>
        <w:spacing w:lineRule="auto" w:line="288" w:before="0" w:after="0"/>
        <w:jc w:val="left"/>
        <w:rPr>
          <w:rFonts w:ascii="inherit" w:hAnsi="inherit"/>
          <w:sz w:val="17"/>
        </w:rPr>
      </w:pPr>
      <w:r>
        <w:rPr>
          <w:rFonts w:ascii="inherit" w:hAnsi="inherit"/>
          <w:sz w:val="17"/>
        </w:rPr>
        <w:t xml:space="preserve">During fiscal 2013, we implemented a plan to close 107 legacy stores in a variety of locations. These stores were generally older, smaller stores that did not fit our future growth profile. We will continue to execute our growth plan by opening stores that are in-line with our growth strategy, broadening our online selling and lending channels, and adding numerous new products across the portfolio of companies in order to better serve our customers in the formats they desire and with products and services they want. </w:t>
      </w:r>
    </w:p>
    <w:p>
      <w:pPr>
        <w:pStyle w:val="TextBody"/>
        <w:spacing w:lineRule="auto" w:line="288" w:before="0" w:after="0"/>
        <w:jc w:val="left"/>
        <w:rPr/>
      </w:pPr>
      <w:r>
        <w:rPr/>
        <w:t xml:space="preserve">      </w:t>
      </w:r>
      <w:r>
        <w:rPr>
          <w:rFonts w:ascii="inherit" w:hAnsi="inherit"/>
          <w:sz w:val="17"/>
        </w:rPr>
        <w:t>The store closings included:</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57 stores in Mexico, 52 of which were small, jewelry-only asset group formats. We will continue to operate our full-service “store-within-a-store,” or SWS, locations under the Empeño Fácil brand.</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29</w:t>
            </w:r>
            <w:r>
              <w:rPr>
                <w:sz w:val="17"/>
              </w:rPr>
              <w:t xml:space="preserve"> </w:t>
            </w:r>
            <w:r>
              <w:rPr>
                <w:rFonts w:ascii="inherit" w:hAnsi="inherit"/>
                <w:sz w:val="17"/>
              </w:rPr>
              <w:t>stores in Canada, where we are in the process of transitioning to an integrated buy/sell and financial services model under the Cash Converters brand. The affected asset group consists of stores that are not optimal for that model because of location or size. We will continue to operate full-service buy/sell and financial services center stores under the Cash Converters brand in Canada and the United States.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20</w:t>
            </w:r>
            <w:r>
              <w:rPr>
                <w:sz w:val="17"/>
              </w:rPr>
              <w:t xml:space="preserve"> </w:t>
            </w:r>
            <w:r>
              <w:rPr>
                <w:rFonts w:ascii="inherit" w:hAnsi="inherit"/>
                <w:sz w:val="17"/>
              </w:rPr>
              <w:t xml:space="preserve">financial services stores in Dallas, Texas and the State of Florida, where we are exiting both locations primarily due to onerous regulatory requirements. In addition,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jewelry-only concept store was closed, which was our only jewelry-only store in the United States. </w:t>
            </w:r>
          </w:p>
        </w:tc>
      </w:tr>
    </w:tbl>
    <w:p>
      <w:pPr>
        <w:pStyle w:val="TextBody"/>
        <w:spacing w:lineRule="auto" w:line="288" w:before="0" w:after="0"/>
        <w:jc w:val="left"/>
        <w:rPr>
          <w:sz w:val="17"/>
        </w:rPr>
      </w:pPr>
      <w:r>
        <w:rPr>
          <w:rFonts w:ascii="inherit" w:hAnsi="inherit"/>
          <w:sz w:val="17"/>
        </w:rPr>
        <w:t>In connection with these store closings, we incurred charges for lease termination costs, asset and inventory write-down charges to net realizable liquidation value, uncollectible receivables, and employee severance costs. We recognized $22.2 million</w:t>
      </w:r>
      <w:r>
        <w:rPr>
          <w:sz w:val="17"/>
        </w:rPr>
        <w:t xml:space="preserve"> </w:t>
      </w:r>
      <w:r>
        <w:rPr>
          <w:rFonts w:ascii="inherit" w:hAnsi="inherit"/>
          <w:sz w:val="17"/>
        </w:rPr>
        <w:t xml:space="preserve">of pre-tax charges related to these store closings during fiscal 2013. These exit costs have been recorded as part of the loss from discontinued operations, net of tax, in our consolidated statements of operations. </w:t>
      </w:r>
    </w:p>
    <w:p>
      <w:pPr>
        <w:pStyle w:val="TextBody"/>
        <w:spacing w:lineRule="auto" w:line="288" w:before="0" w:after="0"/>
        <w:jc w:val="left"/>
        <w:rPr>
          <w:rFonts w:ascii="inherit" w:hAnsi="inherit"/>
          <w:b/>
          <w:sz w:val="17"/>
        </w:rPr>
      </w:pPr>
      <w:bookmarkStart w:id="13" w:name="s54D302FCF7183E1FF71883E2BF156EC4"/>
      <w:bookmarkEnd w:id="13"/>
      <w:r>
        <w:rPr>
          <w:rFonts w:ascii="inherit" w:hAnsi="inherit"/>
          <w:b/>
          <w:sz w:val="17"/>
        </w:rPr>
        <w:t>Competition</w:t>
      </w:r>
    </w:p>
    <w:p>
      <w:pPr>
        <w:pStyle w:val="TextBody"/>
        <w:spacing w:lineRule="auto" w:line="288" w:before="0" w:after="0"/>
        <w:jc w:val="left"/>
        <w:rPr>
          <w:rFonts w:ascii="inherit" w:hAnsi="inherit"/>
          <w:sz w:val="17"/>
        </w:rPr>
      </w:pPr>
      <w:r>
        <w:rPr>
          <w:rFonts w:ascii="inherit" w:hAnsi="inherit"/>
          <w:sz w:val="17"/>
        </w:rPr>
        <w:t xml:space="preserve">We encounter significant competition in connection with all of our activities. These competitive conditions may adversely affect our revenues, profitability and ability to expand. In our lending businesses, we compete with other pawn stores, payday lenders, credit service organizations, banks, credit unions and other financial institutions, such as consumer finance companies.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Other lenders may lend money on an unsecured basis, at interest rates that may be lower than our service charges, and on other terms that may be more favorable than ours or through other market channels, such as online, which some customers may prefer. We believe that the primary elements of competition are the quality of customer service and relationship management, convenience, store location, a customer friendly environment and the ability to loan competitive amounts at competitive rates. In addition, we believe the ability to compete effectively will be based increasingly on strong general management, regional focus, automated management information systems, access to capital, superior customer service and the ability to offer certain services online.</w:t>
      </w:r>
    </w:p>
    <w:p>
      <w:pPr>
        <w:pStyle w:val="TextBody"/>
        <w:spacing w:lineRule="auto" w:line="288" w:before="0" w:after="0"/>
        <w:jc w:val="left"/>
        <w:rPr>
          <w:rFonts w:ascii="inherit" w:hAnsi="inherit"/>
          <w:sz w:val="17"/>
        </w:rPr>
      </w:pPr>
      <w:r>
        <w:rPr>
          <w:rFonts w:ascii="inherit" w:hAnsi="inherit"/>
          <w:sz w:val="17"/>
        </w:rPr>
        <w:t>Our competitors for merchandise sales include numerous retail and wholesale stores, such as jewelry stores, discount retail stores, consumer electronics stores, other pawn stores, other resale stores, electronic commerce retailers and auction sites. Competitive factors in our retail operations include the ability to provide the customer with a variety of merchandise at an exceptional value and convenience.</w:t>
      </w:r>
    </w:p>
    <w:p>
      <w:pPr>
        <w:pStyle w:val="TextBody"/>
        <w:spacing w:lineRule="auto" w:line="288" w:before="0" w:after="0"/>
        <w:jc w:val="left"/>
        <w:rPr>
          <w:rFonts w:ascii="inherit" w:hAnsi="inherit"/>
          <w:sz w:val="17"/>
        </w:rPr>
      </w:pPr>
      <w:r>
        <w:rPr>
          <w:rFonts w:ascii="inherit" w:hAnsi="inherit"/>
          <w:sz w:val="17"/>
        </w:rPr>
        <w:t>The pawn industry in the United States is large and highly fragmented. The industry consists of approximately 13,000 pawn stores owned primarily by independent operators who own one to three locations, and we consider the industry relatively mature. We are the second largest operator of pawn stores in the United States, with 495 locations at September 30, 2013. The three largest pawn store operators account for approximately 10% of the total estimated pawn stores in the United States.</w:t>
      </w:r>
    </w:p>
    <w:p>
      <w:pPr>
        <w:pStyle w:val="TextBody"/>
        <w:spacing w:lineRule="auto" w:line="288" w:before="0" w:after="0"/>
        <w:jc w:val="left"/>
        <w:rPr>
          <w:rFonts w:ascii="inherit" w:hAnsi="inherit"/>
          <w:sz w:val="17"/>
        </w:rPr>
      </w:pPr>
      <w:r>
        <w:rPr>
          <w:rFonts w:ascii="inherit" w:hAnsi="inherit"/>
          <w:sz w:val="17"/>
        </w:rPr>
        <w:t>The pawn industry in Mexico is also fragmented, but less so than in the United States. The industry consists of approximately 5,000 pawn stores owned by independent operators and chains, including some not-for-profit organizations. The pawn industry, particularly full-line stores offering general merchandise and jewelry loans and resale, remains in more of an expansion stage in Mexico than in the United States. The market for gold-only pawn stores is mature. We exited the gold-only pawn store format in Mexico during fiscal 2013.</w:t>
      </w:r>
    </w:p>
    <w:p>
      <w:pPr>
        <w:pStyle w:val="TextBody"/>
        <w:spacing w:lineRule="auto" w:line="288" w:before="0" w:after="0"/>
        <w:jc w:val="left"/>
        <w:rPr>
          <w:rFonts w:ascii="inherit" w:hAnsi="inherit"/>
          <w:sz w:val="17"/>
        </w:rPr>
      </w:pPr>
      <w:r>
        <w:rPr>
          <w:rFonts w:ascii="inherit" w:hAnsi="inherit"/>
          <w:sz w:val="17"/>
        </w:rPr>
        <w:t xml:space="preserve">The unsecured payroll lending industry in Mexico is less developed than other Latin American countries. Payroll lending in Mexico is generally marketed to public sector employees, who on average earn more and rotate less frequently than their private sector peers. Additionally, government entities tend to be more stable and on average have more employees than private companies. It is estimated that less than 15% of the market potential is being serviced. Grupo Finmart is the third largest vertically integrated payroll lender in Mexico with 54 branch offices located in 23 of the 32 states in the country. </w:t>
      </w:r>
    </w:p>
    <w:p>
      <w:pPr>
        <w:pStyle w:val="TextBody"/>
        <w:spacing w:lineRule="auto" w:line="288" w:before="0" w:after="0"/>
        <w:jc w:val="left"/>
        <w:rPr>
          <w:rFonts w:ascii="inherit" w:hAnsi="inherit"/>
          <w:sz w:val="17"/>
        </w:rPr>
      </w:pPr>
      <w:r>
        <w:rPr>
          <w:rFonts w:ascii="inherit" w:hAnsi="inherit"/>
          <w:sz w:val="17"/>
        </w:rPr>
        <w:t>The specialty financial services industry in the United States is mature and is larger and more concentrated than the pawn industry. The industry consists of a number of online lenders and approximately 20,000 locations that are either mono-line stores offering only short-term consumer loans or businesses offering short-term consumer loans in addition to other products and services, such as check cashing stores, automobile title loan stores, pawn stores and stores offering reloadable debit cards. The ten largest short-term consumer loan companies, including us, operate approximately 45% of the total number of physical locations. Recently, several national and regional banks have begun offering cash advance products with similar characteristics and rate structures to our short-term consumer loans.</w:t>
      </w:r>
    </w:p>
    <w:p>
      <w:pPr>
        <w:pStyle w:val="TextBody"/>
        <w:spacing w:lineRule="auto" w:line="288" w:before="0" w:after="0"/>
        <w:jc w:val="left"/>
        <w:rPr>
          <w:rFonts w:ascii="inherit" w:hAnsi="inherit"/>
          <w:sz w:val="17"/>
        </w:rPr>
      </w:pPr>
      <w:r>
        <w:rPr>
          <w:rFonts w:ascii="inherit" w:hAnsi="inherit"/>
          <w:sz w:val="17"/>
        </w:rPr>
        <w:t>The specialty financial services industry in Canada consists of approximately 1,500 locations that are either single-line stores offering only short-term consumer loans or businesses offering short-term consumer loans in addition to other products and services, such as check cashing stores, pawn stores and stores offering reloadable debit cards or bank accounts. The Canadian short-term consumer loan industry is highly concentrated, with the three largest companies operating approximately 75% of the total number of locations.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14" w:name="s0A2A549865D59C5878AA83E2BF35A302"/>
      <w:bookmarkEnd w:id="14"/>
      <w:r>
        <w:rPr>
          <w:rFonts w:ascii="inherit" w:hAnsi="inherit"/>
          <w:b/>
          <w:sz w:val="17"/>
        </w:rPr>
        <w:t>Strategic Investments</w:t>
      </w:r>
    </w:p>
    <w:p>
      <w:pPr>
        <w:pStyle w:val="TextBody"/>
        <w:spacing w:lineRule="auto" w:line="288" w:before="0" w:after="0"/>
        <w:jc w:val="left"/>
        <w:rPr>
          <w:sz w:val="17"/>
        </w:rPr>
      </w:pPr>
      <w:r>
        <w:rPr>
          <w:rFonts w:ascii="inherit" w:hAnsi="inherit"/>
          <w:i/>
          <w:sz w:val="17"/>
        </w:rPr>
        <w:t>Albemarle &amp; Bond</w:t>
      </w:r>
      <w:r>
        <w:rPr>
          <w:sz w:val="17"/>
        </w:rPr>
        <w:t xml:space="preserve"> — </w:t>
      </w:r>
      <w:r>
        <w:rPr>
          <w:rFonts w:ascii="inherit" w:hAnsi="inherit"/>
          <w:sz w:val="17"/>
        </w:rPr>
        <w:t xml:space="preserve">At </w:t>
      </w:r>
      <w:r>
        <w:rPr>
          <w:rFonts w:ascii="inherit" w:hAnsi="inherit"/>
          <w:strike w:val="false"/>
          <w:dstrike w:val="false"/>
          <w:color w:val="000000"/>
          <w:sz w:val="17"/>
          <w:u w:val="none"/>
          <w:effect w:val="none"/>
        </w:rPr>
        <w:t>September 30, 2013</w:t>
      </w:r>
      <w:r>
        <w:rPr>
          <w:rFonts w:ascii="inherit" w:hAnsi="inherit"/>
          <w:sz w:val="17"/>
        </w:rPr>
        <w:t xml:space="preserve">, we held almost 30% of the outstanding shares of Albemarle &amp; Bond Holdings PLC, a publicly traded company headquartered in Reading, United Kingdom. At December 31, 2012, the latest date at which Albemarle &amp; Bond has publicly reported results, Albemarle &amp; Bond operated 233 locations in the United Kingdom that offer pawn loans, payday loans, installment loans, check cashing and retail jewelry. </w:t>
      </w:r>
    </w:p>
    <w:p>
      <w:pPr>
        <w:pStyle w:val="TextBody"/>
        <w:spacing w:lineRule="auto" w:line="288" w:before="0" w:after="0"/>
        <w:jc w:val="left"/>
        <w:rPr>
          <w:sz w:val="17"/>
        </w:rPr>
      </w:pPr>
      <w:r>
        <w:rPr>
          <w:rFonts w:ascii="inherit" w:hAnsi="inherit"/>
          <w:sz w:val="17"/>
        </w:rPr>
        <w:t xml:space="preserve">Albemarle &amp; Bond has not yet released its financial statements as of June 30, 2013; therefore, income reported for our fiscal year ended </w:t>
      </w:r>
      <w:r>
        <w:rPr>
          <w:rFonts w:ascii="inherit" w:hAnsi="inherit"/>
          <w:strike w:val="false"/>
          <w:dstrike w:val="false"/>
          <w:color w:val="000000"/>
          <w:sz w:val="17"/>
          <w:u w:val="none"/>
          <w:effect w:val="none"/>
        </w:rPr>
        <w:t>September 30, 2013</w:t>
      </w:r>
      <w:r>
        <w:rPr>
          <w:sz w:val="17"/>
        </w:rPr>
        <w:t xml:space="preserve"> </w:t>
      </w:r>
      <w:r>
        <w:rPr>
          <w:rFonts w:ascii="inherit" w:hAnsi="inherit"/>
          <w:sz w:val="17"/>
        </w:rPr>
        <w:t xml:space="preserve">is based on management's best estimate of Albemarle &amp; Bond's fiscal 2013 results. For its six months ended December 31, 2012 (their most recently published interim financial results), Albemarle &amp; Bond's gross revenues decreased 6% to £58.9 million ($93.8 million), its net income decreased 31% to approximately £6.1 million ($9.8 million), and its diluted earnings per share decreased 31% to £0.1109 ($0.1791). Albemarle &amp; Bond's stock is traded on the Alternative Investment Market of the London Stock Exchange. We are its largest single shareholder and currently hold two of the nine seats on Albemarle &amp; Bond’s board of directors. We account for our investment in Albemarle &amp; Bond under the equity method. In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fiscal </w:t>
      </w:r>
      <w:r>
        <w:rPr>
          <w:rFonts w:ascii="inherit" w:hAnsi="inherit"/>
          <w:strike w:val="false"/>
          <w:dstrike w:val="false"/>
          <w:color w:val="000000"/>
          <w:sz w:val="17"/>
          <w:u w:val="none"/>
          <w:effect w:val="none"/>
        </w:rPr>
        <w:t>2013</w:t>
      </w:r>
      <w:r>
        <w:rPr>
          <w:rFonts w:ascii="inherit" w:hAnsi="inherit"/>
          <w:sz w:val="17"/>
        </w:rPr>
        <w:t xml:space="preserve">, we estimated our full-year interest in Albemarle &amp; Bond's income to be $2.3 million and we received dividends of $3.3 million. </w:t>
      </w:r>
    </w:p>
    <w:p>
      <w:pPr>
        <w:pStyle w:val="TextBody"/>
        <w:spacing w:lineRule="auto" w:line="288" w:before="0" w:after="0"/>
        <w:jc w:val="left"/>
        <w:rPr>
          <w:rFonts w:ascii="inherit" w:hAnsi="inherit"/>
          <w:sz w:val="17"/>
        </w:rPr>
      </w:pPr>
      <w:r>
        <w:rPr>
          <w:rFonts w:ascii="inherit" w:hAnsi="inherit"/>
          <w:sz w:val="17"/>
        </w:rPr>
        <w:t xml:space="preserve">On April 19, 2013, Albemarle &amp; Bond announced that it expected profits for their full fiscal year (ending June 30, 2013) to be materially below market expectations, citing reduction in gold buying profit and pressures on its pawn loan business due to the challenging gold environment and increased competition. In addition, Albemarle &amp; Bond's Board of Directors announced that their CEO would step down earlier than planned. In early October 2013, Albemarle &amp; Bond announced that discussions to underwrite an equity funding had failed and they were in ongoing discussions with their banks to negotiate covenants. The market price of Albemarle &amp; Bond’s stock declined as a result of this information. Due to these events, we evaluated the economic and strategic benefits of continuing to hold this investment. Based on the review as of October 18, 2013, we determined that the fair value of this investment was less than its carrying value as of September 30, 2013 and that this impairment was other than temporary. As a result, we recognized an other than temporary impairment of $42.5 million ($28.7 million, net of taxes). This amount is included in impairment of investments in our consolidated statements of operations. As of September 30, 2013, we estimated the fair value of our investment in Albemarle &amp; Bond to be approximately $9.4 million, which equaled our post impairment book value. </w:t>
      </w:r>
    </w:p>
    <w:p>
      <w:pPr>
        <w:pStyle w:val="TextBody"/>
        <w:spacing w:lineRule="auto" w:line="288" w:before="0" w:after="0"/>
        <w:jc w:val="left"/>
        <w:rPr>
          <w:sz w:val="17"/>
        </w:rPr>
      </w:pPr>
      <w:r>
        <w:rPr>
          <w:rFonts w:ascii="inherit" w:hAnsi="inherit"/>
          <w:i/>
          <w:sz w:val="17"/>
        </w:rPr>
        <w:t>Cash Converters International</w:t>
      </w:r>
      <w:r>
        <w:rPr>
          <w:sz w:val="17"/>
        </w:rPr>
        <w:t xml:space="preserve"> — </w:t>
      </w:r>
      <w:r>
        <w:rPr>
          <w:rFonts w:ascii="inherit" w:hAnsi="inherit"/>
          <w:sz w:val="17"/>
        </w:rPr>
        <w:t xml:space="preserve">At </w:t>
      </w:r>
      <w:r>
        <w:rPr>
          <w:rFonts w:ascii="inherit" w:hAnsi="inherit"/>
          <w:strike w:val="false"/>
          <w:dstrike w:val="false"/>
          <w:color w:val="000000"/>
          <w:sz w:val="17"/>
          <w:u w:val="none"/>
          <w:effect w:val="none"/>
        </w:rPr>
        <w:t>September 30, 2013</w:t>
      </w:r>
      <w:r>
        <w:rPr>
          <w:rFonts w:ascii="inherit" w:hAnsi="inherit"/>
          <w:sz w:val="17"/>
        </w:rPr>
        <w:t xml:space="preserve">, we owned approximately 33% of the total ordinary shares of Cash Converters International Limited, a publicly traded company headquartered in Perth, Australia. We acquired the shares between November 2009 and November 2012 for approximately </w:t>
      </w:r>
      <w:r>
        <w:rPr>
          <w:rFonts w:ascii="inherit" w:hAnsi="inherit"/>
          <w:strike w:val="false"/>
          <w:dstrike w:val="false"/>
          <w:color w:val="000000"/>
          <w:sz w:val="17"/>
          <w:u w:val="none"/>
          <w:effect w:val="none"/>
        </w:rPr>
        <w:t>$68.8 million</w:t>
      </w:r>
      <w:r>
        <w:rPr>
          <w:rFonts w:ascii="inherit" w:hAnsi="inherit"/>
          <w:sz w:val="17"/>
        </w:rPr>
        <w:t xml:space="preserve">. Pursuant to a shareholders agreement, we hold two of the five seats on Cash Converters’ board of directors. Cash Converters franchises and operates a worldwide network of approximately 700 specialty financial services and retail stores that provide pawn loans, short-term unsecured loans and other consumer finance products, and buy and sell second-hand goods. Cash Converters has significant store concentrations in Australia and the United Kingdom. In the short-term, we expect Cash Converters will continue buying back franchised locations and converting them into company operated stores as well as increasing its portfolio of short-term consumer loans in Australia and the U.K. </w:t>
      </w:r>
    </w:p>
    <w:p>
      <w:pPr>
        <w:pStyle w:val="TextBody"/>
        <w:spacing w:lineRule="auto" w:line="288" w:before="0" w:after="0"/>
        <w:jc w:val="left"/>
        <w:rPr>
          <w:rFonts w:ascii="inherit" w:hAnsi="inherit"/>
          <w:sz w:val="17"/>
        </w:rPr>
      </w:pPr>
      <w:r>
        <w:rPr>
          <w:rFonts w:ascii="inherit" w:hAnsi="inherit"/>
          <w:sz w:val="17"/>
        </w:rPr>
        <w:t>The Consumer Credit and Corporations Legislation Amendment (Enhancements) Bill 2011 was passed by the Australian Parliament in August 2012. This new law, which went into effect on July 1, 2013, imposes certain limitations and restrictions on short-term consumer loans in Australia, including interest limitations and restrictions on extensions and refinancings. These limitations and restrictions, however, are more favorable to the industry than previous proposals, and the passage of these rules should stabilize the Australian regulatory environment related to short-term consumer loans for the foreseeable future.</w:t>
      </w:r>
    </w:p>
    <w:p>
      <w:pPr>
        <w:pStyle w:val="TextBody"/>
        <w:spacing w:lineRule="auto" w:line="288" w:before="0" w:after="0"/>
        <w:jc w:val="left"/>
        <w:rPr>
          <w:sz w:val="17"/>
        </w:rPr>
      </w:pPr>
      <w:r>
        <w:rPr>
          <w:rFonts w:ascii="inherit" w:hAnsi="inherit"/>
          <w:sz w:val="17"/>
        </w:rPr>
        <w:t xml:space="preserve">For its fiscal year ended </w:t>
      </w:r>
      <w:r>
        <w:rPr>
          <w:rFonts w:ascii="inherit" w:hAnsi="inherit"/>
          <w:strike w:val="false"/>
          <w:dstrike w:val="false"/>
          <w:color w:val="000000"/>
          <w:sz w:val="17"/>
          <w:u w:val="none"/>
          <w:effect w:val="none"/>
        </w:rPr>
        <w:t>June 30, 2013</w:t>
      </w:r>
      <w:r>
        <w:rPr>
          <w:rFonts w:ascii="inherit" w:hAnsi="inherit"/>
          <w:sz w:val="17"/>
        </w:rPr>
        <w:t xml:space="preserve">, Cash Converters’ gross revenue improved 16% to AUS $272.7 million (U.S. $280.1 million), net income improved 12% to AUS $32.9 million (U.S. $33.8 million) and diluted earnings per share increased 4% to AUS $0.0792 (U.S. $0.0813). For the year, Cash Converters declared dividends of AUS $0.04 (U.S. $0.0411) per share. We account for our investment in Cash Converters under the equity method. In fiscal </w:t>
      </w:r>
      <w:r>
        <w:rPr>
          <w:rFonts w:ascii="inherit" w:hAnsi="inherit"/>
          <w:strike w:val="false"/>
          <w:dstrike w:val="false"/>
          <w:color w:val="000000"/>
          <w:sz w:val="17"/>
          <w:u w:val="none"/>
          <w:effect w:val="none"/>
        </w:rPr>
        <w:t>2013</w:t>
      </w:r>
      <w:r>
        <w:rPr>
          <w:rFonts w:ascii="inherit" w:hAnsi="inherit"/>
          <w:sz w:val="17"/>
        </w:rPr>
        <w:t xml:space="preserve">, our interest in Cash Converters’ income was $9.6 million and we received dividends of $5.1 million. Based on the closing price and exchange rates on </w:t>
      </w:r>
      <w:r>
        <w:rPr>
          <w:rFonts w:ascii="inherit" w:hAnsi="inherit"/>
          <w:strike w:val="false"/>
          <w:dstrike w:val="false"/>
          <w:color w:val="000000"/>
          <w:sz w:val="17"/>
          <w:u w:val="none"/>
          <w:effect w:val="none"/>
        </w:rPr>
        <w:t>September 30, 2013</w:t>
      </w:r>
      <w:r>
        <w:rPr>
          <w:rFonts w:ascii="inherit" w:hAnsi="inherit"/>
          <w:sz w:val="17"/>
        </w:rPr>
        <w:t>, the market value of our investment in Cash Converters was approximately $165.7 million compared to its book value of $87.6 million.</w:t>
      </w:r>
    </w:p>
    <w:p>
      <w:pPr>
        <w:pStyle w:val="TextBody"/>
        <w:spacing w:lineRule="auto" w:line="288" w:before="0" w:after="0"/>
        <w:jc w:val="left"/>
        <w:rPr>
          <w:rFonts w:ascii="inherit" w:hAnsi="inherit"/>
          <w:b/>
          <w:sz w:val="17"/>
        </w:rPr>
      </w:pPr>
      <w:bookmarkStart w:id="15" w:name="s9B8EDF3F2CDB525D800283E2BF69FEE5"/>
      <w:bookmarkEnd w:id="15"/>
      <w:r>
        <w:rPr>
          <w:rFonts w:ascii="inherit" w:hAnsi="inherit"/>
          <w:b/>
          <w:sz w:val="17"/>
        </w:rPr>
        <w:t>Regulation</w:t>
      </w:r>
    </w:p>
    <w:p>
      <w:pPr>
        <w:pStyle w:val="TextBody"/>
        <w:spacing w:lineRule="auto" w:line="288" w:before="0" w:after="0"/>
        <w:jc w:val="left"/>
        <w:rPr>
          <w:rFonts w:ascii="inherit" w:hAnsi="inherit"/>
          <w:sz w:val="17"/>
        </w:rPr>
      </w:pPr>
      <w:r>
        <w:rPr>
          <w:rFonts w:ascii="inherit" w:hAnsi="inherit"/>
          <w:sz w:val="17"/>
        </w:rPr>
        <w:t>Our operations are subject to extensive regulation under various federal, state and local laws and regulations, and we believe that we conduct our business in material compliance with all of these rules. The following is a general description of significant regulations affecting our business. For a geographic breakdown of our operating locations, see “Part I — Item 2 — Properties.”</w:t>
      </w:r>
    </w:p>
    <w:p>
      <w:pPr>
        <w:pStyle w:val="TextBody"/>
        <w:spacing w:lineRule="auto" w:line="288" w:before="0" w:after="0"/>
        <w:jc w:val="left"/>
        <w:rPr>
          <w:rFonts w:ascii="inherit" w:hAnsi="inherit"/>
          <w:i/>
          <w:sz w:val="17"/>
        </w:rPr>
      </w:pPr>
      <w:r>
        <w:rPr>
          <w:rFonts w:ascii="inherit" w:hAnsi="inherit"/>
          <w:i/>
          <w:sz w:val="17"/>
        </w:rPr>
        <w:t>Pawn and Retail Regulations</w:t>
      </w:r>
    </w:p>
    <w:p>
      <w:pPr>
        <w:pStyle w:val="TextBody"/>
        <w:spacing w:lineRule="auto" w:line="288" w:before="0" w:after="0"/>
        <w:jc w:val="left"/>
        <w:rPr>
          <w:rFonts w:ascii="inherit" w:hAnsi="inherit"/>
          <w:sz w:val="17"/>
        </w:rPr>
      </w:pPr>
      <w:r>
        <w:rPr>
          <w:rFonts w:ascii="inherit" w:hAnsi="inherit"/>
          <w:sz w:val="17"/>
        </w:rPr>
        <w:t>Our pawn stores are regulated by the states in which they are located and, in some cases, by individual municipalities or other local authorities. The applicable statutes, ordinances and regulations vary from location to location and typically impose licensing requirements for pawn stores or individual pawn store employees. Licensing requirements typically relate to financial responsibility and character, and may establish restrictions on where pawn stores can operate. Additional rules regulate various aspects of the day-to-day pawn operations, including the pawn service charges that a pawn store may charge, the maximum amount of a pawn loan, the minimum or maximum term of a pawn loan, the content and format of the pawn ticket and the length of time after a loan default that a pawn store must hold a pawned item before it can be offered for sale.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the annual percentage rate, finance charge, amount financed, total of payments and payment schedule related to each pawn loan transaction. Additional federal regulations applicable to our pawn lending business are described in “Other Federal Regulations” below.</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Most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and the name and address of the customer. If we accept as collateral or purchase merchandise from a customer and it is determined that our customer was not the rightful owner, the merchandise is subject to recovery by the rightful owner. Historically, we have not experienced a material number of claims of this nature.</w:t>
      </w:r>
    </w:p>
    <w:p>
      <w:pPr>
        <w:pStyle w:val="TextBody"/>
        <w:spacing w:lineRule="auto" w:line="288" w:before="0" w:after="0"/>
        <w:jc w:val="left"/>
        <w:rPr>
          <w:rFonts w:ascii="inherit" w:hAnsi="inherit"/>
          <w:sz w:val="17"/>
        </w:rPr>
      </w:pPr>
      <w:r>
        <w:rPr>
          <w:rFonts w:ascii="inherit" w:hAnsi="inherit"/>
          <w:sz w:val="17"/>
        </w:rPr>
        <w:t>Some of our pawn stores in the U.S. handle firearms and each of those stores maintains a federal firearms license as required by federal law. The federal Gun Control Act of 1968 and regulations issued by the Bureau of Alcohol, Tobacco, and Firearms also require each pawn store dealing in firearms to maintain a permanent written record of all receipts and dispositions of firearms. In addition, we must comply with the Brady Handgun Violence Prevention Act, which requires us to conduct a background check before releasing, selling or otherwise disposing of firearms.</w:t>
      </w:r>
    </w:p>
    <w:p>
      <w:pPr>
        <w:pStyle w:val="TextBody"/>
        <w:spacing w:lineRule="auto" w:line="288" w:before="0" w:after="0"/>
        <w:jc w:val="left"/>
        <w:rPr>
          <w:rFonts w:ascii="inherit" w:hAnsi="inherit"/>
          <w:sz w:val="17"/>
        </w:rPr>
      </w:pPr>
      <w:r>
        <w:rPr>
          <w:rFonts w:ascii="inherit" w:hAnsi="inherit"/>
          <w:sz w:val="17"/>
        </w:rPr>
        <w:t>Mexico regulates various aspects of the pawn industry at the federal, state and local level. Regulations issued by the federal consumer protection agency, Procuraduría Federal del Consumidor (PROFECO), govern the form of pawn loan contracts and consumer disclosures, but the regulations do not impose interest rate or service charge limitations on pawn loans. Pawn stores, like other businesses in Mexico, are also subject to a variety of regulations in such areas as tax compliance, customs, consumer protection and employment.</w:t>
      </w:r>
    </w:p>
    <w:p>
      <w:pPr>
        <w:pStyle w:val="TextBody"/>
        <w:spacing w:lineRule="auto" w:line="288" w:before="0" w:after="0"/>
        <w:jc w:val="left"/>
        <w:rPr>
          <w:rFonts w:ascii="inherit" w:hAnsi="inherit"/>
          <w:sz w:val="17"/>
        </w:rPr>
      </w:pPr>
      <w:r>
        <w:rPr>
          <w:rFonts w:ascii="inherit" w:hAnsi="inherit"/>
          <w:sz w:val="17"/>
        </w:rPr>
        <w:t>In Canada, and in Virginia and Pennsylvania in the U.S., we operate stores that buy and sell secondhand merchandise, as opposed to offering pawn loans. These stores are regulated by local municipalities or other local authorities. The applicable ordinances vary from location to location and include licensing for secondhand dealing or precious metal purchasing, law enforcement reporting requirements, and the imposition of holding periods before a purchased item can be offered for resale. Failure to observe these regulations could result in a revocation or suspension of licenses, the imposition of fines, and other civil or criminal penalties. Our Canadian buy/sell stores also offer short-term consumer loans.</w:t>
      </w:r>
    </w:p>
    <w:p>
      <w:pPr>
        <w:pStyle w:val="TextBody"/>
        <w:spacing w:lineRule="auto" w:line="288" w:before="0" w:after="0"/>
        <w:jc w:val="left"/>
        <w:rPr>
          <w:rFonts w:ascii="inherit" w:hAnsi="inherit"/>
          <w:i/>
          <w:sz w:val="17"/>
        </w:rPr>
      </w:pPr>
      <w:r>
        <w:rPr>
          <w:rFonts w:ascii="inherit" w:hAnsi="inherit"/>
          <w:i/>
          <w:sz w:val="17"/>
        </w:rPr>
        <w:t>Short-Term Consumer Loan Regulations</w:t>
      </w:r>
    </w:p>
    <w:p>
      <w:pPr>
        <w:pStyle w:val="TextBody"/>
        <w:spacing w:lineRule="auto" w:line="288" w:before="0" w:after="0"/>
        <w:jc w:val="left"/>
        <w:rPr>
          <w:rFonts w:ascii="inherit" w:hAnsi="inherit"/>
          <w:sz w:val="17"/>
        </w:rPr>
      </w:pPr>
      <w:r>
        <w:rPr>
          <w:rFonts w:ascii="inherit" w:hAnsi="inherit"/>
          <w:sz w:val="17"/>
        </w:rPr>
        <w:t>Each state in which we offer short-term consumer loan products has specific laws and regulations dealing with the conduct of this business. These laws and regulations vary in scope, but generally require licensing of locations, establish loan terms, provide for consumer protections and disclosures and permit periodic regulatory examinations. In the case of single-payment loans, most applicable laws and regulations limit the amount of fees that may be charged, establish maximum loan amounts and duration, and restrict the customer’s ability to renew or extend the loan. Some states require reporting of customers’ loan activities to a state-wide database, and prohibit the making of loans to customers who have loans outstanding with other lenders. Some municipalities in which we operate also impose various rules and regulations, primarily related to zoning and licensing requirements, but in some cases, related to loan terms (such as maximum loan amounts, maximum number of renewals or extensions and mandatory principal paydowns). Failure to observe applicable legal requirements could result in a loss of license, the imposition of fines or customer refunds, and other civil or criminal penalties.</w:t>
      </w:r>
    </w:p>
    <w:p>
      <w:pPr>
        <w:pStyle w:val="TextBody"/>
        <w:spacing w:lineRule="auto" w:line="288" w:before="0" w:after="0"/>
        <w:jc w:val="left"/>
        <w:rPr>
          <w:rFonts w:ascii="inherit" w:hAnsi="inherit"/>
          <w:sz w:val="17"/>
        </w:rPr>
      </w:pPr>
      <w:r>
        <w:rPr>
          <w:rFonts w:ascii="inherit" w:hAnsi="inherit"/>
          <w:sz w:val="17"/>
        </w:rPr>
        <w:t>We must also comply with various federal requirements (including the Truth in Lending Act and Regulation Z) regarding the disclosure of annual percentage rate, finance charge, amount financed, total of payments and payment schedule related to each loan transaction. With respect to our debt collection activities, we are required to comply with the provisions governing “creditors” under the federal Fair Debt Collection Practices Act and similar state laws regulating debt collection practices. Additional federal regulations applicable to our short-term consumer loan business are described in “Other Federal Regulations” below.</w:t>
      </w:r>
    </w:p>
    <w:p>
      <w:pPr>
        <w:pStyle w:val="TextBody"/>
        <w:spacing w:lineRule="auto" w:line="288" w:before="0" w:after="0"/>
        <w:jc w:val="left"/>
        <w:rPr>
          <w:rFonts w:ascii="inherit" w:hAnsi="inherit"/>
          <w:sz w:val="17"/>
        </w:rPr>
      </w:pPr>
      <w:r>
        <w:rPr>
          <w:rFonts w:ascii="inherit" w:hAnsi="inherit"/>
          <w:sz w:val="17"/>
        </w:rPr>
        <w:t xml:space="preserve">In Texas, we do not make loans to customers, but rather offer fee-based credit services, including assistance in arranging loans with independent third-party lenders. As required by state law, we are registered as a Credit Services Organization (“CSO”) in order to provide such services and, pursuant to state laws effective January 1, 2012, are licensed as a Credit Access Business (“CAB”). The applicable CSO law requires us to provide each customer with an upfront disclosure statement describing, among other things, the services to be provided and the fees to be charged and, upon entering into a transaction, with a written contract fully describing the services provided. The law prohibits us from receiving compensation solely for referring a customer to a lender and also provides for other disclosure requirements, cancellation rights for customers and prohibitions on fraudulent or deceptive conduct. The law governing CABs requires us to provide conspicuous notices regarding fees and certain other disclosures and requires us to report certain information regarding customer transactions to the Texas Office of the Consumer Credit Commissioner. Violations of these laws could subject us to criminal and civil liability. The independent lenders are not required to be licensed and are not regulated by any state agency so long as the interest rate charged on the loan does not exceed 10% per annum. The lenders are also permitted to charge late fees and insufficient funds fees. The lenders are subject to the federal regulations described below with regard to their lending activities. Certain cities in Texas, specifically,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Austin, Dallas and San Antonio, have enacted municipal regulation of CAB products and the payday loans and auto title loans to which they provide access. The City of Houston recently announced that it will consider adopting similar regulations.</w:t>
      </w:r>
    </w:p>
    <w:p>
      <w:pPr>
        <w:pStyle w:val="TextBody"/>
        <w:spacing w:lineRule="auto" w:line="288" w:before="0" w:after="0"/>
        <w:jc w:val="left"/>
        <w:rPr>
          <w:rFonts w:ascii="inherit" w:hAnsi="inherit"/>
          <w:sz w:val="17"/>
        </w:rPr>
      </w:pPr>
      <w:r>
        <w:rPr>
          <w:rFonts w:ascii="inherit" w:hAnsi="inherit"/>
          <w:sz w:val="17"/>
        </w:rPr>
        <w:t>Legislators and regulators frequently scrutinize the legislative and regulatory environment for short-term lending, often proposing additional legislative and regulatory restrictions ranging from additional disclosure requirements to limits on rates and fees. In some cases, rate and fee limits would effectively prohibit certain short-term lending products, such as payday loans, because it would no longer be economically feasible for most lenders to offer such products.</w:t>
      </w:r>
    </w:p>
    <w:p>
      <w:pPr>
        <w:pStyle w:val="TextBody"/>
        <w:spacing w:lineRule="auto" w:line="288" w:before="0" w:after="0"/>
        <w:jc w:val="left"/>
        <w:rPr>
          <w:rFonts w:ascii="inherit" w:hAnsi="inherit"/>
          <w:sz w:val="17"/>
        </w:rPr>
      </w:pPr>
      <w:r>
        <w:rPr>
          <w:rFonts w:ascii="inherit" w:hAnsi="inherit"/>
          <w:sz w:val="17"/>
        </w:rPr>
        <w:t>The Dodd-Frank Wall Street Reform and Consumer Protection Act, enacted in July 2010, established the Consumer Financial Protection Bureau (the “CFPB”), which exercises supervisory and examination powers over companies that offer payday loans. The CFPB also may exercise regulatory authority over other products and services that we offer. The CFPB recently issued "Payday Loans and Deposit Advance Products — A White Paper of Initial Data Findings" and concluded in part with respect to payday loans:</w:t>
      </w:r>
    </w:p>
    <w:p>
      <w:pPr>
        <w:pStyle w:val="TextBody"/>
        <w:spacing w:lineRule="auto" w:line="288" w:before="0" w:after="0"/>
        <w:ind w:left="0" w:right="0" w:firstLine="720"/>
        <w:jc w:val="left"/>
        <w:rPr>
          <w:rFonts w:ascii="inherit" w:hAnsi="inherit"/>
          <w:sz w:val="17"/>
        </w:rPr>
      </w:pPr>
      <w:r>
        <w:rPr>
          <w:rFonts w:ascii="inherit" w:hAnsi="inherit"/>
          <w:sz w:val="17"/>
        </w:rPr>
        <w:t>The CFPB recognizes its responsibility to implement Federal consumer financial laws to ensure that "markets for consumer financial products and services are fair, transparent and competitive." The potential consumer harm and the data gathered to date are persuasive that further attention is warranted to protect consumers. Based upon the facts uncovered through our ongoing work in this area, the CFPB expects to use its authorities to provide such protections.</w:t>
      </w:r>
    </w:p>
    <w:p>
      <w:pPr>
        <w:pStyle w:val="TextBody"/>
        <w:spacing w:lineRule="auto" w:line="288" w:before="0" w:after="0"/>
        <w:jc w:val="left"/>
        <w:rPr>
          <w:rFonts w:ascii="inherit" w:hAnsi="inherit"/>
          <w:sz w:val="17"/>
        </w:rPr>
      </w:pPr>
      <w:r>
        <w:rPr>
          <w:rFonts w:ascii="inherit" w:hAnsi="inherit"/>
          <w:sz w:val="17"/>
        </w:rPr>
        <w:t xml:space="preserve">At this time it is not possible to accurately predict what affect the CFPB will have on our business. </w:t>
      </w:r>
    </w:p>
    <w:p>
      <w:pPr>
        <w:pStyle w:val="TextBody"/>
        <w:spacing w:lineRule="auto" w:line="288" w:before="0" w:after="0"/>
        <w:jc w:val="left"/>
        <w:rPr>
          <w:rFonts w:ascii="inherit" w:hAnsi="inherit"/>
          <w:sz w:val="17"/>
        </w:rPr>
      </w:pPr>
      <w:r>
        <w:rPr>
          <w:rFonts w:ascii="inherit" w:hAnsi="inherit"/>
          <w:sz w:val="17"/>
        </w:rPr>
        <w:t>There can be no assurance that legislative or regulatory efforts to eliminate or restrict the availability of certain short-term loan products, including payday loans and auto title loans, will not be successful, despite significant customer demand. To the extent such efforts are successful, our short-term consumer loan business could be adversely affected. See “Part I — Item 1A — Risk Factors.”</w:t>
      </w:r>
    </w:p>
    <w:p>
      <w:pPr>
        <w:pStyle w:val="TextBody"/>
        <w:spacing w:lineRule="auto" w:line="288" w:before="0" w:after="0"/>
        <w:jc w:val="left"/>
        <w:rPr>
          <w:rFonts w:ascii="inherit" w:hAnsi="inherit"/>
          <w:i/>
          <w:sz w:val="17"/>
        </w:rPr>
      </w:pPr>
      <w:r>
        <w:rPr>
          <w:rFonts w:ascii="inherit" w:hAnsi="inherit"/>
          <w:i/>
          <w:sz w:val="17"/>
        </w:rPr>
        <w:t>Other Federal Regulations</w:t>
      </w:r>
    </w:p>
    <w:p>
      <w:pPr>
        <w:pStyle w:val="TextBody"/>
        <w:spacing w:lineRule="auto" w:line="288" w:before="0" w:after="0"/>
        <w:jc w:val="left"/>
        <w:rPr>
          <w:rFonts w:ascii="inherit" w:hAnsi="inherit"/>
          <w:sz w:val="17"/>
        </w:rPr>
      </w:pPr>
      <w:r>
        <w:rPr>
          <w:rFonts w:ascii="inherit" w:hAnsi="inherit"/>
          <w:sz w:val="17"/>
        </w:rPr>
        <w:t>All of our lending activities, both pawn loans and short-term consumer loans, are subject to other state and federal statutes and regulations, including the following:</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and sharing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We are subject to the Fair Credit Reporting Act, which was enacted, in part, to address privacy concerns associated with the sharing of consumers’ financial information and credit history contained in consumer credit reports and limits our ability to share certain consumer report information. We are subject to the Federal Fair and Accurate Credit Transactions Act, which amended the Fair Credit Reporting Act, and requires us to adopt written guidance and procedures for detecting, preventing and mitigating identity theft, and to adopt various policies and procedures (including employee training) that address and aid in detecting and responding to suspicious activity or identify theft “red flags.”</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The federal Equal Credit Opportunity Act prohibits discrimination against any credit applicant on the basis of any protected category such as race, color, religion, national origin, sex, marital status or age (provided the applicant has the capacity to enter into a binding contract), because all or part of the applicant's income derives from any public assistance program, or because the applicant has in good faith exercised any right under the Consumer Protection Act. Under the Equal Credit Opportunity Act and the Fair Credit Reporting Act, if we deny an application for credit, we are required to provide the applicant with a Notice of Adverse Action, informing the applicant of (a) the action taken regarding the credit application, (b) a statement of the prohibition on discrimination, (c) the name and address of both the creditor and the federal agency that monitors compliance, (d) the applicant’s right to learn the specific reasons for the denial, (e) whether the credit decision was based on in whole or in part on information obtained from the credit report, (f) a consumer's right to a free copy of the credit report from the reporting agency, (g) the consumer's right to dispute inaccurate information with the reporting agency and (h) whether our credit decision was based in whole or in part on information obtained from an affiliate or from an outside source other than a customer reporting agency and the right to know the nature of such information.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Under the USA PATRIOT Act, we must maintain an anti-money laundering compliance program that includes the development of internal policies, procedures and controls; the designation of a compliance officer; an ongoing employee training program; and an independent audit function to test the program.</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We are also subject to the Bank Secrecy Act and its underlying regulations, which require us to report and maintain records of certain high-dollar transactions. In addition, federal laws and regulations prohibit us from doing business with terrorists and require us to report certain suspicious transactions to the Financial Crimes Enforcement Network of the Treasury Department (“FinCen”). Generally, a transaction is considered to be suspicious if we know, suspect or have reason to suspect that the transaction (a) involves funds derived from illegal activity or is intended to hide or disguise such funds, (b) is designed to evade the requirements of the Bank Secrecy Act or (c) appears to serve no legitimate business or lawful purpose. Certain of our subsidiaries are registered with FinCen as money services businesses by virtue of the check cashing or money transmission services they provide.</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Federal law limits the annual percentage rate that may be charged on loans made to active duty military personnel and their immediate families at 36%. This 36% annual percentage rate cap applies to a variety of loan products, including consumer loans, though it does not apply to pawn loans. We do not make consumer loans to active duty military personnel or their immediate families because it is not economically feasible for us to do so at these rates.</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rPr>
                <w:sz w:val="18"/>
              </w:rPr>
            </w:pPr>
            <w:r>
              <w:rPr>
                <w:rFonts w:ascii="inherit" w:hAnsi="inherit"/>
                <w:sz w:val="17"/>
              </w:rPr>
              <w:t>We are subject to the Electronic Funds Transfer Act and its underlying regulations, which govern our ability to credit our customers' bank accounts electronically with loan proceeds and to accept electronic payments from our customers by debiting our customers' bank accounts through various electronic card payment networks, such as VISA</w:t>
            </w:r>
            <w:r>
              <w:rPr>
                <w:rFonts w:ascii="inherit" w:hAnsi="inherit"/>
                <w:sz w:val="12"/>
              </w:rPr>
              <w:t>®</w:t>
            </w:r>
            <w:r>
              <w:rPr>
                <w:sz w:val="18"/>
              </w:rPr>
              <w:t xml:space="preserve"> </w:t>
            </w:r>
            <w:r>
              <w:rPr>
                <w:rFonts w:ascii="inherit" w:hAnsi="inherit"/>
                <w:sz w:val="17"/>
              </w:rPr>
              <w:t>and MasterCard</w:t>
            </w:r>
            <w:r>
              <w:rPr>
                <w:rFonts w:ascii="inherit" w:hAnsi="inherit"/>
                <w:sz w:val="12"/>
              </w:rPr>
              <w:t>®</w:t>
            </w:r>
            <w:r>
              <w:rPr>
                <w:rFonts w:ascii="inherit" w:hAnsi="inherit"/>
                <w:sz w:val="18"/>
              </w:rPr>
              <w:t xml:space="preserve">, </w:t>
            </w:r>
            <w:r>
              <w:rPr>
                <w:rFonts w:ascii="inherit" w:hAnsi="inherit"/>
                <w:sz w:val="17"/>
              </w:rPr>
              <w:t xml:space="preserve">and other clearing house associations, such as NACHA, the Electronic Payments Association. </w:t>
            </w:r>
          </w:p>
        </w:tc>
      </w:tr>
    </w:tbl>
    <w:p>
      <w:pPr>
        <w:pStyle w:val="TextBody"/>
        <w:spacing w:lineRule="auto" w:line="288" w:before="0" w:after="0"/>
        <w:jc w:val="left"/>
        <w:rPr>
          <w:rFonts w:ascii="inherit" w:hAnsi="inherit"/>
          <w:b/>
          <w:sz w:val="17"/>
        </w:rPr>
      </w:pPr>
      <w:bookmarkStart w:id="16" w:name="s041A56D9DBFBE7DC4DD183E2BF8C0651"/>
      <w:bookmarkEnd w:id="16"/>
      <w:r>
        <w:rPr>
          <w:rFonts w:ascii="inherit" w:hAnsi="inherit"/>
          <w:b/>
          <w:sz w:val="17"/>
        </w:rPr>
        <w:t>Available Information</w:t>
      </w:r>
    </w:p>
    <w:p>
      <w:pPr>
        <w:pStyle w:val="TextBody"/>
        <w:spacing w:lineRule="auto" w:line="288" w:before="0" w:after="0"/>
        <w:jc w:val="left"/>
        <w:rPr>
          <w:rFonts w:ascii="inherit" w:hAnsi="inherit"/>
          <w:sz w:val="17"/>
        </w:rPr>
      </w:pPr>
      <w:r>
        <w:rPr>
          <w:rFonts w:ascii="inherit" w:hAnsi="inherit"/>
          <w:sz w:val="17"/>
        </w:rPr>
        <w:t>We maintain an Internet website at www.ezcorp.com. All of our reports filed with the Securities and Exchange Commission (the “SEC”), including annual reports on Form 10-K, quarterly reports on Form 10-Q, current reports on Form 8-K and Section 16 filings, are accessible, free of charge, through the Investor Relations section of our website as soon as reasonably practicable after electronic filing. The public may read and copy any materials that we file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issuers that file electronically with the SEC at www.sec.gov. Information on our website is not incorporated by reference into this report.</w:t>
      </w:r>
    </w:p>
    <w:p>
      <w:pPr>
        <w:pStyle w:val="TextBody"/>
        <w:spacing w:lineRule="auto" w:line="288" w:before="0" w:after="0"/>
        <w:jc w:val="left"/>
        <w:rPr>
          <w:rFonts w:ascii="inherit" w:hAnsi="inherit"/>
          <w:b/>
          <w:sz w:val="17"/>
        </w:rPr>
      </w:pPr>
      <w:bookmarkStart w:id="17" w:name="s548C54A385EF3A91AF6E83E2BFBE6832"/>
      <w:bookmarkEnd w:id="17"/>
      <w:r>
        <w:rPr>
          <w:rFonts w:ascii="inherit" w:hAnsi="inherit"/>
          <w:b/>
          <w:sz w:val="17"/>
        </w:rPr>
        <w:t>ITEM 1A. RISK FACTORS</w:t>
      </w:r>
    </w:p>
    <w:p>
      <w:pPr>
        <w:pStyle w:val="TextBody"/>
        <w:spacing w:lineRule="auto" w:line="288" w:before="0" w:after="0"/>
        <w:jc w:val="left"/>
        <w:rPr>
          <w:rFonts w:ascii="inherit" w:hAnsi="inherit"/>
          <w:sz w:val="17"/>
        </w:rPr>
      </w:pPr>
      <w:r>
        <w:rPr>
          <w:rFonts w:ascii="inherit" w:hAnsi="inherit"/>
          <w:sz w:val="17"/>
        </w:rPr>
        <w:t>There are many risks and uncertainties that may affect the operations, performance, development and results of our business. Many of these risks are beyond our control. The following is a description of the important risk factors that may affect our business. If any one or more of these risks actually occur, our business, financial condition or results of operations would likely suffer. Additional risks and uncertainties not currently known to us or that we currently consider to be immaterial may also materially adversely affect our business, financial condition or results of operations.</w:t>
      </w:r>
    </w:p>
    <w:p>
      <w:pPr>
        <w:pStyle w:val="TextBody"/>
        <w:spacing w:lineRule="auto" w:line="288" w:before="0" w:after="0"/>
        <w:jc w:val="left"/>
        <w:rPr>
          <w:rFonts w:ascii="inherit" w:hAnsi="inherit"/>
          <w:b/>
          <w:i/>
          <w:sz w:val="17"/>
        </w:rPr>
      </w:pPr>
      <w:r>
        <w:rPr>
          <w:rFonts w:ascii="inherit" w:hAnsi="inherit"/>
          <w:b/>
          <w:i/>
          <w:sz w:val="17"/>
        </w:rPr>
        <w:t>Changes in laws and regulations affecting our financial services and products could have a material adverse effect on our operations and financial performance.</w:t>
      </w:r>
    </w:p>
    <w:p>
      <w:pPr>
        <w:pStyle w:val="TextBody"/>
        <w:spacing w:lineRule="auto" w:line="288" w:before="0" w:after="0"/>
        <w:jc w:val="left"/>
        <w:rPr>
          <w:rFonts w:ascii="inherit" w:hAnsi="inherit"/>
          <w:sz w:val="17"/>
        </w:rPr>
      </w:pPr>
      <w:r>
        <w:rPr>
          <w:rFonts w:ascii="inherit" w:hAnsi="inherit"/>
          <w:sz w:val="17"/>
        </w:rPr>
        <w:t>Our financial products and services are subject to extensive regulation under various federal, state, local and international laws and regulations. There have been, and continue to be, legislative and regulatory efforts to regulate, prohibit or severely restrict some of the types of short-term financial services and products we offer, particularly payday loans and auto title loans.</w:t>
      </w:r>
    </w:p>
    <w:p>
      <w:pPr>
        <w:pStyle w:val="TextBody"/>
        <w:spacing w:lineRule="auto" w:line="288" w:before="0" w:after="0"/>
        <w:jc w:val="left"/>
        <w:rPr>
          <w:rFonts w:ascii="inherit" w:hAnsi="inherit"/>
          <w:sz w:val="17"/>
        </w:rPr>
      </w:pPr>
      <w:r>
        <w:rPr>
          <w:rFonts w:ascii="inherit" w:hAnsi="inherit"/>
          <w:sz w:val="17"/>
        </w:rPr>
        <w:t>Adverse legislation could be enacted in any country, state or municipality in which we operate. If such legislation is enacted in any particular jurisdiction, we generally evaluate our business in the context of the new legislation and determine whether we can continue to operate in that jurisdiction with new or modified products or whether it is feasible to enhance our business with additional product offerings. In any case, if we are unable to continue to operate profitably under the new law, we may decide to close or consolidate stores, resulting in decreased revenues, earnings and assets.</w:t>
      </w:r>
    </w:p>
    <w:p>
      <w:pPr>
        <w:pStyle w:val="TextBody"/>
        <w:spacing w:lineRule="auto" w:line="288" w:before="0" w:after="0"/>
        <w:jc w:val="left"/>
        <w:rPr>
          <w:rFonts w:ascii="inherit" w:hAnsi="inherit"/>
          <w:sz w:val="17"/>
        </w:rPr>
      </w:pPr>
      <w:r>
        <w:rPr>
          <w:rFonts w:ascii="inherit" w:hAnsi="inherit"/>
          <w:sz w:val="17"/>
        </w:rPr>
        <w:t xml:space="preserve">For example, in 2011 and 2012, the Cities of Austin, Dallas and San Antonio, Texas adopted municipal ordinances imposing restrictions on certain financial services products we can offer as a credit services organization or credit access business in those cities. Specifically, the ordinances require municipal registrations, limit the amount borrowers can borrow and require principal paydowns on refinancing or with each installment payment. These limitations and restrictions make the products less attractive to our customers, thus lessening demand, and severely impair the financial viability of our financial services business in those cities. We recently closed 20 financial services stores in Dallas, primarily due to the onerous regulatory requirements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of the municipal ordinance. See “Item 1 — Business — Discontinued Operations.” The City of Houston recently announced that it will consider adopting a similar ordinance.</w:t>
      </w:r>
    </w:p>
    <w:p>
      <w:pPr>
        <w:pStyle w:val="TextBody"/>
        <w:spacing w:lineRule="auto" w:line="288" w:before="0" w:after="0"/>
        <w:jc w:val="left"/>
        <w:rPr>
          <w:rFonts w:ascii="inherit" w:hAnsi="inherit"/>
          <w:sz w:val="17"/>
        </w:rPr>
      </w:pPr>
      <w:r>
        <w:rPr>
          <w:rFonts w:ascii="inherit" w:hAnsi="inherit"/>
          <w:sz w:val="17"/>
        </w:rPr>
        <w:t>In addition, any financial services business that we undertake directly in international jurisdictions, as well as the financial services businesses conducted by our strategic affiliates, are subject to a variety of regulation by international governmental authorities. Adverse legislation or regulations could be enacted in any of such international jurisdictions, with the result that the financial services business in that jurisdiction becomes less profitable or unprofitable. For example, the Consumer Credit and Corporations Legislation Amendment (Enhancements) Bill 2011 was passed by the Australian Parliament in August 2012. This new law, which went into effect on July 1, 2013, imposes certain limitations and restrictions on short-term consumer loans in Australia, including interest limitations and restrictions on extensions and refinancings. See ‘‘Part I—Business—Strategic Investments.’’ Further, the Financial Conduct Authority, which on April 1, 2014, will assume primary regulatory authority over short-term consumer lending in the U.K., recently released guidance that focuses on the affordability of the credit extended (i.e., the customer’s ability to repay), the use of continuous payment authority to collect repayments and sustained use short-term credit products. This guidance, when it becomes effective regulation, along with other regulations that may be issued in the future, could have an adverse impact on our online lending business in the U.K.</w:t>
      </w:r>
    </w:p>
    <w:p>
      <w:pPr>
        <w:pStyle w:val="TextBody"/>
        <w:spacing w:lineRule="auto" w:line="288" w:before="0" w:after="0"/>
        <w:jc w:val="left"/>
        <w:rPr>
          <w:rFonts w:ascii="inherit" w:hAnsi="inherit"/>
          <w:sz w:val="17"/>
        </w:rPr>
      </w:pPr>
      <w:r>
        <w:rPr>
          <w:rFonts w:ascii="inherit" w:hAnsi="inherit"/>
          <w:sz w:val="17"/>
        </w:rPr>
        <w:t>Many of the legislative and regulatory efforts that are adverse to the short-term consumer loan industry are the result of the negative characterization of the industry by some consumer advocacy groups and some media reports that ignore the credit risk and high transaction costs of serving our customers. We can give no assurance that there will not be further negative characterizations of our industry or that legislative or regulatory efforts to eliminate or restrict the availability of certain short-term loan products, including payday loans and auto title loans, will not be successful despite significant customer demand for such products. Such efforts, if successful, could have a material adverse effect on our operations or financial performance.</w:t>
      </w:r>
    </w:p>
    <w:p>
      <w:pPr>
        <w:pStyle w:val="TextBody"/>
        <w:spacing w:lineRule="auto" w:line="288" w:before="0" w:after="0"/>
        <w:rPr>
          <w:rFonts w:ascii="inherit" w:hAnsi="inherit"/>
          <w:b/>
          <w:i/>
          <w:sz w:val="17"/>
        </w:rPr>
      </w:pPr>
      <w:r>
        <w:rPr>
          <w:rFonts w:ascii="inherit" w:hAnsi="inherit"/>
          <w:b/>
          <w:i/>
          <w:sz w:val="17"/>
        </w:rPr>
        <w:t>A significant or sudden decrease in gold values or the volume of gold transactions may have a material impact on our earnings and financial position.</w:t>
      </w:r>
    </w:p>
    <w:p>
      <w:pPr>
        <w:pStyle w:val="TextBody"/>
        <w:spacing w:lineRule="auto" w:line="288" w:before="0" w:after="0"/>
        <w:rPr>
          <w:rFonts w:ascii="inherit" w:hAnsi="inherit"/>
          <w:sz w:val="17"/>
        </w:rPr>
      </w:pPr>
      <w:r>
        <w:rPr>
          <w:rFonts w:ascii="inherit" w:hAnsi="inherit"/>
          <w:sz w:val="17"/>
        </w:rPr>
        <w:t>Gold jewelry comprises a significant portion of the collateral security for our pawn loans and our inventory, and gold scrapping accounts for a significant portion of our revenues and gross profit. Pawn service charges,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significantly impact our business. During fiscal 2012 and fiscal 2013, we experienced a significant softening of gold prices and volumes, which had a significant negative impact on our profitability. The impact on our financial position and results of operations of a continued decrease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and pawn service charge revenues.</w:t>
      </w:r>
    </w:p>
    <w:p>
      <w:pPr>
        <w:pStyle w:val="TextBody"/>
        <w:spacing w:lineRule="auto" w:line="288" w:before="0" w:after="0"/>
        <w:rPr>
          <w:rFonts w:ascii="inherit" w:hAnsi="inherit"/>
          <w:b/>
          <w:i/>
          <w:sz w:val="17"/>
        </w:rPr>
      </w:pPr>
      <w:r>
        <w:rPr>
          <w:rFonts w:ascii="inherit" w:hAnsi="inherit"/>
          <w:b/>
          <w:i/>
          <w:sz w:val="17"/>
        </w:rPr>
        <w:t>The Consumer Financial Protection Bureau has begun exercising its supervisory role over short-term, small-dollar lenders, which could result in a material adverse effect on our operations and financial performance.</w:t>
      </w:r>
    </w:p>
    <w:p>
      <w:pPr>
        <w:pStyle w:val="TextBody"/>
        <w:spacing w:lineRule="auto" w:line="288" w:before="0" w:after="0"/>
        <w:rPr>
          <w:rFonts w:ascii="inherit" w:hAnsi="inherit"/>
          <w:sz w:val="17"/>
        </w:rPr>
      </w:pPr>
      <w:r>
        <w:rPr>
          <w:rFonts w:ascii="inherit" w:hAnsi="inherit"/>
          <w:sz w:val="17"/>
        </w:rPr>
        <w:t>As noted under ‘‘Item 1 — Business — Regulation — Short-Term Consumer Loan Regulations,’’ the Dodd-Frank Wall Street Reform and Consumer Protection Act established the Consumer Financial Protection Bureau (the ‘‘CFPB’’), which has the power to, among other things, regulate companies that offer or supply payday loans and other products and services that we offer. The CFPB now exercises its supervisory and regulatory authority over non-depository companies providing consumer financial services products and services.</w:t>
      </w:r>
    </w:p>
    <w:p>
      <w:pPr>
        <w:pStyle w:val="TextBody"/>
        <w:spacing w:lineRule="auto" w:line="288" w:before="0" w:after="0"/>
        <w:rPr>
          <w:rFonts w:ascii="inherit" w:hAnsi="inherit"/>
          <w:sz w:val="17"/>
        </w:rPr>
      </w:pPr>
      <w:r>
        <w:rPr>
          <w:rFonts w:ascii="inherit" w:hAnsi="inherit"/>
          <w:sz w:val="17"/>
        </w:rPr>
        <w:t>Under its supervisory and examination powers, the CFPB has authority to inspect short-term lenders’ books and records and lending practices, including marketing, underwriting, loan application and processing and collections. The CFPB has published its Short-Term, Small-Dollar Lending Examination Procedures, outlining the guidelines that CFPB examiners will use in examining short-term lenders. The CFPB has begun to conduct examinations of payday loan companies to assess companies’ compliance with federal consumer financial services laws, obtain information on the activities and procedures of short-term lenders and detect risks to consumers. Should the CFPB determine that a financial service provider is in violation of federal law, it has broad authority to initiate administrative actions or litigation, in which it may seek cease and desist orders for the provider’s activities, rescission of loan contracts and administrative fines and penalties.</w:t>
      </w:r>
    </w:p>
    <w:p>
      <w:pPr>
        <w:pStyle w:val="TextBody"/>
        <w:spacing w:lineRule="auto" w:line="288" w:before="0" w:after="0"/>
        <w:rPr>
          <w:rFonts w:ascii="inherit" w:hAnsi="inherit"/>
          <w:sz w:val="17"/>
        </w:rPr>
      </w:pPr>
      <w:r>
        <w:rPr>
          <w:rFonts w:ascii="inherit" w:hAnsi="inherit"/>
          <w:sz w:val="17"/>
        </w:rPr>
        <w:t xml:space="preserve">The CFPB also has rule-making authority over short-term lenders. While it does not have authority to regulate fees, it conceivably could adopt rules that could impair the viability or financial performance of products and services. On April 24, 2013, the CFPB issued a report following an in-depth review of short-term small dollar loans, including payday loans. While the CFPB acknowledges the clear demand for small dollar credit products, it does express concern regarding the risk of sustained use of these products by some consumers. The CFPB reiterated its authority to adopt rules identifying unfair, deceptive or abusive practices in connection with the offering of consumer financial products and services and stated that it expects to use its authority to provide such protections. It is not possible to accurately predict what affect the CFPB will have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on our business. The CFPB, through its supervisory or enforcement role or through its rule-making authority, could take actions that would have a material adverse effect on our operations and financial performance.</w:t>
      </w:r>
    </w:p>
    <w:p>
      <w:pPr>
        <w:pStyle w:val="TextBody"/>
        <w:spacing w:lineRule="auto" w:line="288" w:before="0" w:after="0"/>
        <w:jc w:val="left"/>
        <w:rPr>
          <w:rFonts w:ascii="inherit" w:hAnsi="inherit"/>
          <w:b/>
          <w:i/>
          <w:sz w:val="17"/>
        </w:rPr>
      </w:pPr>
      <w:r>
        <w:rPr>
          <w:rFonts w:ascii="inherit" w:hAnsi="inherit"/>
          <w:b/>
          <w:i/>
          <w:sz w:val="17"/>
        </w:rPr>
        <w:t>A significant portion of our business is concentrated in Texas.</w:t>
      </w:r>
    </w:p>
    <w:p>
      <w:pPr>
        <w:pStyle w:val="TextBody"/>
        <w:spacing w:lineRule="auto" w:line="288" w:before="0" w:after="0"/>
        <w:jc w:val="left"/>
        <w:rPr>
          <w:sz w:val="17"/>
        </w:rPr>
      </w:pPr>
      <w:r>
        <w:rPr>
          <w:rFonts w:ascii="inherit" w:hAnsi="inherit"/>
          <w:sz w:val="17"/>
        </w:rPr>
        <w:t xml:space="preserve">As of </w:t>
      </w:r>
      <w:r>
        <w:rPr>
          <w:rFonts w:ascii="inherit" w:hAnsi="inherit"/>
          <w:strike w:val="false"/>
          <w:dstrike w:val="false"/>
          <w:color w:val="000000"/>
          <w:sz w:val="17"/>
          <w:u w:val="none"/>
          <w:effect w:val="none"/>
        </w:rPr>
        <w:t>September 30, 2013</w:t>
      </w:r>
      <w:r>
        <w:rPr>
          <w:rFonts w:ascii="inherit" w:hAnsi="inherit"/>
          <w:sz w:val="17"/>
        </w:rPr>
        <w:t>, over half of our financial services stores and almost half of our domestic pawn stores were located in Texas, and those stores account for a significant portion of our revenues and profitability. With the exception of activity at the municipal level that has negatively impacted (or may negatively impact) our financial services business, the legislative, regulatory and general business environment in Texas has been relatively favorable for our business activities. We have been successful in growing and expanding our businesses in areas outside Texas for the past several years, and we expect that our business in other areas will continue to grow faster than our business in Texas.</w:t>
      </w:r>
    </w:p>
    <w:p>
      <w:pPr>
        <w:pStyle w:val="TextBody"/>
        <w:spacing w:lineRule="auto" w:line="288" w:before="0" w:after="0"/>
        <w:jc w:val="left"/>
        <w:rPr>
          <w:rFonts w:ascii="inherit" w:hAnsi="inherit"/>
          <w:sz w:val="17"/>
        </w:rPr>
      </w:pPr>
      <w:r>
        <w:rPr>
          <w:rFonts w:ascii="inherit" w:hAnsi="inherit"/>
          <w:sz w:val="17"/>
        </w:rPr>
        <w:t>A negative legislative or regulatory change in Texas could have a material adverse effect on our overall operations and financial performance. We offer short-term consumer loans in Texas through our credit services organization program in both storefronts and online. If new adverse legislation is enacted in Texas, it could require us to alter or discontinue some or all of our consumer loan business in Texas. During the most recent regular legislative session (which ended in May 2013), the Texas Senate passed a bill that, had it been enacted into law, would have adversely affected our consumer loan business in Texas. The bill included caps on fees, limitations on the amounts that can be loaned, limitations on the number of refinancings, cooling off periods and other restrictions. That bill failed to gain sufficient support in the Texas House of Representatives and was not enacted into law. There can be no assurance that similar legislation will not be considered, or possibly enacted, during future legislative sessions. Even if no legislation is enacted at the state level, various municipalities may still consider and enact ordinances that restrict short-term consumer loans (as Dallas, Austin, San Antonio and several smaller cities have already done, and Houston is proposing to do).</w:t>
      </w:r>
    </w:p>
    <w:p>
      <w:pPr>
        <w:pStyle w:val="TextBody"/>
        <w:spacing w:lineRule="auto" w:line="288" w:before="0" w:after="0"/>
        <w:rPr>
          <w:rFonts w:ascii="inherit" w:hAnsi="inherit"/>
          <w:b/>
          <w:i/>
          <w:sz w:val="17"/>
        </w:rPr>
      </w:pPr>
      <w:r>
        <w:rPr>
          <w:rFonts w:ascii="inherit" w:hAnsi="inherit"/>
          <w:b/>
          <w:i/>
          <w:sz w:val="17"/>
        </w:rPr>
        <w:t xml:space="preserve">A significant change in foreign currency exchange rates could have a material adverse impact on our earnings and financial position. </w:t>
      </w:r>
    </w:p>
    <w:p>
      <w:pPr>
        <w:pStyle w:val="TextBody"/>
        <w:spacing w:lineRule="auto" w:line="288" w:before="0" w:after="0"/>
        <w:rPr>
          <w:rFonts w:ascii="inherit" w:hAnsi="inherit"/>
          <w:sz w:val="17"/>
        </w:rPr>
      </w:pPr>
      <w:r>
        <w:rPr>
          <w:rFonts w:ascii="inherit" w:hAnsi="inherit"/>
          <w:sz w:val="17"/>
        </w:rPr>
        <w:t>We have foreign operations in Mexico, Canada and the United Kingdom and equity investments in the United Kingdom and Australia. Our assets and investments in, and earnings and dividends from, each of these must be translated to U.S. dollars from their respective functional currencies. A significant weakening of any of these foreign currencies could result in lower assets and earnings in U.S. dollars, resulting in a material adverse impact on our financial position, results of operations and cash flows.</w:t>
      </w:r>
    </w:p>
    <w:p>
      <w:pPr>
        <w:pStyle w:val="TextBody"/>
        <w:spacing w:lineRule="auto" w:line="288" w:before="0" w:after="0"/>
        <w:rPr>
          <w:rFonts w:ascii="inherit" w:hAnsi="inherit"/>
          <w:b/>
          <w:i/>
          <w:sz w:val="17"/>
        </w:rPr>
      </w:pPr>
      <w:r>
        <w:rPr>
          <w:rFonts w:ascii="inherit" w:hAnsi="inherit"/>
          <w:b/>
          <w:i/>
          <w:sz w:val="17"/>
        </w:rPr>
        <w:t>Prolonged periods of economic recession and unemployment could adversely affect our lending and retail businesses.</w:t>
      </w:r>
    </w:p>
    <w:p>
      <w:pPr>
        <w:pStyle w:val="TextBody"/>
        <w:spacing w:lineRule="auto" w:line="288" w:before="0" w:after="0"/>
        <w:rPr>
          <w:rFonts w:ascii="inherit" w:hAnsi="inherit"/>
          <w:sz w:val="17"/>
        </w:rPr>
      </w:pPr>
      <w:r>
        <w:rPr>
          <w:rFonts w:ascii="inherit" w:hAnsi="inherit"/>
          <w:sz w:val="17"/>
        </w:rPr>
        <w:t>All of our businesses, like other businesses, are subject to fluctuations based on varying economic conditions. Economic conditions and general consumer confidence affect the demand for our retail products and the ability and willingness of our customers to utilize our loan products and services. Our consumer loan products and services require the customer to have a verifiable recurring source of income. Consequently, we may experience reduced demand for our consumer loan products during prolonged periods of high unemployment. Weakened economic conditions may also result in an increase in loan defaults and loan losses. Even in the current economic environment, we have been able to efficiently manage our bad debt through our underwriting and collection efforts. There can be no assurance that we will be able to sustain our current bad debt rates or that we will not experience increasing difficulty in collecting defaulted loans.</w:t>
      </w:r>
    </w:p>
    <w:p>
      <w:pPr>
        <w:pStyle w:val="TextBody"/>
        <w:spacing w:lineRule="auto" w:line="288" w:before="0" w:after="0"/>
        <w:rPr>
          <w:rFonts w:ascii="inherit" w:hAnsi="inherit"/>
          <w:b/>
          <w:i/>
          <w:sz w:val="17"/>
        </w:rPr>
      </w:pPr>
      <w:r>
        <w:rPr>
          <w:rFonts w:ascii="inherit" w:hAnsi="inherit"/>
          <w:b/>
          <w:i/>
          <w:sz w:val="17"/>
        </w:rPr>
        <w:t>A significant portion of our short-term consumer loan revenues and profitability is dependent upon the ability and willingness of unaffiliated lenders to make loans to our customers.</w:t>
      </w:r>
    </w:p>
    <w:p>
      <w:pPr>
        <w:pStyle w:val="TextBody"/>
        <w:spacing w:lineRule="auto" w:line="288" w:before="0" w:after="0"/>
        <w:rPr>
          <w:rFonts w:ascii="inherit" w:hAnsi="inherit"/>
          <w:sz w:val="17"/>
        </w:rPr>
      </w:pPr>
      <w:r>
        <w:rPr>
          <w:rFonts w:ascii="inherit" w:hAnsi="inherit"/>
          <w:sz w:val="17"/>
        </w:rPr>
        <w:t>In Texas, where over half of our financial services stores are located, we do not make consumer loans to customers, but assist customers in arranging loans with unaffiliated lenders. We also have a similar arrangement for our online lending business in Ohio. Our credit services organization or credit access business could be adversely affected if (a) we were to lose our current relationships with unaffiliated lenders and were unable to establish a relationship with another unaffiliated lender who was willing and able to make short-term loans to our Texas customers or (b) the unaffiliated lenders are unable to obtain capital or other sources of funding at appropriate rates.</w:t>
      </w:r>
    </w:p>
    <w:p>
      <w:pPr>
        <w:pStyle w:val="TextBody"/>
        <w:spacing w:lineRule="auto" w:line="288" w:before="0" w:after="0"/>
        <w:rPr>
          <w:rFonts w:ascii="inherit" w:hAnsi="inherit"/>
          <w:b/>
          <w:i/>
          <w:sz w:val="17"/>
        </w:rPr>
      </w:pPr>
      <w:r>
        <w:rPr>
          <w:rFonts w:ascii="inherit" w:hAnsi="inherit"/>
          <w:b/>
          <w:i/>
          <w:sz w:val="17"/>
        </w:rPr>
        <w:t>Achievement of our growth objectives is dependent upon our ability to open and acquire new stores.</w:t>
      </w:r>
    </w:p>
    <w:p>
      <w:pPr>
        <w:pStyle w:val="TextBody"/>
        <w:spacing w:lineRule="auto" w:line="288" w:before="0" w:after="0"/>
        <w:rPr>
          <w:rFonts w:ascii="inherit" w:hAnsi="inherit"/>
          <w:sz w:val="17"/>
        </w:rPr>
      </w:pPr>
      <w:r>
        <w:rPr>
          <w:rFonts w:ascii="inherit" w:hAnsi="inherit"/>
          <w:sz w:val="17"/>
        </w:rPr>
        <w:t xml:space="preserve">Our expansion strategy includes opening de novo store locations and acquiring existing stores.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In addition, our acquisition strategy is dependent upon the availability of attractive acquisition candidates. The achievement of our growth objectives is also subject to our ability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to attract, train and retain qualified team members. Failure to achieve our expansion goals would adversely affect our prospects and future results of operations.</w:t>
      </w:r>
    </w:p>
    <w:p>
      <w:pPr>
        <w:pStyle w:val="TextBody"/>
        <w:spacing w:lineRule="auto" w:line="288" w:before="0" w:after="0"/>
        <w:rPr>
          <w:rFonts w:ascii="inherit" w:hAnsi="inherit"/>
          <w:b/>
          <w:i/>
          <w:sz w:val="17"/>
        </w:rPr>
      </w:pPr>
      <w:r>
        <w:rPr>
          <w:rFonts w:ascii="inherit" w:hAnsi="inherit"/>
          <w:b/>
          <w:i/>
          <w:sz w:val="17"/>
        </w:rPr>
        <w:t>Changes in the business, regulatory or political climate in Mexico could adversely affect our operations in those countries, which could adversely affect our growth plans.</w:t>
      </w:r>
    </w:p>
    <w:p>
      <w:pPr>
        <w:pStyle w:val="TextBody"/>
        <w:spacing w:lineRule="auto" w:line="288" w:before="0" w:after="0"/>
        <w:rPr>
          <w:rFonts w:ascii="inherit" w:hAnsi="inherit"/>
          <w:sz w:val="17"/>
        </w:rPr>
      </w:pPr>
      <w:r>
        <w:rPr>
          <w:rFonts w:ascii="inherit" w:hAnsi="inherit"/>
          <w:sz w:val="17"/>
        </w:rPr>
        <w:t>Our growth plans include significant expansion in Mexico. Changes in the business, regulatory or political climate in Mexico, or significant fluctuations in currency exchange rates, could affect our ability to expand or continue our operations there, which could have a material adverse impact on our prospects, results of operations and cash flows.</w:t>
      </w:r>
    </w:p>
    <w:p>
      <w:pPr>
        <w:pStyle w:val="TextBody"/>
        <w:spacing w:lineRule="auto" w:line="288" w:before="0" w:after="0"/>
        <w:rPr>
          <w:rFonts w:ascii="inherit" w:hAnsi="inherit"/>
          <w:b/>
          <w:i/>
          <w:sz w:val="17"/>
        </w:rPr>
      </w:pPr>
      <w:r>
        <w:rPr>
          <w:rFonts w:ascii="inherit" w:hAnsi="inherit"/>
          <w:b/>
          <w:i/>
          <w:sz w:val="17"/>
        </w:rPr>
        <w:t>Fluctuations in our sales, pawn loan balances, sales margins, pawn redemption rates and loan default and collection rates could have a material adverse impact on our operating results.</w:t>
      </w:r>
    </w:p>
    <w:p>
      <w:pPr>
        <w:pStyle w:val="TextBody"/>
        <w:spacing w:lineRule="auto" w:line="288" w:before="0" w:after="0"/>
        <w:rPr>
          <w:rFonts w:ascii="inherit" w:hAnsi="inherit"/>
          <w:sz w:val="17"/>
        </w:rPr>
      </w:pPr>
      <w:r>
        <w:rPr>
          <w:rFonts w:ascii="inherit" w:hAnsi="inherit"/>
          <w:sz w:val="17"/>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pStyle w:val="TextBody"/>
        <w:spacing w:lineRule="auto" w:line="288" w:before="0" w:after="0"/>
        <w:rPr>
          <w:rFonts w:ascii="inherit" w:hAnsi="inherit"/>
          <w:b/>
          <w:i/>
          <w:sz w:val="17"/>
        </w:rPr>
      </w:pPr>
      <w:r>
        <w:rPr>
          <w:rFonts w:ascii="inherit" w:hAnsi="inherit"/>
          <w:b/>
          <w:i/>
          <w:sz w:val="17"/>
        </w:rPr>
        <w:t>Changes in our liquidity and capital requirements or in banks’ abilities or willingness to lend to us could limit our ability to achieve our plans.</w:t>
      </w:r>
    </w:p>
    <w:p>
      <w:pPr>
        <w:pStyle w:val="TextBody"/>
        <w:spacing w:lineRule="auto" w:line="288" w:before="0" w:after="0"/>
        <w:rPr>
          <w:rFonts w:ascii="inherit" w:hAnsi="inherit"/>
          <w:sz w:val="17"/>
        </w:rPr>
      </w:pPr>
      <w:r>
        <w:rPr>
          <w:rFonts w:ascii="inherit" w:hAnsi="inherit"/>
          <w:sz w:val="17"/>
        </w:rPr>
        <w:t>We require continued access to capital. A significant reduction in cash flows from operations or the availability of credit could materially and adversely affect our ability to achieve our planned growth and operating results. We currently have a $200 million revolving credit facility with a syndicate of banks. If one of those banks is unable to provide funding in accordance with its commitment, our available credit could be reduced. Our current credit facility is scheduled to terminate in May 2015. Our ability to obtain a new credit facility or alternative financing will depend upon market conditions and our financial condition at the time. If we are unable to obtain a new credit facility or other alternative financing on terms that are acceptable to us, our ability to achieve our growth objectives, and our financial condition and results of operations, may be adversely affected.</w:t>
      </w:r>
    </w:p>
    <w:p>
      <w:pPr>
        <w:pStyle w:val="TextBody"/>
        <w:spacing w:lineRule="auto" w:line="288" w:before="0" w:after="0"/>
        <w:rPr>
          <w:rFonts w:ascii="inherit" w:hAnsi="inherit"/>
          <w:b/>
          <w:i/>
          <w:sz w:val="17"/>
        </w:rPr>
      </w:pPr>
      <w:r>
        <w:rPr>
          <w:rFonts w:ascii="inherit" w:hAnsi="inherit"/>
          <w:b/>
          <w:i/>
          <w:sz w:val="17"/>
        </w:rPr>
        <w:t>Changes in competition from various sources could have a material adverse impact on our ability to achieve our plans.</w:t>
      </w:r>
    </w:p>
    <w:p>
      <w:pPr>
        <w:pStyle w:val="TextBody"/>
        <w:spacing w:lineRule="auto" w:line="288" w:before="0" w:after="0"/>
        <w:rPr>
          <w:rFonts w:ascii="inherit" w:hAnsi="inherit"/>
          <w:sz w:val="17"/>
        </w:rPr>
      </w:pPr>
      <w:r>
        <w:rPr>
          <w:rFonts w:ascii="inherit" w:hAnsi="inherit"/>
          <w:sz w:val="17"/>
        </w:rPr>
        <w:t>We encounter significant competition from other pawn stores, cash advance companies, credit service organizations, credit access businesses, online lenders, consumer finance companies and other forms of financial institutions and other retailers, many of which have significantly greater financial resources than we do. Significant increases in the number or size of competitors or other changes in competitive influences could adversely affect our operations through a decrease in the number or quality of loan products and services we are able to provide or our ability to liquidate forfeited collateral at acceptable margins.</w:t>
      </w:r>
    </w:p>
    <w:p>
      <w:pPr>
        <w:pStyle w:val="TextBody"/>
        <w:spacing w:lineRule="auto" w:line="288" w:before="0" w:after="0"/>
        <w:rPr>
          <w:rFonts w:ascii="inherit" w:hAnsi="inherit"/>
          <w:b/>
          <w:i/>
          <w:sz w:val="17"/>
        </w:rPr>
      </w:pPr>
      <w:r>
        <w:rPr>
          <w:rFonts w:ascii="inherit" w:hAnsi="inherit"/>
          <w:b/>
          <w:i/>
          <w:sz w:val="17"/>
        </w:rPr>
        <w:t>One person beneficially owns all of our voting stock and controls the outcome of all matters requiring a vote of stockholders, which may influence the value of our publicly traded non-voting stock.</w:t>
      </w:r>
    </w:p>
    <w:p>
      <w:pPr>
        <w:pStyle w:val="TextBody"/>
        <w:spacing w:lineRule="auto" w:line="288" w:before="0" w:after="0"/>
        <w:rPr>
          <w:rFonts w:ascii="inherit" w:hAnsi="inherit"/>
          <w:sz w:val="17"/>
        </w:rPr>
      </w:pPr>
      <w:r>
        <w:rPr>
          <w:rFonts w:ascii="inherit" w:hAnsi="inherit"/>
          <w:sz w:val="17"/>
        </w:rPr>
        <w:t>Phillip E. Cohen is the beneficial owner of all of our Class B Voting Common Stock. As a result of his equity ownership stake, Mr. Cohen controls the outcome of all issues requiring a vote of stockholders and has the ability to control our policies and operations. All of our publicly traded stock is non-voting stock. Consequently, stockholders other than Mr. Cohen have no vote with respect to the election of directors or any other matter requiring a vote of stockholders except as required by law. This lack of voting rights may adversely affect the market value of our publicly traded Class A Non-Voting Common Stock.</w:t>
      </w:r>
    </w:p>
    <w:p>
      <w:pPr>
        <w:pStyle w:val="TextBody"/>
        <w:spacing w:lineRule="auto" w:line="288" w:before="0" w:after="0"/>
        <w:rPr>
          <w:rFonts w:ascii="inherit" w:hAnsi="inherit"/>
          <w:sz w:val="17"/>
        </w:rPr>
      </w:pPr>
      <w:r>
        <w:rPr>
          <w:rFonts w:ascii="inherit" w:hAnsi="inherit"/>
          <w:sz w:val="17"/>
        </w:rPr>
        <w:t>In addition, we have regularly entered into, and may continue to enter into, advisory services agreements with Madison Park, LLC, a financial advisory firm wholly owned by Mr. Cohen. See “Part III — Item 13 — Certain Relationships and Related Transactions, and Director Independence — Related Party Transactions — Agreement with Madison Park.”</w:t>
      </w:r>
    </w:p>
    <w:p>
      <w:pPr>
        <w:pStyle w:val="TextBody"/>
        <w:spacing w:lineRule="auto" w:line="288" w:before="0" w:after="0"/>
        <w:rPr>
          <w:rFonts w:ascii="inherit" w:hAnsi="inherit"/>
          <w:b/>
          <w:i/>
          <w:sz w:val="17"/>
        </w:rPr>
      </w:pPr>
      <w:r>
        <w:rPr>
          <w:rFonts w:ascii="inherit" w:hAnsi="inherit"/>
          <w:b/>
          <w:i/>
          <w:sz w:val="17"/>
        </w:rPr>
        <w:t>Infrastructure failures and breaches in data security could harm our business.</w:t>
      </w:r>
    </w:p>
    <w:p>
      <w:pPr>
        <w:pStyle w:val="TextBody"/>
        <w:spacing w:lineRule="auto" w:line="288" w:before="0" w:after="0"/>
        <w:rPr>
          <w:rFonts w:ascii="inherit" w:hAnsi="inherit"/>
          <w:sz w:val="17"/>
        </w:rPr>
      </w:pPr>
      <w:r>
        <w:rPr>
          <w:rFonts w:ascii="inherit" w:hAnsi="inherit"/>
          <w:sz w:val="17"/>
        </w:rPr>
        <w:t>We depend on our information technology infrastructure to achieve our business objectives. If a problem, such as a computer virus, intentional disruption by a third party, natural disaster, telecommunications system failure or lost connectivity impairs our infrastructure, we may be unable to process transactions or otherwise carry on our business. An infrastructure disruption could damage our reputation and cause us to lose customers and revenue, result in the unintentional disclosure of company or customer information and require us to incur significant expense to eliminate these problems and address related data security concerns.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Our online short-term consumer lending business is subject to additional risks.</w:t>
      </w:r>
    </w:p>
    <w:p>
      <w:pPr>
        <w:pStyle w:val="TextBody"/>
        <w:spacing w:lineRule="auto" w:line="288" w:before="0" w:after="0"/>
        <w:rPr>
          <w:rFonts w:ascii="inherit" w:hAnsi="inherit"/>
          <w:sz w:val="17"/>
        </w:rPr>
      </w:pPr>
      <w:r>
        <w:rPr>
          <w:rFonts w:ascii="inherit" w:hAnsi="inherit"/>
          <w:sz w:val="17"/>
        </w:rPr>
        <w:t>In addition to being subject to the various federal, state and local regulations that are applicable to short-term consumer lending generally, our online short-term consumer loan business (both in the U.S. and the U.K.) is subject to other regulations and risks. For example, we will be dependent on third parties, referred to as lead providers, to provide us with prospective new customers. Generally, lead providers operate separate websites to attract prospective customers and then sell those ‘‘leads’’ to online lenders. As a result, the success of our online consumer lending business depends substantially on the willingness and ability of lead providers to send us customer leads at prices acceptable to us. The loss or a reduction in leads from lead providers, or the failure of our lead providers to maintain quality and consistency in their programs or services, could reduce our customer prospects and could have a material adverse effect on the success of this line of business. Furthermore, the lead providers’ failure to comply with applicable laws or regulations, or any changes in laws or regulations applicable to lead providers, could have an adverse effect on our online consumer lending business. Federal legislation was introduced in the U.S. in July 2012 that, if enacted in its current form, would prohibit the use of lead providers or generators to secure consumer business. If such legislation were to be enacted, it would significantly impact the manner in which the online lending business is conducted, and could significantly negatively affect the success and profitability of our online lending business.</w:t>
      </w:r>
    </w:p>
    <w:p>
      <w:pPr>
        <w:pStyle w:val="TextBody"/>
        <w:spacing w:lineRule="auto" w:line="288" w:before="0" w:after="0"/>
        <w:rPr>
          <w:rFonts w:ascii="inherit" w:hAnsi="inherit"/>
          <w:b/>
          <w:i/>
          <w:sz w:val="17"/>
        </w:rPr>
      </w:pPr>
      <w:r>
        <w:rPr>
          <w:rFonts w:ascii="inherit" w:hAnsi="inherit"/>
          <w:b/>
          <w:i/>
          <w:sz w:val="17"/>
        </w:rPr>
        <w:t>We may be subject to litigation proceedings that could harm our business.</w:t>
      </w:r>
    </w:p>
    <w:p>
      <w:pPr>
        <w:pStyle w:val="TextBody"/>
        <w:spacing w:lineRule="auto" w:line="288" w:before="0" w:after="0"/>
        <w:rPr>
          <w:rFonts w:ascii="inherit" w:hAnsi="inherit"/>
          <w:sz w:val="17"/>
        </w:rPr>
      </w:pPr>
      <w:r>
        <w:rPr>
          <w:rFonts w:ascii="inherit" w:hAnsi="inherit"/>
          <w:sz w:val="17"/>
        </w:rPr>
        <w:t>Currently and from time to time, we are defendants in various legal and regulatory actions. While we cannot determine the ultimate outcome of any current actions, we believe their resolution will not have a material adverse effect on our financial condition, results of operations or liquidity. However, litigation is subject to inherent uncertainties and unfavorable rulings could occur. An unfavorable ruling could include monetary damages or an injunction prohibiting us from conducting our business as we currently do. If we were to receive an unfavorable ruling in a matter, our business and results of operations could be materially harmed.</w:t>
      </w:r>
    </w:p>
    <w:p>
      <w:pPr>
        <w:pStyle w:val="TextBody"/>
        <w:spacing w:lineRule="auto" w:line="288" w:before="0" w:after="0"/>
        <w:rPr>
          <w:rFonts w:ascii="inherit" w:hAnsi="inherit"/>
          <w:b/>
          <w:i/>
          <w:sz w:val="17"/>
        </w:rPr>
      </w:pPr>
      <w:r>
        <w:rPr>
          <w:rFonts w:ascii="inherit" w:hAnsi="inherit"/>
          <w:b/>
          <w:i/>
          <w:sz w:val="17"/>
        </w:rPr>
        <w:t>We invest in companies for strategic reasons and may not realize a return on our investments.</w:t>
      </w:r>
    </w:p>
    <w:p>
      <w:pPr>
        <w:pStyle w:val="TextBody"/>
        <w:spacing w:lineRule="auto" w:line="288" w:before="0" w:after="0"/>
        <w:rPr>
          <w:sz w:val="17"/>
        </w:rPr>
      </w:pPr>
      <w:r>
        <w:rPr>
          <w:rFonts w:ascii="inherit" w:hAnsi="inherit"/>
          <w:sz w:val="17"/>
        </w:rPr>
        <w:t xml:space="preserve">We currently have significant investments in Albemarle &amp; Bond Holdings PLC and Cash Converters International Limited, both of which are publicly traded companies based outside the United States. We have made these investments, and may in the future make additional investments in these or other companies, to further our strategic objectives. The success of these strategic investments is dependent on a variety of factors, including the business performance of the companies in which we invest and the market’s assessment of that performance. If the business performance of any of these companies suffers, then the value of our investment may decline. If we determine that an other-than-temporary decline in the fair value exists for one of our equity investments, we will be required to write down that investment to its fair value and recognize the related write-down as an investment loss. Based on our review of Albemarle &amp; Bond and its business as of </w:t>
      </w:r>
      <w:r>
        <w:rPr>
          <w:rFonts w:ascii="inherit" w:hAnsi="inherit"/>
          <w:strike w:val="false"/>
          <w:dstrike w:val="false"/>
          <w:color w:val="000000"/>
          <w:sz w:val="17"/>
          <w:u w:val="none"/>
          <w:effect w:val="none"/>
        </w:rPr>
        <w:t>September 30, 2013</w:t>
      </w:r>
      <w:r>
        <w:rPr>
          <w:rFonts w:ascii="inherit" w:hAnsi="inherit"/>
          <w:sz w:val="17"/>
        </w:rPr>
        <w:t>, we wrote down our investment and recognized an investment loss for the fourth quarter of fiscal 2013. See “Item 1 — Business — Strategic Investments — Albemarle &amp; Bond.” Furthermore, there can be no assurance that we will be able to dispose of some or all of the investment on favorable terms, should we decide to do so in the future. Any realized investment loss would adversely affect our results of operations.</w:t>
      </w:r>
    </w:p>
    <w:p>
      <w:pPr>
        <w:pStyle w:val="TextBody"/>
        <w:spacing w:lineRule="auto" w:line="288" w:before="0" w:after="0"/>
        <w:rPr>
          <w:rFonts w:ascii="inherit" w:hAnsi="inherit"/>
          <w:b/>
          <w:i/>
          <w:sz w:val="17"/>
        </w:rPr>
      </w:pPr>
      <w:r>
        <w:rPr>
          <w:rFonts w:ascii="inherit" w:hAnsi="inherit"/>
          <w:b/>
          <w:i/>
          <w:sz w:val="17"/>
        </w:rPr>
        <w:t>We may incur property, casualty or other losses not covered by insurance.</w:t>
      </w:r>
    </w:p>
    <w:p>
      <w:pPr>
        <w:pStyle w:val="TextBody"/>
        <w:spacing w:lineRule="auto" w:line="288" w:before="0" w:after="0"/>
        <w:rPr>
          <w:rFonts w:ascii="inherit" w:hAnsi="inherit"/>
          <w:sz w:val="17"/>
        </w:rPr>
      </w:pPr>
      <w:r>
        <w:rPr>
          <w:rFonts w:ascii="inherit" w:hAnsi="inherit"/>
          <w:sz w:val="17"/>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pStyle w:val="TextBody"/>
        <w:spacing w:lineRule="auto" w:line="288" w:before="0" w:after="0"/>
        <w:rPr>
          <w:rFonts w:ascii="inherit" w:hAnsi="inherit"/>
          <w:b/>
          <w:i/>
          <w:sz w:val="17"/>
        </w:rPr>
      </w:pPr>
      <w:r>
        <w:rPr>
          <w:rFonts w:ascii="inherit" w:hAnsi="inherit"/>
          <w:b/>
          <w:i/>
          <w:sz w:val="17"/>
        </w:rPr>
        <w:t>Our acquisitions, investments and other transactions could disrupt our ongoing business and harm our results of operations.</w:t>
      </w:r>
    </w:p>
    <w:p>
      <w:pPr>
        <w:pStyle w:val="TextBody"/>
        <w:spacing w:lineRule="auto" w:line="288" w:before="0" w:after="0"/>
        <w:rPr>
          <w:rFonts w:ascii="inherit" w:hAnsi="inherit"/>
          <w:sz w:val="17"/>
        </w:rPr>
      </w:pPr>
      <w:r>
        <w:rPr>
          <w:rFonts w:ascii="inherit" w:hAnsi="inherit"/>
          <w:sz w:val="17"/>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These factors could harm our business and results of operations.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We could be subject to changes in tax rates, the adoption of new tax laws in the U.S. or other countries, or exposure to additional tax liabilities.</w:t>
      </w:r>
    </w:p>
    <w:p>
      <w:pPr>
        <w:pStyle w:val="TextBody"/>
        <w:spacing w:lineRule="auto" w:line="288" w:before="0" w:after="0"/>
        <w:rPr>
          <w:rFonts w:ascii="inherit" w:hAnsi="inherit"/>
          <w:sz w:val="17"/>
        </w:rPr>
      </w:pPr>
      <w:r>
        <w:rPr>
          <w:rFonts w:ascii="inherit" w:hAnsi="inherit"/>
          <w:sz w:val="17"/>
        </w:rPr>
        <w:t xml:space="preserve">We are subject to taxes in the U.S. and several foreign jurisdictions. Current economic and political conditions make tax rates in any of these jurisdictions subject to significant change. Our future effective tax rates could be affected by changes in the mix of earnings in countries with differing statutory tax rates, changes in the valuation of deferred tax assets and liabilities or changes in tax laws or their interpretation. </w:t>
      </w:r>
    </w:p>
    <w:p>
      <w:pPr>
        <w:pStyle w:val="TextBody"/>
        <w:spacing w:lineRule="auto" w:line="288" w:before="0" w:after="0"/>
        <w:rPr>
          <w:rFonts w:ascii="inherit" w:hAnsi="inherit"/>
          <w:b/>
          <w:i/>
          <w:sz w:val="17"/>
        </w:rPr>
      </w:pPr>
      <w:r>
        <w:rPr>
          <w:rFonts w:ascii="inherit" w:hAnsi="inherit"/>
          <w:b/>
          <w:i/>
          <w:sz w:val="17"/>
        </w:rPr>
        <w:t>Events beyond our control could result in business interruption or other adverse effects on our operations and growth.</w:t>
      </w:r>
    </w:p>
    <w:p>
      <w:pPr>
        <w:pStyle w:val="TextBody"/>
        <w:spacing w:lineRule="auto" w:line="288" w:before="0" w:after="0"/>
        <w:rPr>
          <w:rFonts w:ascii="inherit" w:hAnsi="inherit"/>
          <w:sz w:val="17"/>
        </w:rPr>
      </w:pPr>
      <w:r>
        <w:rPr>
          <w:rFonts w:ascii="inherit" w:hAnsi="inherit"/>
          <w:sz w:val="17"/>
        </w:rPr>
        <w:t>Our business or operations could be subject to interruption or damage due to inclement weather, natural disaster, power loss, acts of violence, terrorist attacks, war or similar events. Such events could impair our customers' access to our business, impact our ability to expand or continue our operations or otherwise have an adverse effect on our financial condition.</w:t>
      </w:r>
    </w:p>
    <w:p>
      <w:pPr>
        <w:pStyle w:val="TextBody"/>
        <w:spacing w:lineRule="auto" w:line="288" w:before="0" w:after="0"/>
        <w:rPr>
          <w:rFonts w:ascii="inherit" w:hAnsi="inherit"/>
          <w:b/>
          <w:i/>
          <w:sz w:val="17"/>
        </w:rPr>
      </w:pPr>
      <w:r>
        <w:rPr>
          <w:rFonts w:ascii="inherit" w:hAnsi="inherit"/>
          <w:b/>
          <w:i/>
          <w:sz w:val="17"/>
        </w:rPr>
        <w:t>A decrease in demand for our products and specialty financial services and our failure to adapt to such decrease could result in a loss of revenue and could have a material adverse effect on us.</w:t>
      </w:r>
    </w:p>
    <w:p>
      <w:pPr>
        <w:pStyle w:val="TextBody"/>
        <w:spacing w:lineRule="auto" w:line="288" w:before="0" w:after="0"/>
        <w:rPr>
          <w:rFonts w:ascii="inherit" w:hAnsi="inherit"/>
          <w:sz w:val="17"/>
        </w:rPr>
      </w:pPr>
      <w:r>
        <w:rPr>
          <w:rFonts w:ascii="inherit" w:hAnsi="inherit"/>
          <w:sz w:val="17"/>
        </w:rPr>
        <w:t>Although our products and services are a staple of our customer base, the demand for a particular product or service may decrease due to a variety of factors, such as regulatory restrictions that reduce customer access to particular products, the availability of competing products or changes in customers' financial conditions. Should we fail to adapt to a significant change in our customers' demand for, or access to, our products, our revenues could decrease significantly. Even if we make adaptations or introduce new products to fulfill customer demand, customers may resist or may reject products whose adaptations make them less attractive or less available. In any event, the effect of any product change on the results of our business may not be fully ascertainable until the change has been in effect for some time. In particular, we have changed, and will continue to change, some of our consumer loan operations and the products we offer. Any of these events could result in a loss of revenue and could have a material adverse effect on our business, prospectus, results of operations and financial condition.</w:t>
      </w:r>
    </w:p>
    <w:p>
      <w:pPr>
        <w:pStyle w:val="TextBody"/>
        <w:spacing w:lineRule="auto" w:line="288" w:before="0" w:after="0"/>
        <w:rPr>
          <w:rFonts w:ascii="inherit" w:hAnsi="inherit"/>
          <w:b/>
          <w:i/>
          <w:sz w:val="17"/>
        </w:rPr>
      </w:pPr>
      <w:r>
        <w:rPr>
          <w:rFonts w:ascii="inherit" w:hAnsi="inherit"/>
          <w:b/>
          <w:i/>
          <w:sz w:val="17"/>
        </w:rPr>
        <w:t>Our Mexican payroll withholding business is highly dependent on the relationships that we build and sustain with state and local governments and labor unions.</w:t>
      </w:r>
    </w:p>
    <w:p>
      <w:pPr>
        <w:pStyle w:val="TextBody"/>
        <w:spacing w:lineRule="auto" w:line="288" w:before="0" w:after="0"/>
        <w:rPr>
          <w:rFonts w:ascii="inherit" w:hAnsi="inherit"/>
          <w:sz w:val="17"/>
        </w:rPr>
      </w:pPr>
      <w:r>
        <w:rPr>
          <w:rFonts w:ascii="inherit" w:hAnsi="inherit"/>
          <w:sz w:val="17"/>
        </w:rPr>
        <w:t xml:space="preserve">Grupo Finmart and its brokers promote our payroll loan products through public-sector employers in governmental agencies across Mexico. If we are not able to maintain relationships with these entities or increase our distribution network through new relationships with other federal, state and local governments or labor unions, our ability to originate new payroll loans could be diminished, which would reduce the size of our payroll withholding lending loan portfolio. In addition, despite contractual arrangements which provide that the payroll counterparty will continue to deduct payments even if our relationship with that entity is terminated, the credit risk of our existing payroll loan portfolio could increase because payroll deduction payments on existing payroll loans could be disrupted, whether due to our severing a relationship with a broker or otherwise. </w:t>
      </w:r>
    </w:p>
    <w:p>
      <w:pPr>
        <w:pStyle w:val="TextBody"/>
        <w:spacing w:lineRule="auto" w:line="288" w:before="0" w:after="0"/>
        <w:rPr>
          <w:rFonts w:ascii="inherit" w:hAnsi="inherit"/>
          <w:b/>
          <w:i/>
          <w:sz w:val="17"/>
        </w:rPr>
      </w:pPr>
      <w:r>
        <w:rPr>
          <w:rFonts w:ascii="inherit" w:hAnsi="inherit"/>
          <w:b/>
          <w:i/>
          <w:sz w:val="17"/>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pStyle w:val="TextBody"/>
        <w:spacing w:lineRule="auto" w:line="288" w:before="0" w:after="0"/>
        <w:rPr>
          <w:sz w:val="17"/>
        </w:rPr>
      </w:pPr>
      <w:r>
        <w:rPr>
          <w:rFonts w:ascii="inherit" w:hAnsi="inherit"/>
          <w:sz w:val="17"/>
        </w:rPr>
        <w:t>The carrying value of our goodwill was $429 million, or approximately 32% of our total assets, as of September 30, 2013, over $79 million of which is attributable to our two online lending businesses. In accordance with Financial Accounting Standards Board ("FASB") Accounting Standards Codification ("ASC") ASC 350-20-35,</w:t>
      </w:r>
      <w:r>
        <w:rPr>
          <w:sz w:val="17"/>
        </w:rPr>
        <w:t xml:space="preserve"> </w:t>
      </w:r>
      <w:r>
        <w:rPr>
          <w:rFonts w:ascii="inherit" w:hAnsi="inherit"/>
          <w:i/>
          <w:sz w:val="17"/>
        </w:rPr>
        <w:t xml:space="preserve">Goodwill - Subsequent Measurement, </w:t>
      </w:r>
      <w:r>
        <w:rPr>
          <w:rFonts w:ascii="inherit" w:hAnsi="inherit"/>
          <w:sz w:val="17"/>
        </w:rPr>
        <w:t xml:space="preserve">we test goodwill and intangible assets with an indefinite useful life for potential impairment annually, or more frequently if an event occurs or circumstances change that would more likely than 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 Our annual goodwill impairment test is performed in the fourth quarter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completed our annual assessment of goodwill and indefinite lived intangible assets as of September 30, 2013 and determined that no material impairment existed at that date.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If our estimates of allowance for loan losses are not adequate to absorb losses, our results of operations and financial condition may be negatively affected.</w:t>
      </w:r>
    </w:p>
    <w:p>
      <w:pPr>
        <w:pStyle w:val="TextBody"/>
        <w:spacing w:lineRule="auto" w:line="288" w:before="0" w:after="0"/>
        <w:rPr>
          <w:rFonts w:ascii="inherit" w:hAnsi="inherit"/>
          <w:sz w:val="17"/>
        </w:rPr>
      </w:pPr>
      <w:r>
        <w:rPr>
          <w:rFonts w:ascii="inherit" w:hAnsi="inherit"/>
          <w:sz w:val="17"/>
        </w:rPr>
        <w:t xml:space="preserve">We maintain an allowance for loan losses for estimated probable losses on company-funded loans and loans in default. See "Part II — Item 7 — Management's Discussion and Analysis of Financial Conditions and Results of Operations — Critical Accounting Policies and Estimates" for factors considered by management in estimating the allowance for loan losses. We also maintain a reserve for loan losses for estimated probable losses on loans funded by our credit services organization ("CSO") partners, but for which we are responsible. As September 30, 2013, our aggregate reserve and allowance for losses on loans not in default (including loans funded by our CSO partners) was $8.3 million. This reserve, however, is an estimate, and if actual losses are greater than our reserve and allowance, our results of operations and financial condition could be adversely affected. The amount of reserves and allowances is based based on our current assessment of and expectations concerning various factors affecting the quality of our loan portfolio. These factors include, among other things, our borrowers’ financial condition, repayment abilities and repayment intentions. </w:t>
      </w:r>
    </w:p>
    <w:p>
      <w:pPr>
        <w:pStyle w:val="TextBody"/>
        <w:spacing w:lineRule="auto" w:line="288" w:before="0" w:after="0"/>
        <w:rPr>
          <w:rFonts w:ascii="inherit" w:hAnsi="inherit"/>
          <w:b/>
          <w:i/>
          <w:sz w:val="17"/>
        </w:rPr>
      </w:pPr>
      <w:r>
        <w:rPr>
          <w:rFonts w:ascii="inherit" w:hAnsi="inherit"/>
          <w:b/>
          <w:i/>
          <w:sz w:val="17"/>
        </w:rPr>
        <w:t>Judicial decisions, CFPB rule-making or amendments to the Federal Arbitration Act could render the arbitration agreements we use illegal or unenforceable.</w:t>
      </w:r>
    </w:p>
    <w:p>
      <w:pPr>
        <w:pStyle w:val="TextBody"/>
        <w:spacing w:lineRule="auto" w:line="288" w:before="0" w:after="0"/>
        <w:rPr>
          <w:rFonts w:ascii="inherit" w:hAnsi="inherit"/>
          <w:sz w:val="17"/>
        </w:rPr>
      </w:pPr>
      <w:r>
        <w:rPr>
          <w:rFonts w:ascii="inherit" w:hAnsi="inherit"/>
          <w:sz w:val="17"/>
        </w:rPr>
        <w:t>We include arbitration provisions in our consumer loan agreements. These provisions are designed to allow us to resolve any customer disputes through individual arbitration rather than in court and explicitly provide that all arbitrations will be conducted on an individual and not on a class basis. Thus, our arbitration agreements, if enforced, have the effect of shielding us from class action liability. Our arbitration agreements do not generally have any impact on regulatory enforcement proceedings.</w:t>
      </w:r>
    </w:p>
    <w:p>
      <w:pPr>
        <w:pStyle w:val="TextBody"/>
        <w:spacing w:lineRule="auto" w:line="288" w:before="0" w:after="0"/>
        <w:rPr>
          <w:rFonts w:ascii="inherit" w:hAnsi="inherit"/>
          <w:sz w:val="17"/>
        </w:rPr>
      </w:pPr>
      <w:r>
        <w:rPr>
          <w:rFonts w:ascii="inherit" w:hAnsi="inherit"/>
          <w:sz w:val="17"/>
        </w:rPr>
        <w:t>We take the position that the arbitration provisions in our consumer loan agreements, including class action waivers, are valid and enforceable. However, the enforceability of arbitration provisions is often challenged in court. If those challenges are successful, our arbitration and class action waiver provisions could be unenforceable, which could subject us to additional litigation, including class action litigation.</w:t>
      </w:r>
    </w:p>
    <w:p>
      <w:pPr>
        <w:pStyle w:val="TextBody"/>
        <w:spacing w:lineRule="auto" w:line="288" w:before="0" w:after="0"/>
        <w:rPr>
          <w:rFonts w:ascii="inherit" w:hAnsi="inherit"/>
          <w:sz w:val="17"/>
        </w:rPr>
      </w:pPr>
      <w:r>
        <w:rPr>
          <w:rFonts w:ascii="inherit" w:hAnsi="inherit"/>
          <w:sz w:val="17"/>
        </w:rPr>
        <w:t>In addition, the U.S. Congress has considered legislation that would generally limit or prohibit mandatory arbitration agreements in consumer contracts and has enacted legislation with such a prohibition with respect to certain mortgage loan agreements and certain consumer loan agreements to members of the military on active duty and their dependents. Further, the Dodd-Frank Act directs the CFPB to study consumer arbitration and report to the U.S. Congress, and it authorized the CFPB to adopt rules limiting or prohibiting consumer arbitration, consistent with the results of its study. Any such rule would apply to arbitration agreements entered into more than six months after the final rule becomes effective (and not to prior arbitration agreements).</w:t>
      </w:r>
    </w:p>
    <w:p>
      <w:pPr>
        <w:pStyle w:val="TextBody"/>
        <w:spacing w:lineRule="auto" w:line="288" w:before="0" w:after="0"/>
        <w:rPr>
          <w:rFonts w:ascii="inherit" w:hAnsi="inherit"/>
          <w:sz w:val="17"/>
        </w:rPr>
      </w:pPr>
      <w:r>
        <w:rPr>
          <w:rFonts w:ascii="inherit" w:hAnsi="inherit"/>
          <w:sz w:val="17"/>
        </w:rPr>
        <w:t>Any judicial decision, legislation or other rules or regulations that impair our ability to enter into and enforce consumer arbitration agreements and class action waivers could significantly increase our exposure to class action litigation as well as litigation in plaintiff-friendly jurisdictions. Such litigation would be costly and could have a material adverse effect on our business, results of operations and financial condition.</w:t>
      </w:r>
    </w:p>
    <w:p>
      <w:pPr>
        <w:pStyle w:val="TextBody"/>
        <w:spacing w:lineRule="auto" w:line="288" w:before="0" w:after="0"/>
        <w:rPr>
          <w:rFonts w:ascii="inherit" w:hAnsi="inherit"/>
          <w:b/>
          <w:i/>
          <w:sz w:val="17"/>
        </w:rPr>
      </w:pPr>
      <w:r>
        <w:rPr>
          <w:rFonts w:ascii="inherit" w:hAnsi="inherit"/>
          <w:b/>
          <w:i/>
          <w:sz w:val="17"/>
        </w:rPr>
        <w:t>We may be exposed to liabilities under applicable anti-corruption laws, and any determination that we violated these laws could have a material adverse effect on our business.</w:t>
      </w:r>
    </w:p>
    <w:p>
      <w:pPr>
        <w:pStyle w:val="TextBody"/>
        <w:spacing w:lineRule="auto" w:line="288" w:before="0" w:after="0"/>
        <w:rPr>
          <w:rFonts w:ascii="inherit" w:hAnsi="inherit"/>
          <w:sz w:val="17"/>
        </w:rPr>
      </w:pPr>
      <w:r>
        <w:rPr>
          <w:rFonts w:ascii="inherit" w:hAnsi="inherit"/>
          <w:sz w:val="17"/>
        </w:rPr>
        <w:t>We are subject to various anti-corruption laws that prohibit improper payments or offers of payments to foreign governments and their officials for the purpose of obtaining or retaining business. We have business in countries and regions that are less developed and are generally recognized as potentially more corrupt business environments. Our activities in these countries create the risk of unauthorized payments or offers of payments by one of our employees or agents that could be in violation of various anti-corruption laws, including the Foreign Corrupt Practices Act (the "FCPA"). We have implemented safeguards and policies to discourage these practices by our employees and agents. However, our existing safeguards and any future improvements may prove to be less than effective, and our employees or agents may engage in conduct for which we might be held responsible. 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and we may be subject to other liabilities that could have a material adverse effect on our business, results of operations and financial condition.</w:t>
      </w:r>
    </w:p>
    <w:p>
      <w:pPr>
        <w:pStyle w:val="TextBody"/>
        <w:spacing w:lineRule="auto" w:line="288" w:before="0" w:after="0"/>
        <w:rPr>
          <w:rFonts w:ascii="inherit" w:hAnsi="inherit"/>
          <w:b/>
          <w:i/>
          <w:sz w:val="17"/>
        </w:rPr>
      </w:pPr>
      <w:r>
        <w:rPr>
          <w:rFonts w:ascii="inherit" w:hAnsi="inherit"/>
          <w:b/>
          <w:i/>
          <w:sz w:val="17"/>
        </w:rPr>
        <w:t>We face other risks discussed under "Item 7A — Quantitative and Qualitative Disclosures about Market Risk."</w:t>
      </w:r>
    </w:p>
    <w:p>
      <w:pPr>
        <w:pStyle w:val="TextBody"/>
        <w:spacing w:lineRule="auto" w:line="288" w:before="0" w:after="0"/>
        <w:jc w:val="left"/>
        <w:rPr>
          <w:rFonts w:ascii="inherit" w:hAnsi="inherit"/>
          <w:b/>
          <w:sz w:val="17"/>
        </w:rPr>
      </w:pPr>
      <w:bookmarkStart w:id="18" w:name="sA513844D47B722E5F31583E2BFDCDACD"/>
      <w:bookmarkEnd w:id="18"/>
      <w:r>
        <w:rPr>
          <w:rFonts w:ascii="inherit" w:hAnsi="inherit"/>
          <w:b/>
          <w:sz w:val="17"/>
        </w:rPr>
        <w:t>ITEM 1B. UNRESOLVED STAFF COMMENTS</w:t>
      </w:r>
    </w:p>
    <w:p>
      <w:pPr>
        <w:pStyle w:val="TextBody"/>
        <w:spacing w:lineRule="auto" w:line="288" w:before="0" w:after="0"/>
        <w:jc w:val="left"/>
        <w:rPr>
          <w:rFonts w:ascii="inherit" w:hAnsi="inherit"/>
          <w:sz w:val="17"/>
        </w:rPr>
      </w:pPr>
      <w:r>
        <w:rPr>
          <w:rFonts w:ascii="inherit" w:hAnsi="inherit"/>
          <w:sz w:val="17"/>
        </w:rPr>
        <w:t>None.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lineRule="auto" w:line="288" w:before="0" w:after="0"/>
        <w:rPr/>
      </w:pPr>
      <w:hyperlink w:anchor="sA13583D437E20DC41B4583E2BD74AA47">
        <w:bookmarkStart w:id="19" w:name="sECBCC6A3E6964B0FD11583E28265DAEF"/>
        <w:bookmarkEnd w:id="19"/>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2. PROPERTIES</w:t>
      </w:r>
    </w:p>
    <w:p>
      <w:pPr>
        <w:pStyle w:val="TextBody"/>
        <w:spacing w:lineRule="auto" w:line="288" w:before="0" w:after="0"/>
        <w:jc w:val="left"/>
        <w:rPr>
          <w:rFonts w:ascii="inherit" w:hAnsi="inherit"/>
          <w:sz w:val="17"/>
        </w:rPr>
      </w:pPr>
      <w:r>
        <w:rPr>
          <w:rFonts w:ascii="inherit" w:hAnsi="inherit"/>
          <w:sz w:val="17"/>
        </w:rPr>
        <w:t>Our typical pawn store is a freestanding building or part of a retail strip center with contiguous parking. Store interiors are designed to resemble small retail operations and attractively display merchandise by category. Distinctive exterior design and attractive in-store signage provide an appealing atmosphere to customers. The typical pawn store has approximately 1,800 square feet of retail space and approximately 3,200 square feet dedicated to collateral storage. Financial services stores are designed to resemble a bank interior. The typical financial services store is approximately 1,000 to 1,500 square feet and is located in a retail strip center. Some of our financial services stores adjoin a pawn location and occupy approximately 300 to 500 square feet, with a different entrance, signage, décor and staffing. From the customers’ perspective, these are viewed as a separate business, but they are covered by the same lease agreement. We maintain property and general liability insurance for each of our stores. Our stores are open six or seven days a week.</w:t>
      </w:r>
    </w:p>
    <w:p>
      <w:pPr>
        <w:pStyle w:val="TextBody"/>
        <w:spacing w:lineRule="auto" w:line="288" w:before="0" w:after="0"/>
        <w:jc w:val="left"/>
        <w:rPr>
          <w:rFonts w:ascii="inherit" w:hAnsi="inherit"/>
          <w:sz w:val="17"/>
        </w:rPr>
      </w:pPr>
      <w:r>
        <w:rPr>
          <w:rFonts w:ascii="inherit" w:hAnsi="inherit"/>
          <w:sz w:val="17"/>
        </w:rPr>
        <w:t>We lease substantially all of our locations, and generally lease facilities for a term of three to ten years with one or more renewal options. Our existing leases expire on dates ranging between October 2013 and April 2028,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unless we find what we believe is a superior location at an attractive price.</w:t>
      </w:r>
    </w:p>
    <w:p>
      <w:pPr>
        <w:pStyle w:val="TextBody"/>
        <w:spacing w:lineRule="auto" w:line="288" w:before="0" w:after="0"/>
        <w:jc w:val="left"/>
        <w:rPr>
          <w:sz w:val="17"/>
        </w:rPr>
      </w:pPr>
      <w:r>
        <w:rPr>
          <w:rFonts w:ascii="inherit" w:hAnsi="inherit"/>
          <w:sz w:val="17"/>
        </w:rPr>
        <w:t xml:space="preserve">Below is a summary of changes in the number of store locations during fiscal </w:t>
      </w:r>
      <w:r>
        <w:rPr>
          <w:rFonts w:ascii="inherit" w:hAnsi="inherit"/>
          <w:strike w:val="false"/>
          <w:dstrike w:val="false"/>
          <w:color w:val="000000"/>
          <w:sz w:val="17"/>
          <w:u w:val="none"/>
          <w:effect w:val="none"/>
        </w:rPr>
        <w:t>2013</w:t>
      </w:r>
      <w:r>
        <w:rPr>
          <w:rFonts w:ascii="inherit" w:hAnsi="inherit"/>
          <w:sz w:val="17"/>
        </w:rPr>
        <w:t xml:space="preserve">, </w:t>
      </w:r>
      <w:r>
        <w:rPr>
          <w:rFonts w:ascii="inherit" w:hAnsi="inherit"/>
          <w:strike w:val="false"/>
          <w:dstrike w:val="false"/>
          <w:color w:val="000000"/>
          <w:sz w:val="17"/>
          <w:u w:val="none"/>
          <w:effect w:val="none"/>
        </w:rPr>
        <w:t>2012</w:t>
      </w:r>
      <w:r>
        <w:rPr>
          <w:sz w:val="17"/>
        </w:rPr>
        <w:t xml:space="preserve"> </w:t>
      </w:r>
      <w:r>
        <w:rPr>
          <w:rFonts w:ascii="inherit" w:hAnsi="inherit"/>
          <w:sz w:val="17"/>
        </w:rPr>
        <w:t>and 2011:</w:t>
      </w:r>
    </w:p>
    <w:tbl>
      <w:tblPr>
        <w:tblW w:w="10205" w:type="dxa"/>
        <w:jc w:val="left"/>
        <w:tblInd w:w="0" w:type="dxa"/>
        <w:tblCellMar>
          <w:top w:w="0" w:type="dxa"/>
          <w:left w:w="0" w:type="dxa"/>
          <w:bottom w:w="0" w:type="dxa"/>
          <w:right w:w="0" w:type="dxa"/>
        </w:tblCellMar>
      </w:tblPr>
      <w:tblGrid>
        <w:gridCol w:w="6241"/>
        <w:gridCol w:w="1096"/>
        <w:gridCol w:w="136"/>
        <w:gridCol w:w="127"/>
        <w:gridCol w:w="1096"/>
        <w:gridCol w:w="136"/>
        <w:gridCol w:w="127"/>
        <w:gridCol w:w="1096"/>
        <w:gridCol w:w="150"/>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624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41" w:type="dxa"/>
            <w:tcBorders/>
            <w:shd w:fill="auto" w:val="clear"/>
            <w:vAlign w:val="center"/>
          </w:tcPr>
          <w:p>
            <w:pPr>
              <w:pStyle w:val="TableContents"/>
              <w:spacing w:before="0" w:after="0"/>
              <w:ind w:left="0" w:right="0" w:firstLine="30"/>
              <w:jc w:val="left"/>
              <w:rPr/>
            </w:pPr>
            <w:r>
              <w:rPr/>
              <w:t> </w:t>
            </w:r>
          </w:p>
        </w:tc>
        <w:tc>
          <w:tcPr>
            <w:tcW w:w="3964"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241" w:type="dxa"/>
            <w:tcBorders/>
            <w:shd w:fill="auto" w:val="clear"/>
            <w:vAlign w:val="center"/>
          </w:tcPr>
          <w:p>
            <w:pPr>
              <w:pStyle w:val="TableContents"/>
              <w:spacing w:before="0" w:after="0"/>
              <w:ind w:left="0" w:right="0" w:firstLine="30"/>
              <w:jc w:val="left"/>
              <w:rPr/>
            </w:pPr>
            <w:r>
              <w:rPr/>
              <w:t> </w:t>
            </w:r>
          </w:p>
        </w:tc>
        <w:tc>
          <w:tcPr>
            <w:tcW w:w="123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7" w:type="dxa"/>
            <w:tcBorders/>
            <w:shd w:fill="auto" w:val="clear"/>
            <w:vAlign w:val="center"/>
          </w:tcPr>
          <w:p>
            <w:pPr>
              <w:pStyle w:val="TableContents"/>
              <w:spacing w:before="0" w:after="0"/>
              <w:ind w:left="0" w:right="0" w:firstLine="30"/>
              <w:rPr/>
            </w:pPr>
            <w:r>
              <w:rPr/>
              <w:t> </w:t>
            </w:r>
          </w:p>
        </w:tc>
        <w:tc>
          <w:tcPr>
            <w:tcW w:w="123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27" w:type="dxa"/>
            <w:tcBorders/>
            <w:shd w:fill="auto" w:val="clear"/>
            <w:vAlign w:val="center"/>
          </w:tcPr>
          <w:p>
            <w:pPr>
              <w:pStyle w:val="TableContents"/>
              <w:spacing w:before="0" w:after="0"/>
              <w:ind w:left="0" w:right="0" w:firstLine="30"/>
              <w:rPr/>
            </w:pPr>
            <w:r>
              <w:rPr/>
              <w:t> </w:t>
            </w:r>
          </w:p>
        </w:tc>
        <w:tc>
          <w:tcPr>
            <w:tcW w:w="1246"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2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 count at beginning of fiscal year</w:t>
            </w:r>
          </w:p>
        </w:tc>
        <w:tc>
          <w:tcPr>
            <w:tcW w:w="109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1,262</w:t>
            </w:r>
          </w:p>
        </w:tc>
        <w:tc>
          <w:tcPr>
            <w:tcW w:w="13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09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1,111</w:t>
            </w:r>
          </w:p>
        </w:tc>
        <w:tc>
          <w:tcPr>
            <w:tcW w:w="13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09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1,006</w:t>
            </w:r>
          </w:p>
        </w:tc>
        <w:tc>
          <w:tcPr>
            <w:tcW w:w="15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stores opened</w:t>
            </w:r>
          </w:p>
        </w:tc>
        <w:tc>
          <w:tcPr>
            <w:tcW w:w="1096" w:type="dxa"/>
            <w:tcBorders/>
            <w:shd w:fill="auto" w:val="clear"/>
            <w:vAlign w:val="center"/>
          </w:tcPr>
          <w:p>
            <w:pPr>
              <w:pStyle w:val="TableContents"/>
              <w:spacing w:before="0" w:after="0"/>
              <w:jc w:val="right"/>
              <w:rPr>
                <w:rFonts w:ascii="inherit" w:hAnsi="inherit"/>
                <w:sz w:val="17"/>
              </w:rPr>
            </w:pPr>
            <w:r>
              <w:rPr>
                <w:rFonts w:ascii="inherit" w:hAnsi="inherit"/>
                <w:sz w:val="17"/>
              </w:rPr>
              <w:t>157</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96" w:type="dxa"/>
            <w:tcBorders/>
            <w:shd w:fill="auto" w:val="clear"/>
            <w:vAlign w:val="center"/>
          </w:tcPr>
          <w:p>
            <w:pPr>
              <w:pStyle w:val="TableContents"/>
              <w:spacing w:before="0" w:after="0"/>
              <w:jc w:val="right"/>
              <w:rPr>
                <w:rFonts w:ascii="inherit" w:hAnsi="inherit"/>
                <w:sz w:val="17"/>
              </w:rPr>
            </w:pPr>
            <w:r>
              <w:rPr>
                <w:rFonts w:ascii="inherit" w:hAnsi="inherit"/>
                <w:sz w:val="17"/>
              </w:rPr>
              <w:t>71</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96" w:type="dxa"/>
            <w:tcBorders/>
            <w:shd w:fill="auto" w:val="clear"/>
            <w:vAlign w:val="center"/>
          </w:tcPr>
          <w:p>
            <w:pPr>
              <w:pStyle w:val="TableContents"/>
              <w:spacing w:before="0" w:after="0"/>
              <w:jc w:val="right"/>
              <w:rPr>
                <w:rFonts w:ascii="inherit" w:hAnsi="inherit"/>
                <w:sz w:val="17"/>
              </w:rPr>
            </w:pPr>
            <w:r>
              <w:rPr>
                <w:rFonts w:ascii="inherit" w:hAnsi="inherit"/>
                <w:sz w:val="17"/>
              </w:rPr>
              <w:t>82</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Acquired stores</w:t>
            </w:r>
          </w:p>
        </w:tc>
        <w:tc>
          <w:tcPr>
            <w:tcW w:w="1096" w:type="dxa"/>
            <w:tcBorders/>
            <w:shd w:fill="CCEEFF" w:val="clear"/>
            <w:vAlign w:val="center"/>
          </w:tcPr>
          <w:p>
            <w:pPr>
              <w:pStyle w:val="TableContents"/>
              <w:spacing w:before="0" w:after="0"/>
              <w:jc w:val="right"/>
              <w:rPr>
                <w:rFonts w:ascii="inherit" w:hAnsi="inherit"/>
                <w:sz w:val="17"/>
              </w:rPr>
            </w:pPr>
            <w:r>
              <w:rPr>
                <w:rFonts w:ascii="inherit" w:hAnsi="inherit"/>
                <w:sz w:val="17"/>
              </w:rPr>
              <w:t>38</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096" w:type="dxa"/>
            <w:tcBorders/>
            <w:shd w:fill="CCEEFF" w:val="clear"/>
            <w:vAlign w:val="center"/>
          </w:tcPr>
          <w:p>
            <w:pPr>
              <w:pStyle w:val="TableContents"/>
              <w:spacing w:before="0" w:after="0"/>
              <w:jc w:val="right"/>
              <w:rPr>
                <w:rFonts w:ascii="inherit" w:hAnsi="inherit"/>
                <w:sz w:val="17"/>
              </w:rPr>
            </w:pPr>
            <w:r>
              <w:rPr>
                <w:rFonts w:ascii="inherit" w:hAnsi="inherit"/>
                <w:sz w:val="17"/>
              </w:rPr>
              <w:t>96</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096" w:type="dxa"/>
            <w:tcBorders/>
            <w:shd w:fill="CCEEFF" w:val="clear"/>
            <w:vAlign w:val="center"/>
          </w:tcPr>
          <w:p>
            <w:pPr>
              <w:pStyle w:val="TableContents"/>
              <w:spacing w:before="0" w:after="0"/>
              <w:jc w:val="right"/>
              <w:rPr>
                <w:rFonts w:ascii="inherit" w:hAnsi="inherit"/>
                <w:sz w:val="17"/>
              </w:rPr>
            </w:pPr>
            <w:r>
              <w:rPr>
                <w:rFonts w:ascii="inherit" w:hAnsi="inherit"/>
                <w:sz w:val="17"/>
              </w:rPr>
              <w:t>40</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Stores closed or consolidated</w:t>
            </w:r>
          </w:p>
        </w:tc>
        <w:tc>
          <w:tcPr>
            <w:tcW w:w="1096" w:type="dxa"/>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auto" w:val="clear"/>
            <w:vAlign w:val="center"/>
          </w:tcPr>
          <w:p>
            <w:pPr>
              <w:pStyle w:val="TableContents"/>
              <w:spacing w:before="0" w:after="0"/>
              <w:ind w:left="0" w:right="0" w:firstLine="30"/>
              <w:rPr/>
            </w:pPr>
            <w:r>
              <w:rPr/>
              <w:t> </w:t>
            </w:r>
          </w:p>
        </w:tc>
        <w:tc>
          <w:tcPr>
            <w:tcW w:w="1096" w:type="dxa"/>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auto" w:val="clear"/>
            <w:vAlign w:val="center"/>
          </w:tcPr>
          <w:p>
            <w:pPr>
              <w:pStyle w:val="TableContents"/>
              <w:spacing w:before="0" w:after="0"/>
              <w:ind w:left="0" w:right="0" w:firstLine="30"/>
              <w:rPr/>
            </w:pPr>
            <w:r>
              <w:rPr/>
              <w:t> </w:t>
            </w:r>
          </w:p>
        </w:tc>
        <w:tc>
          <w:tcPr>
            <w:tcW w:w="1096" w:type="dxa"/>
            <w:tcBorders/>
            <w:shd w:fill="auto" w:val="clear"/>
            <w:vAlign w:val="center"/>
          </w:tcPr>
          <w:p>
            <w:pPr>
              <w:pStyle w:val="TableContents"/>
              <w:spacing w:before="0" w:after="0"/>
              <w:jc w:val="right"/>
              <w:rPr>
                <w:rFonts w:ascii="inherit" w:hAnsi="inherit"/>
                <w:sz w:val="17"/>
              </w:rPr>
            </w:pPr>
            <w:r>
              <w:rPr>
                <w:rFonts w:ascii="inherit" w:hAnsi="inherit"/>
                <w:sz w:val="17"/>
              </w:rPr>
              <w:t>(17</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2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09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w:t>
            </w:r>
          </w:p>
        </w:tc>
        <w:tc>
          <w:tcPr>
            <w:tcW w:w="13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7" w:type="dxa"/>
            <w:tcBorders/>
            <w:shd w:fill="CCEEFF" w:val="clear"/>
            <w:vAlign w:val="center"/>
          </w:tcPr>
          <w:p>
            <w:pPr>
              <w:pStyle w:val="TableContents"/>
              <w:spacing w:before="0" w:after="0"/>
              <w:ind w:left="0" w:right="0" w:firstLine="30"/>
              <w:rPr/>
            </w:pPr>
            <w:r>
              <w:rPr/>
              <w:t> </w:t>
            </w:r>
          </w:p>
        </w:tc>
        <w:tc>
          <w:tcPr>
            <w:tcW w:w="1096"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096"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Store count at end of fiscal year*</w:t>
            </w:r>
          </w:p>
        </w:tc>
        <w:tc>
          <w:tcPr>
            <w:tcW w:w="109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1,342</w:t>
            </w:r>
          </w:p>
        </w:tc>
        <w:tc>
          <w:tcPr>
            <w:tcW w:w="13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9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1,262</w:t>
            </w:r>
          </w:p>
        </w:tc>
        <w:tc>
          <w:tcPr>
            <w:tcW w:w="13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9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1,111</w:t>
            </w:r>
          </w:p>
        </w:tc>
        <w:tc>
          <w:tcPr>
            <w:tcW w:w="15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3"/>
        </w:rPr>
      </w:pPr>
      <w:r>
        <w:rPr>
          <w:rFonts w:ascii="inherit" w:hAnsi="inherit"/>
          <w:sz w:val="13"/>
        </w:rPr>
        <w:t xml:space="preserve">* Fiscal 2012 and 2011 include 102 and 94 stores that were closed as part of discontinued operations during fiscal 2013. </w:t>
      </w:r>
    </w:p>
    <w:p>
      <w:pPr>
        <w:pStyle w:val="TextBody"/>
        <w:spacing w:lineRule="auto" w:line="288" w:before="0" w:after="0"/>
        <w:jc w:val="left"/>
        <w:rPr>
          <w:sz w:val="17"/>
        </w:rPr>
      </w:pPr>
      <w:r>
        <w:rPr>
          <w:rFonts w:ascii="inherit" w:hAnsi="inherit"/>
          <w:sz w:val="17"/>
        </w:rPr>
        <w:t xml:space="preserve">In </w:t>
      </w:r>
      <w:r>
        <w:rPr>
          <w:rFonts w:ascii="inherit" w:hAnsi="inherit"/>
          <w:strike w:val="false"/>
          <w:dstrike w:val="false"/>
          <w:color w:val="000000"/>
          <w:sz w:val="17"/>
          <w:u w:val="none"/>
          <w:effect w:val="none"/>
        </w:rPr>
        <w:t>2013</w:t>
      </w:r>
      <w:r>
        <w:rPr>
          <w:rFonts w:ascii="inherit" w:hAnsi="inherit"/>
          <w:sz w:val="17"/>
        </w:rPr>
        <w:t xml:space="preserve">, we opened 14 pawn and 69 financial services stores in the U.S and one buy/sell and financial services store in Canada. We also acquired 12 U.S. pawn locations during fiscal 2013. In Latin America, we opened 66 Empeño Fácil pawn stores and seven Grupo Finmart financial services locations in Mexico. During fiscal 2013, we gained 20 buy/sell locations in Mexico in connection with our acquisition of TUYO. Grupo Finmart gained six locations from an acquisition. </w:t>
      </w:r>
    </w:p>
    <w:p>
      <w:pPr>
        <w:pStyle w:val="TextBody"/>
        <w:spacing w:lineRule="auto" w:line="288" w:before="0" w:after="0"/>
        <w:jc w:val="left"/>
        <w:rPr>
          <w:sz w:val="17"/>
        </w:rPr>
      </w:pPr>
      <w:r>
        <w:rPr>
          <w:rFonts w:ascii="inherit" w:hAnsi="inherit"/>
          <w:sz w:val="17"/>
        </w:rPr>
        <w:t xml:space="preserve">On an ongoing basis, we may close or consolidate under-performing store locations. In fiscal </w:t>
      </w:r>
      <w:r>
        <w:rPr>
          <w:rFonts w:ascii="inherit" w:hAnsi="inherit"/>
          <w:strike w:val="false"/>
          <w:dstrike w:val="false"/>
          <w:color w:val="000000"/>
          <w:sz w:val="17"/>
          <w:u w:val="none"/>
          <w:effect w:val="none"/>
        </w:rPr>
        <w:t>2013</w:t>
      </w:r>
      <w:r>
        <w:rPr>
          <w:rFonts w:ascii="inherit" w:hAnsi="inherit"/>
          <w:sz w:val="17"/>
        </w:rPr>
        <w:t>, we closed or consolidated two financial services stores in the U.S., one financial services store in Canada, four Grupo Finmart / Crediamigo locations and one TUYO location in Mexico. These closings are in addition to our third quarter discontinued operations plan.</w:t>
      </w:r>
    </w:p>
    <w:p>
      <w:pPr>
        <w:pStyle w:val="TextBody"/>
        <w:spacing w:lineRule="auto" w:line="288" w:before="0" w:after="0"/>
        <w:jc w:val="left"/>
        <w:rPr>
          <w:rFonts w:ascii="inherit" w:hAnsi="inherit"/>
          <w:sz w:val="17"/>
        </w:rPr>
      </w:pPr>
      <w:r>
        <w:rPr>
          <w:rFonts w:ascii="inherit" w:hAnsi="inherit"/>
          <w:sz w:val="17"/>
        </w:rPr>
        <w:t>During the third quarter of fiscal 2013, we implemented a plan to close 107 legacy stores in a variety of locations. These stores were generally older, smaller stores that did not fit our future growth profile. We will continue to execute our growth plan by opening stores that are in-line with our growth strategy, broadening our online selling and lending channels, and adding numerous new products across the portfolio of companies in order to better serve our customers in the formats they desire and with the products and services they want.</w:t>
      </w:r>
    </w:p>
    <w:p>
      <w:pPr>
        <w:pStyle w:val="TextBody"/>
        <w:spacing w:lineRule="auto" w:line="288" w:before="0" w:after="0"/>
        <w:jc w:val="left"/>
        <w:rPr>
          <w:rFonts w:ascii="inherit" w:hAnsi="inherit"/>
          <w:sz w:val="17"/>
        </w:rPr>
      </w:pPr>
      <w:r>
        <w:rPr>
          <w:rFonts w:ascii="inherit" w:hAnsi="inherit"/>
          <w:sz w:val="17"/>
        </w:rPr>
        <w:t>The store closings related to discontinued operations included:</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57 stores in Mexico, 52 of which were small, jewelry-only asset group formats. We continue to operate 239 full-service ‘‘store-within-a-store,’’ or SWS, locations under the Empeño Fácil brand.</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29 stores in Canada, where we are in the process of transitioning to an integrated buy/sell and financial services model under the Cash Converters brand. The affected asset group consists of stores that were not optimal for that model because of location or size. We will continue to operate 46 full-service buy/sell and financial services center stores under the Cash Converters and CASHMAX brands in Canada and the United States.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lineRule="auto" w:line="288" w:before="0" w:after="0"/>
        <w:rPr/>
      </w:pPr>
      <w:hyperlink w:anchor="sA13583D437E20DC41B4583E2BD74AA47">
        <w:bookmarkStart w:id="20" w:name="sECBCC6A3E6964B0FD11583E28265DAEF1"/>
        <w:bookmarkEnd w:id="20"/>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20 financial services stores in Dallas, Texas and the State of Florida, where we exited both locations primarily due to onerous regulatory requirements. We will continue to operate 489 financial services stores in the United States. In addition, one jewelry-only concept store was closed, which was our only jewelry-only store in the United States.</w:t>
            </w:r>
          </w:p>
        </w:tc>
      </w:tr>
    </w:tbl>
    <w:p>
      <w:pPr>
        <w:pStyle w:val="TextBody"/>
        <w:spacing w:lineRule="auto" w:line="288" w:before="0" w:after="0"/>
        <w:jc w:val="left"/>
        <w:rPr>
          <w:sz w:val="17"/>
        </w:rPr>
      </w:pPr>
      <w:r>
        <w:rPr>
          <w:rFonts w:ascii="inherit" w:hAnsi="inherit"/>
          <w:sz w:val="17"/>
        </w:rPr>
        <w:t>Of our 489 U.S. financial services stores, 207 adjoin a pawn store and are covered by the same lease agreement. The lease agreements at approximately 95%</w:t>
      </w:r>
      <w:r>
        <w:rPr>
          <w:color w:val="FF0000"/>
          <w:sz w:val="17"/>
        </w:rPr>
        <w:t xml:space="preserve"> </w:t>
      </w:r>
      <w:r>
        <w:rPr>
          <w:rFonts w:ascii="inherit" w:hAnsi="inherit"/>
          <w:sz w:val="17"/>
        </w:rPr>
        <w:t xml:space="preserve">of the remaining 282 free-standing U.S. financial services stores contain provisions that limit our exposure for additional rent at these stores to only a few months if laws are enacted that have a significant negative effect on our operations at these stores. If such laws were passed, the space currently utilized by stores adjoining pawn stores could be re-incorporated into the pawn operations. </w:t>
      </w:r>
    </w:p>
    <w:p>
      <w:pPr>
        <w:pStyle w:val="TextBody"/>
        <w:spacing w:lineRule="auto" w:line="288" w:before="0" w:after="0"/>
        <w:jc w:val="left"/>
        <w:rPr>
          <w:sz w:val="17"/>
        </w:rPr>
      </w:pPr>
      <w:r>
        <w:rPr>
          <w:rFonts w:ascii="inherit" w:hAnsi="inherit"/>
          <w:sz w:val="17"/>
        </w:rPr>
        <w:t xml:space="preserve">The following table presents the number of store locations by state or province as of </w:t>
      </w:r>
      <w:r>
        <w:rPr>
          <w:rFonts w:ascii="inherit" w:hAnsi="inherit"/>
          <w:strike w:val="false"/>
          <w:dstrike w:val="false"/>
          <w:color w:val="000000"/>
          <w:sz w:val="17"/>
          <w:u w:val="none"/>
          <w:effect w:val="none"/>
        </w:rPr>
        <w:t>September 30, 2013</w:t>
      </w:r>
      <w:r>
        <w:rPr>
          <w:rFonts w:ascii="inherit" w:hAnsi="inherit"/>
          <w:sz w:val="17"/>
        </w:rPr>
        <w:t>:</w:t>
      </w:r>
    </w:p>
    <w:tbl>
      <w:tblPr>
        <w:tblW w:w="10205" w:type="dxa"/>
        <w:jc w:val="left"/>
        <w:tblInd w:w="0" w:type="dxa"/>
        <w:tblCellMar>
          <w:top w:w="0" w:type="dxa"/>
          <w:left w:w="0" w:type="dxa"/>
          <w:bottom w:w="0" w:type="dxa"/>
          <w:right w:w="0" w:type="dxa"/>
        </w:tblCellMar>
      </w:tblPr>
      <w:tblGrid>
        <w:gridCol w:w="5721"/>
        <w:gridCol w:w="1267"/>
        <w:gridCol w:w="128"/>
        <w:gridCol w:w="143"/>
        <w:gridCol w:w="1267"/>
        <w:gridCol w:w="128"/>
        <w:gridCol w:w="143"/>
        <w:gridCol w:w="1095"/>
        <w:gridCol w:w="313"/>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5721"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21" w:type="dxa"/>
            <w:tcBorders/>
            <w:shd w:fill="auto" w:val="clear"/>
            <w:vAlign w:val="center"/>
          </w:tcPr>
          <w:p>
            <w:pPr>
              <w:pStyle w:val="TableContents"/>
              <w:spacing w:before="0" w:after="0"/>
              <w:ind w:left="0" w:right="0" w:firstLine="30"/>
              <w:rPr/>
            </w:pPr>
            <w:r>
              <w:rPr/>
              <w:t> </w:t>
            </w:r>
          </w:p>
        </w:tc>
        <w:tc>
          <w:tcPr>
            <w:tcW w:w="1395"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Pawn/Retail</w:t>
            </w:r>
          </w:p>
          <w:p>
            <w:pPr>
              <w:pStyle w:val="TableContents"/>
              <w:spacing w:before="0" w:after="0"/>
              <w:ind w:left="0" w:right="0" w:firstLine="30"/>
              <w:jc w:val="center"/>
              <w:rPr>
                <w:rFonts w:ascii="inherit" w:hAnsi="inherit"/>
                <w:b/>
                <w:sz w:val="13"/>
              </w:rPr>
            </w:pPr>
            <w:r>
              <w:rPr>
                <w:rFonts w:ascii="inherit" w:hAnsi="inherit"/>
                <w:b/>
                <w:sz w:val="13"/>
              </w:rPr>
              <w:t>Locations</w:t>
            </w:r>
          </w:p>
        </w:tc>
        <w:tc>
          <w:tcPr>
            <w:tcW w:w="143" w:type="dxa"/>
            <w:tcBorders/>
            <w:shd w:fill="auto" w:val="clear"/>
            <w:vAlign w:val="center"/>
          </w:tcPr>
          <w:p>
            <w:pPr>
              <w:pStyle w:val="TableContents"/>
              <w:spacing w:before="0" w:after="0"/>
              <w:ind w:left="0" w:right="0" w:firstLine="30"/>
              <w:rPr/>
            </w:pPr>
            <w:r>
              <w:rPr/>
              <w:t> </w:t>
            </w:r>
          </w:p>
        </w:tc>
        <w:tc>
          <w:tcPr>
            <w:tcW w:w="1395"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Financial Services</w:t>
            </w:r>
          </w:p>
          <w:p>
            <w:pPr>
              <w:pStyle w:val="TableContents"/>
              <w:spacing w:before="0" w:after="0"/>
              <w:ind w:left="0" w:right="0" w:firstLine="30"/>
              <w:jc w:val="center"/>
              <w:rPr>
                <w:rFonts w:ascii="inherit" w:hAnsi="inherit"/>
                <w:b/>
                <w:sz w:val="13"/>
              </w:rPr>
            </w:pPr>
            <w:r>
              <w:rPr>
                <w:rFonts w:ascii="inherit" w:hAnsi="inherit"/>
                <w:b/>
                <w:sz w:val="13"/>
              </w:rPr>
              <w:t>Locations</w:t>
            </w:r>
          </w:p>
        </w:tc>
        <w:tc>
          <w:tcPr>
            <w:tcW w:w="143" w:type="dxa"/>
            <w:tcBorders/>
            <w:shd w:fill="auto" w:val="clear"/>
            <w:vAlign w:val="center"/>
          </w:tcPr>
          <w:p>
            <w:pPr>
              <w:pStyle w:val="TableContents"/>
              <w:spacing w:before="0" w:after="0"/>
              <w:ind w:left="0" w:right="0" w:firstLine="30"/>
              <w:rPr/>
            </w:pPr>
            <w:r>
              <w:rPr/>
              <w:t> </w:t>
            </w:r>
          </w:p>
        </w:tc>
        <w:tc>
          <w:tcPr>
            <w:tcW w:w="1408"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Total</w:t>
            </w:r>
          </w:p>
          <w:p>
            <w:pPr>
              <w:pStyle w:val="TableContents"/>
              <w:spacing w:before="0" w:after="0"/>
              <w:ind w:left="0" w:right="0" w:firstLine="30"/>
              <w:jc w:val="center"/>
              <w:rPr>
                <w:rFonts w:ascii="inherit" w:hAnsi="inherit"/>
                <w:b/>
                <w:sz w:val="13"/>
              </w:rPr>
            </w:pPr>
            <w:r>
              <w:rPr>
                <w:rFonts w:ascii="inherit" w:hAnsi="inherit"/>
                <w:b/>
                <w:sz w:val="13"/>
              </w:rPr>
              <w:t>Locations</w:t>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United States:</w:t>
            </w:r>
          </w:p>
        </w:tc>
        <w:tc>
          <w:tcPr>
            <w:tcW w:w="1395" w:type="dxa"/>
            <w:gridSpan w:val="2"/>
            <w:tcBorders/>
            <w:shd w:fill="auto" w:val="clear"/>
            <w:vAlign w:val="center"/>
          </w:tcPr>
          <w:p>
            <w:pPr>
              <w:pStyle w:val="TableContents"/>
              <w:spacing w:before="0" w:after="0"/>
              <w:ind w:left="0" w:right="0" w:firstLine="30"/>
              <w:jc w:val="left"/>
              <w:rPr/>
            </w:pPr>
            <w:r>
              <w:rPr/>
              <w:t> </w:t>
            </w:r>
          </w:p>
        </w:tc>
        <w:tc>
          <w:tcPr>
            <w:tcW w:w="143" w:type="dxa"/>
            <w:tcBorders/>
            <w:shd w:fill="auto" w:val="clear"/>
            <w:vAlign w:val="center"/>
          </w:tcPr>
          <w:p>
            <w:pPr>
              <w:pStyle w:val="TableContents"/>
              <w:spacing w:before="0" w:after="0"/>
              <w:ind w:left="0" w:right="0" w:firstLine="30"/>
              <w:rPr/>
            </w:pPr>
            <w:r>
              <w:rPr/>
              <w:t> </w:t>
            </w:r>
          </w:p>
        </w:tc>
        <w:tc>
          <w:tcPr>
            <w:tcW w:w="1395" w:type="dxa"/>
            <w:gridSpan w:val="2"/>
            <w:tcBorders/>
            <w:shd w:fill="auto" w:val="clear"/>
            <w:vAlign w:val="center"/>
          </w:tcPr>
          <w:p>
            <w:pPr>
              <w:pStyle w:val="TableContents"/>
              <w:spacing w:before="0" w:after="0"/>
              <w:ind w:left="0" w:right="0" w:firstLine="30"/>
              <w:jc w:val="left"/>
              <w:rPr/>
            </w:pPr>
            <w:r>
              <w:rPr/>
              <w:t> </w:t>
            </w:r>
          </w:p>
        </w:tc>
        <w:tc>
          <w:tcPr>
            <w:tcW w:w="143" w:type="dxa"/>
            <w:tcBorders/>
            <w:shd w:fill="auto" w:val="clear"/>
            <w:vAlign w:val="center"/>
          </w:tcPr>
          <w:p>
            <w:pPr>
              <w:pStyle w:val="TableContents"/>
              <w:spacing w:before="0" w:after="0"/>
              <w:ind w:left="0" w:right="0" w:firstLine="30"/>
              <w:rPr/>
            </w:pPr>
            <w:r>
              <w:rPr/>
              <w:t> </w:t>
            </w:r>
          </w:p>
        </w:tc>
        <w:tc>
          <w:tcPr>
            <w:tcW w:w="1408" w:type="dxa"/>
            <w:gridSpan w:val="2"/>
            <w:tcBorders/>
            <w:shd w:fill="auto" w:val="clear"/>
            <w:vAlign w:val="center"/>
          </w:tcPr>
          <w:p>
            <w:pPr>
              <w:pStyle w:val="TableContents"/>
              <w:spacing w:before="0" w:after="0"/>
              <w:ind w:left="0" w:right="0" w:firstLine="180"/>
              <w:jc w:val="left"/>
              <w:rPr/>
            </w:pPr>
            <w:r>
              <w:rPr/>
              <w:t> </w:t>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Texas</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200</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290</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490</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Florida</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102</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pPr>
            <w:r>
              <w:rPr/>
              <w:t>—</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102</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Colorado</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38</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26</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64</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Wisconsin</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3</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37</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40</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Oklahoma</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21</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10</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31</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Nevada</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16</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13</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29</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Illinois</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24</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pPr>
            <w:r>
              <w:rPr/>
              <w:t>—</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24</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Utah</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9</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14</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23</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Iowa</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11</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10</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21</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Idaho</w:t>
            </w:r>
          </w:p>
        </w:tc>
        <w:tc>
          <w:tcPr>
            <w:tcW w:w="1267" w:type="dxa"/>
            <w:tcBorders/>
            <w:shd w:fill="auto" w:val="clear"/>
            <w:vAlign w:val="center"/>
          </w:tcPr>
          <w:p>
            <w:pPr>
              <w:pStyle w:val="TableContents"/>
              <w:spacing w:before="0" w:after="0"/>
              <w:jc w:val="right"/>
              <w:rPr/>
            </w:pPr>
            <w:r>
              <w:rPr/>
              <w:t>—</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20</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20</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Georgia</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10</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7</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17</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Indiana</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17</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pPr>
            <w:r>
              <w:rPr/>
              <w:t>—</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17</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Alabama</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7</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9</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16</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Hawaii</w:t>
            </w:r>
          </w:p>
        </w:tc>
        <w:tc>
          <w:tcPr>
            <w:tcW w:w="1267" w:type="dxa"/>
            <w:tcBorders/>
            <w:shd w:fill="auto" w:val="clear"/>
            <w:vAlign w:val="center"/>
          </w:tcPr>
          <w:p>
            <w:pPr>
              <w:pStyle w:val="TableContents"/>
              <w:spacing w:before="0" w:after="0"/>
              <w:jc w:val="right"/>
              <w:rPr/>
            </w:pPr>
            <w:r>
              <w:rPr/>
              <w:t>—</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14</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14</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Missouri</w:t>
            </w:r>
          </w:p>
        </w:tc>
        <w:tc>
          <w:tcPr>
            <w:tcW w:w="1267" w:type="dxa"/>
            <w:tcBorders/>
            <w:shd w:fill="CCEEFF" w:val="clear"/>
            <w:vAlign w:val="center"/>
          </w:tcPr>
          <w:p>
            <w:pPr>
              <w:pStyle w:val="TableContents"/>
              <w:spacing w:before="0" w:after="0"/>
              <w:jc w:val="right"/>
              <w:rPr/>
            </w:pPr>
            <w:r>
              <w:rPr/>
              <w:t>—</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13</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13</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Arizona</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12</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pPr>
            <w:r>
              <w:rPr/>
              <w:t>—</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12</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Kansas</w:t>
            </w:r>
          </w:p>
        </w:tc>
        <w:tc>
          <w:tcPr>
            <w:tcW w:w="1267" w:type="dxa"/>
            <w:tcBorders/>
            <w:shd w:fill="CCEEFF" w:val="clear"/>
            <w:vAlign w:val="center"/>
          </w:tcPr>
          <w:p>
            <w:pPr>
              <w:pStyle w:val="TableContents"/>
              <w:spacing w:before="0" w:after="0"/>
              <w:jc w:val="right"/>
              <w:rPr/>
            </w:pPr>
            <w:r>
              <w:rPr/>
              <w:t>—</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12</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12</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Tennessee</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7</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4</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11</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South Dakota</w:t>
            </w:r>
          </w:p>
        </w:tc>
        <w:tc>
          <w:tcPr>
            <w:tcW w:w="1267" w:type="dxa"/>
            <w:tcBorders/>
            <w:shd w:fill="CCEEFF" w:val="clear"/>
            <w:vAlign w:val="center"/>
          </w:tcPr>
          <w:p>
            <w:pPr>
              <w:pStyle w:val="TableContents"/>
              <w:spacing w:before="0" w:after="0"/>
              <w:jc w:val="right"/>
              <w:rPr/>
            </w:pPr>
            <w:r>
              <w:rPr/>
              <w:t>—</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10</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10</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Minnesota</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9</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pPr>
            <w:r>
              <w:rPr/>
              <w:t>—</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9</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Virginia (1)</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5</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pPr>
            <w:r>
              <w:rPr/>
              <w:t>—</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5</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Louisiana</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3</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pPr>
            <w:r>
              <w:rPr/>
              <w:t>—</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3</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Mississippi</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3</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pPr>
            <w:r>
              <w:rPr/>
              <w:t>—</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3</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New York</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2</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pPr>
            <w:r>
              <w:rPr/>
              <w:t>—</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2</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Pennsylvania (1)</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2</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pPr>
            <w:r>
              <w:rPr/>
              <w:t>—</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2</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Arkansas</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1</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w:t>
            </w:r>
          </w:p>
        </w:tc>
        <w:tc>
          <w:tcPr>
            <w:tcW w:w="31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United States Locations</w:t>
            </w:r>
          </w:p>
        </w:tc>
        <w:tc>
          <w:tcPr>
            <w:tcW w:w="126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502</w:t>
            </w:r>
          </w:p>
        </w:tc>
        <w:tc>
          <w:tcPr>
            <w:tcW w:w="12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489</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991</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rPr/>
            </w:pPr>
            <w:r>
              <w:rPr/>
              <w:t> </w:t>
            </w:r>
          </w:p>
        </w:tc>
        <w:tc>
          <w:tcPr>
            <w:tcW w:w="1395" w:type="dxa"/>
            <w:gridSpan w:val="2"/>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395" w:type="dxa"/>
            <w:gridSpan w:val="2"/>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408" w:type="dxa"/>
            <w:gridSpan w:val="2"/>
            <w:tcBorders/>
            <w:shd w:fill="auto" w:val="clear"/>
            <w:vAlign w:val="center"/>
          </w:tcPr>
          <w:p>
            <w:pPr>
              <w:pStyle w:val="TableContents"/>
              <w:spacing w:before="0" w:after="0"/>
              <w:ind w:left="0" w:right="0" w:firstLine="30"/>
              <w:rPr/>
            </w:pPr>
            <w:r>
              <w:rPr/>
              <w:t> </w:t>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Mexico:</w:t>
            </w:r>
          </w:p>
        </w:tc>
        <w:tc>
          <w:tcPr>
            <w:tcW w:w="1395" w:type="dxa"/>
            <w:gridSpan w:val="2"/>
            <w:tcBorders/>
            <w:shd w:fill="CCEEFF" w:val="clear"/>
            <w:vAlign w:val="center"/>
          </w:tcPr>
          <w:p>
            <w:pPr>
              <w:pStyle w:val="TableContents"/>
              <w:spacing w:before="0" w:after="0"/>
              <w:ind w:left="0" w:right="0" w:firstLine="30"/>
              <w:jc w:val="left"/>
              <w:rPr/>
            </w:pPr>
            <w:r>
              <w:rPr/>
              <w:t> </w:t>
            </w:r>
          </w:p>
        </w:tc>
        <w:tc>
          <w:tcPr>
            <w:tcW w:w="143" w:type="dxa"/>
            <w:tcBorders/>
            <w:shd w:fill="CCEEFF" w:val="clear"/>
            <w:vAlign w:val="center"/>
          </w:tcPr>
          <w:p>
            <w:pPr>
              <w:pStyle w:val="TableContents"/>
              <w:spacing w:before="0" w:after="0"/>
              <w:ind w:left="0" w:right="0" w:firstLine="30"/>
              <w:rPr/>
            </w:pPr>
            <w:r>
              <w:rPr/>
              <w:t> </w:t>
            </w:r>
          </w:p>
        </w:tc>
        <w:tc>
          <w:tcPr>
            <w:tcW w:w="1395" w:type="dxa"/>
            <w:gridSpan w:val="2"/>
            <w:tcBorders/>
            <w:shd w:fill="CCEEFF" w:val="clear"/>
            <w:vAlign w:val="center"/>
          </w:tcPr>
          <w:p>
            <w:pPr>
              <w:pStyle w:val="TableContents"/>
              <w:spacing w:before="0" w:after="0"/>
              <w:ind w:left="0" w:right="0" w:firstLine="30"/>
              <w:jc w:val="left"/>
              <w:rPr/>
            </w:pPr>
            <w:r>
              <w:rPr/>
              <w:t> </w:t>
            </w:r>
          </w:p>
        </w:tc>
        <w:tc>
          <w:tcPr>
            <w:tcW w:w="143" w:type="dxa"/>
            <w:tcBorders/>
            <w:shd w:fill="CCEEFF" w:val="clear"/>
            <w:vAlign w:val="center"/>
          </w:tcPr>
          <w:p>
            <w:pPr>
              <w:pStyle w:val="TableContents"/>
              <w:spacing w:before="0" w:after="0"/>
              <w:ind w:left="0" w:right="0" w:firstLine="30"/>
              <w:rPr/>
            </w:pPr>
            <w:r>
              <w:rPr/>
              <w:t> </w:t>
            </w:r>
          </w:p>
        </w:tc>
        <w:tc>
          <w:tcPr>
            <w:tcW w:w="1408" w:type="dxa"/>
            <w:gridSpan w:val="2"/>
            <w:tcBorders/>
            <w:shd w:fill="CCEEFF" w:val="clear"/>
            <w:vAlign w:val="center"/>
          </w:tcPr>
          <w:p>
            <w:pPr>
              <w:pStyle w:val="TableContents"/>
              <w:spacing w:before="0" w:after="0"/>
              <w:ind w:left="0" w:right="0" w:firstLine="180"/>
              <w:jc w:val="left"/>
              <w:rPr/>
            </w:pPr>
            <w:r>
              <w:rPr/>
              <w:t> </w:t>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Estado de Mexico</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52</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5</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57</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Distrito Federal</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48</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6</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54</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Veracruz</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31</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1</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32</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Jalisco</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15</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1</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16</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Guanajuato</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15</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pPr>
            <w:r>
              <w:rPr/>
              <w:t>—</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15</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Nuevo León</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12</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1</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13</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Puebla</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11</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pPr>
            <w:r>
              <w:rPr/>
              <w:t>—</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11</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Guerrero</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9</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1</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10</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Chiapas</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7</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2</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9</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Tabasco</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7</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2</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9</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Tamaulipas</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6</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3</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9</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Coahuila</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4</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4</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8</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Campeche</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4</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3</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7</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Michoacan</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7</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pPr>
            <w:r>
              <w:rPr/>
              <w:t>—</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7</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Hidalgo</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6</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pPr>
            <w:r>
              <w:rPr/>
              <w:t>—</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6</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Queretaro</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6</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pPr>
            <w:r>
              <w:rPr/>
              <w:t>—</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6</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Quintana Roo</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4</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2</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6</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Baja California</w:t>
            </w:r>
          </w:p>
        </w:tc>
        <w:tc>
          <w:tcPr>
            <w:tcW w:w="1267" w:type="dxa"/>
            <w:tcBorders/>
            <w:shd w:fill="CCEEFF" w:val="clear"/>
            <w:vAlign w:val="center"/>
          </w:tcPr>
          <w:p>
            <w:pPr>
              <w:pStyle w:val="TableContents"/>
              <w:spacing w:before="0" w:after="0"/>
              <w:jc w:val="right"/>
              <w:rPr/>
            </w:pPr>
            <w:r>
              <w:rPr/>
              <w:t>—</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5</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5</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Aguascalientes</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4</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pPr>
            <w:r>
              <w:rPr/>
              <w:t>—</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4</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Oaxaca</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3</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1</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4</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Sinaloa</w:t>
            </w:r>
          </w:p>
        </w:tc>
        <w:tc>
          <w:tcPr>
            <w:tcW w:w="1267" w:type="dxa"/>
            <w:tcBorders/>
            <w:shd w:fill="auto" w:val="clear"/>
            <w:vAlign w:val="center"/>
          </w:tcPr>
          <w:p>
            <w:pPr>
              <w:pStyle w:val="TableContents"/>
              <w:spacing w:before="0" w:after="0"/>
              <w:jc w:val="right"/>
              <w:rPr/>
            </w:pPr>
            <w:r>
              <w:rPr/>
              <w:t>—</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4</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4</w:t>
            </w:r>
          </w:p>
        </w:tc>
        <w:tc>
          <w:tcPr>
            <w:tcW w:w="31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Michoacán</w:t>
            </w:r>
          </w:p>
        </w:tc>
        <w:tc>
          <w:tcPr>
            <w:tcW w:w="1267" w:type="dxa"/>
            <w:tcBorders/>
            <w:shd w:fill="CCEEFF" w:val="clear"/>
            <w:vAlign w:val="center"/>
          </w:tcPr>
          <w:p>
            <w:pPr>
              <w:pStyle w:val="TableContents"/>
              <w:spacing w:before="0" w:after="0"/>
              <w:jc w:val="right"/>
              <w:rPr/>
            </w:pPr>
            <w:r>
              <w:rPr/>
              <w:t>—</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267" w:type="dxa"/>
            <w:tcBorders/>
            <w:shd w:fill="CCEEFF" w:val="clear"/>
            <w:vAlign w:val="center"/>
          </w:tcPr>
          <w:p>
            <w:pPr>
              <w:pStyle w:val="TableContents"/>
              <w:spacing w:before="0" w:after="0"/>
              <w:jc w:val="right"/>
              <w:rPr>
                <w:rFonts w:ascii="inherit" w:hAnsi="inherit"/>
                <w:sz w:val="13"/>
              </w:rPr>
            </w:pPr>
            <w:r>
              <w:rPr>
                <w:rFonts w:ascii="inherit" w:hAnsi="inherit"/>
                <w:sz w:val="13"/>
              </w:rPr>
              <w:t>3</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95" w:type="dxa"/>
            <w:tcBorders/>
            <w:shd w:fill="CCEEFF" w:val="clear"/>
            <w:vAlign w:val="center"/>
          </w:tcPr>
          <w:p>
            <w:pPr>
              <w:pStyle w:val="TableContents"/>
              <w:spacing w:before="0" w:after="0"/>
              <w:jc w:val="right"/>
              <w:rPr>
                <w:rFonts w:ascii="inherit" w:hAnsi="inherit"/>
                <w:sz w:val="13"/>
              </w:rPr>
            </w:pPr>
            <w:r>
              <w:rPr>
                <w:rFonts w:ascii="inherit" w:hAnsi="inherit"/>
                <w:sz w:val="13"/>
              </w:rPr>
              <w:t>3</w:t>
            </w:r>
          </w:p>
        </w:tc>
        <w:tc>
          <w:tcPr>
            <w:tcW w:w="31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72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Morelia</w:t>
            </w:r>
          </w:p>
        </w:tc>
        <w:tc>
          <w:tcPr>
            <w:tcW w:w="1267" w:type="dxa"/>
            <w:tcBorders/>
            <w:shd w:fill="auto" w:val="clear"/>
            <w:vAlign w:val="center"/>
          </w:tcPr>
          <w:p>
            <w:pPr>
              <w:pStyle w:val="TableContents"/>
              <w:spacing w:before="0" w:after="0"/>
              <w:jc w:val="right"/>
              <w:rPr>
                <w:rFonts w:ascii="inherit" w:hAnsi="inherit"/>
                <w:sz w:val="13"/>
              </w:rPr>
            </w:pPr>
            <w:r>
              <w:rPr>
                <w:rFonts w:ascii="inherit" w:hAnsi="inherit"/>
                <w:sz w:val="13"/>
              </w:rPr>
              <w:t>3</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267" w:type="dxa"/>
            <w:tcBorders/>
            <w:shd w:fill="auto" w:val="clear"/>
            <w:vAlign w:val="center"/>
          </w:tcPr>
          <w:p>
            <w:pPr>
              <w:pStyle w:val="TableContents"/>
              <w:spacing w:before="0" w:after="0"/>
              <w:jc w:val="right"/>
              <w:rPr/>
            </w:pPr>
            <w:r>
              <w:rPr/>
              <w:t>—</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95" w:type="dxa"/>
            <w:tcBorders/>
            <w:shd w:fill="auto" w:val="clear"/>
            <w:vAlign w:val="center"/>
          </w:tcPr>
          <w:p>
            <w:pPr>
              <w:pStyle w:val="TableContents"/>
              <w:spacing w:before="0" w:after="0"/>
              <w:jc w:val="right"/>
              <w:rPr>
                <w:rFonts w:ascii="inherit" w:hAnsi="inherit"/>
                <w:sz w:val="13"/>
              </w:rPr>
            </w:pPr>
            <w:r>
              <w:rPr>
                <w:rFonts w:ascii="inherit" w:hAnsi="inherit"/>
                <w:sz w:val="13"/>
              </w:rPr>
              <w:t>3</w:t>
            </w:r>
          </w:p>
        </w:tc>
        <w:tc>
          <w:tcPr>
            <w:tcW w:w="313"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lineRule="auto" w:line="288" w:before="0" w:after="0"/>
        <w:rPr/>
      </w:pPr>
      <w:hyperlink w:anchor="sA13583D437E20DC41B4583E2BD74AA47">
        <w:bookmarkStart w:id="21" w:name="sECBCC6A3E6964B0FD11583E28265DAEF2"/>
        <w:bookmarkEnd w:id="21"/>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6278"/>
        <w:gridCol w:w="1054"/>
        <w:gridCol w:w="106"/>
        <w:gridCol w:w="139"/>
        <w:gridCol w:w="1054"/>
        <w:gridCol w:w="106"/>
        <w:gridCol w:w="139"/>
        <w:gridCol w:w="1129"/>
        <w:gridCol w:w="200"/>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6278"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62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Sonora</w:t>
            </w:r>
          </w:p>
        </w:tc>
        <w:tc>
          <w:tcPr>
            <w:tcW w:w="1054" w:type="dxa"/>
            <w:tcBorders/>
            <w:shd w:fill="CCEEFF" w:val="clear"/>
            <w:vAlign w:val="center"/>
          </w:tcPr>
          <w:p>
            <w:pPr>
              <w:pStyle w:val="TableContents"/>
              <w:spacing w:before="0" w:after="0"/>
              <w:jc w:val="right"/>
              <w:rPr/>
            </w:pPr>
            <w:r>
              <w:rPr/>
              <w:t>—</w:t>
            </w:r>
          </w:p>
        </w:tc>
        <w:tc>
          <w:tcPr>
            <w:tcW w:w="1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054" w:type="dxa"/>
            <w:tcBorders/>
            <w:shd w:fill="CCEEFF" w:val="clear"/>
            <w:vAlign w:val="center"/>
          </w:tcPr>
          <w:p>
            <w:pPr>
              <w:pStyle w:val="TableContents"/>
              <w:spacing w:before="0" w:after="0"/>
              <w:jc w:val="right"/>
              <w:rPr>
                <w:rFonts w:ascii="inherit" w:hAnsi="inherit"/>
                <w:sz w:val="13"/>
              </w:rPr>
            </w:pPr>
            <w:r>
              <w:rPr>
                <w:rFonts w:ascii="inherit" w:hAnsi="inherit"/>
                <w:sz w:val="13"/>
              </w:rPr>
              <w:t>3</w:t>
            </w:r>
          </w:p>
        </w:tc>
        <w:tc>
          <w:tcPr>
            <w:tcW w:w="1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29" w:type="dxa"/>
            <w:tcBorders/>
            <w:shd w:fill="CCEEFF" w:val="clear"/>
            <w:vAlign w:val="center"/>
          </w:tcPr>
          <w:p>
            <w:pPr>
              <w:pStyle w:val="TableContents"/>
              <w:spacing w:before="0" w:after="0"/>
              <w:jc w:val="right"/>
              <w:rPr>
                <w:rFonts w:ascii="inherit" w:hAnsi="inherit"/>
                <w:sz w:val="13"/>
              </w:rPr>
            </w:pPr>
            <w:r>
              <w:rPr>
                <w:rFonts w:ascii="inherit" w:hAnsi="inherit"/>
                <w:sz w:val="13"/>
              </w:rPr>
              <w:t>3</w:t>
            </w:r>
          </w:p>
        </w:tc>
        <w:tc>
          <w:tcPr>
            <w:tcW w:w="200"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Tlaxcala</w:t>
            </w:r>
          </w:p>
        </w:tc>
        <w:tc>
          <w:tcPr>
            <w:tcW w:w="1054" w:type="dxa"/>
            <w:tcBorders/>
            <w:shd w:fill="auto" w:val="clear"/>
            <w:vAlign w:val="center"/>
          </w:tcPr>
          <w:p>
            <w:pPr>
              <w:pStyle w:val="TableContents"/>
              <w:spacing w:before="0" w:after="0"/>
              <w:jc w:val="right"/>
              <w:rPr>
                <w:rFonts w:ascii="inherit" w:hAnsi="inherit"/>
                <w:sz w:val="13"/>
              </w:rPr>
            </w:pPr>
            <w:r>
              <w:rPr>
                <w:rFonts w:ascii="inherit" w:hAnsi="inherit"/>
                <w:sz w:val="13"/>
              </w:rPr>
              <w:t>2</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054" w:type="dxa"/>
            <w:tcBorders/>
            <w:shd w:fill="auto" w:val="clear"/>
            <w:vAlign w:val="center"/>
          </w:tcPr>
          <w:p>
            <w:pPr>
              <w:pStyle w:val="TableContents"/>
              <w:spacing w:before="0" w:after="0"/>
              <w:jc w:val="right"/>
              <w:rPr>
                <w:rFonts w:ascii="inherit" w:hAnsi="inherit"/>
                <w:sz w:val="13"/>
              </w:rPr>
            </w:pPr>
            <w:r>
              <w:rPr>
                <w:rFonts w:ascii="inherit" w:hAnsi="inherit"/>
                <w:sz w:val="13"/>
              </w:rPr>
              <w:t>1</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29" w:type="dxa"/>
            <w:tcBorders/>
            <w:shd w:fill="auto" w:val="clear"/>
            <w:vAlign w:val="center"/>
          </w:tcPr>
          <w:p>
            <w:pPr>
              <w:pStyle w:val="TableContents"/>
              <w:spacing w:before="0" w:after="0"/>
              <w:jc w:val="right"/>
              <w:rPr>
                <w:rFonts w:ascii="inherit" w:hAnsi="inherit"/>
                <w:sz w:val="13"/>
              </w:rPr>
            </w:pPr>
            <w:r>
              <w:rPr>
                <w:rFonts w:ascii="inherit" w:hAnsi="inherit"/>
                <w:sz w:val="13"/>
              </w:rPr>
              <w:t>3</w:t>
            </w:r>
          </w:p>
        </w:tc>
        <w:tc>
          <w:tcPr>
            <w:tcW w:w="20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Chihuahua</w:t>
            </w:r>
          </w:p>
        </w:tc>
        <w:tc>
          <w:tcPr>
            <w:tcW w:w="1054" w:type="dxa"/>
            <w:tcBorders/>
            <w:shd w:fill="CCEEFF" w:val="clear"/>
            <w:vAlign w:val="center"/>
          </w:tcPr>
          <w:p>
            <w:pPr>
              <w:pStyle w:val="TableContents"/>
              <w:spacing w:before="0" w:after="0"/>
              <w:jc w:val="right"/>
              <w:rPr/>
            </w:pPr>
            <w:r>
              <w:rPr/>
              <w:t>—</w:t>
            </w:r>
          </w:p>
        </w:tc>
        <w:tc>
          <w:tcPr>
            <w:tcW w:w="1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054" w:type="dxa"/>
            <w:tcBorders/>
            <w:shd w:fill="CCEEFF" w:val="clear"/>
            <w:vAlign w:val="center"/>
          </w:tcPr>
          <w:p>
            <w:pPr>
              <w:pStyle w:val="TableContents"/>
              <w:spacing w:before="0" w:after="0"/>
              <w:jc w:val="right"/>
              <w:rPr>
                <w:rFonts w:ascii="inherit" w:hAnsi="inherit"/>
                <w:sz w:val="13"/>
              </w:rPr>
            </w:pPr>
            <w:r>
              <w:rPr>
                <w:rFonts w:ascii="inherit" w:hAnsi="inherit"/>
                <w:sz w:val="13"/>
              </w:rPr>
              <w:t>2</w:t>
            </w:r>
          </w:p>
        </w:tc>
        <w:tc>
          <w:tcPr>
            <w:tcW w:w="1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29" w:type="dxa"/>
            <w:tcBorders/>
            <w:shd w:fill="CCEEFF" w:val="clear"/>
            <w:vAlign w:val="center"/>
          </w:tcPr>
          <w:p>
            <w:pPr>
              <w:pStyle w:val="TableContents"/>
              <w:spacing w:before="0" w:after="0"/>
              <w:jc w:val="right"/>
              <w:rPr>
                <w:rFonts w:ascii="inherit" w:hAnsi="inherit"/>
                <w:sz w:val="13"/>
              </w:rPr>
            </w:pPr>
            <w:r>
              <w:rPr>
                <w:rFonts w:ascii="inherit" w:hAnsi="inherit"/>
                <w:sz w:val="13"/>
              </w:rPr>
              <w:t>2</w:t>
            </w:r>
          </w:p>
        </w:tc>
        <w:tc>
          <w:tcPr>
            <w:tcW w:w="200"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Durango</w:t>
            </w:r>
          </w:p>
        </w:tc>
        <w:tc>
          <w:tcPr>
            <w:tcW w:w="1054"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054" w:type="dxa"/>
            <w:tcBorders/>
            <w:shd w:fill="auto" w:val="clear"/>
            <w:vAlign w:val="center"/>
          </w:tcPr>
          <w:p>
            <w:pPr>
              <w:pStyle w:val="TableContents"/>
              <w:spacing w:before="0" w:after="0"/>
              <w:jc w:val="right"/>
              <w:rPr>
                <w:rFonts w:ascii="inherit" w:hAnsi="inherit"/>
                <w:sz w:val="13"/>
              </w:rPr>
            </w:pPr>
            <w:r>
              <w:rPr>
                <w:rFonts w:ascii="inherit" w:hAnsi="inherit"/>
                <w:sz w:val="13"/>
              </w:rPr>
              <w:t>1</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29" w:type="dxa"/>
            <w:tcBorders/>
            <w:shd w:fill="auto" w:val="clear"/>
            <w:vAlign w:val="center"/>
          </w:tcPr>
          <w:p>
            <w:pPr>
              <w:pStyle w:val="TableContents"/>
              <w:spacing w:before="0" w:after="0"/>
              <w:jc w:val="right"/>
              <w:rPr>
                <w:rFonts w:ascii="inherit" w:hAnsi="inherit"/>
                <w:sz w:val="13"/>
              </w:rPr>
            </w:pPr>
            <w:r>
              <w:rPr>
                <w:rFonts w:ascii="inherit" w:hAnsi="inherit"/>
                <w:sz w:val="13"/>
              </w:rPr>
              <w:t>1</w:t>
            </w:r>
          </w:p>
        </w:tc>
        <w:tc>
          <w:tcPr>
            <w:tcW w:w="20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Morelos</w:t>
            </w:r>
          </w:p>
        </w:tc>
        <w:tc>
          <w:tcPr>
            <w:tcW w:w="1054" w:type="dxa"/>
            <w:tcBorders/>
            <w:shd w:fill="CCEEFF" w:val="clear"/>
            <w:vAlign w:val="center"/>
          </w:tcPr>
          <w:p>
            <w:pPr>
              <w:pStyle w:val="TableContents"/>
              <w:spacing w:before="0" w:after="0"/>
              <w:jc w:val="right"/>
              <w:rPr/>
            </w:pPr>
            <w:r>
              <w:rPr/>
              <w:t>—</w:t>
            </w:r>
          </w:p>
        </w:tc>
        <w:tc>
          <w:tcPr>
            <w:tcW w:w="1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054" w:type="dxa"/>
            <w:tcBorders/>
            <w:shd w:fill="CCEEFF" w:val="clear"/>
            <w:vAlign w:val="center"/>
          </w:tcPr>
          <w:p>
            <w:pPr>
              <w:pStyle w:val="TableContents"/>
              <w:spacing w:before="0" w:after="0"/>
              <w:jc w:val="right"/>
              <w:rPr>
                <w:rFonts w:ascii="inherit" w:hAnsi="inherit"/>
                <w:sz w:val="13"/>
              </w:rPr>
            </w:pPr>
            <w:r>
              <w:rPr>
                <w:rFonts w:ascii="inherit" w:hAnsi="inherit"/>
                <w:sz w:val="13"/>
              </w:rPr>
              <w:t>1</w:t>
            </w:r>
          </w:p>
        </w:tc>
        <w:tc>
          <w:tcPr>
            <w:tcW w:w="1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29" w:type="dxa"/>
            <w:tcBorders/>
            <w:shd w:fill="CCEEFF" w:val="clear"/>
            <w:vAlign w:val="center"/>
          </w:tcPr>
          <w:p>
            <w:pPr>
              <w:pStyle w:val="TableContents"/>
              <w:spacing w:before="0" w:after="0"/>
              <w:jc w:val="right"/>
              <w:rPr>
                <w:rFonts w:ascii="inherit" w:hAnsi="inherit"/>
                <w:sz w:val="13"/>
              </w:rPr>
            </w:pPr>
            <w:r>
              <w:rPr>
                <w:rFonts w:ascii="inherit" w:hAnsi="inherit"/>
                <w:sz w:val="13"/>
              </w:rPr>
              <w:t>1</w:t>
            </w:r>
          </w:p>
        </w:tc>
        <w:tc>
          <w:tcPr>
            <w:tcW w:w="200"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Nayarit</w:t>
            </w:r>
          </w:p>
        </w:tc>
        <w:tc>
          <w:tcPr>
            <w:tcW w:w="1054"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054" w:type="dxa"/>
            <w:tcBorders/>
            <w:shd w:fill="auto" w:val="clear"/>
            <w:vAlign w:val="center"/>
          </w:tcPr>
          <w:p>
            <w:pPr>
              <w:pStyle w:val="TableContents"/>
              <w:spacing w:before="0" w:after="0"/>
              <w:jc w:val="right"/>
              <w:rPr>
                <w:rFonts w:ascii="inherit" w:hAnsi="inherit"/>
                <w:sz w:val="13"/>
              </w:rPr>
            </w:pPr>
            <w:r>
              <w:rPr>
                <w:rFonts w:ascii="inherit" w:hAnsi="inherit"/>
                <w:sz w:val="13"/>
              </w:rPr>
              <w:t>1</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29" w:type="dxa"/>
            <w:tcBorders/>
            <w:shd w:fill="auto" w:val="clear"/>
            <w:vAlign w:val="center"/>
          </w:tcPr>
          <w:p>
            <w:pPr>
              <w:pStyle w:val="TableContents"/>
              <w:spacing w:before="0" w:after="0"/>
              <w:jc w:val="right"/>
              <w:rPr>
                <w:rFonts w:ascii="inherit" w:hAnsi="inherit"/>
                <w:sz w:val="13"/>
              </w:rPr>
            </w:pPr>
            <w:r>
              <w:rPr>
                <w:rFonts w:ascii="inherit" w:hAnsi="inherit"/>
                <w:sz w:val="13"/>
              </w:rPr>
              <w:t>1</w:t>
            </w:r>
          </w:p>
        </w:tc>
        <w:tc>
          <w:tcPr>
            <w:tcW w:w="20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San Luis Potosí</w:t>
            </w:r>
          </w:p>
        </w:tc>
        <w:tc>
          <w:tcPr>
            <w:tcW w:w="1054" w:type="dxa"/>
            <w:tcBorders/>
            <w:shd w:fill="CCEEFF" w:val="clear"/>
            <w:vAlign w:val="center"/>
          </w:tcPr>
          <w:p>
            <w:pPr>
              <w:pStyle w:val="TableContents"/>
              <w:spacing w:before="0" w:after="0"/>
              <w:jc w:val="right"/>
              <w:rPr>
                <w:rFonts w:ascii="inherit" w:hAnsi="inherit"/>
                <w:sz w:val="13"/>
              </w:rPr>
            </w:pPr>
            <w:r>
              <w:rPr>
                <w:rFonts w:ascii="inherit" w:hAnsi="inherit"/>
                <w:sz w:val="13"/>
              </w:rPr>
              <w:t>1</w:t>
            </w:r>
          </w:p>
        </w:tc>
        <w:tc>
          <w:tcPr>
            <w:tcW w:w="1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054" w:type="dxa"/>
            <w:tcBorders/>
            <w:shd w:fill="CCEEFF" w:val="clear"/>
            <w:vAlign w:val="center"/>
          </w:tcPr>
          <w:p>
            <w:pPr>
              <w:pStyle w:val="TableContents"/>
              <w:spacing w:before="0" w:after="0"/>
              <w:jc w:val="right"/>
              <w:rPr/>
            </w:pPr>
            <w:r>
              <w:rPr/>
              <w:t>—</w:t>
            </w:r>
          </w:p>
        </w:tc>
        <w:tc>
          <w:tcPr>
            <w:tcW w:w="1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29" w:type="dxa"/>
            <w:tcBorders/>
            <w:shd w:fill="CCEEFF" w:val="clear"/>
            <w:vAlign w:val="center"/>
          </w:tcPr>
          <w:p>
            <w:pPr>
              <w:pStyle w:val="TableContents"/>
              <w:spacing w:before="0" w:after="0"/>
              <w:jc w:val="right"/>
              <w:rPr>
                <w:rFonts w:ascii="inherit" w:hAnsi="inherit"/>
                <w:sz w:val="13"/>
              </w:rPr>
            </w:pPr>
            <w:r>
              <w:rPr>
                <w:rFonts w:ascii="inherit" w:hAnsi="inherit"/>
                <w:sz w:val="13"/>
              </w:rPr>
              <w:t>1</w:t>
            </w:r>
          </w:p>
        </w:tc>
        <w:tc>
          <w:tcPr>
            <w:tcW w:w="200"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Yucatán</w:t>
            </w:r>
          </w:p>
        </w:tc>
        <w:tc>
          <w:tcPr>
            <w:tcW w:w="1054" w:type="dxa"/>
            <w:tcBorders/>
            <w:shd w:fill="auto" w:val="clear"/>
            <w:vAlign w:val="center"/>
          </w:tcPr>
          <w:p>
            <w:pPr>
              <w:pStyle w:val="TableContents"/>
              <w:spacing w:before="0" w:after="0"/>
              <w:jc w:val="right"/>
              <w:rPr>
                <w:rFonts w:ascii="inherit" w:hAnsi="inherit"/>
                <w:sz w:val="13"/>
              </w:rPr>
            </w:pPr>
            <w:r>
              <w:rPr>
                <w:rFonts w:ascii="inherit" w:hAnsi="inherit"/>
                <w:sz w:val="13"/>
              </w:rPr>
              <w:t>1</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054"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29" w:type="dxa"/>
            <w:tcBorders/>
            <w:shd w:fill="auto" w:val="clear"/>
            <w:vAlign w:val="center"/>
          </w:tcPr>
          <w:p>
            <w:pPr>
              <w:pStyle w:val="TableContents"/>
              <w:spacing w:before="0" w:after="0"/>
              <w:jc w:val="right"/>
              <w:rPr>
                <w:rFonts w:ascii="inherit" w:hAnsi="inherit"/>
                <w:sz w:val="13"/>
              </w:rPr>
            </w:pPr>
            <w:r>
              <w:rPr>
                <w:rFonts w:ascii="inherit" w:hAnsi="inherit"/>
                <w:sz w:val="13"/>
              </w:rPr>
              <w:t>1</w:t>
            </w:r>
          </w:p>
        </w:tc>
        <w:tc>
          <w:tcPr>
            <w:tcW w:w="20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Zacatecas</w:t>
            </w:r>
          </w:p>
        </w:tc>
        <w:tc>
          <w:tcPr>
            <w:tcW w:w="1054"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0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05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w:t>
            </w:r>
          </w:p>
        </w:tc>
        <w:tc>
          <w:tcPr>
            <w:tcW w:w="10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29"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w:t>
            </w:r>
          </w:p>
        </w:tc>
        <w:tc>
          <w:tcPr>
            <w:tcW w:w="2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Mexico Locations</w:t>
            </w:r>
          </w:p>
        </w:tc>
        <w:tc>
          <w:tcPr>
            <w:tcW w:w="1054" w:type="dxa"/>
            <w:tcBorders/>
            <w:shd w:fill="auto" w:val="clear"/>
            <w:vAlign w:val="center"/>
          </w:tcPr>
          <w:p>
            <w:pPr>
              <w:pStyle w:val="TableContents"/>
              <w:spacing w:before="0" w:after="0"/>
              <w:jc w:val="right"/>
              <w:rPr>
                <w:rFonts w:ascii="inherit" w:hAnsi="inherit"/>
                <w:sz w:val="13"/>
              </w:rPr>
            </w:pPr>
            <w:r>
              <w:rPr>
                <w:rFonts w:ascii="inherit" w:hAnsi="inherit"/>
                <w:sz w:val="13"/>
              </w:rPr>
              <w:t>258</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054" w:type="dxa"/>
            <w:tcBorders/>
            <w:shd w:fill="auto" w:val="clear"/>
            <w:vAlign w:val="center"/>
          </w:tcPr>
          <w:p>
            <w:pPr>
              <w:pStyle w:val="TableContents"/>
              <w:spacing w:before="0" w:after="0"/>
              <w:jc w:val="right"/>
              <w:rPr>
                <w:rFonts w:ascii="inherit" w:hAnsi="inherit"/>
                <w:sz w:val="13"/>
              </w:rPr>
            </w:pPr>
            <w:r>
              <w:rPr>
                <w:rFonts w:ascii="inherit" w:hAnsi="inherit"/>
                <w:sz w:val="13"/>
              </w:rPr>
              <w:t>54</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29" w:type="dxa"/>
            <w:tcBorders/>
            <w:shd w:fill="auto" w:val="clear"/>
            <w:vAlign w:val="center"/>
          </w:tcPr>
          <w:p>
            <w:pPr>
              <w:pStyle w:val="TableContents"/>
              <w:spacing w:before="0" w:after="0"/>
              <w:jc w:val="right"/>
              <w:rPr>
                <w:rFonts w:ascii="inherit" w:hAnsi="inherit"/>
                <w:sz w:val="13"/>
              </w:rPr>
            </w:pPr>
            <w:r>
              <w:rPr>
                <w:rFonts w:ascii="inherit" w:hAnsi="inherit"/>
                <w:sz w:val="13"/>
              </w:rPr>
              <w:t>312</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Canada:</w:t>
            </w:r>
          </w:p>
        </w:tc>
        <w:tc>
          <w:tcPr>
            <w:tcW w:w="1160" w:type="dxa"/>
            <w:gridSpan w:val="2"/>
            <w:tcBorders/>
            <w:shd w:fill="CCEEFF" w:val="clear"/>
            <w:vAlign w:val="center"/>
          </w:tcPr>
          <w:p>
            <w:pPr>
              <w:pStyle w:val="TableContents"/>
              <w:spacing w:before="0" w:after="0"/>
              <w:ind w:left="0" w:right="0" w:firstLine="30"/>
              <w:jc w:val="left"/>
              <w:rPr/>
            </w:pPr>
            <w:r>
              <w:rPr/>
              <w:t> </w:t>
            </w:r>
          </w:p>
        </w:tc>
        <w:tc>
          <w:tcPr>
            <w:tcW w:w="139" w:type="dxa"/>
            <w:tcBorders/>
            <w:shd w:fill="CCEEFF" w:val="clear"/>
            <w:vAlign w:val="center"/>
          </w:tcPr>
          <w:p>
            <w:pPr>
              <w:pStyle w:val="TableContents"/>
              <w:spacing w:before="0" w:after="0"/>
              <w:ind w:left="0" w:right="0" w:firstLine="30"/>
              <w:rPr/>
            </w:pPr>
            <w:r>
              <w:rPr/>
              <w:t> </w:t>
            </w:r>
          </w:p>
        </w:tc>
        <w:tc>
          <w:tcPr>
            <w:tcW w:w="1160" w:type="dxa"/>
            <w:gridSpan w:val="2"/>
            <w:tcBorders/>
            <w:shd w:fill="CCEEFF" w:val="clear"/>
            <w:vAlign w:val="center"/>
          </w:tcPr>
          <w:p>
            <w:pPr>
              <w:pStyle w:val="TableContents"/>
              <w:spacing w:before="0" w:after="0"/>
              <w:ind w:left="0" w:right="0" w:firstLine="30"/>
              <w:jc w:val="left"/>
              <w:rPr/>
            </w:pPr>
            <w:r>
              <w:rPr/>
              <w:t> </w:t>
            </w:r>
          </w:p>
        </w:tc>
        <w:tc>
          <w:tcPr>
            <w:tcW w:w="139" w:type="dxa"/>
            <w:tcBorders/>
            <w:shd w:fill="CCEEFF" w:val="clear"/>
            <w:vAlign w:val="center"/>
          </w:tcPr>
          <w:p>
            <w:pPr>
              <w:pStyle w:val="TableContents"/>
              <w:spacing w:before="0" w:after="0"/>
              <w:ind w:left="0" w:right="0" w:firstLine="30"/>
              <w:rPr/>
            </w:pPr>
            <w:r>
              <w:rPr/>
              <w:t> </w:t>
            </w:r>
          </w:p>
        </w:tc>
        <w:tc>
          <w:tcPr>
            <w:tcW w:w="1329" w:type="dxa"/>
            <w:gridSpan w:val="2"/>
            <w:tcBorders/>
            <w:shd w:fill="CCEEFF" w:val="clear"/>
            <w:vAlign w:val="center"/>
          </w:tcPr>
          <w:p>
            <w:pPr>
              <w:pStyle w:val="TableContents"/>
              <w:spacing w:before="0" w:after="0"/>
              <w:ind w:left="0" w:right="0" w:firstLine="180"/>
              <w:jc w:val="left"/>
              <w:rPr/>
            </w:pPr>
            <w:r>
              <w:rPr/>
              <w:t> </w:t>
            </w:r>
          </w:p>
        </w:tc>
      </w:tr>
      <w:tr>
        <w:trPr/>
        <w:tc>
          <w:tcPr>
            <w:tcW w:w="62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Ontario (2)</w:t>
            </w:r>
          </w:p>
        </w:tc>
        <w:tc>
          <w:tcPr>
            <w:tcW w:w="1054"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054"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39</w:t>
            </w:r>
          </w:p>
        </w:tc>
        <w:tc>
          <w:tcPr>
            <w:tcW w:w="1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29"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39</w:t>
            </w:r>
          </w:p>
        </w:tc>
        <w:tc>
          <w:tcPr>
            <w:tcW w:w="2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7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Canada Locations</w:t>
            </w:r>
          </w:p>
        </w:tc>
        <w:tc>
          <w:tcPr>
            <w:tcW w:w="1054"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0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05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39</w:t>
            </w:r>
          </w:p>
        </w:tc>
        <w:tc>
          <w:tcPr>
            <w:tcW w:w="10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129"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39</w:t>
            </w:r>
          </w:p>
        </w:tc>
        <w:tc>
          <w:tcPr>
            <w:tcW w:w="2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7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Company</w:t>
            </w:r>
          </w:p>
        </w:tc>
        <w:tc>
          <w:tcPr>
            <w:tcW w:w="10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760</w:t>
            </w:r>
          </w:p>
        </w:tc>
        <w:tc>
          <w:tcPr>
            <w:tcW w:w="10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0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582</w:t>
            </w:r>
          </w:p>
        </w:tc>
        <w:tc>
          <w:tcPr>
            <w:tcW w:w="10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1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1,342</w:t>
            </w:r>
          </w:p>
        </w:tc>
        <w:tc>
          <w:tcPr>
            <w:tcW w:w="20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jc w:val="left"/>
        <w:rPr>
          <w:rFonts w:ascii="inherit" w:hAnsi="inherit"/>
          <w:sz w:val="13"/>
        </w:rPr>
      </w:pPr>
      <w:r>
        <w:rPr>
          <w:rFonts w:ascii="inherit" w:hAnsi="inherit"/>
          <w:sz w:val="13"/>
        </w:rPr>
        <w:t xml:space="preserve">(1) Buy/sell locations </w:t>
      </w:r>
    </w:p>
    <w:p>
      <w:pPr>
        <w:pStyle w:val="TextBody"/>
        <w:spacing w:lineRule="auto" w:line="288" w:before="0" w:after="0"/>
        <w:jc w:val="left"/>
        <w:rPr>
          <w:rFonts w:ascii="inherit" w:hAnsi="inherit"/>
          <w:sz w:val="13"/>
        </w:rPr>
      </w:pPr>
      <w:r>
        <w:rPr>
          <w:rFonts w:ascii="inherit" w:hAnsi="inherit"/>
          <w:sz w:val="13"/>
        </w:rPr>
        <w:t xml:space="preserve">(2) The Canada locations exclude 8 stores that are franchised by the company to third parties. </w:t>
      </w:r>
    </w:p>
    <w:p>
      <w:pPr>
        <w:pStyle w:val="TextBody"/>
        <w:spacing w:lineRule="auto" w:line="288" w:before="0" w:after="0"/>
        <w:jc w:val="left"/>
        <w:rPr>
          <w:rFonts w:ascii="inherit" w:hAnsi="inherit"/>
          <w:sz w:val="17"/>
        </w:rPr>
      </w:pPr>
      <w:r>
        <w:rPr>
          <w:rFonts w:ascii="inherit" w:hAnsi="inherit"/>
          <w:sz w:val="17"/>
        </w:rPr>
        <w:t>In addition to our store locations, we lease corporate office space in Austin, Texas (78,800 square feet), Miami, Florida (14,200 square feet), Dallas, Texas (5,900 square feet), Querétaro, Mexico (10,635 square feet), Mexico City (11,324 square feet), Ontario, Canada (4,200 square feet) and Ipswich, United Kingdom (4,700 square feet). Grupo Finmart leases corporate office space in Mexico City (10,800 square feet).</w:t>
      </w:r>
    </w:p>
    <w:p>
      <w:pPr>
        <w:pStyle w:val="TextBody"/>
        <w:spacing w:lineRule="auto" w:line="288" w:before="0" w:after="0"/>
        <w:jc w:val="left"/>
        <w:rPr>
          <w:rFonts w:ascii="inherit" w:hAnsi="inherit"/>
          <w:sz w:val="17"/>
        </w:rPr>
      </w:pPr>
      <w:r>
        <w:rPr>
          <w:rFonts w:ascii="inherit" w:hAnsi="inherit"/>
          <w:sz w:val="17"/>
        </w:rPr>
        <w:t>The following table presents store data by segment as of September 30, 2013:</w:t>
      </w:r>
    </w:p>
    <w:tbl>
      <w:tblPr>
        <w:tblW w:w="10205" w:type="dxa"/>
        <w:jc w:val="left"/>
        <w:tblInd w:w="0" w:type="dxa"/>
        <w:tblCellMar>
          <w:top w:w="0" w:type="dxa"/>
          <w:left w:w="0" w:type="dxa"/>
          <w:bottom w:w="0" w:type="dxa"/>
          <w:right w:w="0" w:type="dxa"/>
        </w:tblCellMar>
      </w:tblPr>
      <w:tblGrid>
        <w:gridCol w:w="4172"/>
        <w:gridCol w:w="947"/>
        <w:gridCol w:w="96"/>
        <w:gridCol w:w="114"/>
        <w:gridCol w:w="956"/>
        <w:gridCol w:w="102"/>
        <w:gridCol w:w="114"/>
        <w:gridCol w:w="1053"/>
        <w:gridCol w:w="118"/>
        <w:gridCol w:w="114"/>
        <w:gridCol w:w="1073"/>
        <w:gridCol w:w="103"/>
        <w:gridCol w:w="114"/>
        <w:gridCol w:w="997"/>
        <w:gridCol w:w="132"/>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4172"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72" w:type="dxa"/>
            <w:tcBorders/>
            <w:shd w:fill="auto" w:val="clear"/>
            <w:vAlign w:val="center"/>
          </w:tcPr>
          <w:p>
            <w:pPr>
              <w:pStyle w:val="TableContents"/>
              <w:spacing w:before="0" w:after="0"/>
              <w:ind w:left="0" w:right="0" w:firstLine="30"/>
              <w:jc w:val="left"/>
              <w:rPr/>
            </w:pPr>
            <w:r>
              <w:rPr/>
              <w:t> </w:t>
            </w:r>
          </w:p>
        </w:tc>
        <w:tc>
          <w:tcPr>
            <w:tcW w:w="479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14" w:type="dxa"/>
            <w:tcBorders/>
            <w:shd w:fill="auto" w:val="clear"/>
            <w:vAlign w:val="center"/>
          </w:tcPr>
          <w:p>
            <w:pPr>
              <w:pStyle w:val="TableContents"/>
              <w:spacing w:before="0" w:after="0"/>
              <w:ind w:left="0" w:right="0" w:firstLine="30"/>
              <w:rPr/>
            </w:pPr>
            <w:r>
              <w:rPr/>
              <w:t> </w:t>
            </w:r>
          </w:p>
        </w:tc>
        <w:tc>
          <w:tcPr>
            <w:tcW w:w="1129" w:type="dxa"/>
            <w:gridSpan w:val="2"/>
            <w:tcBorders/>
            <w:shd w:fill="auto" w:val="clear"/>
            <w:vAlign w:val="center"/>
          </w:tcPr>
          <w:p>
            <w:pPr>
              <w:pStyle w:val="TableContents"/>
              <w:spacing w:before="0" w:after="0"/>
              <w:ind w:left="0" w:right="0" w:firstLine="30"/>
              <w:jc w:val="left"/>
              <w:rPr/>
            </w:pPr>
            <w:r>
              <w:rPr/>
              <w:t> </w:t>
            </w:r>
          </w:p>
        </w:tc>
      </w:tr>
      <w:tr>
        <w:trPr/>
        <w:tc>
          <w:tcPr>
            <w:tcW w:w="4172" w:type="dxa"/>
            <w:tcBorders/>
            <w:shd w:fill="auto" w:val="clear"/>
            <w:vAlign w:val="center"/>
          </w:tcPr>
          <w:p>
            <w:pPr>
              <w:pStyle w:val="TableContents"/>
              <w:spacing w:before="0" w:after="0"/>
              <w:ind w:left="0" w:right="0" w:firstLine="30"/>
              <w:jc w:val="left"/>
              <w:rPr/>
            </w:pPr>
            <w:r>
              <w:rPr/>
              <w:t> </w:t>
            </w:r>
          </w:p>
        </w:tc>
        <w:tc>
          <w:tcPr>
            <w:tcW w:w="1043" w:type="dxa"/>
            <w:gridSpan w:val="2"/>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U.S. &amp;</w:t>
            </w:r>
          </w:p>
        </w:tc>
        <w:tc>
          <w:tcPr>
            <w:tcW w:w="114" w:type="dxa"/>
            <w:tcBorders/>
            <w:shd w:fill="auto" w:val="clear"/>
            <w:vAlign w:val="center"/>
          </w:tcPr>
          <w:p>
            <w:pPr>
              <w:pStyle w:val="TableContents"/>
              <w:spacing w:before="0" w:after="0"/>
              <w:ind w:left="0" w:right="0" w:firstLine="30"/>
              <w:rPr/>
            </w:pPr>
            <w:r>
              <w:rPr/>
              <w:t> </w:t>
            </w:r>
          </w:p>
        </w:tc>
        <w:tc>
          <w:tcPr>
            <w:tcW w:w="1058" w:type="dxa"/>
            <w:gridSpan w:val="2"/>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Latin </w:t>
            </w:r>
          </w:p>
        </w:tc>
        <w:tc>
          <w:tcPr>
            <w:tcW w:w="114" w:type="dxa"/>
            <w:tcBorders/>
            <w:shd w:fill="auto" w:val="clear"/>
            <w:vAlign w:val="center"/>
          </w:tcPr>
          <w:p>
            <w:pPr>
              <w:pStyle w:val="TableContents"/>
              <w:spacing w:before="0" w:after="0"/>
              <w:ind w:left="0" w:right="0" w:firstLine="30"/>
              <w:rPr/>
            </w:pPr>
            <w:r>
              <w:rPr/>
              <w:t> </w:t>
            </w:r>
          </w:p>
        </w:tc>
        <w:tc>
          <w:tcPr>
            <w:tcW w:w="1171" w:type="dxa"/>
            <w:gridSpan w:val="2"/>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Other </w:t>
            </w:r>
          </w:p>
        </w:tc>
        <w:tc>
          <w:tcPr>
            <w:tcW w:w="114"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ind w:left="0" w:right="0" w:firstLine="30"/>
              <w:jc w:val="left"/>
              <w:rPr/>
            </w:pPr>
            <w:r>
              <w:rPr/>
              <w:t> </w:t>
            </w:r>
          </w:p>
        </w:tc>
        <w:tc>
          <w:tcPr>
            <w:tcW w:w="114" w:type="dxa"/>
            <w:tcBorders/>
            <w:shd w:fill="auto" w:val="clear"/>
            <w:vAlign w:val="center"/>
          </w:tcPr>
          <w:p>
            <w:pPr>
              <w:pStyle w:val="TableContents"/>
              <w:spacing w:before="0" w:after="0"/>
              <w:ind w:left="0" w:right="0" w:firstLine="30"/>
              <w:rPr/>
            </w:pPr>
            <w:r>
              <w:rPr/>
              <w:t> </w:t>
            </w:r>
          </w:p>
        </w:tc>
        <w:tc>
          <w:tcPr>
            <w:tcW w:w="1129" w:type="dxa"/>
            <w:gridSpan w:val="2"/>
            <w:tcBorders/>
            <w:shd w:fill="auto" w:val="clear"/>
            <w:vAlign w:val="center"/>
          </w:tcPr>
          <w:p>
            <w:pPr>
              <w:pStyle w:val="TableContents"/>
              <w:spacing w:before="0" w:after="0"/>
              <w:ind w:left="0" w:right="0" w:firstLine="30"/>
              <w:jc w:val="left"/>
              <w:rPr/>
            </w:pPr>
            <w:r>
              <w:rPr/>
              <w:t> </w:t>
            </w:r>
          </w:p>
        </w:tc>
      </w:tr>
      <w:tr>
        <w:trPr/>
        <w:tc>
          <w:tcPr>
            <w:tcW w:w="4172" w:type="dxa"/>
            <w:tcBorders/>
            <w:shd w:fill="auto" w:val="clear"/>
            <w:vAlign w:val="center"/>
          </w:tcPr>
          <w:p>
            <w:pPr>
              <w:pStyle w:val="TableContents"/>
              <w:spacing w:before="0" w:after="0"/>
              <w:ind w:left="0" w:right="0" w:firstLine="30"/>
              <w:jc w:val="left"/>
              <w:rPr/>
            </w:pPr>
            <w:r>
              <w:rPr/>
              <w:t> </w:t>
            </w:r>
          </w:p>
        </w:tc>
        <w:tc>
          <w:tcPr>
            <w:tcW w:w="1043"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Canada</w:t>
            </w:r>
          </w:p>
        </w:tc>
        <w:tc>
          <w:tcPr>
            <w:tcW w:w="114" w:type="dxa"/>
            <w:tcBorders/>
            <w:shd w:fill="auto" w:val="clear"/>
            <w:vAlign w:val="center"/>
          </w:tcPr>
          <w:p>
            <w:pPr>
              <w:pStyle w:val="TableContents"/>
              <w:spacing w:before="0" w:after="0"/>
              <w:ind w:left="0" w:right="0" w:firstLine="30"/>
              <w:rPr/>
            </w:pPr>
            <w:r>
              <w:rPr/>
              <w:t> </w:t>
            </w:r>
          </w:p>
        </w:tc>
        <w:tc>
          <w:tcPr>
            <w:tcW w:w="105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America</w:t>
            </w:r>
          </w:p>
        </w:tc>
        <w:tc>
          <w:tcPr>
            <w:tcW w:w="114" w:type="dxa"/>
            <w:tcBorders/>
            <w:shd w:fill="auto" w:val="clear"/>
            <w:vAlign w:val="center"/>
          </w:tcPr>
          <w:p>
            <w:pPr>
              <w:pStyle w:val="TableContents"/>
              <w:spacing w:before="0" w:after="0"/>
              <w:ind w:left="0" w:right="0" w:firstLine="30"/>
              <w:rPr/>
            </w:pPr>
            <w:r>
              <w:rPr/>
              <w:t> </w:t>
            </w:r>
          </w:p>
        </w:tc>
        <w:tc>
          <w:tcPr>
            <w:tcW w:w="117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14"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14" w:type="dxa"/>
            <w:tcBorders/>
            <w:shd w:fill="auto" w:val="clear"/>
            <w:vAlign w:val="center"/>
          </w:tcPr>
          <w:p>
            <w:pPr>
              <w:pStyle w:val="TableContents"/>
              <w:spacing w:before="0" w:after="0"/>
              <w:ind w:left="0" w:right="0" w:firstLine="30"/>
              <w:rPr/>
            </w:pPr>
            <w:r>
              <w:rPr/>
              <w:t> </w:t>
            </w:r>
          </w:p>
        </w:tc>
        <w:tc>
          <w:tcPr>
            <w:tcW w:w="112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4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Pawn/retail stores</w:t>
            </w:r>
          </w:p>
        </w:tc>
        <w:tc>
          <w:tcPr>
            <w:tcW w:w="94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502</w:t>
            </w:r>
          </w:p>
        </w:tc>
        <w:tc>
          <w:tcPr>
            <w:tcW w:w="9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95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258</w:t>
            </w:r>
          </w:p>
        </w:tc>
        <w:tc>
          <w:tcPr>
            <w:tcW w:w="10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053"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1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07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760</w:t>
            </w:r>
          </w:p>
        </w:tc>
        <w:tc>
          <w:tcPr>
            <w:tcW w:w="10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997"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3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Financial services stores adjoining U.S. pawn stores</w:t>
            </w:r>
          </w:p>
        </w:tc>
        <w:tc>
          <w:tcPr>
            <w:tcW w:w="947" w:type="dxa"/>
            <w:tcBorders/>
            <w:shd w:fill="auto" w:val="clear"/>
            <w:vAlign w:val="center"/>
          </w:tcPr>
          <w:p>
            <w:pPr>
              <w:pStyle w:val="TableContents"/>
              <w:spacing w:before="0" w:after="0"/>
              <w:jc w:val="right"/>
              <w:rPr>
                <w:rFonts w:ascii="inherit" w:hAnsi="inherit"/>
                <w:sz w:val="17"/>
              </w:rPr>
            </w:pPr>
            <w:r>
              <w:rPr>
                <w:rFonts w:ascii="inherit" w:hAnsi="inherit"/>
                <w:sz w:val="17"/>
              </w:rPr>
              <w:t>207</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956" w:type="dxa"/>
            <w:tcBorders/>
            <w:shd w:fill="auto" w:val="clear"/>
            <w:vAlign w:val="center"/>
          </w:tcPr>
          <w:p>
            <w:pPr>
              <w:pStyle w:val="TableContents"/>
              <w:spacing w:before="0" w:after="0"/>
              <w:jc w:val="right"/>
              <w:rPr/>
            </w:pPr>
            <w:r>
              <w:rPr/>
              <w:t>—</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053" w:type="dxa"/>
            <w:tcBorders/>
            <w:shd w:fill="auto" w:val="clear"/>
            <w:vAlign w:val="center"/>
          </w:tcPr>
          <w:p>
            <w:pPr>
              <w:pStyle w:val="TableContents"/>
              <w:spacing w:before="0" w:after="0"/>
              <w:jc w:val="right"/>
              <w:rPr/>
            </w:pPr>
            <w:r>
              <w:rPr/>
              <w:t>—</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073" w:type="dxa"/>
            <w:tcBorders/>
            <w:shd w:fill="auto" w:val="clear"/>
            <w:vAlign w:val="center"/>
          </w:tcPr>
          <w:p>
            <w:pPr>
              <w:pStyle w:val="TableContents"/>
              <w:spacing w:before="0" w:after="0"/>
              <w:jc w:val="right"/>
              <w:rPr>
                <w:rFonts w:ascii="inherit" w:hAnsi="inherit"/>
                <w:sz w:val="17"/>
              </w:rPr>
            </w:pPr>
            <w:r>
              <w:rPr>
                <w:rFonts w:ascii="inherit" w:hAnsi="inherit"/>
                <w:sz w:val="17"/>
              </w:rPr>
              <w:t>207</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997" w:type="dxa"/>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Financial services stores — free standing</w:t>
            </w:r>
          </w:p>
        </w:tc>
        <w:tc>
          <w:tcPr>
            <w:tcW w:w="94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321</w:t>
            </w:r>
          </w:p>
        </w:tc>
        <w:tc>
          <w:tcPr>
            <w:tcW w:w="9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95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54</w:t>
            </w:r>
          </w:p>
        </w:tc>
        <w:tc>
          <w:tcPr>
            <w:tcW w:w="10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053"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07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375</w:t>
            </w:r>
          </w:p>
        </w:tc>
        <w:tc>
          <w:tcPr>
            <w:tcW w:w="10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99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stores in operation</w:t>
            </w:r>
          </w:p>
        </w:tc>
        <w:tc>
          <w:tcPr>
            <w:tcW w:w="94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1,030</w:t>
            </w:r>
          </w:p>
        </w:tc>
        <w:tc>
          <w:tcPr>
            <w:tcW w:w="9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95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312</w:t>
            </w:r>
          </w:p>
        </w:tc>
        <w:tc>
          <w:tcPr>
            <w:tcW w:w="10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053"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1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07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1,342</w:t>
            </w:r>
          </w:p>
        </w:tc>
        <w:tc>
          <w:tcPr>
            <w:tcW w:w="10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99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132"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7"/>
        </w:rPr>
      </w:pPr>
      <w:bookmarkStart w:id="22" w:name="sD39ACCBD5E79D673290683E2C03EDE19"/>
      <w:bookmarkEnd w:id="22"/>
      <w:r>
        <w:rPr>
          <w:rFonts w:ascii="inherit" w:hAnsi="inherit"/>
          <w:b/>
          <w:sz w:val="17"/>
        </w:rPr>
        <w:t>ITEM 3. LEGAL PROCEEDINGS</w:t>
      </w:r>
    </w:p>
    <w:p>
      <w:pPr>
        <w:pStyle w:val="TextBody"/>
        <w:spacing w:lineRule="auto" w:line="288" w:before="0" w:after="0"/>
        <w:jc w:val="left"/>
        <w:rPr>
          <w:rFonts w:ascii="inherit" w:hAnsi="inherit"/>
          <w:sz w:val="17"/>
        </w:rPr>
      </w:pPr>
      <w:r>
        <w:rPr>
          <w:rFonts w:ascii="inherit" w:hAnsi="inherit"/>
          <w:sz w:val="17"/>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w:t>
      </w:r>
    </w:p>
    <w:p>
      <w:pPr>
        <w:pStyle w:val="TextBody"/>
        <w:spacing w:lineRule="auto" w:line="288" w:before="0" w:after="0"/>
        <w:jc w:val="left"/>
        <w:rPr>
          <w:rFonts w:ascii="inherit" w:hAnsi="inherit"/>
          <w:b/>
          <w:sz w:val="17"/>
        </w:rPr>
      </w:pPr>
      <w:bookmarkStart w:id="23" w:name="s073E31D8E22C1FAD1A1183E2C0629C4B"/>
      <w:bookmarkEnd w:id="23"/>
      <w:r>
        <w:rPr>
          <w:rFonts w:ascii="inherit" w:hAnsi="inherit"/>
          <w:b/>
          <w:sz w:val="17"/>
        </w:rPr>
        <w:t>ITEM 4. MINE SAFETY DISCLOSURES</w:t>
      </w:r>
    </w:p>
    <w:p>
      <w:pPr>
        <w:pStyle w:val="TextBody"/>
        <w:spacing w:lineRule="auto" w:line="288" w:before="0" w:after="0"/>
        <w:jc w:val="left"/>
        <w:rPr>
          <w:rFonts w:ascii="inherit" w:hAnsi="inherit"/>
          <w:sz w:val="17"/>
        </w:rPr>
      </w:pPr>
      <w:r>
        <w:rPr>
          <w:rFonts w:ascii="inherit" w:hAnsi="inherit"/>
          <w:sz w:val="17"/>
        </w:rPr>
        <w:t>Not applicable.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lineRule="auto" w:line="288" w:before="0" w:after="0"/>
        <w:rPr/>
      </w:pPr>
      <w:hyperlink w:anchor="sA13583D437E20DC41B4583E2BD74AA47">
        <w:bookmarkStart w:id="24" w:name="s79D16CC42B7B67B17AC683E2C086051C"/>
        <w:bookmarkEnd w:id="24"/>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20"/>
        </w:rPr>
      </w:pPr>
      <w:r>
        <w:rPr>
          <w:rFonts w:ascii="inherit" w:hAnsi="inherit"/>
          <w:b/>
          <w:sz w:val="20"/>
        </w:rPr>
        <w:t>PART II</w:t>
      </w:r>
    </w:p>
    <w:p>
      <w:pPr>
        <w:pStyle w:val="TextBody"/>
        <w:spacing w:lineRule="auto" w:line="288" w:before="0" w:after="0"/>
        <w:jc w:val="left"/>
        <w:rPr>
          <w:rFonts w:ascii="inherit" w:hAnsi="inherit"/>
          <w:b/>
          <w:sz w:val="17"/>
        </w:rPr>
      </w:pPr>
      <w:bookmarkStart w:id="25" w:name="s3CA2969F8C66F3C8A05A83E2C0B86C33"/>
      <w:bookmarkEnd w:id="25"/>
      <w:r>
        <w:rPr>
          <w:rFonts w:ascii="inherit" w:hAnsi="inherit"/>
          <w:b/>
          <w:sz w:val="17"/>
        </w:rPr>
        <w:t>ITEM 5. MARKET FOR REGISTRANT'S COMMON EQUITY, RELATED STOCKHOLDER MATTERS AND ISSUER PURCHASES OF EQUITY SECURITIES</w:t>
      </w:r>
    </w:p>
    <w:p>
      <w:pPr>
        <w:pStyle w:val="TextBody"/>
        <w:spacing w:lineRule="auto" w:line="288" w:before="0" w:after="0"/>
        <w:jc w:val="left"/>
        <w:rPr>
          <w:rFonts w:ascii="inherit" w:hAnsi="inherit"/>
          <w:b/>
          <w:sz w:val="17"/>
        </w:rPr>
      </w:pPr>
      <w:r>
        <w:rPr>
          <w:rFonts w:ascii="inherit" w:hAnsi="inherit"/>
          <w:b/>
          <w:sz w:val="17"/>
        </w:rPr>
        <w:t>Market Information</w:t>
      </w:r>
    </w:p>
    <w:p>
      <w:pPr>
        <w:pStyle w:val="TextBody"/>
        <w:spacing w:lineRule="auto" w:line="288" w:before="0" w:after="0"/>
        <w:jc w:val="left"/>
        <w:rPr>
          <w:sz w:val="17"/>
        </w:rPr>
      </w:pPr>
      <w:r>
        <w:rPr>
          <w:rFonts w:ascii="inherit" w:hAnsi="inherit"/>
          <w:sz w:val="17"/>
        </w:rPr>
        <w:t xml:space="preserve">Our Class A Non-voting Common Stock (“Class A Common Stock”) is traded on the NASDAQ Stock Market under the symbol “EZPW.” As of </w:t>
      </w:r>
      <w:r>
        <w:rPr>
          <w:rFonts w:ascii="inherit" w:hAnsi="inherit"/>
          <w:strike w:val="false"/>
          <w:dstrike w:val="false"/>
          <w:color w:val="000000"/>
          <w:sz w:val="17"/>
          <w:u w:val="none"/>
          <w:effect w:val="none"/>
        </w:rPr>
        <w:t>October 31, 2013</w:t>
      </w:r>
      <w:r>
        <w:rPr>
          <w:rFonts w:ascii="inherit" w:hAnsi="inherit"/>
          <w:sz w:val="17"/>
        </w:rPr>
        <w:t xml:space="preserve">, there were 89 stockholders of record of our Class A Common Stock. There is no trading market for our Class B Voting Common Stock (“Class B Common Stock”), which was held by one stockholder as of </w:t>
      </w:r>
      <w:r>
        <w:rPr>
          <w:rFonts w:ascii="inherit" w:hAnsi="inherit"/>
          <w:strike w:val="false"/>
          <w:dstrike w:val="false"/>
          <w:color w:val="000000"/>
          <w:sz w:val="17"/>
          <w:u w:val="none"/>
          <w:effect w:val="none"/>
        </w:rPr>
        <w:t>October 31, 2013</w:t>
      </w:r>
      <w:r>
        <w:rPr>
          <w:rFonts w:ascii="inherit" w:hAnsi="inherit"/>
          <w:sz w:val="17"/>
        </w:rPr>
        <w:t>.</w:t>
      </w:r>
    </w:p>
    <w:p>
      <w:pPr>
        <w:pStyle w:val="TextBody"/>
        <w:spacing w:lineRule="auto" w:line="288" w:before="0" w:after="0"/>
        <w:jc w:val="left"/>
        <w:rPr>
          <w:rFonts w:ascii="inherit" w:hAnsi="inherit"/>
          <w:sz w:val="17"/>
        </w:rPr>
      </w:pPr>
      <w:r>
        <w:rPr>
          <w:rFonts w:ascii="inherit" w:hAnsi="inherit"/>
          <w:sz w:val="17"/>
        </w:rPr>
        <w:t>The high and low per share sales price for our Class A Common Stock for the past two fiscal years, as reported by the NASDAQ Stock Market, were as follows:</w:t>
      </w:r>
    </w:p>
    <w:tbl>
      <w:tblPr>
        <w:tblW w:w="10205" w:type="dxa"/>
        <w:jc w:val="left"/>
        <w:tblInd w:w="0" w:type="dxa"/>
        <w:tblCellMar>
          <w:top w:w="0" w:type="dxa"/>
          <w:left w:w="0" w:type="dxa"/>
          <w:bottom w:w="0" w:type="dxa"/>
          <w:right w:w="0" w:type="dxa"/>
        </w:tblCellMar>
      </w:tblPr>
      <w:tblGrid>
        <w:gridCol w:w="7360"/>
        <w:gridCol w:w="156"/>
        <w:gridCol w:w="1048"/>
        <w:gridCol w:w="102"/>
        <w:gridCol w:w="136"/>
        <w:gridCol w:w="156"/>
        <w:gridCol w:w="1048"/>
        <w:gridCol w:w="199"/>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36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360" w:type="dxa"/>
            <w:tcBorders/>
            <w:shd w:fill="auto" w:val="clear"/>
            <w:vAlign w:val="center"/>
          </w:tcPr>
          <w:p>
            <w:pPr>
              <w:pStyle w:val="TableContents"/>
              <w:spacing w:before="0" w:after="0"/>
              <w:rPr/>
            </w:pPr>
            <w:r>
              <w:rPr/>
              <w:t> </w:t>
            </w:r>
          </w:p>
        </w:tc>
        <w:tc>
          <w:tcPr>
            <w:tcW w:w="130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High</w:t>
            </w:r>
          </w:p>
        </w:tc>
        <w:tc>
          <w:tcPr>
            <w:tcW w:w="136" w:type="dxa"/>
            <w:tcBorders/>
            <w:shd w:fill="auto" w:val="clear"/>
            <w:vAlign w:val="center"/>
          </w:tcPr>
          <w:p>
            <w:pPr>
              <w:pStyle w:val="TableContents"/>
              <w:spacing w:before="0" w:after="0"/>
              <w:rPr/>
            </w:pPr>
            <w:r>
              <w:rPr/>
              <w:t> </w:t>
            </w:r>
          </w:p>
        </w:tc>
        <w:tc>
          <w:tcPr>
            <w:tcW w:w="14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Low</w:t>
            </w:r>
          </w:p>
        </w:tc>
      </w:tr>
      <w:tr>
        <w:trPr/>
        <w:tc>
          <w:tcPr>
            <w:tcW w:w="736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Fiscal 2013</w:t>
            </w:r>
          </w:p>
        </w:tc>
        <w:tc>
          <w:tcPr>
            <w:tcW w:w="1306" w:type="dxa"/>
            <w:gridSpan w:val="3"/>
            <w:tcBorders/>
            <w:shd w:fill="auto" w:val="clear"/>
            <w:vAlign w:val="center"/>
          </w:tcPr>
          <w:p>
            <w:pPr>
              <w:pStyle w:val="TableContents"/>
              <w:spacing w:before="0" w:after="0"/>
              <w:ind w:left="0" w:right="0" w:firstLine="30"/>
              <w:jc w:val="left"/>
              <w:rPr/>
            </w:pPr>
            <w:r>
              <w:rPr/>
              <w:t> </w:t>
            </w:r>
          </w:p>
        </w:tc>
        <w:tc>
          <w:tcPr>
            <w:tcW w:w="136" w:type="dxa"/>
            <w:tcBorders/>
            <w:shd w:fill="auto" w:val="clear"/>
            <w:vAlign w:val="center"/>
          </w:tcPr>
          <w:p>
            <w:pPr>
              <w:pStyle w:val="TableContents"/>
              <w:spacing w:before="0" w:after="0"/>
              <w:ind w:left="0" w:right="0" w:firstLine="30"/>
              <w:rPr/>
            </w:pPr>
            <w:r>
              <w:rPr/>
              <w:t> </w:t>
            </w:r>
          </w:p>
        </w:tc>
        <w:tc>
          <w:tcPr>
            <w:tcW w:w="1403" w:type="dxa"/>
            <w:gridSpan w:val="3"/>
            <w:tcBorders/>
            <w:shd w:fill="auto" w:val="clear"/>
            <w:vAlign w:val="center"/>
          </w:tcPr>
          <w:p>
            <w:pPr>
              <w:pStyle w:val="TableContents"/>
              <w:spacing w:before="0" w:after="0"/>
              <w:ind w:left="0" w:right="0" w:firstLine="180"/>
              <w:jc w:val="left"/>
              <w:rPr/>
            </w:pPr>
            <w:r>
              <w:rPr/>
              <w:t> </w:t>
            </w:r>
          </w:p>
        </w:tc>
      </w:tr>
      <w:tr>
        <w:trPr/>
        <w:tc>
          <w:tcPr>
            <w:tcW w:w="73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Fourth quarter ended September 30, 2013</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8" w:type="dxa"/>
            <w:tcBorders/>
            <w:shd w:fill="CCEEFF" w:val="clear"/>
            <w:vAlign w:val="center"/>
          </w:tcPr>
          <w:p>
            <w:pPr>
              <w:pStyle w:val="TableContents"/>
              <w:spacing w:before="0" w:after="0"/>
              <w:jc w:val="right"/>
              <w:rPr>
                <w:rFonts w:ascii="inherit" w:hAnsi="inherit"/>
                <w:sz w:val="17"/>
              </w:rPr>
            </w:pPr>
            <w:r>
              <w:rPr>
                <w:rFonts w:ascii="inherit" w:hAnsi="inherit"/>
                <w:sz w:val="17"/>
              </w:rPr>
              <w:t>19.44</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8" w:type="dxa"/>
            <w:tcBorders/>
            <w:shd w:fill="CCEEFF" w:val="clear"/>
            <w:vAlign w:val="center"/>
          </w:tcPr>
          <w:p>
            <w:pPr>
              <w:pStyle w:val="TableContents"/>
              <w:spacing w:before="0" w:after="0"/>
              <w:jc w:val="right"/>
              <w:rPr>
                <w:rFonts w:ascii="inherit" w:hAnsi="inherit"/>
                <w:sz w:val="17"/>
              </w:rPr>
            </w:pPr>
            <w:r>
              <w:rPr>
                <w:rFonts w:ascii="inherit" w:hAnsi="inherit"/>
                <w:sz w:val="17"/>
              </w:rPr>
              <w:t>15.57</w:t>
            </w:r>
          </w:p>
        </w:tc>
        <w:tc>
          <w:tcPr>
            <w:tcW w:w="19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3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Third quarter ended June 30, 2013</w:t>
            </w:r>
          </w:p>
        </w:tc>
        <w:tc>
          <w:tcPr>
            <w:tcW w:w="12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21.35</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16.65</w:t>
            </w:r>
          </w:p>
        </w:tc>
        <w:tc>
          <w:tcPr>
            <w:tcW w:w="19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3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Second quarter ended March 31, 2013</w:t>
            </w:r>
          </w:p>
        </w:tc>
        <w:tc>
          <w:tcPr>
            <w:tcW w:w="12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24.06</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20.01</w:t>
            </w:r>
          </w:p>
        </w:tc>
        <w:tc>
          <w:tcPr>
            <w:tcW w:w="19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3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First quarter ended December 31, 2012</w:t>
            </w:r>
          </w:p>
        </w:tc>
        <w:tc>
          <w:tcPr>
            <w:tcW w:w="12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23.45</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16.57</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6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Fiscal 2012</w:t>
            </w:r>
          </w:p>
        </w:tc>
        <w:tc>
          <w:tcPr>
            <w:tcW w:w="1306" w:type="dxa"/>
            <w:gridSpan w:val="3"/>
            <w:tcBorders/>
            <w:shd w:fill="CCEEFF" w:val="clear"/>
            <w:vAlign w:val="center"/>
          </w:tcPr>
          <w:p>
            <w:pPr>
              <w:pStyle w:val="TableContents"/>
              <w:spacing w:before="0" w:after="0"/>
              <w:ind w:left="0" w:right="0" w:firstLine="30"/>
              <w:jc w:val="left"/>
              <w:rPr/>
            </w:pPr>
            <w:r>
              <w:rPr/>
              <w:t> </w:t>
            </w:r>
          </w:p>
        </w:tc>
        <w:tc>
          <w:tcPr>
            <w:tcW w:w="136" w:type="dxa"/>
            <w:tcBorders/>
            <w:shd w:fill="CCEEFF" w:val="clear"/>
            <w:vAlign w:val="center"/>
          </w:tcPr>
          <w:p>
            <w:pPr>
              <w:pStyle w:val="TableContents"/>
              <w:spacing w:before="0" w:after="0"/>
              <w:ind w:left="0" w:right="0" w:firstLine="30"/>
              <w:rPr/>
            </w:pPr>
            <w:r>
              <w:rPr/>
              <w:t> </w:t>
            </w:r>
          </w:p>
        </w:tc>
        <w:tc>
          <w:tcPr>
            <w:tcW w:w="1403" w:type="dxa"/>
            <w:gridSpan w:val="3"/>
            <w:tcBorders/>
            <w:shd w:fill="CCEEFF" w:val="clear"/>
            <w:vAlign w:val="center"/>
          </w:tcPr>
          <w:p>
            <w:pPr>
              <w:pStyle w:val="TableContents"/>
              <w:spacing w:before="0" w:after="0"/>
              <w:ind w:left="0" w:right="0" w:firstLine="180"/>
              <w:jc w:val="left"/>
              <w:rPr/>
            </w:pPr>
            <w:r>
              <w:rPr/>
              <w:t> </w:t>
            </w:r>
          </w:p>
        </w:tc>
      </w:tr>
      <w:tr>
        <w:trPr/>
        <w:tc>
          <w:tcPr>
            <w:tcW w:w="73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Fourth quarter ended September 30, 2012</w:t>
            </w:r>
          </w:p>
        </w:tc>
        <w:tc>
          <w:tcPr>
            <w:tcW w:w="15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8" w:type="dxa"/>
            <w:tcBorders/>
            <w:shd w:fill="auto" w:val="clear"/>
            <w:vAlign w:val="center"/>
          </w:tcPr>
          <w:p>
            <w:pPr>
              <w:pStyle w:val="TableContents"/>
              <w:spacing w:before="0" w:after="0"/>
              <w:jc w:val="right"/>
              <w:rPr>
                <w:rFonts w:ascii="inherit" w:hAnsi="inherit"/>
                <w:sz w:val="17"/>
              </w:rPr>
            </w:pPr>
            <w:r>
              <w:rPr>
                <w:rFonts w:ascii="inherit" w:hAnsi="inherit"/>
                <w:sz w:val="17"/>
              </w:rPr>
              <w:t>25.43</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5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8" w:type="dxa"/>
            <w:tcBorders/>
            <w:shd w:fill="auto" w:val="clear"/>
            <w:vAlign w:val="center"/>
          </w:tcPr>
          <w:p>
            <w:pPr>
              <w:pStyle w:val="TableContents"/>
              <w:spacing w:before="0" w:after="0"/>
              <w:jc w:val="right"/>
              <w:rPr>
                <w:rFonts w:ascii="inherit" w:hAnsi="inherit"/>
                <w:sz w:val="17"/>
              </w:rPr>
            </w:pPr>
            <w:r>
              <w:rPr>
                <w:rFonts w:ascii="inherit" w:hAnsi="inherit"/>
                <w:sz w:val="17"/>
              </w:rPr>
              <w:t>21.39</w:t>
            </w:r>
          </w:p>
        </w:tc>
        <w:tc>
          <w:tcPr>
            <w:tcW w:w="19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3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Third quarter ended June 30, 2012</w:t>
            </w:r>
          </w:p>
        </w:tc>
        <w:tc>
          <w:tcPr>
            <w:tcW w:w="12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33.38</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21.91</w:t>
            </w:r>
          </w:p>
        </w:tc>
        <w:tc>
          <w:tcPr>
            <w:tcW w:w="19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3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Second quarter ended March 31, 2012</w:t>
            </w:r>
          </w:p>
        </w:tc>
        <w:tc>
          <w:tcPr>
            <w:tcW w:w="12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33.00</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25.33</w:t>
            </w:r>
          </w:p>
        </w:tc>
        <w:tc>
          <w:tcPr>
            <w:tcW w:w="19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3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First quarter ended December 31, 2011</w:t>
            </w:r>
          </w:p>
        </w:tc>
        <w:tc>
          <w:tcPr>
            <w:tcW w:w="12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31.04</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25.30</w:t>
            </w:r>
          </w:p>
        </w:tc>
        <w:tc>
          <w:tcPr>
            <w:tcW w:w="199"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On </w:t>
      </w:r>
      <w:r>
        <w:rPr>
          <w:rFonts w:ascii="inherit" w:hAnsi="inherit"/>
          <w:strike w:val="false"/>
          <w:dstrike w:val="false"/>
          <w:color w:val="000000"/>
          <w:sz w:val="17"/>
          <w:u w:val="none"/>
          <w:effect w:val="none"/>
        </w:rPr>
        <w:t>September 30, 2013</w:t>
      </w:r>
      <w:r>
        <w:rPr>
          <w:rFonts w:ascii="inherit" w:hAnsi="inherit"/>
          <w:sz w:val="17"/>
        </w:rPr>
        <w:t>, the closing sales price of our Class A Common Stock, as reported by the NASDAQ Stock Market, was $16.87 per share.</w:t>
      </w:r>
    </w:p>
    <w:p>
      <w:pPr>
        <w:pStyle w:val="TextBody"/>
        <w:spacing w:lineRule="auto" w:line="288" w:before="0" w:after="0"/>
        <w:jc w:val="left"/>
        <w:rPr>
          <w:rFonts w:ascii="inherit" w:hAnsi="inherit"/>
          <w:sz w:val="17"/>
        </w:rPr>
      </w:pPr>
      <w:r>
        <w:rPr>
          <w:rFonts w:ascii="inherit" w:hAnsi="inherit"/>
          <w:sz w:val="17"/>
        </w:rPr>
        <w:t>We have not declared or paid any dividends during the past two fiscal years, and currently do not anticipate paying any cash dividends in the immediate future. Under the terms of our credit agreement, which expires May 10, 2015, payment of dividends is restricted.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Stock Performance Graph</w:t>
      </w:r>
    </w:p>
    <w:p>
      <w:pPr>
        <w:pStyle w:val="TextBody"/>
        <w:spacing w:lineRule="auto" w:line="288" w:before="0" w:after="0"/>
        <w:jc w:val="left"/>
        <w:rPr>
          <w:rFonts w:ascii="inherit" w:hAnsi="inherit"/>
          <w:sz w:val="17"/>
        </w:rPr>
      </w:pPr>
      <w:r>
        <w:rPr>
          <w:rFonts w:ascii="inherit" w:hAnsi="inherit"/>
          <w:sz w:val="17"/>
        </w:rPr>
        <w:t>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$100 invested in our Class A Common Stock or the indices on September 30, 2008. The graph depicts the change in the value of our Class A Common Stock relative to the indices at the end of each fiscal year and not for any interim period. Historical stock price performance is not necessarily indicative of future stock price performance.</w:t>
      </w:r>
    </w:p>
    <w:p>
      <w:pPr>
        <w:pStyle w:val="TextBody"/>
        <w:spacing w:lineRule="auto" w:line="288" w:before="0" w:after="0"/>
        <w:jc w:val="center"/>
        <w:rPr/>
      </w:pPr>
      <w:r>
        <w:rPr/>
        <w:t>            </w:t>
      </w:r>
    </w:p>
    <w:p>
      <w:pPr>
        <w:pStyle w:val="TextBody"/>
        <w:spacing w:lineRule="auto" w:line="288" w:before="0" w:after="0"/>
        <w:jc w:val="center"/>
        <w:rPr/>
      </w:pPr>
      <w:r>
        <w:rPr/>
        <w:drawing>
          <wp:inline distT="0" distB="0" distL="0" distR="0">
            <wp:extent cx="5838825" cy="457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38825" cy="4572000"/>
                    </a:xfrm>
                    <a:prstGeom prst="rect">
                      <a:avLst/>
                    </a:prstGeom>
                  </pic:spPr>
                </pic:pic>
              </a:graphicData>
            </a:graphic>
          </wp:inline>
        </w:drawing>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lineRule="auto" w:line="288" w:before="0" w:after="0"/>
        <w:rPr/>
      </w:pPr>
      <w:hyperlink w:anchor="sA13583D437E20DC41B4583E2BD74AA47">
        <w:bookmarkStart w:id="26" w:name="s794A378A1DC661108AFD83E285FAF800"/>
        <w:bookmarkEnd w:id="26"/>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6. SELECTED FINANCIAL DATA</w:t>
      </w:r>
    </w:p>
    <w:p>
      <w:pPr>
        <w:pStyle w:val="TextBody"/>
        <w:spacing w:lineRule="auto" w:line="288" w:before="0" w:after="0"/>
        <w:jc w:val="left"/>
        <w:rPr>
          <w:rFonts w:ascii="inherit" w:hAnsi="inherit"/>
          <w:sz w:val="17"/>
        </w:rPr>
      </w:pPr>
      <w:r>
        <w:rPr>
          <w:rFonts w:ascii="inherit" w:hAnsi="inherit"/>
          <w:sz w:val="17"/>
        </w:rPr>
        <w:t xml:space="preserve">The following selected financial information should be read in conjunction with, and is qualified in its entirety by, the accompanying consolidated financial statements and related notes. </w:t>
      </w:r>
    </w:p>
    <w:tbl>
      <w:tblPr>
        <w:tblW w:w="10205" w:type="dxa"/>
        <w:jc w:val="left"/>
        <w:tblInd w:w="0" w:type="dxa"/>
        <w:tblCellMar>
          <w:top w:w="0" w:type="dxa"/>
          <w:left w:w="0" w:type="dxa"/>
          <w:bottom w:w="0" w:type="dxa"/>
          <w:right w:w="0" w:type="dxa"/>
        </w:tblCellMar>
      </w:tblPr>
      <w:tblGrid>
        <w:gridCol w:w="3266"/>
        <w:gridCol w:w="143"/>
        <w:gridCol w:w="1105"/>
        <w:gridCol w:w="133"/>
        <w:gridCol w:w="119"/>
        <w:gridCol w:w="143"/>
        <w:gridCol w:w="1002"/>
        <w:gridCol w:w="133"/>
        <w:gridCol w:w="119"/>
        <w:gridCol w:w="143"/>
        <w:gridCol w:w="1002"/>
        <w:gridCol w:w="133"/>
        <w:gridCol w:w="119"/>
        <w:gridCol w:w="143"/>
        <w:gridCol w:w="1002"/>
        <w:gridCol w:w="133"/>
        <w:gridCol w:w="119"/>
        <w:gridCol w:w="143"/>
        <w:gridCol w:w="1002"/>
        <w:gridCol w:w="103"/>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326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66" w:type="dxa"/>
            <w:tcBorders/>
            <w:shd w:fill="auto" w:val="clear"/>
            <w:vAlign w:val="center"/>
          </w:tcPr>
          <w:p>
            <w:pPr>
              <w:pStyle w:val="TableContents"/>
              <w:spacing w:before="0" w:after="0"/>
              <w:ind w:left="0" w:right="0" w:firstLine="30"/>
              <w:jc w:val="left"/>
              <w:rPr/>
            </w:pPr>
            <w:r>
              <w:rPr/>
              <w:t> </w:t>
            </w:r>
          </w:p>
        </w:tc>
        <w:tc>
          <w:tcPr>
            <w:tcW w:w="6939"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3266" w:type="dxa"/>
            <w:tcBorders/>
            <w:shd w:fill="auto" w:val="clear"/>
            <w:vAlign w:val="center"/>
          </w:tcPr>
          <w:p>
            <w:pPr>
              <w:pStyle w:val="TableContents"/>
              <w:spacing w:before="0" w:after="0"/>
              <w:ind w:left="0" w:right="0" w:firstLine="30"/>
              <w:jc w:val="left"/>
              <w:rPr/>
            </w:pPr>
            <w:r>
              <w:rPr/>
              <w:t> </w:t>
            </w:r>
          </w:p>
        </w:tc>
        <w:tc>
          <w:tcPr>
            <w:tcW w:w="13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19" w:type="dxa"/>
            <w:tcBorders/>
            <w:shd w:fill="auto" w:val="clear"/>
            <w:vAlign w:val="center"/>
          </w:tcPr>
          <w:p>
            <w:pPr>
              <w:pStyle w:val="TableContents"/>
              <w:spacing w:before="0" w:after="0"/>
              <w:ind w:left="0" w:right="0" w:firstLine="30"/>
              <w:rPr/>
            </w:pPr>
            <w:r>
              <w:rPr/>
              <w:t> </w:t>
            </w:r>
          </w:p>
        </w:tc>
        <w:tc>
          <w:tcPr>
            <w:tcW w:w="12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9" w:type="dxa"/>
            <w:tcBorders/>
            <w:shd w:fill="auto" w:val="clear"/>
            <w:vAlign w:val="center"/>
          </w:tcPr>
          <w:p>
            <w:pPr>
              <w:pStyle w:val="TableContents"/>
              <w:spacing w:before="0" w:after="0"/>
              <w:ind w:left="0" w:right="0" w:firstLine="30"/>
              <w:rPr/>
            </w:pPr>
            <w:r>
              <w:rPr/>
              <w:t> </w:t>
            </w:r>
          </w:p>
        </w:tc>
        <w:tc>
          <w:tcPr>
            <w:tcW w:w="12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19" w:type="dxa"/>
            <w:tcBorders/>
            <w:shd w:fill="auto" w:val="clear"/>
            <w:vAlign w:val="center"/>
          </w:tcPr>
          <w:p>
            <w:pPr>
              <w:pStyle w:val="TableContents"/>
              <w:spacing w:before="0" w:after="0"/>
              <w:ind w:left="0" w:right="0" w:firstLine="30"/>
              <w:rPr/>
            </w:pPr>
            <w:r>
              <w:rPr/>
              <w:t> </w:t>
            </w:r>
          </w:p>
        </w:tc>
        <w:tc>
          <w:tcPr>
            <w:tcW w:w="12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c>
          <w:tcPr>
            <w:tcW w:w="119" w:type="dxa"/>
            <w:tcBorders/>
            <w:shd w:fill="auto" w:val="clear"/>
            <w:vAlign w:val="center"/>
          </w:tcPr>
          <w:p>
            <w:pPr>
              <w:pStyle w:val="TableContents"/>
              <w:spacing w:before="0" w:after="0"/>
              <w:ind w:left="0" w:right="0" w:firstLine="30"/>
              <w:rPr/>
            </w:pPr>
            <w:r>
              <w:rPr/>
              <w:t> </w:t>
            </w:r>
          </w:p>
        </w:tc>
        <w:tc>
          <w:tcPr>
            <w:tcW w:w="12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2009</w:t>
            </w:r>
          </w:p>
        </w:tc>
      </w:tr>
      <w:tr>
        <w:trPr/>
        <w:tc>
          <w:tcPr>
            <w:tcW w:w="3266" w:type="dxa"/>
            <w:tcBorders/>
            <w:shd w:fill="auto" w:val="clear"/>
            <w:vAlign w:val="center"/>
          </w:tcPr>
          <w:p>
            <w:pPr>
              <w:pStyle w:val="TableContents"/>
              <w:spacing w:before="0" w:after="0"/>
              <w:ind w:left="0" w:right="0" w:firstLine="30"/>
              <w:jc w:val="left"/>
              <w:rPr/>
            </w:pPr>
            <w:r>
              <w:rPr/>
              <w:t> </w:t>
            </w:r>
          </w:p>
        </w:tc>
        <w:tc>
          <w:tcPr>
            <w:tcW w:w="6939"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and store figures)</w:t>
            </w:r>
          </w:p>
        </w:tc>
      </w:tr>
      <w:tr>
        <w:trPr/>
        <w:tc>
          <w:tcPr>
            <w:tcW w:w="3266"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Operating Data:</w:t>
            </w:r>
          </w:p>
        </w:tc>
        <w:tc>
          <w:tcPr>
            <w:tcW w:w="138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48" w:type="dxa"/>
            <w:gridSpan w:val="3"/>
            <w:tcBorders/>
            <w:shd w:fill="CCEEFF" w:val="clear"/>
            <w:vAlign w:val="center"/>
          </w:tcPr>
          <w:p>
            <w:pPr>
              <w:pStyle w:val="TableContents"/>
              <w:spacing w:before="0" w:after="0"/>
              <w:ind w:left="0" w:right="0" w:firstLine="30"/>
              <w:rPr/>
            </w:pPr>
            <w:r>
              <w:rPr/>
              <w:t> </w:t>
            </w:r>
          </w:p>
        </w:tc>
      </w:tr>
      <w:tr>
        <w:trPr/>
        <w:tc>
          <w:tcPr>
            <w:tcW w:w="32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5" w:type="dxa"/>
            <w:tcBorders/>
            <w:shd w:fill="auto" w:val="clear"/>
            <w:vAlign w:val="center"/>
          </w:tcPr>
          <w:p>
            <w:pPr>
              <w:pStyle w:val="TableContents"/>
              <w:spacing w:before="0" w:after="0"/>
              <w:jc w:val="right"/>
              <w:rPr>
                <w:rFonts w:ascii="inherit" w:hAnsi="inherit"/>
                <w:sz w:val="17"/>
              </w:rPr>
            </w:pPr>
            <w:r>
              <w:rPr>
                <w:rFonts w:ascii="inherit" w:hAnsi="inherit"/>
                <w:sz w:val="17"/>
              </w:rPr>
              <w:t>1,010,307</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shd w:fill="auto" w:val="clear"/>
            <w:vAlign w:val="center"/>
          </w:tcPr>
          <w:p>
            <w:pPr>
              <w:pStyle w:val="TableContents"/>
              <w:spacing w:before="0" w:after="0"/>
              <w:jc w:val="right"/>
              <w:rPr>
                <w:rFonts w:ascii="inherit" w:hAnsi="inherit"/>
                <w:sz w:val="17"/>
              </w:rPr>
            </w:pPr>
            <w:r>
              <w:rPr>
                <w:rFonts w:ascii="inherit" w:hAnsi="inherit"/>
                <w:sz w:val="17"/>
              </w:rPr>
              <w:t>975,123</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shd w:fill="auto" w:val="clear"/>
            <w:vAlign w:val="center"/>
          </w:tcPr>
          <w:p>
            <w:pPr>
              <w:pStyle w:val="TableContents"/>
              <w:spacing w:before="0" w:after="0"/>
              <w:jc w:val="right"/>
              <w:rPr>
                <w:rFonts w:ascii="inherit" w:hAnsi="inherit"/>
                <w:sz w:val="17"/>
              </w:rPr>
            </w:pPr>
            <w:r>
              <w:rPr>
                <w:rFonts w:ascii="inherit" w:hAnsi="inherit"/>
                <w:sz w:val="17"/>
              </w:rPr>
              <w:t>852,798</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shd w:fill="auto" w:val="clear"/>
            <w:vAlign w:val="center"/>
          </w:tcPr>
          <w:p>
            <w:pPr>
              <w:pStyle w:val="TableContents"/>
              <w:spacing w:before="0" w:after="0"/>
              <w:jc w:val="right"/>
              <w:rPr>
                <w:rFonts w:ascii="inherit" w:hAnsi="inherit"/>
                <w:sz w:val="17"/>
              </w:rPr>
            </w:pPr>
            <w:r>
              <w:rPr>
                <w:rFonts w:ascii="inherit" w:hAnsi="inherit"/>
                <w:sz w:val="17"/>
              </w:rPr>
              <w:t>725,168</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shd w:fill="auto" w:val="clear"/>
            <w:vAlign w:val="center"/>
          </w:tcPr>
          <w:p>
            <w:pPr>
              <w:pStyle w:val="TableContents"/>
              <w:spacing w:before="0" w:after="0"/>
              <w:jc w:val="right"/>
              <w:rPr>
                <w:rFonts w:ascii="inherit" w:hAnsi="inherit"/>
                <w:sz w:val="17"/>
              </w:rPr>
            </w:pPr>
            <w:r>
              <w:rPr>
                <w:rFonts w:ascii="inherit" w:hAnsi="inherit"/>
                <w:sz w:val="17"/>
              </w:rPr>
              <w:t>592,928</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640,684</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614,401</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526,303</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443,255</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356,632</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61,735</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155,110</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123,717</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98,643</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67,101</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(loss) income from discontinued operations, net of tax</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(23,310</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(4,533</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(1,558</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(1,349</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1,371</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24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38,425</w:t>
            </w:r>
          </w:p>
        </w:tc>
        <w:tc>
          <w:tcPr>
            <w:tcW w:w="13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14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150,577</w:t>
            </w:r>
          </w:p>
        </w:tc>
        <w:tc>
          <w:tcPr>
            <w:tcW w:w="13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13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97,294</w:t>
            </w:r>
          </w:p>
        </w:tc>
        <w:tc>
          <w:tcPr>
            <w:tcW w:w="13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68,472</w:t>
            </w:r>
          </w:p>
        </w:tc>
        <w:tc>
          <w:tcPr>
            <w:tcW w:w="10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redeemable noncontrolling interest</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4,348</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6,869</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pPr>
            <w:r>
              <w:rPr/>
              <w:t>—</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pPr>
            <w:r>
              <w:rPr/>
              <w:t>—</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pPr>
            <w:r>
              <w:rPr/>
              <w:t>—</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34,077</w:t>
            </w:r>
          </w:p>
        </w:tc>
        <w:tc>
          <w:tcPr>
            <w:tcW w:w="13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143,708</w:t>
            </w:r>
          </w:p>
        </w:tc>
        <w:tc>
          <w:tcPr>
            <w:tcW w:w="13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13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97,294</w:t>
            </w:r>
          </w:p>
        </w:tc>
        <w:tc>
          <w:tcPr>
            <w:tcW w:w="13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68,472</w:t>
            </w:r>
          </w:p>
        </w:tc>
        <w:tc>
          <w:tcPr>
            <w:tcW w:w="10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6"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48" w:type="dxa"/>
            <w:gridSpan w:val="3"/>
            <w:tcBorders/>
            <w:shd w:fill="CCEEFF" w:val="clear"/>
            <w:vAlign w:val="center"/>
          </w:tcPr>
          <w:p>
            <w:pPr>
              <w:pStyle w:val="TableContents"/>
              <w:spacing w:before="0" w:after="0"/>
              <w:ind w:left="0" w:right="0" w:firstLine="30"/>
              <w:rPr/>
            </w:pPr>
            <w:r>
              <w:rPr/>
              <w:t> </w:t>
            </w:r>
          </w:p>
        </w:tc>
      </w:tr>
      <w:tr>
        <w:trPr/>
        <w:tc>
          <w:tcPr>
            <w:tcW w:w="32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 earnings (loss) per share attributable to EZCORP, Inc.:</w:t>
            </w:r>
          </w:p>
        </w:tc>
        <w:tc>
          <w:tcPr>
            <w:tcW w:w="1381"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78"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78"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78"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48" w:type="dxa"/>
            <w:gridSpan w:val="3"/>
            <w:tcBorders/>
            <w:shd w:fill="auto" w:val="clear"/>
            <w:vAlign w:val="center"/>
          </w:tcPr>
          <w:p>
            <w:pPr>
              <w:pStyle w:val="TableContents"/>
              <w:spacing w:before="0" w:after="0"/>
              <w:ind w:left="0" w:right="0" w:firstLine="30"/>
              <w:rPr/>
            </w:pPr>
            <w:r>
              <w:rPr/>
              <w:t> </w:t>
            </w:r>
          </w:p>
        </w:tc>
      </w:tr>
      <w:tr>
        <w:trPr/>
        <w:tc>
          <w:tcPr>
            <w:tcW w:w="32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Continuing operations</w:t>
            </w:r>
          </w:p>
        </w:tc>
        <w:tc>
          <w:tcPr>
            <w:tcW w:w="14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5" w:type="dxa"/>
            <w:tcBorders/>
            <w:shd w:fill="CCEEFF" w:val="clear"/>
            <w:vAlign w:val="center"/>
          </w:tcPr>
          <w:p>
            <w:pPr>
              <w:pStyle w:val="TableContents"/>
              <w:spacing w:before="0" w:after="0"/>
              <w:jc w:val="right"/>
              <w:rPr>
                <w:rFonts w:ascii="inherit" w:hAnsi="inherit"/>
                <w:sz w:val="17"/>
              </w:rPr>
            </w:pPr>
            <w:r>
              <w:rPr>
                <w:rFonts w:ascii="inherit" w:hAnsi="inherit"/>
                <w:sz w:val="17"/>
              </w:rPr>
              <w:t>1.06</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shd w:fill="CCEEFF" w:val="clear"/>
            <w:vAlign w:val="center"/>
          </w:tcPr>
          <w:p>
            <w:pPr>
              <w:pStyle w:val="TableContents"/>
              <w:spacing w:before="0" w:after="0"/>
              <w:jc w:val="right"/>
              <w:rPr>
                <w:rFonts w:ascii="inherit" w:hAnsi="inherit"/>
                <w:sz w:val="17"/>
              </w:rPr>
            </w:pPr>
            <w:r>
              <w:rPr>
                <w:rFonts w:ascii="inherit" w:hAnsi="inherit"/>
                <w:sz w:val="17"/>
              </w:rPr>
              <w:t>2.90</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shd w:fill="CCEEFF" w:val="clear"/>
            <w:vAlign w:val="center"/>
          </w:tcPr>
          <w:p>
            <w:pPr>
              <w:pStyle w:val="TableContents"/>
              <w:spacing w:before="0" w:after="0"/>
              <w:jc w:val="right"/>
              <w:rPr>
                <w:rFonts w:ascii="inherit" w:hAnsi="inherit"/>
                <w:sz w:val="17"/>
              </w:rPr>
            </w:pPr>
            <w:r>
              <w:rPr>
                <w:rFonts w:ascii="inherit" w:hAnsi="inherit"/>
                <w:sz w:val="17"/>
              </w:rPr>
              <w:t>2.46</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shd w:fill="CCEEFF" w:val="clear"/>
            <w:vAlign w:val="center"/>
          </w:tcPr>
          <w:p>
            <w:pPr>
              <w:pStyle w:val="TableContents"/>
              <w:spacing w:before="0" w:after="0"/>
              <w:jc w:val="right"/>
              <w:rPr>
                <w:rFonts w:ascii="inherit" w:hAnsi="inherit"/>
                <w:sz w:val="17"/>
              </w:rPr>
            </w:pPr>
            <w:r>
              <w:rPr>
                <w:rFonts w:ascii="inherit" w:hAnsi="inherit"/>
                <w:sz w:val="17"/>
              </w:rPr>
              <w:t>1.99</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shd w:fill="CCEEFF" w:val="clear"/>
            <w:vAlign w:val="center"/>
          </w:tcPr>
          <w:p>
            <w:pPr>
              <w:pStyle w:val="TableContents"/>
              <w:spacing w:before="0" w:after="0"/>
              <w:jc w:val="right"/>
              <w:rPr>
                <w:rFonts w:ascii="inherit" w:hAnsi="inherit"/>
                <w:sz w:val="17"/>
              </w:rPr>
            </w:pPr>
            <w:r>
              <w:rPr>
                <w:rFonts w:ascii="inherit" w:hAnsi="inherit"/>
                <w:sz w:val="17"/>
              </w:rPr>
              <w:t>1.39</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(0.43</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(0.09</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(0.03</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(0.03</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0.03</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Diluted earnings per share</w:t>
            </w:r>
          </w:p>
        </w:tc>
        <w:tc>
          <w:tcPr>
            <w:tcW w:w="1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0.63</w:t>
            </w:r>
          </w:p>
        </w:tc>
        <w:tc>
          <w:tcPr>
            <w:tcW w:w="13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2.81</w:t>
            </w:r>
          </w:p>
        </w:tc>
        <w:tc>
          <w:tcPr>
            <w:tcW w:w="13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2.43</w:t>
            </w:r>
          </w:p>
        </w:tc>
        <w:tc>
          <w:tcPr>
            <w:tcW w:w="13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1.96</w:t>
            </w:r>
          </w:p>
        </w:tc>
        <w:tc>
          <w:tcPr>
            <w:tcW w:w="13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1.42</w:t>
            </w:r>
          </w:p>
        </w:tc>
        <w:tc>
          <w:tcPr>
            <w:tcW w:w="10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6"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78"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78"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78"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48" w:type="dxa"/>
            <w:gridSpan w:val="3"/>
            <w:tcBorders/>
            <w:shd w:fill="auto" w:val="clear"/>
            <w:vAlign w:val="center"/>
          </w:tcPr>
          <w:p>
            <w:pPr>
              <w:pStyle w:val="TableContents"/>
              <w:spacing w:before="0" w:after="0"/>
              <w:ind w:left="0" w:right="0" w:firstLine="30"/>
              <w:rPr/>
            </w:pPr>
            <w:r>
              <w:rPr/>
              <w:t> </w:t>
            </w:r>
          </w:p>
        </w:tc>
      </w:tr>
      <w:tr>
        <w:trPr/>
        <w:tc>
          <w:tcPr>
            <w:tcW w:w="32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shares outstanding:</w:t>
            </w:r>
          </w:p>
        </w:tc>
        <w:tc>
          <w:tcPr>
            <w:tcW w:w="138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48" w:type="dxa"/>
            <w:gridSpan w:val="3"/>
            <w:tcBorders/>
            <w:shd w:fill="CCEEFF" w:val="clear"/>
            <w:vAlign w:val="center"/>
          </w:tcPr>
          <w:p>
            <w:pPr>
              <w:pStyle w:val="TableContents"/>
              <w:spacing w:before="0" w:after="0"/>
              <w:ind w:left="0" w:right="0" w:firstLine="30"/>
              <w:rPr/>
            </w:pPr>
            <w:r>
              <w:rPr/>
              <w:t> </w:t>
            </w:r>
          </w:p>
        </w:tc>
      </w:tr>
      <w:tr>
        <w:trPr/>
        <w:tc>
          <w:tcPr>
            <w:tcW w:w="32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53,737</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51,133</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50,369</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49,576</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48,076</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6"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48" w:type="dxa"/>
            <w:gridSpan w:val="3"/>
            <w:tcBorders/>
            <w:shd w:fill="CCEEFF" w:val="clear"/>
            <w:vAlign w:val="center"/>
          </w:tcPr>
          <w:p>
            <w:pPr>
              <w:pStyle w:val="TableContents"/>
              <w:spacing w:before="0" w:after="0"/>
              <w:ind w:left="0" w:right="0" w:firstLine="30"/>
              <w:rPr/>
            </w:pPr>
            <w:r>
              <w:rPr/>
              <w:t> </w:t>
            </w:r>
          </w:p>
        </w:tc>
      </w:tr>
      <w:tr>
        <w:trPr/>
        <w:tc>
          <w:tcPr>
            <w:tcW w:w="32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Stores at end of period*</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1,342</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1,262</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1,111</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1,006</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910</w:t>
            </w:r>
          </w:p>
        </w:tc>
        <w:tc>
          <w:tcPr>
            <w:tcW w:w="103"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3"/>
        </w:rPr>
      </w:pPr>
      <w:r>
        <w:rPr>
          <w:rFonts w:ascii="inherit" w:hAnsi="inherit"/>
          <w:sz w:val="13"/>
        </w:rPr>
        <w:t xml:space="preserve">* Fiscal 2012, 2011, 2010 and 2009 include 102, 94, 72, and 19 include 102 and 94 stores that were closed as part of discontinued operations during fiscal 2013. </w:t>
      </w:r>
    </w:p>
    <w:tbl>
      <w:tblPr>
        <w:tblW w:w="10205" w:type="dxa"/>
        <w:jc w:val="left"/>
        <w:tblInd w:w="0" w:type="dxa"/>
        <w:tblCellMar>
          <w:top w:w="0" w:type="dxa"/>
          <w:left w:w="0" w:type="dxa"/>
          <w:bottom w:w="0" w:type="dxa"/>
          <w:right w:w="0" w:type="dxa"/>
        </w:tblCellMar>
      </w:tblPr>
      <w:tblGrid>
        <w:gridCol w:w="3730"/>
        <w:gridCol w:w="128"/>
        <w:gridCol w:w="989"/>
        <w:gridCol w:w="90"/>
        <w:gridCol w:w="113"/>
        <w:gridCol w:w="128"/>
        <w:gridCol w:w="989"/>
        <w:gridCol w:w="90"/>
        <w:gridCol w:w="113"/>
        <w:gridCol w:w="127"/>
        <w:gridCol w:w="980"/>
        <w:gridCol w:w="90"/>
        <w:gridCol w:w="113"/>
        <w:gridCol w:w="127"/>
        <w:gridCol w:w="980"/>
        <w:gridCol w:w="90"/>
        <w:gridCol w:w="113"/>
        <w:gridCol w:w="127"/>
        <w:gridCol w:w="980"/>
        <w:gridCol w:w="108"/>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373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30" w:type="dxa"/>
            <w:tcBorders/>
            <w:shd w:fill="auto" w:val="clear"/>
            <w:vAlign w:val="center"/>
          </w:tcPr>
          <w:p>
            <w:pPr>
              <w:pStyle w:val="TableContents"/>
              <w:spacing w:before="0" w:after="0"/>
              <w:ind w:left="0" w:right="0" w:firstLine="30"/>
              <w:jc w:val="left"/>
              <w:rPr/>
            </w:pPr>
            <w:r>
              <w:rPr/>
              <w:t> </w:t>
            </w:r>
          </w:p>
        </w:tc>
        <w:tc>
          <w:tcPr>
            <w:tcW w:w="6475"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3730" w:type="dxa"/>
            <w:tcBorders/>
            <w:shd w:fill="auto" w:val="clear"/>
            <w:vAlign w:val="center"/>
          </w:tcPr>
          <w:p>
            <w:pPr>
              <w:pStyle w:val="TableContents"/>
              <w:spacing w:before="0" w:after="0"/>
              <w:ind w:left="0" w:right="0" w:firstLine="30"/>
              <w:jc w:val="left"/>
              <w:rPr/>
            </w:pPr>
            <w:r>
              <w:rPr/>
              <w:t> </w:t>
            </w:r>
          </w:p>
        </w:tc>
        <w:tc>
          <w:tcPr>
            <w:tcW w:w="12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13" w:type="dxa"/>
            <w:tcBorders/>
            <w:shd w:fill="auto" w:val="clear"/>
            <w:vAlign w:val="center"/>
          </w:tcPr>
          <w:p>
            <w:pPr>
              <w:pStyle w:val="TableContents"/>
              <w:spacing w:before="0" w:after="0"/>
              <w:ind w:left="0" w:right="0" w:firstLine="30"/>
              <w:rPr/>
            </w:pPr>
            <w:r>
              <w:rPr/>
              <w:t> </w:t>
            </w:r>
          </w:p>
        </w:tc>
        <w:tc>
          <w:tcPr>
            <w:tcW w:w="12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3" w:type="dxa"/>
            <w:tcBorders/>
            <w:shd w:fill="auto" w:val="clear"/>
            <w:vAlign w:val="center"/>
          </w:tcPr>
          <w:p>
            <w:pPr>
              <w:pStyle w:val="TableContents"/>
              <w:spacing w:before="0" w:after="0"/>
              <w:ind w:left="0" w:right="0" w:firstLine="30"/>
              <w:rPr/>
            </w:pPr>
            <w:r>
              <w:rPr/>
              <w:t> </w:t>
            </w:r>
          </w:p>
        </w:tc>
        <w:tc>
          <w:tcPr>
            <w:tcW w:w="119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13" w:type="dxa"/>
            <w:tcBorders/>
            <w:shd w:fill="auto" w:val="clear"/>
            <w:vAlign w:val="center"/>
          </w:tcPr>
          <w:p>
            <w:pPr>
              <w:pStyle w:val="TableContents"/>
              <w:spacing w:before="0" w:after="0"/>
              <w:ind w:left="0" w:right="0" w:firstLine="30"/>
              <w:rPr/>
            </w:pPr>
            <w:r>
              <w:rPr/>
              <w:t> </w:t>
            </w:r>
          </w:p>
        </w:tc>
        <w:tc>
          <w:tcPr>
            <w:tcW w:w="119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2010</w:t>
            </w:r>
          </w:p>
        </w:tc>
        <w:tc>
          <w:tcPr>
            <w:tcW w:w="113" w:type="dxa"/>
            <w:tcBorders/>
            <w:shd w:fill="auto" w:val="clear"/>
            <w:vAlign w:val="center"/>
          </w:tcPr>
          <w:p>
            <w:pPr>
              <w:pStyle w:val="TableContents"/>
              <w:spacing w:before="0" w:after="0"/>
              <w:ind w:left="0" w:right="0" w:firstLine="30"/>
              <w:rPr/>
            </w:pPr>
            <w:r>
              <w:rPr/>
              <w:t> </w:t>
            </w:r>
          </w:p>
        </w:tc>
        <w:tc>
          <w:tcPr>
            <w:tcW w:w="12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2009</w:t>
            </w:r>
          </w:p>
        </w:tc>
      </w:tr>
      <w:tr>
        <w:trPr/>
        <w:tc>
          <w:tcPr>
            <w:tcW w:w="3730" w:type="dxa"/>
            <w:tcBorders/>
            <w:shd w:fill="auto" w:val="clear"/>
            <w:vAlign w:val="center"/>
          </w:tcPr>
          <w:p>
            <w:pPr>
              <w:pStyle w:val="TableContents"/>
              <w:spacing w:before="0" w:after="0"/>
              <w:ind w:left="0" w:right="0" w:firstLine="30"/>
              <w:jc w:val="left"/>
              <w:rPr/>
            </w:pPr>
            <w:r>
              <w:rPr/>
              <w:t> </w:t>
            </w:r>
          </w:p>
        </w:tc>
        <w:tc>
          <w:tcPr>
            <w:tcW w:w="6475"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73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Balance Sheet Data:</w:t>
            </w:r>
          </w:p>
        </w:tc>
        <w:tc>
          <w:tcPr>
            <w:tcW w:w="1207" w:type="dxa"/>
            <w:gridSpan w:val="3"/>
            <w:tcBorders/>
            <w:shd w:fill="CCEEFF" w:val="clear"/>
            <w:vAlign w:val="center"/>
          </w:tcPr>
          <w:p>
            <w:pPr>
              <w:pStyle w:val="TableContents"/>
              <w:spacing w:before="0" w:after="0"/>
              <w:ind w:left="0" w:right="0" w:firstLine="30"/>
              <w:rPr/>
            </w:pPr>
            <w:r>
              <w:rPr/>
              <w:t> </w:t>
            </w:r>
          </w:p>
        </w:tc>
        <w:tc>
          <w:tcPr>
            <w:tcW w:w="113" w:type="dxa"/>
            <w:tcBorders/>
            <w:shd w:fill="CCEEFF" w:val="clear"/>
            <w:vAlign w:val="center"/>
          </w:tcPr>
          <w:p>
            <w:pPr>
              <w:pStyle w:val="TableContents"/>
              <w:spacing w:before="0" w:after="0"/>
              <w:ind w:left="0" w:right="0" w:firstLine="30"/>
              <w:rPr/>
            </w:pPr>
            <w:r>
              <w:rPr/>
              <w:t> </w:t>
            </w:r>
          </w:p>
        </w:tc>
        <w:tc>
          <w:tcPr>
            <w:tcW w:w="1207" w:type="dxa"/>
            <w:gridSpan w:val="3"/>
            <w:tcBorders/>
            <w:shd w:fill="CCEEFF" w:val="clear"/>
            <w:vAlign w:val="center"/>
          </w:tcPr>
          <w:p>
            <w:pPr>
              <w:pStyle w:val="TableContents"/>
              <w:spacing w:before="0" w:after="0"/>
              <w:ind w:left="0" w:right="0" w:firstLine="30"/>
              <w:jc w:val="left"/>
              <w:rPr/>
            </w:pPr>
            <w:r>
              <w:rPr/>
              <w:t> </w:t>
            </w:r>
          </w:p>
        </w:tc>
        <w:tc>
          <w:tcPr>
            <w:tcW w:w="113" w:type="dxa"/>
            <w:tcBorders/>
            <w:shd w:fill="CCEEFF" w:val="clear"/>
            <w:vAlign w:val="center"/>
          </w:tcPr>
          <w:p>
            <w:pPr>
              <w:pStyle w:val="TableContents"/>
              <w:spacing w:before="0" w:after="0"/>
              <w:ind w:left="0" w:right="0" w:firstLine="30"/>
              <w:rPr/>
            </w:pPr>
            <w:r>
              <w:rPr/>
              <w:t> </w:t>
            </w:r>
          </w:p>
        </w:tc>
        <w:tc>
          <w:tcPr>
            <w:tcW w:w="1197" w:type="dxa"/>
            <w:gridSpan w:val="3"/>
            <w:tcBorders/>
            <w:shd w:fill="CCEEFF" w:val="clear"/>
            <w:vAlign w:val="center"/>
          </w:tcPr>
          <w:p>
            <w:pPr>
              <w:pStyle w:val="TableContents"/>
              <w:spacing w:before="0" w:after="0"/>
              <w:ind w:left="0" w:right="0" w:firstLine="30"/>
              <w:jc w:val="left"/>
              <w:rPr/>
            </w:pPr>
            <w:r>
              <w:rPr/>
              <w:t> </w:t>
            </w:r>
          </w:p>
        </w:tc>
        <w:tc>
          <w:tcPr>
            <w:tcW w:w="113" w:type="dxa"/>
            <w:tcBorders/>
            <w:shd w:fill="CCEEFF" w:val="clear"/>
            <w:vAlign w:val="center"/>
          </w:tcPr>
          <w:p>
            <w:pPr>
              <w:pStyle w:val="TableContents"/>
              <w:spacing w:before="0" w:after="0"/>
              <w:ind w:left="0" w:right="0" w:firstLine="30"/>
              <w:rPr/>
            </w:pPr>
            <w:r>
              <w:rPr/>
              <w:t> </w:t>
            </w:r>
          </w:p>
        </w:tc>
        <w:tc>
          <w:tcPr>
            <w:tcW w:w="1197" w:type="dxa"/>
            <w:gridSpan w:val="3"/>
            <w:tcBorders/>
            <w:shd w:fill="CCEEFF" w:val="clear"/>
            <w:vAlign w:val="center"/>
          </w:tcPr>
          <w:p>
            <w:pPr>
              <w:pStyle w:val="TableContents"/>
              <w:spacing w:before="0" w:after="0"/>
              <w:ind w:left="0" w:right="0" w:firstLine="30"/>
              <w:jc w:val="left"/>
              <w:rPr/>
            </w:pPr>
            <w:r>
              <w:rPr/>
              <w:t> </w:t>
            </w:r>
          </w:p>
        </w:tc>
        <w:tc>
          <w:tcPr>
            <w:tcW w:w="113" w:type="dxa"/>
            <w:tcBorders/>
            <w:shd w:fill="CCEEFF" w:val="clear"/>
            <w:vAlign w:val="center"/>
          </w:tcPr>
          <w:p>
            <w:pPr>
              <w:pStyle w:val="TableContents"/>
              <w:spacing w:before="0" w:after="0"/>
              <w:ind w:left="0" w:right="0" w:firstLine="30"/>
              <w:rPr/>
            </w:pPr>
            <w:r>
              <w:rPr/>
              <w:t> </w:t>
            </w:r>
          </w:p>
        </w:tc>
        <w:tc>
          <w:tcPr>
            <w:tcW w:w="1215" w:type="dxa"/>
            <w:gridSpan w:val="3"/>
            <w:tcBorders/>
            <w:shd w:fill="CCEEFF" w:val="clear"/>
            <w:vAlign w:val="center"/>
          </w:tcPr>
          <w:p>
            <w:pPr>
              <w:pStyle w:val="TableContents"/>
              <w:spacing w:before="0" w:after="0"/>
              <w:ind w:left="0" w:right="0" w:firstLine="30"/>
              <w:jc w:val="left"/>
              <w:rPr/>
            </w:pPr>
            <w:r>
              <w:rPr/>
              <w:t> </w:t>
            </w:r>
          </w:p>
        </w:tc>
      </w:tr>
      <w:tr>
        <w:trPr/>
        <w:tc>
          <w:tcPr>
            <w:tcW w:w="37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2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shd w:fill="auto" w:val="clear"/>
            <w:vAlign w:val="center"/>
          </w:tcPr>
          <w:p>
            <w:pPr>
              <w:pStyle w:val="TableContents"/>
              <w:spacing w:before="0" w:after="0"/>
              <w:jc w:val="right"/>
              <w:rPr>
                <w:rFonts w:ascii="inherit" w:hAnsi="inherit"/>
                <w:sz w:val="17"/>
              </w:rPr>
            </w:pPr>
            <w:r>
              <w:rPr>
                <w:rFonts w:ascii="inherit" w:hAnsi="inherit"/>
                <w:sz w:val="17"/>
              </w:rPr>
              <w:t>156,637</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shd w:fill="auto" w:val="clear"/>
            <w:vAlign w:val="center"/>
          </w:tcPr>
          <w:p>
            <w:pPr>
              <w:pStyle w:val="TableContents"/>
              <w:spacing w:before="0" w:after="0"/>
              <w:jc w:val="right"/>
              <w:rPr>
                <w:rFonts w:ascii="inherit" w:hAnsi="inherit"/>
                <w:sz w:val="17"/>
              </w:rPr>
            </w:pPr>
            <w:r>
              <w:rPr>
                <w:rFonts w:ascii="inherit" w:hAnsi="inherit"/>
                <w:sz w:val="17"/>
              </w:rPr>
              <w:t>157,648</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0" w:type="dxa"/>
            <w:tcBorders/>
            <w:shd w:fill="auto" w:val="clear"/>
            <w:vAlign w:val="center"/>
          </w:tcPr>
          <w:p>
            <w:pPr>
              <w:pStyle w:val="TableContents"/>
              <w:spacing w:before="0" w:after="0"/>
              <w:jc w:val="right"/>
              <w:rPr>
                <w:rFonts w:ascii="inherit" w:hAnsi="inherit"/>
                <w:sz w:val="17"/>
              </w:rPr>
            </w:pPr>
            <w:r>
              <w:rPr>
                <w:rFonts w:ascii="inherit" w:hAnsi="inherit"/>
                <w:sz w:val="17"/>
              </w:rPr>
              <w:t>145,318</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0" w:type="dxa"/>
            <w:tcBorders/>
            <w:shd w:fill="auto" w:val="clear"/>
            <w:vAlign w:val="center"/>
          </w:tcPr>
          <w:p>
            <w:pPr>
              <w:pStyle w:val="TableContents"/>
              <w:spacing w:before="0" w:after="0"/>
              <w:jc w:val="right"/>
              <w:rPr>
                <w:rFonts w:ascii="inherit" w:hAnsi="inherit"/>
                <w:sz w:val="17"/>
              </w:rPr>
            </w:pPr>
            <w:r>
              <w:rPr>
                <w:rFonts w:ascii="inherit" w:hAnsi="inherit"/>
                <w:sz w:val="17"/>
              </w:rPr>
              <w:t>121,201</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0" w:type="dxa"/>
            <w:tcBorders/>
            <w:shd w:fill="auto" w:val="clear"/>
            <w:vAlign w:val="center"/>
          </w:tcPr>
          <w:p>
            <w:pPr>
              <w:pStyle w:val="TableContents"/>
              <w:spacing w:before="0" w:after="0"/>
              <w:jc w:val="right"/>
              <w:rPr>
                <w:rFonts w:ascii="inherit" w:hAnsi="inherit"/>
                <w:sz w:val="17"/>
              </w:rPr>
            </w:pPr>
            <w:r>
              <w:rPr>
                <w:rFonts w:ascii="inherit" w:hAnsi="inherit"/>
                <w:sz w:val="17"/>
              </w:rPr>
              <w:t>101,684</w:t>
            </w:r>
          </w:p>
        </w:tc>
        <w:tc>
          <w:tcPr>
            <w:tcW w:w="1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1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64,515</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34,152</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14,611</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13,920</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10,020</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145,200</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109,214</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90,373</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71,502</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64,001</w:t>
            </w:r>
          </w:p>
        </w:tc>
        <w:tc>
          <w:tcPr>
            <w:tcW w:w="1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Working capital</w:t>
            </w:r>
          </w:p>
        </w:tc>
        <w:tc>
          <w:tcPr>
            <w:tcW w:w="11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395,177</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373,557</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291,968</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232,713</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228,796</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1,345,290</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1,218,007</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756,450</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606,412</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492,517</w:t>
            </w:r>
          </w:p>
        </w:tc>
        <w:tc>
          <w:tcPr>
            <w:tcW w:w="1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consumer loans, net</w:t>
            </w:r>
          </w:p>
        </w:tc>
        <w:tc>
          <w:tcPr>
            <w:tcW w:w="11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69,991</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61,997</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pPr>
            <w:r>
              <w:rPr/>
              <w:t>—</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pPr>
            <w:r>
              <w:rPr/>
              <w:t>—</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pPr>
            <w:r>
              <w:rPr/>
              <w:t>—</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debt</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215,939</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198,836</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17,500</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25,000</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35,000</w:t>
            </w:r>
          </w:p>
        </w:tc>
        <w:tc>
          <w:tcPr>
            <w:tcW w:w="1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1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55,393</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53,681</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pPr>
            <w:r>
              <w:rPr/>
              <w:t>—</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pPr>
            <w:r>
              <w:rPr/>
              <w:t>—</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107" w:type="dxa"/>
            <w:gridSpan w:val="2"/>
            <w:tcBorders/>
            <w:shd w:fill="CCEEFF" w:val="clear"/>
            <w:vAlign w:val="center"/>
          </w:tcPr>
          <w:p>
            <w:pPr>
              <w:pStyle w:val="TableContents"/>
              <w:spacing w:before="0" w:after="0"/>
              <w:jc w:val="right"/>
              <w:rPr/>
            </w:pPr>
            <w:r>
              <w:rPr/>
              <w:t>—</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Stockholders’ equity</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914,526</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834,828</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664,248</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519,428</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1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415,685</w:t>
            </w:r>
          </w:p>
        </w:tc>
        <w:tc>
          <w:tcPr>
            <w:tcW w:w="108"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27</w:t>
      </w:r>
      <w:r>
        <w:br w:type="page"/>
      </w:r>
    </w:p>
    <w:p>
      <w:pPr>
        <w:pStyle w:val="TextBody"/>
        <w:spacing w:lineRule="auto" w:line="288" w:before="0" w:after="0"/>
        <w:rPr/>
      </w:pPr>
      <w:hyperlink w:anchor="sA13583D437E20DC41B4583E2BD74AA47">
        <w:bookmarkStart w:id="27" w:name="s9104F9D81B8DDEE5FD9A83E28E4A38AA"/>
        <w:bookmarkEnd w:id="2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7. MANAGEMENT'S DISCUSSION AND ANALYSIS OF FINANCIAL CONDITION AND RESULTS OF OPERATIONS</w:t>
      </w:r>
    </w:p>
    <w:p>
      <w:pPr>
        <w:pStyle w:val="TextBody"/>
        <w:spacing w:lineRule="auto" w:line="288" w:before="0" w:after="0"/>
        <w:jc w:val="left"/>
        <w:rPr>
          <w:rFonts w:ascii="inherit" w:hAnsi="inherit"/>
          <w:sz w:val="17"/>
        </w:rPr>
      </w:pPr>
      <w:r>
        <w:rPr>
          <w:rFonts w:ascii="inherit" w:hAnsi="inherit"/>
          <w:sz w:val="17"/>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 Item 1A — Risk Factors.” See also “Cautionary Statement Regarding Risks and Uncertainties That May Affect Future Results” below.</w:t>
      </w:r>
    </w:p>
    <w:p>
      <w:pPr>
        <w:pStyle w:val="TextBody"/>
        <w:spacing w:lineRule="auto" w:line="288" w:before="0" w:after="0"/>
        <w:jc w:val="left"/>
        <w:rPr>
          <w:sz w:val="17"/>
        </w:rPr>
      </w:pPr>
      <w:r>
        <w:rPr>
          <w:rFonts w:ascii="inherit" w:hAnsi="inherit"/>
          <w:sz w:val="17"/>
        </w:rPr>
        <w:t>The following table presents summary consolidated financial data for our fiscal 2013, 2012</w:t>
      </w:r>
      <w:r>
        <w:rPr>
          <w:sz w:val="17"/>
        </w:rPr>
        <w:t xml:space="preserve"> </w:t>
      </w:r>
      <w:r>
        <w:rPr>
          <w:rFonts w:ascii="inherit" w:hAnsi="inherit"/>
          <w:sz w:val="17"/>
        </w:rPr>
        <w:t>and 2011.</w:t>
      </w:r>
    </w:p>
    <w:p>
      <w:pPr>
        <w:pStyle w:val="TextBody"/>
        <w:spacing w:lineRule="auto" w:line="288" w:before="0" w:after="0"/>
        <w:jc w:val="center"/>
        <w:rPr>
          <w:rFonts w:ascii="inherit" w:hAnsi="inherit"/>
          <w:b/>
          <w:sz w:val="17"/>
        </w:rPr>
      </w:pPr>
      <w:r>
        <w:rPr>
          <w:rFonts w:ascii="inherit" w:hAnsi="inherit"/>
          <w:b/>
          <w:sz w:val="17"/>
        </w:rPr>
        <w:t>Summary Financial Data</w:t>
      </w:r>
    </w:p>
    <w:tbl>
      <w:tblPr>
        <w:tblW w:w="10205" w:type="dxa"/>
        <w:jc w:val="center"/>
        <w:tblInd w:w="0" w:type="dxa"/>
        <w:tblCellMar>
          <w:top w:w="0" w:type="dxa"/>
          <w:left w:w="0" w:type="dxa"/>
          <w:bottom w:w="0" w:type="dxa"/>
          <w:right w:w="0" w:type="dxa"/>
        </w:tblCellMar>
      </w:tblPr>
      <w:tblGrid>
        <w:gridCol w:w="5343"/>
        <w:gridCol w:w="172"/>
        <w:gridCol w:w="1118"/>
        <w:gridCol w:w="157"/>
        <w:gridCol w:w="139"/>
        <w:gridCol w:w="170"/>
        <w:gridCol w:w="1099"/>
        <w:gridCol w:w="157"/>
        <w:gridCol w:w="139"/>
        <w:gridCol w:w="170"/>
        <w:gridCol w:w="1099"/>
        <w:gridCol w:w="442"/>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34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43" w:type="dxa"/>
            <w:tcBorders/>
            <w:shd w:fill="auto" w:val="clear"/>
            <w:vAlign w:val="center"/>
          </w:tcPr>
          <w:p>
            <w:pPr>
              <w:pStyle w:val="TableContents"/>
              <w:spacing w:before="0" w:after="0"/>
              <w:ind w:left="0" w:right="0" w:firstLine="30"/>
              <w:jc w:val="left"/>
              <w:rPr/>
            </w:pPr>
            <w:r>
              <w:rPr/>
              <w:t> </w:t>
            </w:r>
          </w:p>
        </w:tc>
        <w:tc>
          <w:tcPr>
            <w:tcW w:w="486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343" w:type="dxa"/>
            <w:tcBorders/>
            <w:shd w:fill="auto" w:val="clear"/>
            <w:vAlign w:val="center"/>
          </w:tcPr>
          <w:p>
            <w:pPr>
              <w:pStyle w:val="TableContents"/>
              <w:spacing w:before="0" w:after="0"/>
              <w:ind w:left="0" w:right="0" w:firstLine="30"/>
              <w:jc w:val="left"/>
              <w:rPr/>
            </w:pPr>
            <w:r>
              <w:rPr/>
              <w:t> </w:t>
            </w:r>
          </w:p>
        </w:tc>
        <w:tc>
          <w:tcPr>
            <w:tcW w:w="144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9" w:type="dxa"/>
            <w:tcBorders/>
            <w:shd w:fill="auto" w:val="clear"/>
            <w:vAlign w:val="center"/>
          </w:tcPr>
          <w:p>
            <w:pPr>
              <w:pStyle w:val="TableContents"/>
              <w:spacing w:before="0" w:after="0"/>
              <w:ind w:left="0" w:right="0" w:firstLine="30"/>
              <w:rPr/>
            </w:pPr>
            <w:r>
              <w:rPr/>
              <w:t> </w:t>
            </w:r>
          </w:p>
        </w:tc>
        <w:tc>
          <w:tcPr>
            <w:tcW w:w="142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9" w:type="dxa"/>
            <w:tcBorders/>
            <w:shd w:fill="auto" w:val="clear"/>
            <w:vAlign w:val="center"/>
          </w:tcPr>
          <w:p>
            <w:pPr>
              <w:pStyle w:val="TableContents"/>
              <w:spacing w:before="0" w:after="0"/>
              <w:ind w:left="0" w:right="0" w:firstLine="30"/>
              <w:rPr/>
            </w:pPr>
            <w:r>
              <w:rPr/>
              <w:t> </w:t>
            </w:r>
          </w:p>
        </w:tc>
        <w:tc>
          <w:tcPr>
            <w:tcW w:w="17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343" w:type="dxa"/>
            <w:tcBorders/>
            <w:shd w:fill="auto" w:val="clear"/>
            <w:vAlign w:val="center"/>
          </w:tcPr>
          <w:p>
            <w:pPr>
              <w:pStyle w:val="TableContents"/>
              <w:spacing w:before="0" w:after="0"/>
              <w:ind w:left="0" w:right="0" w:firstLine="30"/>
              <w:jc w:val="left"/>
              <w:rPr/>
            </w:pPr>
            <w:r>
              <w:rPr/>
              <w:t> </w:t>
            </w:r>
          </w:p>
        </w:tc>
        <w:tc>
          <w:tcPr>
            <w:tcW w:w="4862" w:type="dxa"/>
            <w:gridSpan w:val="11"/>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3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447" w:type="dxa"/>
            <w:gridSpan w:val="3"/>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ind w:left="0" w:right="0" w:firstLine="30"/>
              <w:rPr/>
            </w:pPr>
            <w:r>
              <w:rPr/>
              <w:t> </w:t>
            </w:r>
          </w:p>
        </w:tc>
        <w:tc>
          <w:tcPr>
            <w:tcW w:w="1426" w:type="dxa"/>
            <w:gridSpan w:val="3"/>
            <w:tcBorders/>
            <w:shd w:fill="CCEEFF" w:val="clear"/>
            <w:vAlign w:val="center"/>
          </w:tcPr>
          <w:p>
            <w:pPr>
              <w:pStyle w:val="TableContents"/>
              <w:spacing w:before="0" w:after="0"/>
              <w:ind w:left="0" w:right="0" w:firstLine="30"/>
              <w:jc w:val="left"/>
              <w:rPr/>
            </w:pPr>
            <w:r>
              <w:rPr/>
              <w:t> </w:t>
            </w:r>
          </w:p>
        </w:tc>
        <w:tc>
          <w:tcPr>
            <w:tcW w:w="139" w:type="dxa"/>
            <w:tcBorders/>
            <w:shd w:fill="CCEEFF" w:val="clear"/>
            <w:vAlign w:val="center"/>
          </w:tcPr>
          <w:p>
            <w:pPr>
              <w:pStyle w:val="TableContents"/>
              <w:spacing w:before="0" w:after="0"/>
              <w:ind w:left="0" w:right="0" w:firstLine="30"/>
              <w:rPr/>
            </w:pPr>
            <w:r>
              <w:rPr/>
              <w:t> </w:t>
            </w:r>
          </w:p>
        </w:tc>
        <w:tc>
          <w:tcPr>
            <w:tcW w:w="1711" w:type="dxa"/>
            <w:gridSpan w:val="3"/>
            <w:tcBorders/>
            <w:shd w:fill="CCEEFF" w:val="clear"/>
            <w:vAlign w:val="center"/>
          </w:tcPr>
          <w:p>
            <w:pPr>
              <w:pStyle w:val="TableContents"/>
              <w:spacing w:before="0" w:after="0"/>
              <w:ind w:left="0" w:right="0" w:firstLine="180"/>
              <w:jc w:val="left"/>
              <w:rPr/>
            </w:pPr>
            <w:r>
              <w:rPr/>
              <w:t> </w:t>
            </w:r>
          </w:p>
        </w:tc>
      </w:tr>
      <w:tr>
        <w:trPr/>
        <w:tc>
          <w:tcPr>
            <w:tcW w:w="53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8" w:type="dxa"/>
            <w:tcBorders/>
            <w:shd w:fill="auto" w:val="clear"/>
            <w:vAlign w:val="center"/>
          </w:tcPr>
          <w:p>
            <w:pPr>
              <w:pStyle w:val="TableContents"/>
              <w:spacing w:before="0" w:after="0"/>
              <w:jc w:val="right"/>
              <w:rPr>
                <w:rFonts w:ascii="inherit" w:hAnsi="inherit"/>
                <w:sz w:val="17"/>
              </w:rPr>
            </w:pPr>
            <w:r>
              <w:rPr>
                <w:rFonts w:ascii="inherit" w:hAnsi="inherit"/>
                <w:sz w:val="17"/>
              </w:rPr>
              <w:t>368,766</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9" w:type="dxa"/>
            <w:tcBorders/>
            <w:shd w:fill="auto" w:val="clear"/>
            <w:vAlign w:val="center"/>
          </w:tcPr>
          <w:p>
            <w:pPr>
              <w:pStyle w:val="TableContents"/>
              <w:spacing w:before="0" w:after="0"/>
              <w:jc w:val="right"/>
              <w:rPr>
                <w:rFonts w:ascii="inherit" w:hAnsi="inherit"/>
                <w:sz w:val="17"/>
              </w:rPr>
            </w:pPr>
            <w:r>
              <w:rPr>
                <w:rFonts w:ascii="inherit" w:hAnsi="inherit"/>
                <w:sz w:val="17"/>
              </w:rPr>
              <w:t>333,064</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9" w:type="dxa"/>
            <w:tcBorders/>
            <w:shd w:fill="auto" w:val="clear"/>
            <w:vAlign w:val="center"/>
          </w:tcPr>
          <w:p>
            <w:pPr>
              <w:pStyle w:val="TableContents"/>
              <w:spacing w:before="0" w:after="0"/>
              <w:jc w:val="right"/>
              <w:rPr>
                <w:rFonts w:ascii="inherit" w:hAnsi="inherit"/>
                <w:sz w:val="17"/>
              </w:rPr>
            </w:pPr>
            <w:r>
              <w:rPr>
                <w:rFonts w:ascii="inherit" w:hAnsi="inherit"/>
                <w:sz w:val="17"/>
              </w:rPr>
              <w:t>281,716</w:t>
            </w:r>
          </w:p>
        </w:tc>
        <w:tc>
          <w:tcPr>
            <w:tcW w:w="44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2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131,702</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202,481</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204,858</w:t>
            </w:r>
          </w:p>
        </w:tc>
        <w:tc>
          <w:tcPr>
            <w:tcW w:w="44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2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251,354</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233,538</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199,746</w:t>
            </w:r>
          </w:p>
        </w:tc>
        <w:tc>
          <w:tcPr>
            <w:tcW w:w="44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and interest</w:t>
            </w:r>
          </w:p>
        </w:tc>
        <w:tc>
          <w:tcPr>
            <w:tcW w:w="12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248,304</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200,681</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164,895</w:t>
            </w:r>
          </w:p>
        </w:tc>
        <w:tc>
          <w:tcPr>
            <w:tcW w:w="44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29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10,181</w:t>
            </w:r>
          </w:p>
        </w:tc>
        <w:tc>
          <w:tcPr>
            <w:tcW w:w="1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5,359</w:t>
            </w:r>
          </w:p>
        </w:tc>
        <w:tc>
          <w:tcPr>
            <w:tcW w:w="1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1,583</w:t>
            </w:r>
          </w:p>
        </w:tc>
        <w:tc>
          <w:tcPr>
            <w:tcW w:w="442"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3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2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1,010,307</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975,123</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852,798</w:t>
            </w:r>
          </w:p>
        </w:tc>
        <w:tc>
          <w:tcPr>
            <w:tcW w:w="4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2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218,617</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190,637</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161,834</w:t>
            </w:r>
          </w:p>
        </w:tc>
        <w:tc>
          <w:tcPr>
            <w:tcW w:w="4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2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96,133</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130,715</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127,870</w:t>
            </w:r>
          </w:p>
        </w:tc>
        <w:tc>
          <w:tcPr>
            <w:tcW w:w="4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29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54,873</w:t>
            </w:r>
          </w:p>
        </w:tc>
        <w:tc>
          <w:tcPr>
            <w:tcW w:w="1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39,370</w:t>
            </w:r>
          </w:p>
        </w:tc>
        <w:tc>
          <w:tcPr>
            <w:tcW w:w="1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36,791</w:t>
            </w:r>
          </w:p>
        </w:tc>
        <w:tc>
          <w:tcPr>
            <w:tcW w:w="442"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3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7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8" w:type="dxa"/>
            <w:tcBorders/>
            <w:shd w:fill="CCEEFF" w:val="clear"/>
            <w:vAlign w:val="center"/>
          </w:tcPr>
          <w:p>
            <w:pPr>
              <w:pStyle w:val="TableContents"/>
              <w:spacing w:before="0" w:after="0"/>
              <w:jc w:val="right"/>
              <w:rPr>
                <w:rFonts w:ascii="inherit" w:hAnsi="inherit"/>
                <w:sz w:val="17"/>
              </w:rPr>
            </w:pPr>
            <w:r>
              <w:rPr>
                <w:rFonts w:ascii="inherit" w:hAnsi="inherit"/>
                <w:sz w:val="17"/>
              </w:rPr>
              <w:t>640,684</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9" w:type="dxa"/>
            <w:tcBorders/>
            <w:shd w:fill="CCEEFF" w:val="clear"/>
            <w:vAlign w:val="center"/>
          </w:tcPr>
          <w:p>
            <w:pPr>
              <w:pStyle w:val="TableContents"/>
              <w:spacing w:before="0" w:after="0"/>
              <w:jc w:val="right"/>
              <w:rPr>
                <w:rFonts w:ascii="inherit" w:hAnsi="inherit"/>
                <w:sz w:val="17"/>
              </w:rPr>
            </w:pPr>
            <w:r>
              <w:rPr>
                <w:rFonts w:ascii="inherit" w:hAnsi="inherit"/>
                <w:sz w:val="17"/>
              </w:rPr>
              <w:t>614,401</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7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9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526,303</w:t>
            </w:r>
          </w:p>
        </w:tc>
        <w:tc>
          <w:tcPr>
            <w:tcW w:w="44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129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61,735</w:t>
            </w:r>
          </w:p>
        </w:tc>
        <w:tc>
          <w:tcPr>
            <w:tcW w:w="15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155,110</w:t>
            </w:r>
          </w:p>
        </w:tc>
        <w:tc>
          <w:tcPr>
            <w:tcW w:w="15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123,717</w:t>
            </w:r>
          </w:p>
        </w:tc>
        <w:tc>
          <w:tcPr>
            <w:tcW w:w="44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29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(23,310</w:t>
            </w:r>
          </w:p>
        </w:tc>
        <w:tc>
          <w:tcPr>
            <w:tcW w:w="15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9" w:type="dxa"/>
            <w:tcBorders/>
            <w:shd w:fill="CCEEFF" w:val="clear"/>
            <w:vAlign w:val="center"/>
          </w:tcPr>
          <w:p>
            <w:pPr>
              <w:pStyle w:val="TableContents"/>
              <w:spacing w:before="0" w:after="0"/>
              <w:ind w:left="0" w:right="0" w:firstLine="30"/>
              <w:rPr/>
            </w:pPr>
            <w:r>
              <w:rPr/>
              <w:t> </w:t>
            </w:r>
          </w:p>
        </w:tc>
        <w:tc>
          <w:tcPr>
            <w:tcW w:w="12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(4,533</w:t>
            </w:r>
          </w:p>
        </w:tc>
        <w:tc>
          <w:tcPr>
            <w:tcW w:w="15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9" w:type="dxa"/>
            <w:tcBorders/>
            <w:shd w:fill="CCEEFF" w:val="clear"/>
            <w:vAlign w:val="center"/>
          </w:tcPr>
          <w:p>
            <w:pPr>
              <w:pStyle w:val="TableContents"/>
              <w:spacing w:before="0" w:after="0"/>
              <w:ind w:left="0" w:right="0" w:firstLine="30"/>
              <w:rPr/>
            </w:pPr>
            <w:r>
              <w:rPr/>
              <w:t> </w:t>
            </w:r>
          </w:p>
        </w:tc>
        <w:tc>
          <w:tcPr>
            <w:tcW w:w="12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(1,558</w:t>
            </w:r>
          </w:p>
        </w:tc>
        <w:tc>
          <w:tcPr>
            <w:tcW w:w="44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3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8" w:type="dxa"/>
            <w:tcBorders/>
            <w:shd w:fill="auto" w:val="clear"/>
            <w:vAlign w:val="center"/>
          </w:tcPr>
          <w:p>
            <w:pPr>
              <w:pStyle w:val="TableContents"/>
              <w:spacing w:before="0" w:after="0"/>
              <w:jc w:val="right"/>
              <w:rPr>
                <w:rFonts w:ascii="inherit" w:hAnsi="inherit"/>
                <w:sz w:val="17"/>
              </w:rPr>
            </w:pPr>
            <w:r>
              <w:rPr>
                <w:rFonts w:ascii="inherit" w:hAnsi="inherit"/>
                <w:sz w:val="17"/>
              </w:rPr>
              <w:t>38,425</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9" w:type="dxa"/>
            <w:tcBorders/>
            <w:shd w:fill="auto" w:val="clear"/>
            <w:vAlign w:val="center"/>
          </w:tcPr>
          <w:p>
            <w:pPr>
              <w:pStyle w:val="TableContents"/>
              <w:spacing w:before="0" w:after="0"/>
              <w:jc w:val="right"/>
              <w:rPr>
                <w:rFonts w:ascii="inherit" w:hAnsi="inherit"/>
                <w:sz w:val="17"/>
              </w:rPr>
            </w:pPr>
            <w:r>
              <w:rPr>
                <w:rFonts w:ascii="inherit" w:hAnsi="inherit"/>
                <w:sz w:val="17"/>
              </w:rPr>
              <w:t>150,577</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9" w:type="dxa"/>
            <w:tcBorders/>
            <w:shd w:fill="auto" w:val="clear"/>
            <w:vAlign w:val="center"/>
          </w:tcPr>
          <w:p>
            <w:pPr>
              <w:pStyle w:val="TableContents"/>
              <w:spacing w:before="0" w:after="0"/>
              <w:jc w:val="right"/>
              <w:rPr>
                <w:rFonts w:ascii="inherit" w:hAnsi="inherit"/>
                <w:sz w:val="17"/>
              </w:rPr>
            </w:pPr>
            <w:r>
              <w:rPr>
                <w:rFonts w:ascii="inherit" w:hAnsi="inherit"/>
                <w:sz w:val="17"/>
              </w:rPr>
              <w:t>122,159</w:t>
            </w:r>
          </w:p>
        </w:tc>
        <w:tc>
          <w:tcPr>
            <w:tcW w:w="4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redeemable noncontrolling interest</w:t>
            </w:r>
          </w:p>
        </w:tc>
        <w:tc>
          <w:tcPr>
            <w:tcW w:w="129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4,348</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6,869</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4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43"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Net income attributable to EZCORP, Inc.</w:t>
            </w:r>
          </w:p>
        </w:tc>
        <w:tc>
          <w:tcPr>
            <w:tcW w:w="17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34,077</w:t>
            </w:r>
          </w:p>
        </w:tc>
        <w:tc>
          <w:tcPr>
            <w:tcW w:w="15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7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143,708</w:t>
            </w:r>
          </w:p>
        </w:tc>
        <w:tc>
          <w:tcPr>
            <w:tcW w:w="15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7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442"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7"/>
        </w:rPr>
      </w:pPr>
      <w:bookmarkStart w:id="28" w:name="sB41EA7CB0AD19174848A83E282640AD4"/>
      <w:bookmarkEnd w:id="28"/>
      <w:r>
        <w:rPr>
          <w:rFonts w:ascii="inherit" w:hAnsi="inherit"/>
          <w:b/>
          <w:sz w:val="17"/>
        </w:rPr>
        <w:t>Overview</w:t>
      </w:r>
    </w:p>
    <w:p>
      <w:pPr>
        <w:pStyle w:val="TextBody"/>
        <w:spacing w:lineRule="auto" w:line="288" w:before="0" w:after="0"/>
        <w:jc w:val="left"/>
        <w:rPr>
          <w:rFonts w:ascii="inherit" w:hAnsi="inherit"/>
          <w:sz w:val="17"/>
        </w:rPr>
      </w:pPr>
      <w:r>
        <w:rPr>
          <w:rFonts w:ascii="inherit" w:hAnsi="inherit"/>
          <w:sz w:val="17"/>
        </w:rPr>
        <w:t>We are a worldwide leader in delivering instant cash solutions to our customers through a wide variety of channels, products, services and markets. We offer our customers multiple ways to access instant cash through approximately 1,350 locations and branches across the United States, Mexico, Canada and the United Kingdom. We offer these products through our four primary channels: in-store, online, worksite and mobile platforms.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We fulfill the growing global consumer demand for immediate access to cash, financial services and affordable pre-owned merchandise. We offer a variety of instant cash solutions, including collateralized, non-recourse loans, commonly known as pawn loans, and a variety of short-term consumer loans, including single- and multiple-payment unsecured loans and single- and multiple-payment auto title loans. In some U.S. locations (primarily in Texas), we do not offer loan products, but rather offer credit services to help customers obtain loans from independent third-party lenders.</w:t>
      </w:r>
    </w:p>
    <w:p>
      <w:pPr>
        <w:pStyle w:val="TextBody"/>
        <w:spacing w:lineRule="auto" w:line="288" w:before="0" w:after="0"/>
        <w:jc w:val="left"/>
        <w:rPr>
          <w:sz w:val="17"/>
        </w:rPr>
      </w:pPr>
      <w:r>
        <w:rPr>
          <w:rFonts w:ascii="inherit" w:hAnsi="inherit"/>
          <w:sz w:val="17"/>
        </w:rPr>
        <w:t xml:space="preserve">During the second quarter of fiscal 2012, we entered into the unsecured lending market in Mexico with the acquisition of a 60% interest in Prestaciones Finmart, S.A.P.I. de C.V., SOFOM, E.N.R. ("Grupo Finmart"), a leading payroll withholding lender headquartered in Mexico City. As of </w:t>
      </w:r>
      <w:r>
        <w:rPr>
          <w:rFonts w:ascii="inherit" w:hAnsi="inherit"/>
          <w:strike w:val="false"/>
          <w:dstrike w:val="false"/>
          <w:color w:val="000000"/>
          <w:sz w:val="17"/>
          <w:u w:val="none"/>
          <w:effect w:val="none"/>
        </w:rPr>
        <w:t>September 30, 2013</w:t>
      </w:r>
      <w:r>
        <w:rPr>
          <w:rFonts w:ascii="inherit" w:hAnsi="inherit"/>
          <w:sz w:val="17"/>
        </w:rPr>
        <w:t xml:space="preserve">, Grupo Finmart had approximately 70 payroll withholding master agreements with Mexican employers, primarily federal, state and local governments and agencies, and provided consumer loans to the agencies' employees. We also own a 51% interest in Renueva Commercial S.A.P.I. de C.V. ("TUYO"), a company headquartered in Mexico City that owns and operates buy/sell stores in Mexico City and the surrounding metropolitan area. In addition, during the third quarter of fiscal 2012, we acquired 72% of Ariste Holding Limited and its affiliates ("Cash Genie"), which offers short-term consumer loans online in the United Kingdom. During fiscal 2013, we acquired the remaining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28</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outstanding interests in Cash Genie, and at September 30, 2013, own 100% of Cash Genie's ordinary shares. During fiscal 2013, we also acquired a U.S. online lending business from Go Cash, LLC and certain of its affiliates.</w:t>
      </w:r>
    </w:p>
    <w:p>
      <w:pPr>
        <w:pStyle w:val="TextBody"/>
        <w:spacing w:lineRule="auto" w:line="288" w:before="0" w:after="0"/>
        <w:jc w:val="left"/>
        <w:rPr>
          <w:sz w:val="17"/>
        </w:rPr>
      </w:pPr>
      <w:r>
        <w:rPr>
          <w:rFonts w:ascii="inherit" w:hAnsi="inherit"/>
          <w:sz w:val="17"/>
        </w:rPr>
        <w:t xml:space="preserve">At </w:t>
      </w:r>
      <w:r>
        <w:rPr>
          <w:rFonts w:ascii="inherit" w:hAnsi="inherit"/>
          <w:strike w:val="false"/>
          <w:dstrike w:val="false"/>
          <w:color w:val="000000"/>
          <w:sz w:val="17"/>
          <w:u w:val="none"/>
          <w:effect w:val="none"/>
        </w:rPr>
        <w:t>September 30, 2013</w:t>
      </w:r>
      <w:r>
        <w:rPr>
          <w:rFonts w:ascii="inherit" w:hAnsi="inherit"/>
          <w:sz w:val="17"/>
        </w:rPr>
        <w:t xml:space="preserve">, we operated a total of </w:t>
      </w:r>
      <w:r>
        <w:rPr>
          <w:rFonts w:ascii="Times New Roman" w:hAnsi="Times New Roman"/>
          <w:b w:val="false"/>
          <w:i w:val="false"/>
          <w:caps w:val="false"/>
          <w:smallCaps w:val="false"/>
          <w:strike w:val="false"/>
          <w:dstrike w:val="false"/>
          <w:color w:val="000000"/>
          <w:sz w:val="17"/>
          <w:u w:val="none"/>
          <w:effect w:val="none"/>
        </w:rPr>
        <w:t>1,342</w:t>
      </w:r>
      <w:r>
        <w:rPr>
          <w:sz w:val="17"/>
        </w:rPr>
        <w:t xml:space="preserve"> </w:t>
      </w:r>
      <w:r>
        <w:rPr>
          <w:rFonts w:ascii="inherit" w:hAnsi="inherit"/>
          <w:sz w:val="17"/>
        </w:rPr>
        <w:t>locations, consisting of 495 U.S. pawn stores (operating primarily as EZPAWN or Value Pawn &amp; Jewelry), seven U.S. buy/sell stores (operating as Cash Converters), 239 pawn stores in Mexico (operating as Empeño Fácil), 489 U.S. financial services stores (operating primarily as EZMONEY), 39 buy/sell and financial services stores in Canada (operating as Cash Converters or CASHMAX), 19 buy/sell stores in Mexico (operating as TUYO) and 54 financial services branches in Mexico (operating as Crediamigo or Adex). We own approximately 30% of Albemarle &amp; Bond Holdings, PLC, one of the United Kingdom's largest pawnbroking businesses with approximately 230 stores, and approximately 33% of Cash Converters International Limited, which is based in Australia and franchises and operates a worldwide network of over 700 locations that provide financial services and buy and sell second-hand goods. We also own the Cash Converters master franchise rights in Canada and are the franchisor of eight stores there.</w:t>
      </w:r>
    </w:p>
    <w:p>
      <w:pPr>
        <w:pStyle w:val="TextBody"/>
        <w:spacing w:lineRule="auto" w:line="288" w:before="0" w:after="0"/>
        <w:jc w:val="left"/>
        <w:rPr>
          <w:rFonts w:ascii="inherit" w:hAnsi="inherit"/>
          <w:sz w:val="17"/>
        </w:rPr>
      </w:pPr>
      <w:r>
        <w:rPr>
          <w:rFonts w:ascii="inherit" w:hAnsi="inherit"/>
          <w:sz w:val="17"/>
        </w:rPr>
        <w:t>Our business consists of three reportable segments: The U.S. &amp; Canada segment, which includes all business activities in the United States and Canada; the Latin America segment, which includes our Empeño Fácil pawn operations and Grupo Finmart financial services operations in Mexico; and the Other International segment, which includes the Cash Genie online business in the U.K. and our equity interests in the net income of Albemarle &amp; Bond and Cash Converters International.</w:t>
      </w:r>
    </w:p>
    <w:p>
      <w:pPr>
        <w:pStyle w:val="TextBody"/>
        <w:spacing w:lineRule="auto" w:line="288" w:before="0" w:after="0"/>
        <w:jc w:val="left"/>
        <w:rPr>
          <w:rFonts w:ascii="inherit" w:hAnsi="inherit"/>
          <w:sz w:val="17"/>
        </w:rPr>
      </w:pPr>
      <w:r>
        <w:rPr>
          <w:rFonts w:ascii="inherit" w:hAnsi="inherit"/>
          <w:sz w:val="17"/>
        </w:rPr>
        <w:t>The following tables present stores by segment:</w:t>
      </w:r>
    </w:p>
    <w:tbl>
      <w:tblPr>
        <w:tblW w:w="10205" w:type="dxa"/>
        <w:jc w:val="center"/>
        <w:tblInd w:w="0" w:type="dxa"/>
        <w:tblCellMar>
          <w:top w:w="0" w:type="dxa"/>
          <w:left w:w="0" w:type="dxa"/>
          <w:bottom w:w="0" w:type="dxa"/>
          <w:right w:w="0" w:type="dxa"/>
        </w:tblCellMar>
      </w:tblPr>
      <w:tblGrid>
        <w:gridCol w:w="3137"/>
        <w:gridCol w:w="1237"/>
        <w:gridCol w:w="129"/>
        <w:gridCol w:w="1135"/>
        <w:gridCol w:w="129"/>
        <w:gridCol w:w="1289"/>
        <w:gridCol w:w="140"/>
        <w:gridCol w:w="129"/>
        <w:gridCol w:w="1443"/>
        <w:gridCol w:w="129"/>
        <w:gridCol w:w="938"/>
        <w:gridCol w:w="370"/>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3137"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37" w:type="dxa"/>
            <w:tcBorders/>
            <w:shd w:fill="auto" w:val="clear"/>
            <w:vAlign w:val="center"/>
          </w:tcPr>
          <w:p>
            <w:pPr>
              <w:pStyle w:val="TableContents"/>
              <w:spacing w:before="0" w:after="0"/>
              <w:ind w:left="0" w:right="0" w:firstLine="30"/>
              <w:jc w:val="left"/>
              <w:rPr/>
            </w:pPr>
            <w:r>
              <w:rPr/>
              <w:t> </w:t>
            </w:r>
          </w:p>
        </w:tc>
        <w:tc>
          <w:tcPr>
            <w:tcW w:w="706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2013</w:t>
            </w:r>
          </w:p>
        </w:tc>
      </w:tr>
      <w:tr>
        <w:trPr/>
        <w:tc>
          <w:tcPr>
            <w:tcW w:w="3137" w:type="dxa"/>
            <w:tcBorders/>
            <w:shd w:fill="auto" w:val="clear"/>
            <w:vAlign w:val="center"/>
          </w:tcPr>
          <w:p>
            <w:pPr>
              <w:pStyle w:val="TableContents"/>
              <w:spacing w:before="0" w:after="0"/>
              <w:ind w:left="0" w:right="0" w:firstLine="30"/>
              <w:jc w:val="left"/>
              <w:rPr/>
            </w:pPr>
            <w:r>
              <w:rPr/>
              <w:t> </w:t>
            </w:r>
          </w:p>
        </w:tc>
        <w:tc>
          <w:tcPr>
            <w:tcW w:w="5631"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29" w:type="dxa"/>
            <w:tcBorders/>
            <w:shd w:fill="auto" w:val="clear"/>
            <w:vAlign w:val="center"/>
          </w:tcPr>
          <w:p>
            <w:pPr>
              <w:pStyle w:val="TableContents"/>
              <w:spacing w:before="0" w:after="0"/>
              <w:ind w:left="0" w:right="0" w:firstLine="30"/>
              <w:rPr/>
            </w:pPr>
            <w:r>
              <w:rPr/>
              <w:t> </w:t>
            </w:r>
          </w:p>
        </w:tc>
        <w:tc>
          <w:tcPr>
            <w:tcW w:w="1308" w:type="dxa"/>
            <w:gridSpan w:val="2"/>
            <w:tcBorders/>
            <w:shd w:fill="auto" w:val="clear"/>
            <w:vAlign w:val="center"/>
          </w:tcPr>
          <w:p>
            <w:pPr>
              <w:pStyle w:val="TableContents"/>
              <w:spacing w:before="0" w:after="0"/>
              <w:ind w:left="0" w:right="0" w:firstLine="30"/>
              <w:jc w:val="center"/>
              <w:rPr/>
            </w:pPr>
            <w:r>
              <w:rPr/>
              <w:t> </w:t>
            </w:r>
          </w:p>
        </w:tc>
      </w:tr>
      <w:tr>
        <w:trPr/>
        <w:tc>
          <w:tcPr>
            <w:tcW w:w="3137" w:type="dxa"/>
            <w:tcBorders/>
            <w:shd w:fill="auto" w:val="clear"/>
            <w:vAlign w:val="center"/>
          </w:tcPr>
          <w:p>
            <w:pPr>
              <w:pStyle w:val="TableContents"/>
              <w:spacing w:before="0" w:after="0"/>
              <w:ind w:left="0" w:right="0" w:firstLine="30"/>
              <w:rPr/>
            </w:pPr>
            <w:r>
              <w:rPr/>
              <w:t> </w:t>
            </w:r>
          </w:p>
        </w:tc>
        <w:tc>
          <w:tcPr>
            <w:tcW w:w="1237"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29" w:type="dxa"/>
            <w:tcBorders/>
            <w:shd w:fill="auto" w:val="clear"/>
            <w:vAlign w:val="center"/>
          </w:tcPr>
          <w:p>
            <w:pPr>
              <w:pStyle w:val="TableContents"/>
              <w:spacing w:before="0" w:after="0"/>
              <w:ind w:left="0" w:right="0" w:firstLine="30"/>
              <w:rPr/>
            </w:pPr>
            <w:r>
              <w:rPr/>
              <w:t> </w:t>
            </w:r>
          </w:p>
        </w:tc>
        <w:tc>
          <w:tcPr>
            <w:tcW w:w="113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29" w:type="dxa"/>
            <w:tcBorders/>
            <w:shd w:fill="auto" w:val="clear"/>
            <w:vAlign w:val="center"/>
          </w:tcPr>
          <w:p>
            <w:pPr>
              <w:pStyle w:val="TableContents"/>
              <w:spacing w:before="0" w:after="0"/>
              <w:ind w:left="0" w:right="0" w:firstLine="30"/>
              <w:rPr/>
            </w:pPr>
            <w:r>
              <w:rPr/>
              <w:t> </w:t>
            </w:r>
          </w:p>
        </w:tc>
        <w:tc>
          <w:tcPr>
            <w:tcW w:w="142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29" w:type="dxa"/>
            <w:tcBorders/>
            <w:shd w:fill="auto" w:val="clear"/>
            <w:vAlign w:val="center"/>
          </w:tcPr>
          <w:p>
            <w:pPr>
              <w:pStyle w:val="TableContents"/>
              <w:spacing w:before="0" w:after="0"/>
              <w:rPr/>
            </w:pPr>
            <w:r>
              <w:rPr/>
              <w:t> </w:t>
            </w:r>
          </w:p>
        </w:tc>
        <w:tc>
          <w:tcPr>
            <w:tcW w:w="1443"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29" w:type="dxa"/>
            <w:tcBorders/>
            <w:shd w:fill="auto" w:val="clear"/>
            <w:vAlign w:val="center"/>
          </w:tcPr>
          <w:p>
            <w:pPr>
              <w:pStyle w:val="TableContents"/>
              <w:spacing w:before="0" w:after="0"/>
              <w:rPr/>
            </w:pPr>
            <w:r>
              <w:rPr/>
              <w:t> </w:t>
            </w:r>
          </w:p>
        </w:tc>
        <w:tc>
          <w:tcPr>
            <w:tcW w:w="130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3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37"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135"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429" w:type="dxa"/>
            <w:gridSpan w:val="2"/>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443"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308" w:type="dxa"/>
            <w:gridSpan w:val="2"/>
            <w:tcBorders/>
            <w:shd w:fill="CCEEFF" w:val="clear"/>
            <w:vAlign w:val="center"/>
          </w:tcPr>
          <w:p>
            <w:pPr>
              <w:pStyle w:val="TableContents"/>
              <w:spacing w:before="0" w:after="0"/>
              <w:ind w:left="0" w:right="0" w:firstLine="180"/>
              <w:jc w:val="left"/>
              <w:rPr/>
            </w:pPr>
            <w:r>
              <w:rPr/>
              <w:t> </w:t>
            </w:r>
          </w:p>
        </w:tc>
      </w:tr>
      <w:tr>
        <w:trPr/>
        <w:tc>
          <w:tcPr>
            <w:tcW w:w="3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23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987</w:t>
            </w:r>
          </w:p>
        </w:tc>
        <w:tc>
          <w:tcPr>
            <w:tcW w:w="129" w:type="dxa"/>
            <w:tcBorders/>
            <w:shd w:fill="auto" w:val="clear"/>
            <w:vAlign w:val="center"/>
          </w:tcPr>
          <w:p>
            <w:pPr>
              <w:pStyle w:val="TableContents"/>
              <w:spacing w:before="0" w:after="0"/>
              <w:ind w:left="0" w:right="0" w:firstLine="30"/>
              <w:rPr/>
            </w:pPr>
            <w:r>
              <w:rPr/>
              <w:t> </w:t>
            </w:r>
          </w:p>
        </w:tc>
        <w:tc>
          <w:tcPr>
            <w:tcW w:w="113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275</w:t>
            </w:r>
          </w:p>
        </w:tc>
        <w:tc>
          <w:tcPr>
            <w:tcW w:w="129" w:type="dxa"/>
            <w:tcBorders/>
            <w:shd w:fill="auto" w:val="clear"/>
            <w:vAlign w:val="center"/>
          </w:tcPr>
          <w:p>
            <w:pPr>
              <w:pStyle w:val="TableContents"/>
              <w:spacing w:before="0" w:after="0"/>
              <w:ind w:left="0" w:right="0" w:firstLine="30"/>
              <w:rPr/>
            </w:pPr>
            <w:r>
              <w:rPr/>
              <w:t> </w:t>
            </w:r>
          </w:p>
        </w:tc>
        <w:tc>
          <w:tcPr>
            <w:tcW w:w="1289" w:type="dxa"/>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3"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1,262</w:t>
            </w:r>
          </w:p>
        </w:tc>
        <w:tc>
          <w:tcPr>
            <w:tcW w:w="129" w:type="dxa"/>
            <w:tcBorders/>
            <w:shd w:fill="auto" w:val="clear"/>
            <w:vAlign w:val="center"/>
          </w:tcPr>
          <w:p>
            <w:pPr>
              <w:pStyle w:val="TableContents"/>
              <w:spacing w:before="0" w:after="0"/>
              <w:ind w:left="0" w:right="0" w:firstLine="30"/>
              <w:rPr/>
            </w:pPr>
            <w:r>
              <w:rPr/>
              <w:t> </w:t>
            </w:r>
          </w:p>
        </w:tc>
        <w:tc>
          <w:tcPr>
            <w:tcW w:w="938" w:type="dxa"/>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37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237"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84</w:t>
            </w:r>
          </w:p>
        </w:tc>
        <w:tc>
          <w:tcPr>
            <w:tcW w:w="129" w:type="dxa"/>
            <w:tcBorders/>
            <w:shd w:fill="CCEEFF" w:val="clear"/>
            <w:vAlign w:val="center"/>
          </w:tcPr>
          <w:p>
            <w:pPr>
              <w:pStyle w:val="TableContents"/>
              <w:spacing w:before="0" w:after="0"/>
              <w:ind w:left="0" w:right="0" w:firstLine="30"/>
              <w:rPr/>
            </w:pPr>
            <w:r>
              <w:rPr/>
              <w:t> </w:t>
            </w:r>
          </w:p>
        </w:tc>
        <w:tc>
          <w:tcPr>
            <w:tcW w:w="1135"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73</w:t>
            </w:r>
          </w:p>
        </w:tc>
        <w:tc>
          <w:tcPr>
            <w:tcW w:w="129" w:type="dxa"/>
            <w:tcBorders/>
            <w:shd w:fill="CCEEFF" w:val="clear"/>
            <w:vAlign w:val="center"/>
          </w:tcPr>
          <w:p>
            <w:pPr>
              <w:pStyle w:val="TableContents"/>
              <w:spacing w:before="0" w:after="0"/>
              <w:ind w:left="0" w:right="0" w:firstLine="30"/>
              <w:rPr/>
            </w:pPr>
            <w:r>
              <w:rPr/>
              <w:t> </w:t>
            </w:r>
          </w:p>
        </w:tc>
        <w:tc>
          <w:tcPr>
            <w:tcW w:w="1289"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3"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157</w:t>
            </w:r>
          </w:p>
        </w:tc>
        <w:tc>
          <w:tcPr>
            <w:tcW w:w="129" w:type="dxa"/>
            <w:tcBorders/>
            <w:shd w:fill="CCEEFF" w:val="clear"/>
            <w:vAlign w:val="center"/>
          </w:tcPr>
          <w:p>
            <w:pPr>
              <w:pStyle w:val="TableContents"/>
              <w:spacing w:before="0" w:after="0"/>
              <w:ind w:left="0" w:right="0" w:firstLine="30"/>
              <w:rPr/>
            </w:pPr>
            <w:r>
              <w:rPr/>
              <w:t> </w:t>
            </w:r>
          </w:p>
        </w:tc>
        <w:tc>
          <w:tcPr>
            <w:tcW w:w="938" w:type="dxa"/>
            <w:tcBorders/>
            <w:shd w:fill="CCEEFF" w:val="clear"/>
            <w:vAlign w:val="center"/>
          </w:tcPr>
          <w:p>
            <w:pPr>
              <w:pStyle w:val="TableContents"/>
              <w:spacing w:before="0" w:after="0"/>
              <w:jc w:val="right"/>
              <w:rPr/>
            </w:pPr>
            <w:r>
              <w:rPr/>
              <w:t>—</w:t>
            </w:r>
          </w:p>
        </w:tc>
        <w:tc>
          <w:tcPr>
            <w:tcW w:w="370"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23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12</w:t>
            </w:r>
          </w:p>
        </w:tc>
        <w:tc>
          <w:tcPr>
            <w:tcW w:w="129" w:type="dxa"/>
            <w:tcBorders/>
            <w:shd w:fill="auto" w:val="clear"/>
            <w:vAlign w:val="center"/>
          </w:tcPr>
          <w:p>
            <w:pPr>
              <w:pStyle w:val="TableContents"/>
              <w:spacing w:before="0" w:after="0"/>
              <w:ind w:left="0" w:right="0" w:firstLine="30"/>
              <w:rPr/>
            </w:pPr>
            <w:r>
              <w:rPr/>
              <w:t> </w:t>
            </w:r>
          </w:p>
        </w:tc>
        <w:tc>
          <w:tcPr>
            <w:tcW w:w="113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26</w:t>
            </w:r>
          </w:p>
        </w:tc>
        <w:tc>
          <w:tcPr>
            <w:tcW w:w="129" w:type="dxa"/>
            <w:tcBorders/>
            <w:shd w:fill="auto" w:val="clear"/>
            <w:vAlign w:val="center"/>
          </w:tcPr>
          <w:p>
            <w:pPr>
              <w:pStyle w:val="TableContents"/>
              <w:spacing w:before="0" w:after="0"/>
              <w:ind w:left="0" w:right="0" w:firstLine="30"/>
              <w:rPr/>
            </w:pPr>
            <w:r>
              <w:rPr/>
              <w:t> </w:t>
            </w:r>
          </w:p>
        </w:tc>
        <w:tc>
          <w:tcPr>
            <w:tcW w:w="1289" w:type="dxa"/>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3"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38</w:t>
            </w:r>
          </w:p>
        </w:tc>
        <w:tc>
          <w:tcPr>
            <w:tcW w:w="129" w:type="dxa"/>
            <w:tcBorders/>
            <w:shd w:fill="auto" w:val="clear"/>
            <w:vAlign w:val="center"/>
          </w:tcPr>
          <w:p>
            <w:pPr>
              <w:pStyle w:val="TableContents"/>
              <w:spacing w:before="0" w:after="0"/>
              <w:ind w:left="0" w:right="0" w:firstLine="30"/>
              <w:rPr/>
            </w:pPr>
            <w:r>
              <w:rPr/>
              <w:t> </w:t>
            </w:r>
          </w:p>
        </w:tc>
        <w:tc>
          <w:tcPr>
            <w:tcW w:w="938" w:type="dxa"/>
            <w:tcBorders/>
            <w:shd w:fill="auto" w:val="clear"/>
            <w:vAlign w:val="center"/>
          </w:tcPr>
          <w:p>
            <w:pPr>
              <w:pStyle w:val="TableContents"/>
              <w:spacing w:before="0" w:after="0"/>
              <w:jc w:val="right"/>
              <w:rPr/>
            </w:pPr>
            <w:r>
              <w:rPr/>
              <w:t>—</w:t>
            </w:r>
          </w:p>
        </w:tc>
        <w:tc>
          <w:tcPr>
            <w:tcW w:w="37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237"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(3)</w:t>
            </w:r>
          </w:p>
        </w:tc>
        <w:tc>
          <w:tcPr>
            <w:tcW w:w="129" w:type="dxa"/>
            <w:tcBorders/>
            <w:shd w:fill="CCEEFF" w:val="clear"/>
            <w:vAlign w:val="center"/>
          </w:tcPr>
          <w:p>
            <w:pPr>
              <w:pStyle w:val="TableContents"/>
              <w:spacing w:before="0" w:after="0"/>
              <w:ind w:left="0" w:right="0" w:firstLine="30"/>
              <w:rPr/>
            </w:pPr>
            <w:r>
              <w:rPr/>
              <w:t> </w:t>
            </w:r>
          </w:p>
        </w:tc>
        <w:tc>
          <w:tcPr>
            <w:tcW w:w="1135"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(5)</w:t>
            </w:r>
          </w:p>
        </w:tc>
        <w:tc>
          <w:tcPr>
            <w:tcW w:w="129" w:type="dxa"/>
            <w:tcBorders/>
            <w:shd w:fill="CCEEFF" w:val="clear"/>
            <w:vAlign w:val="center"/>
          </w:tcPr>
          <w:p>
            <w:pPr>
              <w:pStyle w:val="TableContents"/>
              <w:spacing w:before="0" w:after="0"/>
              <w:ind w:left="0" w:right="0" w:firstLine="30"/>
              <w:rPr/>
            </w:pPr>
            <w:r>
              <w:rPr/>
              <w:t> </w:t>
            </w:r>
          </w:p>
        </w:tc>
        <w:tc>
          <w:tcPr>
            <w:tcW w:w="1289"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3"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(8)</w:t>
            </w:r>
          </w:p>
        </w:tc>
        <w:tc>
          <w:tcPr>
            <w:tcW w:w="129" w:type="dxa"/>
            <w:tcBorders/>
            <w:shd w:fill="CCEEFF" w:val="clear"/>
            <w:vAlign w:val="center"/>
          </w:tcPr>
          <w:p>
            <w:pPr>
              <w:pStyle w:val="TableContents"/>
              <w:spacing w:before="0" w:after="0"/>
              <w:ind w:left="0" w:right="0" w:firstLine="30"/>
              <w:rPr/>
            </w:pPr>
            <w:r>
              <w:rPr/>
              <w:t> </w:t>
            </w:r>
          </w:p>
        </w:tc>
        <w:tc>
          <w:tcPr>
            <w:tcW w:w="938" w:type="dxa"/>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370"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237"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(50)</w:t>
            </w:r>
          </w:p>
        </w:tc>
        <w:tc>
          <w:tcPr>
            <w:tcW w:w="129" w:type="dxa"/>
            <w:tcBorders/>
            <w:shd w:fill="auto" w:val="clear"/>
            <w:vAlign w:val="center"/>
          </w:tcPr>
          <w:p>
            <w:pPr>
              <w:pStyle w:val="TableContents"/>
              <w:spacing w:before="0" w:after="0"/>
              <w:ind w:left="0" w:right="0" w:firstLine="30"/>
              <w:rPr/>
            </w:pPr>
            <w:r>
              <w:rPr/>
              <w:t> </w:t>
            </w:r>
          </w:p>
        </w:tc>
        <w:tc>
          <w:tcPr>
            <w:tcW w:w="1135"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(57)</w:t>
            </w:r>
          </w:p>
        </w:tc>
        <w:tc>
          <w:tcPr>
            <w:tcW w:w="129" w:type="dxa"/>
            <w:tcBorders/>
            <w:shd w:fill="auto" w:val="clear"/>
            <w:vAlign w:val="center"/>
          </w:tcPr>
          <w:p>
            <w:pPr>
              <w:pStyle w:val="TableContents"/>
              <w:spacing w:before="0" w:after="0"/>
              <w:ind w:left="0" w:right="0" w:firstLine="30"/>
              <w:rPr/>
            </w:pPr>
            <w:r>
              <w:rPr/>
              <w:t> </w:t>
            </w:r>
          </w:p>
        </w:tc>
        <w:tc>
          <w:tcPr>
            <w:tcW w:w="1289" w:type="dxa"/>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3"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(107)</w:t>
            </w:r>
          </w:p>
        </w:tc>
        <w:tc>
          <w:tcPr>
            <w:tcW w:w="129" w:type="dxa"/>
            <w:tcBorders/>
            <w:shd w:fill="auto" w:val="clear"/>
            <w:vAlign w:val="center"/>
          </w:tcPr>
          <w:p>
            <w:pPr>
              <w:pStyle w:val="TableContents"/>
              <w:spacing w:before="0" w:after="0"/>
              <w:ind w:left="0" w:right="0" w:firstLine="30"/>
              <w:rPr/>
            </w:pPr>
            <w:r>
              <w:rPr/>
              <w:t> </w:t>
            </w:r>
          </w:p>
        </w:tc>
        <w:tc>
          <w:tcPr>
            <w:tcW w:w="938"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370"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23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1,030</w:t>
            </w:r>
          </w:p>
        </w:tc>
        <w:tc>
          <w:tcPr>
            <w:tcW w:w="129" w:type="dxa"/>
            <w:tcBorders/>
            <w:shd w:fill="CCEEFF" w:val="clear"/>
            <w:vAlign w:val="center"/>
          </w:tcPr>
          <w:p>
            <w:pPr>
              <w:pStyle w:val="TableContents"/>
              <w:spacing w:before="0" w:after="0"/>
              <w:ind w:left="0" w:right="0" w:firstLine="30"/>
              <w:rPr/>
            </w:pPr>
            <w:r>
              <w:rPr/>
              <w:t> </w:t>
            </w:r>
          </w:p>
        </w:tc>
        <w:tc>
          <w:tcPr>
            <w:tcW w:w="113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312</w:t>
            </w:r>
          </w:p>
        </w:tc>
        <w:tc>
          <w:tcPr>
            <w:tcW w:w="129" w:type="dxa"/>
            <w:tcBorders/>
            <w:shd w:fill="CCEEFF" w:val="clear"/>
            <w:vAlign w:val="center"/>
          </w:tcPr>
          <w:p>
            <w:pPr>
              <w:pStyle w:val="TableContents"/>
              <w:spacing w:before="0" w:after="0"/>
              <w:ind w:left="0" w:right="0" w:firstLine="30"/>
              <w:rPr/>
            </w:pPr>
            <w:r>
              <w:rPr/>
              <w:t> </w:t>
            </w:r>
          </w:p>
        </w:tc>
        <w:tc>
          <w:tcPr>
            <w:tcW w:w="128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14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1,342</w:t>
            </w:r>
          </w:p>
        </w:tc>
        <w:tc>
          <w:tcPr>
            <w:tcW w:w="129" w:type="dxa"/>
            <w:tcBorders/>
            <w:shd w:fill="CCEEFF" w:val="clear"/>
            <w:vAlign w:val="center"/>
          </w:tcPr>
          <w:p>
            <w:pPr>
              <w:pStyle w:val="TableContents"/>
              <w:spacing w:before="0" w:after="0"/>
              <w:ind w:left="0" w:right="0" w:firstLine="30"/>
              <w:rPr/>
            </w:pPr>
            <w:r>
              <w:rPr/>
              <w:t> </w:t>
            </w:r>
          </w:p>
        </w:tc>
        <w:tc>
          <w:tcPr>
            <w:tcW w:w="9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37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3135"/>
        <w:gridCol w:w="1238"/>
        <w:gridCol w:w="129"/>
        <w:gridCol w:w="1135"/>
        <w:gridCol w:w="129"/>
        <w:gridCol w:w="1290"/>
        <w:gridCol w:w="140"/>
        <w:gridCol w:w="129"/>
        <w:gridCol w:w="1444"/>
        <w:gridCol w:w="129"/>
        <w:gridCol w:w="938"/>
        <w:gridCol w:w="369"/>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3135"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35" w:type="dxa"/>
            <w:tcBorders/>
            <w:shd w:fill="auto" w:val="clear"/>
            <w:vAlign w:val="center"/>
          </w:tcPr>
          <w:p>
            <w:pPr>
              <w:pStyle w:val="TableContents"/>
              <w:spacing w:before="0" w:after="0"/>
              <w:ind w:left="0" w:right="0" w:firstLine="30"/>
              <w:jc w:val="left"/>
              <w:rPr/>
            </w:pPr>
            <w:r>
              <w:rPr/>
              <w:t> </w:t>
            </w:r>
          </w:p>
        </w:tc>
        <w:tc>
          <w:tcPr>
            <w:tcW w:w="707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2012</w:t>
            </w:r>
          </w:p>
        </w:tc>
      </w:tr>
      <w:tr>
        <w:trPr/>
        <w:tc>
          <w:tcPr>
            <w:tcW w:w="3135" w:type="dxa"/>
            <w:tcBorders/>
            <w:shd w:fill="auto" w:val="clear"/>
            <w:vAlign w:val="center"/>
          </w:tcPr>
          <w:p>
            <w:pPr>
              <w:pStyle w:val="TableContents"/>
              <w:spacing w:before="0" w:after="0"/>
              <w:ind w:left="0" w:right="0" w:firstLine="30"/>
              <w:jc w:val="left"/>
              <w:rPr/>
            </w:pPr>
            <w:r>
              <w:rPr/>
              <w:t> </w:t>
            </w:r>
          </w:p>
        </w:tc>
        <w:tc>
          <w:tcPr>
            <w:tcW w:w="5634"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29"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ind w:left="0" w:right="0" w:firstLine="30"/>
              <w:jc w:val="center"/>
              <w:rPr/>
            </w:pPr>
            <w:r>
              <w:rPr/>
              <w:t> </w:t>
            </w:r>
          </w:p>
        </w:tc>
      </w:tr>
      <w:tr>
        <w:trPr/>
        <w:tc>
          <w:tcPr>
            <w:tcW w:w="3135" w:type="dxa"/>
            <w:tcBorders/>
            <w:shd w:fill="auto" w:val="clear"/>
            <w:vAlign w:val="center"/>
          </w:tcPr>
          <w:p>
            <w:pPr>
              <w:pStyle w:val="TableContents"/>
              <w:spacing w:before="0" w:after="0"/>
              <w:ind w:left="0" w:right="0" w:firstLine="30"/>
              <w:rPr/>
            </w:pPr>
            <w:r>
              <w:rPr/>
              <w:t> </w:t>
            </w:r>
          </w:p>
        </w:tc>
        <w:tc>
          <w:tcPr>
            <w:tcW w:w="123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29" w:type="dxa"/>
            <w:tcBorders/>
            <w:shd w:fill="auto" w:val="clear"/>
            <w:vAlign w:val="center"/>
          </w:tcPr>
          <w:p>
            <w:pPr>
              <w:pStyle w:val="TableContents"/>
              <w:spacing w:before="0" w:after="0"/>
              <w:ind w:left="0" w:right="0" w:firstLine="30"/>
              <w:rPr/>
            </w:pPr>
            <w:r>
              <w:rPr/>
              <w:t> </w:t>
            </w:r>
          </w:p>
        </w:tc>
        <w:tc>
          <w:tcPr>
            <w:tcW w:w="113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29" w:type="dxa"/>
            <w:tcBorders/>
            <w:shd w:fill="auto" w:val="clear"/>
            <w:vAlign w:val="center"/>
          </w:tcPr>
          <w:p>
            <w:pPr>
              <w:pStyle w:val="TableContents"/>
              <w:spacing w:before="0" w:after="0"/>
              <w:ind w:left="0" w:right="0" w:firstLine="30"/>
              <w:rPr/>
            </w:pPr>
            <w:r>
              <w:rPr/>
              <w:t> </w:t>
            </w:r>
          </w:p>
        </w:tc>
        <w:tc>
          <w:tcPr>
            <w:tcW w:w="143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29" w:type="dxa"/>
            <w:tcBorders/>
            <w:shd w:fill="auto" w:val="clear"/>
            <w:vAlign w:val="center"/>
          </w:tcPr>
          <w:p>
            <w:pPr>
              <w:pStyle w:val="TableContents"/>
              <w:spacing w:before="0" w:after="0"/>
              <w:rPr/>
            </w:pPr>
            <w:r>
              <w:rPr/>
              <w:t> </w:t>
            </w:r>
          </w:p>
        </w:tc>
        <w:tc>
          <w:tcPr>
            <w:tcW w:w="144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29" w:type="dxa"/>
            <w:tcBorders/>
            <w:shd w:fill="auto" w:val="clear"/>
            <w:vAlign w:val="center"/>
          </w:tcPr>
          <w:p>
            <w:pPr>
              <w:pStyle w:val="TableContents"/>
              <w:spacing w:before="0" w:after="0"/>
              <w:rPr/>
            </w:pPr>
            <w:r>
              <w:rPr/>
              <w:t> </w:t>
            </w:r>
          </w:p>
        </w:tc>
        <w:tc>
          <w:tcPr>
            <w:tcW w:w="130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3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38"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135"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430" w:type="dxa"/>
            <w:gridSpan w:val="2"/>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ind w:left="0" w:right="0" w:firstLine="180"/>
              <w:jc w:val="left"/>
              <w:rPr/>
            </w:pPr>
            <w:r>
              <w:rPr/>
              <w:t> </w:t>
            </w:r>
          </w:p>
        </w:tc>
      </w:tr>
      <w:tr>
        <w:trPr/>
        <w:tc>
          <w:tcPr>
            <w:tcW w:w="3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2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933</w:t>
            </w:r>
          </w:p>
        </w:tc>
        <w:tc>
          <w:tcPr>
            <w:tcW w:w="129" w:type="dxa"/>
            <w:tcBorders/>
            <w:shd w:fill="auto" w:val="clear"/>
            <w:vAlign w:val="center"/>
          </w:tcPr>
          <w:p>
            <w:pPr>
              <w:pStyle w:val="TableContents"/>
              <w:spacing w:before="0" w:after="0"/>
              <w:ind w:left="0" w:right="0" w:firstLine="30"/>
              <w:rPr/>
            </w:pPr>
            <w:r>
              <w:rPr/>
              <w:t> </w:t>
            </w:r>
          </w:p>
        </w:tc>
        <w:tc>
          <w:tcPr>
            <w:tcW w:w="113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178</w:t>
            </w:r>
          </w:p>
        </w:tc>
        <w:tc>
          <w:tcPr>
            <w:tcW w:w="129" w:type="dxa"/>
            <w:tcBorders/>
            <w:shd w:fill="auto" w:val="clear"/>
            <w:vAlign w:val="center"/>
          </w:tcPr>
          <w:p>
            <w:pPr>
              <w:pStyle w:val="TableContents"/>
              <w:spacing w:before="0" w:after="0"/>
              <w:ind w:left="0" w:right="0" w:firstLine="30"/>
              <w:rPr/>
            </w:pPr>
            <w:r>
              <w:rPr/>
              <w:t> </w:t>
            </w:r>
          </w:p>
        </w:tc>
        <w:tc>
          <w:tcPr>
            <w:tcW w:w="1290" w:type="dxa"/>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1,111</w:t>
            </w:r>
          </w:p>
        </w:tc>
        <w:tc>
          <w:tcPr>
            <w:tcW w:w="129" w:type="dxa"/>
            <w:tcBorders/>
            <w:shd w:fill="auto" w:val="clear"/>
            <w:vAlign w:val="center"/>
          </w:tcPr>
          <w:p>
            <w:pPr>
              <w:pStyle w:val="TableContents"/>
              <w:spacing w:before="0" w:after="0"/>
              <w:ind w:left="0" w:right="0" w:firstLine="30"/>
              <w:rPr/>
            </w:pPr>
            <w:r>
              <w:rPr/>
              <w:t> </w:t>
            </w:r>
          </w:p>
        </w:tc>
        <w:tc>
          <w:tcPr>
            <w:tcW w:w="938" w:type="dxa"/>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36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238"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17</w:t>
            </w:r>
          </w:p>
        </w:tc>
        <w:tc>
          <w:tcPr>
            <w:tcW w:w="129" w:type="dxa"/>
            <w:tcBorders/>
            <w:shd w:fill="CCEEFF" w:val="clear"/>
            <w:vAlign w:val="center"/>
          </w:tcPr>
          <w:p>
            <w:pPr>
              <w:pStyle w:val="TableContents"/>
              <w:spacing w:before="0" w:after="0"/>
              <w:ind w:left="0" w:right="0" w:firstLine="30"/>
              <w:rPr/>
            </w:pPr>
            <w:r>
              <w:rPr/>
              <w:t> </w:t>
            </w:r>
          </w:p>
        </w:tc>
        <w:tc>
          <w:tcPr>
            <w:tcW w:w="1135"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54</w:t>
            </w:r>
          </w:p>
        </w:tc>
        <w:tc>
          <w:tcPr>
            <w:tcW w:w="129" w:type="dxa"/>
            <w:tcBorders/>
            <w:shd w:fill="CCEEFF" w:val="clear"/>
            <w:vAlign w:val="center"/>
          </w:tcPr>
          <w:p>
            <w:pPr>
              <w:pStyle w:val="TableContents"/>
              <w:spacing w:before="0" w:after="0"/>
              <w:ind w:left="0" w:right="0" w:firstLine="30"/>
              <w:rPr/>
            </w:pPr>
            <w:r>
              <w:rPr/>
              <w:t> </w:t>
            </w:r>
          </w:p>
        </w:tc>
        <w:tc>
          <w:tcPr>
            <w:tcW w:w="1290"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71</w:t>
            </w:r>
          </w:p>
        </w:tc>
        <w:tc>
          <w:tcPr>
            <w:tcW w:w="129" w:type="dxa"/>
            <w:tcBorders/>
            <w:shd w:fill="CCEEFF" w:val="clear"/>
            <w:vAlign w:val="center"/>
          </w:tcPr>
          <w:p>
            <w:pPr>
              <w:pStyle w:val="TableContents"/>
              <w:spacing w:before="0" w:after="0"/>
              <w:ind w:left="0" w:right="0" w:firstLine="30"/>
              <w:rPr/>
            </w:pPr>
            <w:r>
              <w:rPr/>
              <w:t> </w:t>
            </w:r>
          </w:p>
        </w:tc>
        <w:tc>
          <w:tcPr>
            <w:tcW w:w="938" w:type="dxa"/>
            <w:tcBorders/>
            <w:shd w:fill="CCEEFF" w:val="clear"/>
            <w:vAlign w:val="center"/>
          </w:tcPr>
          <w:p>
            <w:pPr>
              <w:pStyle w:val="TableContents"/>
              <w:spacing w:before="0" w:after="0"/>
              <w:jc w:val="right"/>
              <w:rPr/>
            </w:pPr>
            <w:r>
              <w:rPr/>
              <w:t>—</w:t>
            </w:r>
          </w:p>
        </w:tc>
        <w:tc>
          <w:tcPr>
            <w:tcW w:w="36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2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51</w:t>
            </w:r>
          </w:p>
        </w:tc>
        <w:tc>
          <w:tcPr>
            <w:tcW w:w="129" w:type="dxa"/>
            <w:tcBorders/>
            <w:shd w:fill="auto" w:val="clear"/>
            <w:vAlign w:val="center"/>
          </w:tcPr>
          <w:p>
            <w:pPr>
              <w:pStyle w:val="TableContents"/>
              <w:spacing w:before="0" w:after="0"/>
              <w:ind w:left="0" w:right="0" w:firstLine="30"/>
              <w:rPr/>
            </w:pPr>
            <w:r>
              <w:rPr/>
              <w:t> </w:t>
            </w:r>
          </w:p>
        </w:tc>
        <w:tc>
          <w:tcPr>
            <w:tcW w:w="113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45</w:t>
            </w:r>
          </w:p>
        </w:tc>
        <w:tc>
          <w:tcPr>
            <w:tcW w:w="129" w:type="dxa"/>
            <w:tcBorders/>
            <w:shd w:fill="auto" w:val="clear"/>
            <w:vAlign w:val="center"/>
          </w:tcPr>
          <w:p>
            <w:pPr>
              <w:pStyle w:val="TableContents"/>
              <w:spacing w:before="0" w:after="0"/>
              <w:ind w:left="0" w:right="0" w:firstLine="30"/>
              <w:rPr/>
            </w:pPr>
            <w:r>
              <w:rPr/>
              <w:t> </w:t>
            </w:r>
          </w:p>
        </w:tc>
        <w:tc>
          <w:tcPr>
            <w:tcW w:w="1290" w:type="dxa"/>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96</w:t>
            </w:r>
          </w:p>
        </w:tc>
        <w:tc>
          <w:tcPr>
            <w:tcW w:w="129" w:type="dxa"/>
            <w:tcBorders/>
            <w:shd w:fill="auto" w:val="clear"/>
            <w:vAlign w:val="center"/>
          </w:tcPr>
          <w:p>
            <w:pPr>
              <w:pStyle w:val="TableContents"/>
              <w:spacing w:before="0" w:after="0"/>
              <w:ind w:left="0" w:right="0" w:firstLine="30"/>
              <w:rPr/>
            </w:pPr>
            <w:r>
              <w:rPr/>
              <w:t> </w:t>
            </w:r>
          </w:p>
        </w:tc>
        <w:tc>
          <w:tcPr>
            <w:tcW w:w="938" w:type="dxa"/>
            <w:tcBorders/>
            <w:shd w:fill="auto" w:val="clear"/>
            <w:vAlign w:val="center"/>
          </w:tcPr>
          <w:p>
            <w:pPr>
              <w:pStyle w:val="TableContents"/>
              <w:spacing w:before="0" w:after="0"/>
              <w:jc w:val="right"/>
              <w:rPr/>
            </w:pPr>
            <w:r>
              <w:rPr/>
              <w:t>—</w:t>
            </w:r>
          </w:p>
        </w:tc>
        <w:tc>
          <w:tcPr>
            <w:tcW w:w="36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238"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(14)</w:t>
            </w:r>
          </w:p>
        </w:tc>
        <w:tc>
          <w:tcPr>
            <w:tcW w:w="129" w:type="dxa"/>
            <w:tcBorders/>
            <w:shd w:fill="CCEEFF" w:val="clear"/>
            <w:vAlign w:val="center"/>
          </w:tcPr>
          <w:p>
            <w:pPr>
              <w:pStyle w:val="TableContents"/>
              <w:spacing w:before="0" w:after="0"/>
              <w:ind w:left="0" w:right="0" w:firstLine="30"/>
              <w:rPr/>
            </w:pPr>
            <w:r>
              <w:rPr/>
              <w:t> </w:t>
            </w:r>
          </w:p>
        </w:tc>
        <w:tc>
          <w:tcPr>
            <w:tcW w:w="1135"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(2)</w:t>
            </w:r>
          </w:p>
        </w:tc>
        <w:tc>
          <w:tcPr>
            <w:tcW w:w="129" w:type="dxa"/>
            <w:tcBorders/>
            <w:shd w:fill="CCEEFF" w:val="clear"/>
            <w:vAlign w:val="center"/>
          </w:tcPr>
          <w:p>
            <w:pPr>
              <w:pStyle w:val="TableContents"/>
              <w:spacing w:before="0" w:after="0"/>
              <w:ind w:left="0" w:right="0" w:firstLine="30"/>
              <w:rPr/>
            </w:pPr>
            <w:r>
              <w:rPr/>
              <w:t> </w:t>
            </w:r>
          </w:p>
        </w:tc>
        <w:tc>
          <w:tcPr>
            <w:tcW w:w="1290"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(16)</w:t>
            </w:r>
          </w:p>
        </w:tc>
        <w:tc>
          <w:tcPr>
            <w:tcW w:w="129" w:type="dxa"/>
            <w:tcBorders/>
            <w:shd w:fill="CCEEFF" w:val="clear"/>
            <w:vAlign w:val="center"/>
          </w:tcPr>
          <w:p>
            <w:pPr>
              <w:pStyle w:val="TableContents"/>
              <w:spacing w:before="0" w:after="0"/>
              <w:ind w:left="0" w:right="0" w:firstLine="30"/>
              <w:rPr/>
            </w:pPr>
            <w:r>
              <w:rPr/>
              <w:t> </w:t>
            </w:r>
          </w:p>
        </w:tc>
        <w:tc>
          <w:tcPr>
            <w:tcW w:w="938" w:type="dxa"/>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36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238"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987</w:t>
            </w:r>
          </w:p>
        </w:tc>
        <w:tc>
          <w:tcPr>
            <w:tcW w:w="129" w:type="dxa"/>
            <w:tcBorders/>
            <w:shd w:fill="auto" w:val="clear"/>
            <w:vAlign w:val="center"/>
          </w:tcPr>
          <w:p>
            <w:pPr>
              <w:pStyle w:val="TableContents"/>
              <w:spacing w:before="0" w:after="0"/>
              <w:ind w:left="0" w:right="0" w:firstLine="30"/>
              <w:rPr/>
            </w:pPr>
            <w:r>
              <w:rPr/>
              <w:t> </w:t>
            </w:r>
          </w:p>
        </w:tc>
        <w:tc>
          <w:tcPr>
            <w:tcW w:w="1135"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275</w:t>
            </w:r>
          </w:p>
        </w:tc>
        <w:tc>
          <w:tcPr>
            <w:tcW w:w="129" w:type="dxa"/>
            <w:tcBorders/>
            <w:shd w:fill="auto" w:val="clear"/>
            <w:vAlign w:val="center"/>
          </w:tcPr>
          <w:p>
            <w:pPr>
              <w:pStyle w:val="TableContents"/>
              <w:spacing w:before="0" w:after="0"/>
              <w:ind w:left="0" w:right="0" w:firstLine="30"/>
              <w:rPr/>
            </w:pPr>
            <w:r>
              <w:rPr/>
              <w:t> </w:t>
            </w:r>
          </w:p>
        </w:tc>
        <w:tc>
          <w:tcPr>
            <w:tcW w:w="1290"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1,262</w:t>
            </w:r>
          </w:p>
        </w:tc>
        <w:tc>
          <w:tcPr>
            <w:tcW w:w="129" w:type="dxa"/>
            <w:tcBorders/>
            <w:shd w:fill="auto" w:val="clear"/>
            <w:vAlign w:val="center"/>
          </w:tcPr>
          <w:p>
            <w:pPr>
              <w:pStyle w:val="TableContents"/>
              <w:spacing w:before="0" w:after="0"/>
              <w:ind w:left="0" w:right="0" w:firstLine="30"/>
              <w:rPr/>
            </w:pPr>
            <w:r>
              <w:rPr/>
              <w:t> </w:t>
            </w:r>
          </w:p>
        </w:tc>
        <w:tc>
          <w:tcPr>
            <w:tcW w:w="938"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369"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238"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45</w:t>
            </w:r>
          </w:p>
        </w:tc>
        <w:tc>
          <w:tcPr>
            <w:tcW w:w="129" w:type="dxa"/>
            <w:tcBorders/>
            <w:shd w:fill="CCEEFF" w:val="clear"/>
            <w:vAlign w:val="center"/>
          </w:tcPr>
          <w:p>
            <w:pPr>
              <w:pStyle w:val="TableContents"/>
              <w:spacing w:before="0" w:after="0"/>
              <w:ind w:left="0" w:right="0" w:firstLine="30"/>
              <w:rPr/>
            </w:pPr>
            <w:r>
              <w:rPr/>
              <w:t> </w:t>
            </w:r>
          </w:p>
        </w:tc>
        <w:tc>
          <w:tcPr>
            <w:tcW w:w="1135"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57</w:t>
            </w:r>
          </w:p>
        </w:tc>
        <w:tc>
          <w:tcPr>
            <w:tcW w:w="129" w:type="dxa"/>
            <w:tcBorders/>
            <w:shd w:fill="CCEEFF" w:val="clear"/>
            <w:vAlign w:val="center"/>
          </w:tcPr>
          <w:p>
            <w:pPr>
              <w:pStyle w:val="TableContents"/>
              <w:spacing w:before="0" w:after="0"/>
              <w:ind w:left="0" w:right="0" w:firstLine="30"/>
              <w:rPr/>
            </w:pPr>
            <w:r>
              <w:rPr/>
              <w:t> </w:t>
            </w:r>
          </w:p>
        </w:tc>
        <w:tc>
          <w:tcPr>
            <w:tcW w:w="1290"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102</w:t>
            </w:r>
          </w:p>
        </w:tc>
        <w:tc>
          <w:tcPr>
            <w:tcW w:w="129" w:type="dxa"/>
            <w:tcBorders/>
            <w:shd w:fill="CCEEFF" w:val="clear"/>
            <w:vAlign w:val="center"/>
          </w:tcPr>
          <w:p>
            <w:pPr>
              <w:pStyle w:val="TableContents"/>
              <w:spacing w:before="0" w:after="0"/>
              <w:ind w:left="0" w:right="0" w:firstLine="30"/>
              <w:rPr/>
            </w:pPr>
            <w:r>
              <w:rPr/>
              <w:t> </w:t>
            </w:r>
          </w:p>
        </w:tc>
        <w:tc>
          <w:tcPr>
            <w:tcW w:w="938"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69"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Stores in continuing operations</w:t>
            </w:r>
          </w:p>
        </w:tc>
        <w:tc>
          <w:tcPr>
            <w:tcW w:w="12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942</w:t>
            </w:r>
          </w:p>
        </w:tc>
        <w:tc>
          <w:tcPr>
            <w:tcW w:w="129" w:type="dxa"/>
            <w:tcBorders/>
            <w:shd w:fill="auto" w:val="clear"/>
            <w:vAlign w:val="center"/>
          </w:tcPr>
          <w:p>
            <w:pPr>
              <w:pStyle w:val="TableContents"/>
              <w:spacing w:before="0" w:after="0"/>
              <w:ind w:left="0" w:right="0" w:firstLine="30"/>
              <w:rPr/>
            </w:pPr>
            <w:r>
              <w:rPr/>
              <w:t> </w:t>
            </w:r>
          </w:p>
        </w:tc>
        <w:tc>
          <w:tcPr>
            <w:tcW w:w="113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218</w:t>
            </w:r>
          </w:p>
        </w:tc>
        <w:tc>
          <w:tcPr>
            <w:tcW w:w="129" w:type="dxa"/>
            <w:tcBorders/>
            <w:shd w:fill="auto" w:val="clear"/>
            <w:vAlign w:val="center"/>
          </w:tcPr>
          <w:p>
            <w:pPr>
              <w:pStyle w:val="TableContents"/>
              <w:spacing w:before="0" w:after="0"/>
              <w:ind w:left="0" w:right="0" w:firstLine="30"/>
              <w:rPr/>
            </w:pPr>
            <w:r>
              <w:rPr/>
              <w:t> </w:t>
            </w:r>
          </w:p>
        </w:tc>
        <w:tc>
          <w:tcPr>
            <w:tcW w:w="12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4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1,160</w:t>
            </w:r>
          </w:p>
        </w:tc>
        <w:tc>
          <w:tcPr>
            <w:tcW w:w="129" w:type="dxa"/>
            <w:tcBorders/>
            <w:shd w:fill="auto" w:val="clear"/>
            <w:vAlign w:val="center"/>
          </w:tcPr>
          <w:p>
            <w:pPr>
              <w:pStyle w:val="TableContents"/>
              <w:spacing w:before="0" w:after="0"/>
              <w:ind w:left="0" w:right="0" w:firstLine="30"/>
              <w:rPr/>
            </w:pPr>
            <w:r>
              <w:rPr/>
              <w:t> </w:t>
            </w:r>
          </w:p>
        </w:tc>
        <w:tc>
          <w:tcPr>
            <w:tcW w:w="9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36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29</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133"/>
        <w:gridCol w:w="1238"/>
        <w:gridCol w:w="129"/>
        <w:gridCol w:w="1036"/>
        <w:gridCol w:w="98"/>
        <w:gridCol w:w="129"/>
        <w:gridCol w:w="1290"/>
        <w:gridCol w:w="140"/>
        <w:gridCol w:w="129"/>
        <w:gridCol w:w="1444"/>
        <w:gridCol w:w="129"/>
        <w:gridCol w:w="938"/>
        <w:gridCol w:w="372"/>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3133"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33" w:type="dxa"/>
            <w:tcBorders/>
            <w:shd w:fill="auto" w:val="clear"/>
            <w:vAlign w:val="center"/>
          </w:tcPr>
          <w:p>
            <w:pPr>
              <w:pStyle w:val="TableContents"/>
              <w:spacing w:before="0" w:after="0"/>
              <w:ind w:left="0" w:right="0" w:firstLine="30"/>
              <w:jc w:val="left"/>
              <w:rPr/>
            </w:pPr>
            <w:r>
              <w:rPr/>
              <w:t> </w:t>
            </w:r>
          </w:p>
        </w:tc>
        <w:tc>
          <w:tcPr>
            <w:tcW w:w="7072" w:type="dxa"/>
            <w:gridSpan w:val="1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2011</w:t>
            </w:r>
          </w:p>
        </w:tc>
      </w:tr>
      <w:tr>
        <w:trPr/>
        <w:tc>
          <w:tcPr>
            <w:tcW w:w="3133" w:type="dxa"/>
            <w:tcBorders/>
            <w:shd w:fill="auto" w:val="clear"/>
            <w:vAlign w:val="center"/>
          </w:tcPr>
          <w:p>
            <w:pPr>
              <w:pStyle w:val="TableContents"/>
              <w:spacing w:before="0" w:after="0"/>
              <w:ind w:left="0" w:right="0" w:firstLine="30"/>
              <w:jc w:val="left"/>
              <w:rPr/>
            </w:pPr>
            <w:r>
              <w:rPr/>
              <w:t> </w:t>
            </w:r>
          </w:p>
        </w:tc>
        <w:tc>
          <w:tcPr>
            <w:tcW w:w="5633" w:type="dxa"/>
            <w:gridSpan w:val="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29" w:type="dxa"/>
            <w:tcBorders/>
            <w:shd w:fill="auto" w:val="clear"/>
            <w:vAlign w:val="center"/>
          </w:tcPr>
          <w:p>
            <w:pPr>
              <w:pStyle w:val="TableContents"/>
              <w:spacing w:before="0" w:after="0"/>
              <w:ind w:left="0" w:right="0" w:firstLine="30"/>
              <w:rPr/>
            </w:pPr>
            <w:r>
              <w:rPr/>
              <w:t> </w:t>
            </w:r>
          </w:p>
        </w:tc>
        <w:tc>
          <w:tcPr>
            <w:tcW w:w="1310" w:type="dxa"/>
            <w:gridSpan w:val="2"/>
            <w:tcBorders/>
            <w:shd w:fill="auto" w:val="clear"/>
            <w:vAlign w:val="center"/>
          </w:tcPr>
          <w:p>
            <w:pPr>
              <w:pStyle w:val="TableContents"/>
              <w:spacing w:before="0" w:after="0"/>
              <w:ind w:left="0" w:right="0" w:firstLine="30"/>
              <w:jc w:val="center"/>
              <w:rPr/>
            </w:pPr>
            <w:r>
              <w:rPr/>
              <w:t> </w:t>
            </w:r>
          </w:p>
        </w:tc>
      </w:tr>
      <w:tr>
        <w:trPr/>
        <w:tc>
          <w:tcPr>
            <w:tcW w:w="3133" w:type="dxa"/>
            <w:tcBorders/>
            <w:shd w:fill="auto" w:val="clear"/>
            <w:vAlign w:val="center"/>
          </w:tcPr>
          <w:p>
            <w:pPr>
              <w:pStyle w:val="TableContents"/>
              <w:spacing w:before="0" w:after="0"/>
              <w:ind w:left="0" w:right="0" w:firstLine="30"/>
              <w:rPr/>
            </w:pPr>
            <w:r>
              <w:rPr/>
              <w:t> </w:t>
            </w:r>
          </w:p>
        </w:tc>
        <w:tc>
          <w:tcPr>
            <w:tcW w:w="123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29" w:type="dxa"/>
            <w:tcBorders/>
            <w:shd w:fill="auto"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29" w:type="dxa"/>
            <w:tcBorders/>
            <w:shd w:fill="auto" w:val="clear"/>
            <w:vAlign w:val="center"/>
          </w:tcPr>
          <w:p>
            <w:pPr>
              <w:pStyle w:val="TableContents"/>
              <w:spacing w:before="0" w:after="0"/>
              <w:ind w:left="0" w:right="0" w:firstLine="30"/>
              <w:rPr/>
            </w:pPr>
            <w:r>
              <w:rPr/>
              <w:t> </w:t>
            </w:r>
          </w:p>
        </w:tc>
        <w:tc>
          <w:tcPr>
            <w:tcW w:w="143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29" w:type="dxa"/>
            <w:tcBorders/>
            <w:shd w:fill="auto" w:val="clear"/>
            <w:vAlign w:val="center"/>
          </w:tcPr>
          <w:p>
            <w:pPr>
              <w:pStyle w:val="TableContents"/>
              <w:spacing w:before="0" w:after="0"/>
              <w:rPr/>
            </w:pPr>
            <w:r>
              <w:rPr/>
              <w:t> </w:t>
            </w:r>
          </w:p>
        </w:tc>
        <w:tc>
          <w:tcPr>
            <w:tcW w:w="144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29" w:type="dxa"/>
            <w:tcBorders/>
            <w:shd w:fill="auto" w:val="clear"/>
            <w:vAlign w:val="center"/>
          </w:tcPr>
          <w:p>
            <w:pPr>
              <w:pStyle w:val="TableContents"/>
              <w:spacing w:before="0" w:after="0"/>
              <w:rPr/>
            </w:pPr>
            <w:r>
              <w:rPr/>
              <w:t> </w:t>
            </w:r>
          </w:p>
        </w:tc>
        <w:tc>
          <w:tcPr>
            <w:tcW w:w="131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3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38"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430" w:type="dxa"/>
            <w:gridSpan w:val="2"/>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1310" w:type="dxa"/>
            <w:gridSpan w:val="2"/>
            <w:tcBorders/>
            <w:shd w:fill="CCEEFF" w:val="clear"/>
            <w:vAlign w:val="center"/>
          </w:tcPr>
          <w:p>
            <w:pPr>
              <w:pStyle w:val="TableContents"/>
              <w:spacing w:before="0" w:after="0"/>
              <w:ind w:left="0" w:right="0" w:firstLine="180"/>
              <w:jc w:val="left"/>
              <w:rPr/>
            </w:pPr>
            <w:r>
              <w:rPr/>
              <w:t> </w:t>
            </w:r>
          </w:p>
        </w:tc>
      </w:tr>
      <w:tr>
        <w:trPr/>
        <w:tc>
          <w:tcPr>
            <w:tcW w:w="3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2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891</w:t>
            </w:r>
          </w:p>
        </w:tc>
        <w:tc>
          <w:tcPr>
            <w:tcW w:w="129" w:type="dxa"/>
            <w:tcBorders/>
            <w:shd w:fill="auto" w:val="clear"/>
            <w:vAlign w:val="center"/>
          </w:tcPr>
          <w:p>
            <w:pPr>
              <w:pStyle w:val="TableContents"/>
              <w:spacing w:before="0" w:after="0"/>
              <w:ind w:left="0" w:right="0" w:firstLine="30"/>
              <w:rPr/>
            </w:pPr>
            <w:r>
              <w:rPr/>
              <w:t> </w:t>
            </w:r>
          </w:p>
        </w:tc>
        <w:tc>
          <w:tcPr>
            <w:tcW w:w="1036" w:type="dxa"/>
            <w:tcBorders/>
            <w:shd w:fill="auto" w:val="clear"/>
            <w:vAlign w:val="center"/>
          </w:tcPr>
          <w:p>
            <w:pPr>
              <w:pStyle w:val="TableContents"/>
              <w:spacing w:before="0" w:after="0"/>
              <w:jc w:val="right"/>
              <w:rPr>
                <w:rFonts w:ascii="inherit" w:hAnsi="inherit"/>
                <w:sz w:val="17"/>
              </w:rPr>
            </w:pPr>
            <w:r>
              <w:rPr>
                <w:rFonts w:ascii="inherit" w:hAnsi="inherit"/>
                <w:sz w:val="17"/>
              </w:rPr>
              <w:t>115</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90" w:type="dxa"/>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1,006</w:t>
            </w:r>
          </w:p>
        </w:tc>
        <w:tc>
          <w:tcPr>
            <w:tcW w:w="129" w:type="dxa"/>
            <w:tcBorders/>
            <w:shd w:fill="auto" w:val="clear"/>
            <w:vAlign w:val="center"/>
          </w:tcPr>
          <w:p>
            <w:pPr>
              <w:pStyle w:val="TableContents"/>
              <w:spacing w:before="0" w:after="0"/>
              <w:ind w:left="0" w:right="0" w:firstLine="30"/>
              <w:rPr/>
            </w:pPr>
            <w:r>
              <w:rPr/>
              <w:t> </w:t>
            </w:r>
          </w:p>
        </w:tc>
        <w:tc>
          <w:tcPr>
            <w:tcW w:w="938" w:type="dxa"/>
            <w:tcBorders/>
            <w:shd w:fill="auto" w:val="clear"/>
            <w:vAlign w:val="center"/>
          </w:tcPr>
          <w:p>
            <w:pPr>
              <w:pStyle w:val="TableContents"/>
              <w:spacing w:before="0" w:after="0"/>
              <w:jc w:val="right"/>
              <w:rPr/>
            </w:pPr>
            <w:r>
              <w:rPr/>
              <w:t>—</w:t>
            </w:r>
          </w:p>
        </w:tc>
        <w:tc>
          <w:tcPr>
            <w:tcW w:w="37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238"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25</w:t>
            </w:r>
          </w:p>
        </w:tc>
        <w:tc>
          <w:tcPr>
            <w:tcW w:w="129" w:type="dxa"/>
            <w:tcBorders/>
            <w:shd w:fill="CCEEFF" w:val="clear"/>
            <w:vAlign w:val="center"/>
          </w:tcPr>
          <w:p>
            <w:pPr>
              <w:pStyle w:val="TableContents"/>
              <w:spacing w:before="0" w:after="0"/>
              <w:ind w:left="0" w:right="0" w:firstLine="30"/>
              <w:rPr/>
            </w:pPr>
            <w:r>
              <w:rPr/>
              <w:t> </w:t>
            </w:r>
          </w:p>
        </w:tc>
        <w:tc>
          <w:tcPr>
            <w:tcW w:w="1036" w:type="dxa"/>
            <w:tcBorders/>
            <w:shd w:fill="CCEEFF" w:val="clear"/>
            <w:vAlign w:val="center"/>
          </w:tcPr>
          <w:p>
            <w:pPr>
              <w:pStyle w:val="TableContents"/>
              <w:spacing w:before="0" w:after="0"/>
              <w:jc w:val="right"/>
              <w:rPr>
                <w:rFonts w:ascii="inherit" w:hAnsi="inherit"/>
                <w:sz w:val="17"/>
              </w:rPr>
            </w:pPr>
            <w:r>
              <w:rPr>
                <w:rFonts w:ascii="inherit" w:hAnsi="inherit"/>
                <w:sz w:val="17"/>
              </w:rPr>
              <w:t>57</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90"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82</w:t>
            </w:r>
          </w:p>
        </w:tc>
        <w:tc>
          <w:tcPr>
            <w:tcW w:w="129" w:type="dxa"/>
            <w:tcBorders/>
            <w:shd w:fill="CCEEFF" w:val="clear"/>
            <w:vAlign w:val="center"/>
          </w:tcPr>
          <w:p>
            <w:pPr>
              <w:pStyle w:val="TableContents"/>
              <w:spacing w:before="0" w:after="0"/>
              <w:ind w:left="0" w:right="0" w:firstLine="30"/>
              <w:rPr/>
            </w:pPr>
            <w:r>
              <w:rPr/>
              <w:t> </w:t>
            </w:r>
          </w:p>
        </w:tc>
        <w:tc>
          <w:tcPr>
            <w:tcW w:w="938"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37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2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34</w:t>
            </w:r>
          </w:p>
        </w:tc>
        <w:tc>
          <w:tcPr>
            <w:tcW w:w="129" w:type="dxa"/>
            <w:tcBorders/>
            <w:shd w:fill="auto" w:val="clear"/>
            <w:vAlign w:val="center"/>
          </w:tcPr>
          <w:p>
            <w:pPr>
              <w:pStyle w:val="TableContents"/>
              <w:spacing w:before="0" w:after="0"/>
              <w:ind w:left="0" w:right="0" w:firstLine="30"/>
              <w:rPr/>
            </w:pPr>
            <w:r>
              <w:rPr/>
              <w:t> </w:t>
            </w:r>
          </w:p>
        </w:tc>
        <w:tc>
          <w:tcPr>
            <w:tcW w:w="1036" w:type="dxa"/>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90" w:type="dxa"/>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40</w:t>
            </w:r>
          </w:p>
        </w:tc>
        <w:tc>
          <w:tcPr>
            <w:tcW w:w="129" w:type="dxa"/>
            <w:tcBorders/>
            <w:shd w:fill="auto" w:val="clear"/>
            <w:vAlign w:val="center"/>
          </w:tcPr>
          <w:p>
            <w:pPr>
              <w:pStyle w:val="TableContents"/>
              <w:spacing w:before="0" w:after="0"/>
              <w:ind w:left="0" w:right="0" w:firstLine="30"/>
              <w:rPr/>
            </w:pPr>
            <w:r>
              <w:rPr/>
              <w:t> </w:t>
            </w:r>
          </w:p>
        </w:tc>
        <w:tc>
          <w:tcPr>
            <w:tcW w:w="938" w:type="dxa"/>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37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238"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(17)</w:t>
            </w:r>
          </w:p>
        </w:tc>
        <w:tc>
          <w:tcPr>
            <w:tcW w:w="129" w:type="dxa"/>
            <w:tcBorders/>
            <w:shd w:fill="CCEEFF" w:val="clear"/>
            <w:vAlign w:val="center"/>
          </w:tcPr>
          <w:p>
            <w:pPr>
              <w:pStyle w:val="TableContents"/>
              <w:spacing w:before="0" w:after="0"/>
              <w:ind w:left="0" w:right="0" w:firstLine="30"/>
              <w:rPr/>
            </w:pPr>
            <w:r>
              <w:rPr/>
              <w:t> </w:t>
            </w:r>
          </w:p>
        </w:tc>
        <w:tc>
          <w:tcPr>
            <w:tcW w:w="1036" w:type="dxa"/>
            <w:tcBorders/>
            <w:shd w:fill="CCEEFF" w:val="clear"/>
            <w:vAlign w:val="center"/>
          </w:tcPr>
          <w:p>
            <w:pPr>
              <w:pStyle w:val="TableContents"/>
              <w:spacing w:before="0" w:after="0"/>
              <w:jc w:val="right"/>
              <w:rPr/>
            </w:pPr>
            <w:r>
              <w:rPr/>
              <w:t>—</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90"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(17)</w:t>
            </w:r>
          </w:p>
        </w:tc>
        <w:tc>
          <w:tcPr>
            <w:tcW w:w="129" w:type="dxa"/>
            <w:tcBorders/>
            <w:shd w:fill="CCEEFF" w:val="clear"/>
            <w:vAlign w:val="center"/>
          </w:tcPr>
          <w:p>
            <w:pPr>
              <w:pStyle w:val="TableContents"/>
              <w:spacing w:before="0" w:after="0"/>
              <w:ind w:left="0" w:right="0" w:firstLine="30"/>
              <w:rPr/>
            </w:pPr>
            <w:r>
              <w:rPr/>
              <w:t> </w:t>
            </w:r>
          </w:p>
        </w:tc>
        <w:tc>
          <w:tcPr>
            <w:tcW w:w="938"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37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238"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933</w:t>
            </w:r>
          </w:p>
        </w:tc>
        <w:tc>
          <w:tcPr>
            <w:tcW w:w="129" w:type="dxa"/>
            <w:tcBorders/>
            <w:shd w:fill="auto" w:val="clear"/>
            <w:vAlign w:val="center"/>
          </w:tcPr>
          <w:p>
            <w:pPr>
              <w:pStyle w:val="TableContents"/>
              <w:spacing w:before="0" w:after="0"/>
              <w:ind w:left="0" w:right="0" w:firstLine="30"/>
              <w:rPr/>
            </w:pPr>
            <w:r>
              <w:rPr/>
              <w:t> </w:t>
            </w:r>
          </w:p>
        </w:tc>
        <w:tc>
          <w:tcPr>
            <w:tcW w:w="1036"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178</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90"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1,111</w:t>
            </w:r>
          </w:p>
        </w:tc>
        <w:tc>
          <w:tcPr>
            <w:tcW w:w="129" w:type="dxa"/>
            <w:tcBorders/>
            <w:shd w:fill="auto" w:val="clear"/>
            <w:vAlign w:val="center"/>
          </w:tcPr>
          <w:p>
            <w:pPr>
              <w:pStyle w:val="TableContents"/>
              <w:spacing w:before="0" w:after="0"/>
              <w:ind w:left="0" w:right="0" w:firstLine="30"/>
              <w:rPr/>
            </w:pPr>
            <w:r>
              <w:rPr/>
              <w:t> </w:t>
            </w:r>
          </w:p>
        </w:tc>
        <w:tc>
          <w:tcPr>
            <w:tcW w:w="938"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372"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238" w:type="dxa"/>
            <w:tcBorders>
              <w:bottom w:val="single" w:sz="2"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41</w:t>
            </w:r>
          </w:p>
        </w:tc>
        <w:tc>
          <w:tcPr>
            <w:tcW w:w="129" w:type="dxa"/>
            <w:tcBorders/>
            <w:shd w:fill="CCEEFF" w:val="clear"/>
            <w:vAlign w:val="center"/>
          </w:tcPr>
          <w:p>
            <w:pPr>
              <w:pStyle w:val="TableContents"/>
              <w:spacing w:before="0" w:after="0"/>
              <w:ind w:left="0" w:right="0" w:firstLine="30"/>
              <w:rPr/>
            </w:pPr>
            <w:r>
              <w:rPr/>
              <w:t> </w:t>
            </w:r>
          </w:p>
        </w:tc>
        <w:tc>
          <w:tcPr>
            <w:tcW w:w="103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w:t>
            </w:r>
          </w:p>
        </w:tc>
        <w:tc>
          <w:tcPr>
            <w:tcW w:w="9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90"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4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94</w:t>
            </w:r>
          </w:p>
        </w:tc>
        <w:tc>
          <w:tcPr>
            <w:tcW w:w="129" w:type="dxa"/>
            <w:tcBorders/>
            <w:shd w:fill="CCEEFF" w:val="clear"/>
            <w:vAlign w:val="center"/>
          </w:tcPr>
          <w:p>
            <w:pPr>
              <w:pStyle w:val="TableContents"/>
              <w:spacing w:before="0" w:after="0"/>
              <w:ind w:left="0" w:right="0" w:firstLine="30"/>
              <w:rPr/>
            </w:pPr>
            <w:r>
              <w:rPr/>
              <w:t> </w:t>
            </w:r>
          </w:p>
        </w:tc>
        <w:tc>
          <w:tcPr>
            <w:tcW w:w="938"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72"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Stores in continuing operations:</w:t>
            </w:r>
          </w:p>
        </w:tc>
        <w:tc>
          <w:tcPr>
            <w:tcW w:w="12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892</w:t>
            </w:r>
          </w:p>
        </w:tc>
        <w:tc>
          <w:tcPr>
            <w:tcW w:w="129" w:type="dxa"/>
            <w:tcBorders/>
            <w:shd w:fill="auto" w:val="clear"/>
            <w:vAlign w:val="center"/>
          </w:tcPr>
          <w:p>
            <w:pPr>
              <w:pStyle w:val="TableContents"/>
              <w:spacing w:before="0" w:after="0"/>
              <w:ind w:left="0" w:right="0" w:firstLine="30"/>
              <w:rPr/>
            </w:pPr>
            <w:r>
              <w:rPr/>
              <w:t> </w:t>
            </w:r>
          </w:p>
        </w:tc>
        <w:tc>
          <w:tcPr>
            <w:tcW w:w="10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125</w:t>
            </w:r>
          </w:p>
        </w:tc>
        <w:tc>
          <w:tcPr>
            <w:tcW w:w="9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4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1,017</w:t>
            </w:r>
          </w:p>
        </w:tc>
        <w:tc>
          <w:tcPr>
            <w:tcW w:w="129" w:type="dxa"/>
            <w:tcBorders/>
            <w:shd w:fill="auto" w:val="clear"/>
            <w:vAlign w:val="center"/>
          </w:tcPr>
          <w:p>
            <w:pPr>
              <w:pStyle w:val="TableContents"/>
              <w:spacing w:before="0" w:after="0"/>
              <w:ind w:left="0" w:right="0" w:firstLine="30"/>
              <w:rPr/>
            </w:pPr>
            <w:r>
              <w:rPr/>
              <w:t> </w:t>
            </w:r>
          </w:p>
        </w:tc>
        <w:tc>
          <w:tcPr>
            <w:tcW w:w="9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37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During the third quarter of fiscal 2013, we implemented a plan to close </w:t>
      </w:r>
      <w:r>
        <w:rPr>
          <w:rFonts w:ascii="inherit" w:hAnsi="inherit"/>
          <w:strike w:val="false"/>
          <w:dstrike w:val="false"/>
          <w:color w:val="000000"/>
          <w:sz w:val="17"/>
          <w:u w:val="none"/>
          <w:effect w:val="none"/>
        </w:rPr>
        <w:t>107</w:t>
      </w:r>
      <w:r>
        <w:rPr>
          <w:sz w:val="17"/>
        </w:rPr>
        <w:t xml:space="preserve"> </w:t>
      </w:r>
      <w:r>
        <w:rPr>
          <w:rFonts w:ascii="inherit" w:hAnsi="inherit"/>
          <w:sz w:val="17"/>
        </w:rPr>
        <w:t>legacy stores (</w:t>
      </w:r>
      <w:r>
        <w:rPr>
          <w:rFonts w:ascii="inherit" w:hAnsi="inherit"/>
          <w:strike w:val="false"/>
          <w:dstrike w:val="false"/>
          <w:color w:val="000000"/>
          <w:sz w:val="17"/>
          <w:u w:val="none"/>
          <w:effect w:val="none"/>
        </w:rPr>
        <w:t>102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94</w:t>
      </w:r>
      <w:r>
        <w:rPr>
          <w:sz w:val="17"/>
        </w:rPr>
        <w:t xml:space="preserve"> </w:t>
      </w:r>
      <w:r>
        <w:rPr>
          <w:rFonts w:ascii="inherit" w:hAnsi="inherit"/>
          <w:sz w:val="17"/>
        </w:rPr>
        <w:t>of which were in operation at September 30, 2012 and 2011, respectively) in a variety of locations. These stores are generally older, smaller stores that do not fit our future growth profile.</w:t>
      </w:r>
    </w:p>
    <w:p>
      <w:pPr>
        <w:pStyle w:val="TextBody"/>
        <w:spacing w:lineRule="auto" w:line="288" w:before="0" w:after="0"/>
        <w:jc w:val="left"/>
        <w:rPr>
          <w:rFonts w:ascii="inherit" w:hAnsi="inherit"/>
          <w:sz w:val="17"/>
        </w:rPr>
      </w:pPr>
      <w:r>
        <w:rPr>
          <w:rFonts w:ascii="inherit" w:hAnsi="inherit"/>
          <w:sz w:val="17"/>
        </w:rPr>
        <w:t>Store closures as discontinued operations include:</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57</w:t>
            </w:r>
            <w:r>
              <w:rPr>
                <w:sz w:val="17"/>
              </w:rPr>
              <w:t xml:space="preserve"> </w:t>
            </w:r>
            <w:r>
              <w:rPr>
                <w:rFonts w:ascii="inherit" w:hAnsi="inherit"/>
                <w:sz w:val="17"/>
              </w:rPr>
              <w:t xml:space="preserve">stores in Mexico, </w:t>
            </w:r>
            <w:r>
              <w:rPr>
                <w:rFonts w:ascii="inherit" w:hAnsi="inherit"/>
                <w:strike w:val="false"/>
                <w:dstrike w:val="false"/>
                <w:color w:val="000000"/>
                <w:sz w:val="17"/>
                <w:u w:val="none"/>
                <w:effect w:val="none"/>
              </w:rPr>
              <w:t>52</w:t>
            </w:r>
            <w:r>
              <w:rPr>
                <w:sz w:val="17"/>
              </w:rPr>
              <w:t xml:space="preserve"> </w:t>
            </w:r>
            <w:r>
              <w:rPr>
                <w:rFonts w:ascii="inherit" w:hAnsi="inherit"/>
                <w:sz w:val="17"/>
              </w:rPr>
              <w:t>of which are small, jewelry-only asset group formats. We will continue to operate our full-service SWS stores under the Empeño Fácil brand, and expect to continue our storefront growth in Mexico.</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29</w:t>
            </w:r>
            <w:r>
              <w:rPr>
                <w:sz w:val="17"/>
              </w:rPr>
              <w:t xml:space="preserve"> </w:t>
            </w:r>
            <w:r>
              <w:rPr>
                <w:rFonts w:ascii="inherit" w:hAnsi="inherit"/>
                <w:sz w:val="17"/>
              </w:rPr>
              <w:t>stores in Canada, where we are in the process of transitioning to an integrated buy/sell and financial services model under the Cash Converters brand. The affected asset group consists of stores that are not optimal for that model because of location or size. We will continue to operate full-service buy/sell and financial services center stores under the Cash Converters brand in Canada and the United States.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20</w:t>
            </w:r>
            <w:r>
              <w:rPr>
                <w:sz w:val="17"/>
              </w:rPr>
              <w:t xml:space="preserve"> </w:t>
            </w:r>
            <w:r>
              <w:rPr>
                <w:rFonts w:ascii="inherit" w:hAnsi="inherit"/>
                <w:sz w:val="17"/>
              </w:rPr>
              <w:t xml:space="preserve">financial services stores in Dallas, Texas and the State of Florida, where we are exiting both locations primarily due to onerous regulatory requirements. In addition,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jewelry-only concept store will be closed, which was our only jewelry-only store in the United States. </w:t>
            </w:r>
          </w:p>
        </w:tc>
      </w:tr>
    </w:tbl>
    <w:p>
      <w:pPr>
        <w:pStyle w:val="TextBody"/>
        <w:spacing w:lineRule="auto" w:line="288" w:before="0" w:after="0"/>
        <w:jc w:val="left"/>
        <w:rPr>
          <w:sz w:val="17"/>
        </w:rPr>
      </w:pPr>
      <w:r>
        <w:rPr>
          <w:rFonts w:ascii="inherit" w:hAnsi="inherit"/>
          <w:sz w:val="17"/>
        </w:rPr>
        <w:t>Due to discontinued operations, we incurred charges for lease termination costs, asset and inventory write-down to net realizable liquidation value, uncollectible receivables, and employee severance costs. We recognized $22.2 million</w:t>
      </w:r>
      <w:r>
        <w:rPr>
          <w:sz w:val="17"/>
        </w:rPr>
        <w:t xml:space="preserve"> </w:t>
      </w:r>
      <w:r>
        <w:rPr>
          <w:rFonts w:ascii="inherit" w:hAnsi="inherit"/>
          <w:sz w:val="17"/>
        </w:rPr>
        <w:t>of pre-tax charges related to discontinued operations during fiscal 2013. The following table summarizes these costs, which have been recorded as part of loss from discontinued operations, net of tax in our fiscal 2013</w:t>
      </w:r>
      <w:r>
        <w:rPr>
          <w:sz w:val="17"/>
        </w:rPr>
        <w:t xml:space="preserve"> </w:t>
      </w:r>
      <w:r>
        <w:rPr>
          <w:rFonts w:ascii="inherit" w:hAnsi="inherit"/>
          <w:sz w:val="17"/>
        </w:rPr>
        <w:t>consolidated statement of operations:</w:t>
      </w:r>
    </w:p>
    <w:tbl>
      <w:tblPr>
        <w:tblW w:w="10205" w:type="dxa"/>
        <w:jc w:val="left"/>
        <w:tblInd w:w="0" w:type="dxa"/>
        <w:tblCellMar>
          <w:top w:w="0" w:type="dxa"/>
          <w:left w:w="0" w:type="dxa"/>
          <w:bottom w:w="0" w:type="dxa"/>
          <w:right w:w="0" w:type="dxa"/>
        </w:tblCellMar>
      </w:tblPr>
      <w:tblGrid>
        <w:gridCol w:w="7219"/>
        <w:gridCol w:w="200"/>
        <w:gridCol w:w="2657"/>
        <w:gridCol w:w="129"/>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721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65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219" w:type="dxa"/>
            <w:tcBorders/>
            <w:shd w:fill="auto" w:val="clear"/>
            <w:vAlign w:val="center"/>
          </w:tcPr>
          <w:p>
            <w:pPr>
              <w:pStyle w:val="TableContents"/>
              <w:spacing w:before="0" w:after="0"/>
              <w:ind w:left="0" w:right="0" w:firstLine="30"/>
              <w:rPr/>
            </w:pPr>
            <w:r>
              <w:rPr/>
              <w:t> </w:t>
            </w:r>
          </w:p>
        </w:tc>
        <w:tc>
          <w:tcPr>
            <w:tcW w:w="298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2013</w:t>
            </w:r>
          </w:p>
        </w:tc>
      </w:tr>
      <w:tr>
        <w:trPr/>
        <w:tc>
          <w:tcPr>
            <w:tcW w:w="7219" w:type="dxa"/>
            <w:tcBorders/>
            <w:shd w:fill="auto" w:val="clear"/>
            <w:vAlign w:val="center"/>
          </w:tcPr>
          <w:p>
            <w:pPr>
              <w:pStyle w:val="TableContents"/>
              <w:spacing w:before="0" w:after="0"/>
              <w:ind w:left="0" w:right="0" w:firstLine="30"/>
              <w:rPr/>
            </w:pPr>
            <w:r>
              <w:rPr/>
              <w:t> </w:t>
            </w:r>
          </w:p>
        </w:tc>
        <w:tc>
          <w:tcPr>
            <w:tcW w:w="2986" w:type="dxa"/>
            <w:gridSpan w:val="3"/>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2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Lease termination costs</w:t>
            </w:r>
          </w:p>
        </w:tc>
        <w:tc>
          <w:tcPr>
            <w:tcW w:w="20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657" w:type="dxa"/>
            <w:tcBorders/>
            <w:shd w:fill="CCEEFF" w:val="clear"/>
            <w:vAlign w:val="center"/>
          </w:tcPr>
          <w:p>
            <w:pPr>
              <w:pStyle w:val="TableContents"/>
              <w:spacing w:before="0" w:after="0"/>
              <w:jc w:val="right"/>
              <w:rPr>
                <w:rFonts w:ascii="inherit" w:hAnsi="inherit"/>
                <w:sz w:val="17"/>
              </w:rPr>
            </w:pPr>
            <w:r>
              <w:rPr>
                <w:rFonts w:ascii="inherit" w:hAnsi="inherit"/>
                <w:sz w:val="17"/>
              </w:rPr>
              <w:t>8,608</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Employee severance</w:t>
            </w:r>
          </w:p>
        </w:tc>
        <w:tc>
          <w:tcPr>
            <w:tcW w:w="28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896</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write-down to liquidation value</w:t>
            </w:r>
          </w:p>
        </w:tc>
        <w:tc>
          <w:tcPr>
            <w:tcW w:w="28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7,081</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Fixed asset write-down to liquidation value</w:t>
            </w:r>
          </w:p>
        </w:tc>
        <w:tc>
          <w:tcPr>
            <w:tcW w:w="28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5,605</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20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6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22,190</w:t>
            </w:r>
          </w:p>
        </w:tc>
        <w:tc>
          <w:tcPr>
            <w:tcW w:w="12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30</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table below summarizes the operating income (losses) from discontinued operations by operating segment:</w:t>
      </w:r>
    </w:p>
    <w:tbl>
      <w:tblPr>
        <w:tblW w:w="10205" w:type="dxa"/>
        <w:jc w:val="center"/>
        <w:tblInd w:w="0" w:type="dxa"/>
        <w:tblCellMar>
          <w:top w:w="0" w:type="dxa"/>
          <w:left w:w="0" w:type="dxa"/>
          <w:bottom w:w="0" w:type="dxa"/>
          <w:right w:w="0" w:type="dxa"/>
        </w:tblCellMar>
      </w:tblPr>
      <w:tblGrid>
        <w:gridCol w:w="6092"/>
        <w:gridCol w:w="138"/>
        <w:gridCol w:w="1045"/>
        <w:gridCol w:w="132"/>
        <w:gridCol w:w="123"/>
        <w:gridCol w:w="138"/>
        <w:gridCol w:w="1000"/>
        <w:gridCol w:w="132"/>
        <w:gridCol w:w="123"/>
        <w:gridCol w:w="138"/>
        <w:gridCol w:w="1000"/>
        <w:gridCol w:w="144"/>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609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92" w:type="dxa"/>
            <w:tcBorders/>
            <w:shd w:fill="auto" w:val="clear"/>
            <w:vAlign w:val="center"/>
          </w:tcPr>
          <w:p>
            <w:pPr>
              <w:pStyle w:val="TableContents"/>
              <w:spacing w:before="0" w:after="0"/>
              <w:ind w:left="0" w:right="0" w:firstLine="30"/>
              <w:rPr/>
            </w:pPr>
            <w:r>
              <w:rPr/>
              <w:t> </w:t>
            </w:r>
          </w:p>
        </w:tc>
        <w:tc>
          <w:tcPr>
            <w:tcW w:w="411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Fiscal Year Ended September 30,</w:t>
            </w:r>
          </w:p>
        </w:tc>
      </w:tr>
      <w:tr>
        <w:trPr/>
        <w:tc>
          <w:tcPr>
            <w:tcW w:w="6092" w:type="dxa"/>
            <w:tcBorders/>
            <w:shd w:fill="auto" w:val="clear"/>
            <w:vAlign w:val="center"/>
          </w:tcPr>
          <w:p>
            <w:pPr>
              <w:pStyle w:val="TableContents"/>
              <w:spacing w:before="0" w:after="0"/>
              <w:ind w:left="0" w:right="0" w:hanging="0"/>
              <w:rPr/>
            </w:pPr>
            <w:r>
              <w:rPr/>
              <w:t> </w:t>
            </w:r>
          </w:p>
        </w:tc>
        <w:tc>
          <w:tcPr>
            <w:tcW w:w="1315" w:type="dxa"/>
            <w:gridSpan w:val="3"/>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2013</w:t>
            </w:r>
          </w:p>
        </w:tc>
        <w:tc>
          <w:tcPr>
            <w:tcW w:w="123" w:type="dxa"/>
            <w:tcBorders/>
            <w:shd w:fill="auto" w:val="clear"/>
            <w:vAlign w:val="center"/>
          </w:tcPr>
          <w:p>
            <w:pPr>
              <w:pStyle w:val="TableContents"/>
              <w:spacing w:before="0" w:after="0"/>
              <w:ind w:left="0" w:right="0" w:hanging="0"/>
              <w:rPr/>
            </w:pPr>
            <w:r>
              <w:rPr/>
              <w:t> </w:t>
            </w:r>
          </w:p>
        </w:tc>
        <w:tc>
          <w:tcPr>
            <w:tcW w:w="1270" w:type="dxa"/>
            <w:gridSpan w:val="3"/>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2012</w:t>
            </w:r>
          </w:p>
        </w:tc>
        <w:tc>
          <w:tcPr>
            <w:tcW w:w="123" w:type="dxa"/>
            <w:tcBorders>
              <w:top w:val="single" w:sz="2" w:space="0" w:color="000000"/>
            </w:tcBorders>
            <w:shd w:fill="auto" w:val="clear"/>
            <w:tcMar>
              <w:top w:w="30" w:type="dxa"/>
            </w:tcMar>
            <w:vAlign w:val="center"/>
          </w:tcPr>
          <w:p>
            <w:pPr>
              <w:pStyle w:val="TableContents"/>
              <w:spacing w:before="0" w:after="0"/>
              <w:ind w:left="0" w:right="0" w:hanging="0"/>
              <w:rPr/>
            </w:pPr>
            <w:r>
              <w:rPr/>
              <w:t> </w:t>
            </w:r>
          </w:p>
        </w:tc>
        <w:tc>
          <w:tcPr>
            <w:tcW w:w="1282" w:type="dxa"/>
            <w:gridSpan w:val="3"/>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2011</w:t>
            </w:r>
          </w:p>
        </w:tc>
      </w:tr>
      <w:tr>
        <w:trPr/>
        <w:tc>
          <w:tcPr>
            <w:tcW w:w="6092" w:type="dxa"/>
            <w:tcBorders/>
            <w:shd w:fill="auto" w:val="clear"/>
            <w:vAlign w:val="center"/>
          </w:tcPr>
          <w:p>
            <w:pPr>
              <w:pStyle w:val="TableContents"/>
              <w:spacing w:before="0" w:after="0"/>
              <w:ind w:left="0" w:right="0" w:firstLine="30"/>
              <w:rPr/>
            </w:pPr>
            <w:r>
              <w:rPr/>
              <w:t> </w:t>
            </w:r>
          </w:p>
        </w:tc>
        <w:tc>
          <w:tcPr>
            <w:tcW w:w="4113" w:type="dxa"/>
            <w:gridSpan w:val="11"/>
            <w:tcBorders/>
            <w:shd w:fill="auto" w:val="clear"/>
            <w:vAlign w:val="center"/>
          </w:tcPr>
          <w:p>
            <w:pPr>
              <w:pStyle w:val="TableContents"/>
              <w:spacing w:before="0" w:after="0"/>
              <w:ind w:left="0" w:right="0" w:firstLine="30"/>
              <w:jc w:val="center"/>
              <w:rPr>
                <w:rFonts w:ascii="inherit" w:hAnsi="inherit"/>
                <w:i/>
                <w:sz w:val="17"/>
              </w:rPr>
            </w:pPr>
            <w:r>
              <w:rPr>
                <w:rFonts w:ascii="inherit" w:hAnsi="inherit"/>
                <w:i/>
                <w:sz w:val="17"/>
              </w:rPr>
              <w:t>(in thousands)</w:t>
            </w:r>
          </w:p>
        </w:tc>
      </w:tr>
      <w:tr>
        <w:trPr/>
        <w:tc>
          <w:tcPr>
            <w:tcW w:w="6092" w:type="dxa"/>
            <w:tcBorders/>
            <w:shd w:fill="CCEEFF"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U.S. &amp; Canada</w:t>
            </w:r>
          </w:p>
        </w:tc>
        <w:tc>
          <w:tcPr>
            <w:tcW w:w="1315"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70"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82" w:type="dxa"/>
            <w:gridSpan w:val="3"/>
            <w:tcBorders/>
            <w:shd w:fill="CCEEFF" w:val="clear"/>
            <w:vAlign w:val="center"/>
          </w:tcPr>
          <w:p>
            <w:pPr>
              <w:pStyle w:val="TableContents"/>
              <w:spacing w:before="0" w:after="0"/>
              <w:ind w:left="0" w:right="0" w:firstLine="30"/>
              <w:rPr/>
            </w:pPr>
            <w:r>
              <w:rPr/>
              <w:t> </w:t>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auto" w:val="clear"/>
            <w:vAlign w:val="center"/>
          </w:tcPr>
          <w:p>
            <w:pPr>
              <w:pStyle w:val="TableContents"/>
              <w:spacing w:before="0" w:after="0"/>
              <w:jc w:val="right"/>
              <w:rPr>
                <w:rFonts w:ascii="inherit" w:hAnsi="inherit"/>
                <w:sz w:val="17"/>
              </w:rPr>
            </w:pPr>
            <w:r>
              <w:rPr>
                <w:rFonts w:ascii="inherit" w:hAnsi="inherit"/>
                <w:sz w:val="17"/>
              </w:rPr>
              <w:t>4,308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auto" w:val="clear"/>
            <w:vAlign w:val="center"/>
          </w:tcPr>
          <w:p>
            <w:pPr>
              <w:pStyle w:val="TableContents"/>
              <w:spacing w:before="0" w:after="0"/>
              <w:jc w:val="right"/>
              <w:rPr>
                <w:rFonts w:ascii="inherit" w:hAnsi="inherit"/>
                <w:sz w:val="17"/>
              </w:rPr>
            </w:pPr>
            <w:r>
              <w:rPr>
                <w:rFonts w:ascii="inherit" w:hAnsi="inherit"/>
                <w:sz w:val="17"/>
              </w:rPr>
              <w:t>6,183</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auto" w:val="clear"/>
            <w:vAlign w:val="center"/>
          </w:tcPr>
          <w:p>
            <w:pPr>
              <w:pStyle w:val="TableContents"/>
              <w:spacing w:before="0" w:after="0"/>
              <w:jc w:val="right"/>
              <w:rPr>
                <w:rFonts w:ascii="inherit" w:hAnsi="inherit"/>
                <w:sz w:val="17"/>
              </w:rPr>
            </w:pPr>
            <w:r>
              <w:rPr>
                <w:rFonts w:ascii="inherit" w:hAnsi="inherit"/>
                <w:sz w:val="17"/>
              </w:rPr>
              <w:t>5,495</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1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10,090</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10,031</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5,891</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loss from discontinued operations before taxes</w:t>
            </w:r>
          </w:p>
        </w:tc>
        <w:tc>
          <w:tcPr>
            <w:tcW w:w="11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(5,782</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(3,848</w:t>
            </w:r>
          </w:p>
        </w:tc>
        <w:tc>
          <w:tcPr>
            <w:tcW w:w="132"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(396</w:t>
            </w:r>
          </w:p>
        </w:tc>
        <w:tc>
          <w:tcPr>
            <w:tcW w:w="144"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11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13,049</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before taxes</w:t>
            </w:r>
          </w:p>
        </w:tc>
        <w:tc>
          <w:tcPr>
            <w:tcW w:w="11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(18,831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(3,848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(396</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(benefit) tax provision</w:t>
            </w:r>
          </w:p>
        </w:tc>
        <w:tc>
          <w:tcPr>
            <w:tcW w:w="11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(1,392</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77</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404</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auto" w:val="clear"/>
            <w:vAlign w:val="center"/>
          </w:tcPr>
          <w:p>
            <w:pPr>
              <w:pStyle w:val="TableContents"/>
              <w:spacing w:before="0" w:after="0"/>
              <w:jc w:val="right"/>
              <w:rPr>
                <w:rFonts w:ascii="inherit" w:hAnsi="inherit"/>
                <w:sz w:val="17"/>
              </w:rPr>
            </w:pPr>
            <w:r>
              <w:rPr>
                <w:rFonts w:ascii="inherit" w:hAnsi="inherit"/>
                <w:sz w:val="17"/>
              </w:rPr>
              <w:t>(17,439</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auto" w:val="clear"/>
            <w:vAlign w:val="center"/>
          </w:tcPr>
          <w:p>
            <w:pPr>
              <w:pStyle w:val="TableContents"/>
              <w:spacing w:before="0" w:after="0"/>
              <w:jc w:val="right"/>
              <w:rPr>
                <w:rFonts w:ascii="inherit" w:hAnsi="inherit"/>
                <w:sz w:val="17"/>
              </w:rPr>
            </w:pPr>
            <w:r>
              <w:rPr>
                <w:rFonts w:ascii="inherit" w:hAnsi="inherit"/>
                <w:sz w:val="17"/>
              </w:rPr>
              <w:t>(3,925</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auto" w:val="clear"/>
            <w:vAlign w:val="center"/>
          </w:tcPr>
          <w:p>
            <w:pPr>
              <w:pStyle w:val="TableContents"/>
              <w:spacing w:before="0" w:after="0"/>
              <w:jc w:val="right"/>
              <w:rPr>
                <w:rFonts w:ascii="inherit" w:hAnsi="inherit"/>
                <w:sz w:val="17"/>
              </w:rPr>
            </w:pPr>
            <w:r>
              <w:rPr>
                <w:rFonts w:ascii="inherit" w:hAnsi="inherit"/>
                <w:sz w:val="17"/>
              </w:rPr>
              <w:t>(800</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CCEEFF" w:val="clear"/>
            <w:vAlign w:val="center"/>
          </w:tcPr>
          <w:p>
            <w:pPr>
              <w:pStyle w:val="TableContents"/>
              <w:spacing w:before="0" w:after="0"/>
              <w:ind w:left="0" w:right="0" w:firstLine="30"/>
              <w:rPr/>
            </w:pPr>
            <w:r>
              <w:rPr/>
              <w:t> </w:t>
            </w:r>
          </w:p>
        </w:tc>
        <w:tc>
          <w:tcPr>
            <w:tcW w:w="1315"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70"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82" w:type="dxa"/>
            <w:gridSpan w:val="3"/>
            <w:tcBorders/>
            <w:shd w:fill="CCEEFF" w:val="clear"/>
            <w:vAlign w:val="center"/>
          </w:tcPr>
          <w:p>
            <w:pPr>
              <w:pStyle w:val="TableContents"/>
              <w:spacing w:before="0" w:after="0"/>
              <w:ind w:left="0" w:right="0" w:firstLine="30"/>
              <w:rPr/>
            </w:pPr>
            <w:r>
              <w:rPr/>
              <w:t> </w:t>
            </w:r>
          </w:p>
        </w:tc>
      </w:tr>
      <w:tr>
        <w:trPr/>
        <w:tc>
          <w:tcPr>
            <w:tcW w:w="6092" w:type="dxa"/>
            <w:tcBorders/>
            <w:shd w:fill="auto"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Latin America</w:t>
            </w:r>
          </w:p>
        </w:tc>
        <w:tc>
          <w:tcPr>
            <w:tcW w:w="1315"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70"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82" w:type="dxa"/>
            <w:gridSpan w:val="3"/>
            <w:tcBorders/>
            <w:shd w:fill="auto" w:val="clear"/>
            <w:vAlign w:val="center"/>
          </w:tcPr>
          <w:p>
            <w:pPr>
              <w:pStyle w:val="TableContents"/>
              <w:spacing w:before="0" w:after="0"/>
              <w:ind w:left="0" w:right="0" w:firstLine="30"/>
              <w:rPr/>
            </w:pPr>
            <w:r>
              <w:rPr/>
              <w:t> </w:t>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CCEEFF" w:val="clear"/>
            <w:vAlign w:val="center"/>
          </w:tcPr>
          <w:p>
            <w:pPr>
              <w:pStyle w:val="TableContents"/>
              <w:spacing w:before="0" w:after="0"/>
              <w:jc w:val="right"/>
              <w:rPr>
                <w:rFonts w:ascii="inherit" w:hAnsi="inherit"/>
                <w:sz w:val="17"/>
              </w:rPr>
            </w:pPr>
            <w:r>
              <w:rPr>
                <w:rFonts w:ascii="inherit" w:hAnsi="inherit"/>
                <w:sz w:val="17"/>
              </w:rPr>
              <w:t>5,215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CCEEFF" w:val="clear"/>
            <w:vAlign w:val="center"/>
          </w:tcPr>
          <w:p>
            <w:pPr>
              <w:pStyle w:val="TableContents"/>
              <w:spacing w:before="0" w:after="0"/>
              <w:jc w:val="right"/>
              <w:rPr>
                <w:rFonts w:ascii="inherit" w:hAnsi="inherit"/>
                <w:sz w:val="17"/>
              </w:rPr>
            </w:pPr>
            <w:r>
              <w:rPr>
                <w:rFonts w:ascii="inherit" w:hAnsi="inherit"/>
                <w:sz w:val="17"/>
              </w:rPr>
              <w:t>3,645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CCEEFF" w:val="clear"/>
            <w:vAlign w:val="center"/>
          </w:tcPr>
          <w:p>
            <w:pPr>
              <w:pStyle w:val="TableContents"/>
              <w:spacing w:before="0" w:after="0"/>
              <w:jc w:val="right"/>
              <w:rPr>
                <w:rFonts w:ascii="inherit" w:hAnsi="inherit"/>
                <w:sz w:val="17"/>
              </w:rPr>
            </w:pPr>
            <w:r>
              <w:rPr>
                <w:rFonts w:ascii="inherit" w:hAnsi="inherit"/>
                <w:sz w:val="17"/>
              </w:rPr>
              <w:t>3,138</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1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4,461</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4,560</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4,220</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 (loss) from discontinued operations before taxes</w:t>
            </w:r>
          </w:p>
        </w:tc>
        <w:tc>
          <w:tcPr>
            <w:tcW w:w="118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754</w:t>
            </w:r>
          </w:p>
        </w:tc>
        <w:tc>
          <w:tcPr>
            <w:tcW w:w="13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(915</w:t>
            </w:r>
          </w:p>
        </w:tc>
        <w:tc>
          <w:tcPr>
            <w:tcW w:w="132"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(1,082</w:t>
            </w:r>
          </w:p>
        </w:tc>
        <w:tc>
          <w:tcPr>
            <w:tcW w:w="14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11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9,141</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before taxes</w:t>
            </w:r>
          </w:p>
        </w:tc>
        <w:tc>
          <w:tcPr>
            <w:tcW w:w="118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(8,387</w:t>
            </w:r>
          </w:p>
        </w:tc>
        <w:tc>
          <w:tcPr>
            <w:tcW w:w="132"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(915</w:t>
            </w:r>
          </w:p>
        </w:tc>
        <w:tc>
          <w:tcPr>
            <w:tcW w:w="132"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(1,082</w:t>
            </w:r>
          </w:p>
        </w:tc>
        <w:tc>
          <w:tcPr>
            <w:tcW w:w="14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w:t>
            </w:r>
          </w:p>
        </w:tc>
        <w:tc>
          <w:tcPr>
            <w:tcW w:w="11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(2,516</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(307</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(324</w:t>
            </w:r>
          </w:p>
        </w:tc>
        <w:tc>
          <w:tcPr>
            <w:tcW w:w="14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CCEEFF" w:val="clear"/>
            <w:vAlign w:val="center"/>
          </w:tcPr>
          <w:p>
            <w:pPr>
              <w:pStyle w:val="TableContents"/>
              <w:spacing w:before="0" w:after="0"/>
              <w:jc w:val="right"/>
              <w:rPr>
                <w:rFonts w:ascii="inherit" w:hAnsi="inherit"/>
                <w:sz w:val="17"/>
              </w:rPr>
            </w:pPr>
            <w:r>
              <w:rPr>
                <w:rFonts w:ascii="inherit" w:hAnsi="inherit"/>
                <w:sz w:val="17"/>
              </w:rPr>
              <w:t>(5,871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CCEEFF" w:val="clear"/>
            <w:vAlign w:val="center"/>
          </w:tcPr>
          <w:p>
            <w:pPr>
              <w:pStyle w:val="TableContents"/>
              <w:spacing w:before="0" w:after="0"/>
              <w:jc w:val="right"/>
              <w:rPr>
                <w:rFonts w:ascii="inherit" w:hAnsi="inherit"/>
                <w:sz w:val="17"/>
              </w:rPr>
            </w:pPr>
            <w:r>
              <w:rPr>
                <w:rFonts w:ascii="inherit" w:hAnsi="inherit"/>
                <w:sz w:val="17"/>
              </w:rPr>
              <w:t>(608</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CCEEFF" w:val="clear"/>
            <w:vAlign w:val="center"/>
          </w:tcPr>
          <w:p>
            <w:pPr>
              <w:pStyle w:val="TableContents"/>
              <w:spacing w:before="0" w:after="0"/>
              <w:jc w:val="right"/>
              <w:rPr>
                <w:rFonts w:ascii="inherit" w:hAnsi="inherit"/>
                <w:sz w:val="17"/>
              </w:rPr>
            </w:pPr>
            <w:r>
              <w:rPr>
                <w:rFonts w:ascii="inherit" w:hAnsi="inherit"/>
                <w:sz w:val="17"/>
              </w:rPr>
              <w:t>(758</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auto" w:val="clear"/>
            <w:vAlign w:val="center"/>
          </w:tcPr>
          <w:p>
            <w:pPr>
              <w:pStyle w:val="TableContents"/>
              <w:spacing w:before="0" w:after="0"/>
              <w:ind w:left="0" w:right="0" w:firstLine="30"/>
              <w:rPr/>
            </w:pPr>
            <w:r>
              <w:rPr/>
              <w:t> </w:t>
            </w:r>
          </w:p>
        </w:tc>
        <w:tc>
          <w:tcPr>
            <w:tcW w:w="1315"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70"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82" w:type="dxa"/>
            <w:gridSpan w:val="3"/>
            <w:tcBorders/>
            <w:shd w:fill="auto" w:val="clear"/>
            <w:vAlign w:val="center"/>
          </w:tcPr>
          <w:p>
            <w:pPr>
              <w:pStyle w:val="TableContents"/>
              <w:spacing w:before="0" w:after="0"/>
              <w:ind w:left="0" w:right="0" w:firstLine="30"/>
              <w:rPr/>
            </w:pPr>
            <w:r>
              <w:rPr/>
              <w:t> </w:t>
            </w:r>
          </w:p>
        </w:tc>
      </w:tr>
      <w:tr>
        <w:trPr/>
        <w:tc>
          <w:tcPr>
            <w:tcW w:w="6092" w:type="dxa"/>
            <w:tcBorders/>
            <w:shd w:fill="CCEEFF"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Consolidated</w:t>
            </w:r>
          </w:p>
        </w:tc>
        <w:tc>
          <w:tcPr>
            <w:tcW w:w="1315"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70"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82" w:type="dxa"/>
            <w:gridSpan w:val="3"/>
            <w:tcBorders/>
            <w:shd w:fill="CCEEFF" w:val="clear"/>
            <w:vAlign w:val="center"/>
          </w:tcPr>
          <w:p>
            <w:pPr>
              <w:pStyle w:val="TableContents"/>
              <w:spacing w:before="0" w:after="0"/>
              <w:ind w:left="0" w:right="0" w:firstLine="30"/>
              <w:rPr/>
            </w:pPr>
            <w:r>
              <w:rPr/>
              <w:t> </w:t>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auto" w:val="clear"/>
            <w:vAlign w:val="center"/>
          </w:tcPr>
          <w:p>
            <w:pPr>
              <w:pStyle w:val="TableContents"/>
              <w:spacing w:before="0" w:after="0"/>
              <w:jc w:val="right"/>
              <w:rPr>
                <w:rFonts w:ascii="inherit" w:hAnsi="inherit"/>
                <w:sz w:val="17"/>
              </w:rPr>
            </w:pPr>
            <w:r>
              <w:rPr>
                <w:rFonts w:ascii="inherit" w:hAnsi="inherit"/>
                <w:sz w:val="17"/>
              </w:rPr>
              <w:t>9,523</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auto" w:val="clear"/>
            <w:vAlign w:val="center"/>
          </w:tcPr>
          <w:p>
            <w:pPr>
              <w:pStyle w:val="TableContents"/>
              <w:spacing w:before="0" w:after="0"/>
              <w:jc w:val="right"/>
              <w:rPr>
                <w:rFonts w:ascii="inherit" w:hAnsi="inherit"/>
                <w:sz w:val="17"/>
              </w:rPr>
            </w:pPr>
            <w:r>
              <w:rPr>
                <w:rFonts w:ascii="inherit" w:hAnsi="inherit"/>
                <w:sz w:val="17"/>
              </w:rPr>
              <w:t>9,828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auto" w:val="clear"/>
            <w:vAlign w:val="center"/>
          </w:tcPr>
          <w:p>
            <w:pPr>
              <w:pStyle w:val="TableContents"/>
              <w:spacing w:before="0" w:after="0"/>
              <w:jc w:val="right"/>
              <w:rPr>
                <w:rFonts w:ascii="inherit" w:hAnsi="inherit"/>
                <w:sz w:val="17"/>
              </w:rPr>
            </w:pPr>
            <w:r>
              <w:rPr>
                <w:rFonts w:ascii="inherit" w:hAnsi="inherit"/>
                <w:sz w:val="17"/>
              </w:rPr>
              <w:t>8,633</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1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14,551</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14,591</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10,111</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loss from discontinued operations before taxes</w:t>
            </w:r>
          </w:p>
        </w:tc>
        <w:tc>
          <w:tcPr>
            <w:tcW w:w="118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(5,028</w:t>
            </w:r>
          </w:p>
        </w:tc>
        <w:tc>
          <w:tcPr>
            <w:tcW w:w="132"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(4,763</w:t>
            </w:r>
          </w:p>
        </w:tc>
        <w:tc>
          <w:tcPr>
            <w:tcW w:w="132"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(1,478</w:t>
            </w:r>
          </w:p>
        </w:tc>
        <w:tc>
          <w:tcPr>
            <w:tcW w:w="144"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11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22,190</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before taxes</w:t>
            </w:r>
          </w:p>
        </w:tc>
        <w:tc>
          <w:tcPr>
            <w:tcW w:w="118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(27,218</w:t>
            </w:r>
          </w:p>
        </w:tc>
        <w:tc>
          <w:tcPr>
            <w:tcW w:w="132"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(4,763</w:t>
            </w:r>
          </w:p>
        </w:tc>
        <w:tc>
          <w:tcPr>
            <w:tcW w:w="132"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(1,478</w:t>
            </w:r>
          </w:p>
        </w:tc>
        <w:tc>
          <w:tcPr>
            <w:tcW w:w="144"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(benefit) tax provision</w:t>
            </w:r>
          </w:p>
        </w:tc>
        <w:tc>
          <w:tcPr>
            <w:tcW w:w="11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(3,908</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(230</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80</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(23,310</w:t>
            </w:r>
          </w:p>
        </w:tc>
        <w:tc>
          <w:tcPr>
            <w:tcW w:w="13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(4,533</w:t>
            </w:r>
          </w:p>
        </w:tc>
        <w:tc>
          <w:tcPr>
            <w:tcW w:w="13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(1,558</w:t>
            </w:r>
          </w:p>
        </w:tc>
        <w:tc>
          <w:tcPr>
            <w:tcW w:w="1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rFonts w:ascii="inherit" w:hAnsi="inherit"/>
          <w:i/>
          <w:sz w:val="17"/>
        </w:rPr>
      </w:pPr>
      <w:r>
        <w:rPr>
          <w:rFonts w:ascii="inherit" w:hAnsi="inherit"/>
          <w:i/>
          <w:sz w:val="17"/>
        </w:rPr>
        <w:t>Pawn and Retail Activities</w:t>
      </w:r>
    </w:p>
    <w:p>
      <w:pPr>
        <w:pStyle w:val="TextBody"/>
        <w:spacing w:lineRule="auto" w:line="288" w:before="0" w:after="0"/>
        <w:rPr>
          <w:rFonts w:ascii="inherit" w:hAnsi="inherit"/>
          <w:sz w:val="17"/>
        </w:rPr>
      </w:pPr>
      <w:r>
        <w:rPr>
          <w:rFonts w:ascii="inherit" w:hAnsi="inherit"/>
          <w:sz w:val="17"/>
        </w:rPr>
        <w:t>We earn pawn service charge revenues on our pawn lending. While allowable service charges vary by state and loan size, a majority of our U.S. pawn loans earn 20% per month. Our average U.S. pawn loan amount typically ranges between $130 and $135, but varies depending on the valuation of each item pawned. The total U.S. loan term ranges between 60 and 120 days, consisting of the primary term and grace period. In Mexico, pawn service charges range from 14% to 21% per month, including applicable taxes, with the majority of loans earning 21%. The total Mexico pawn loan term is 40 days, consisting of the primary term and grace period. Individual loans are made in Mexican pesos and vary depending on the valuation of each item pawned, but typically average U.S. $65.</w:t>
      </w:r>
    </w:p>
    <w:p>
      <w:pPr>
        <w:pStyle w:val="TextBody"/>
        <w:spacing w:lineRule="auto" w:line="288" w:before="0" w:after="0"/>
        <w:rPr>
          <w:rFonts w:ascii="inherit" w:hAnsi="inherit"/>
          <w:sz w:val="17"/>
        </w:rPr>
      </w:pPr>
      <w:r>
        <w:rPr>
          <w:rFonts w:ascii="inherit" w:hAnsi="inherit"/>
          <w:sz w:val="17"/>
        </w:rPr>
        <w:t>In our pawn stores, buy/sell stores in Pennsylvania and Virginia and certain financial services stores in Canada, we acquire inventory for retail sales through pawn loan forfeitures, purchases of customers’ second hand merchandise or purchases of new or refurbished merchandise from third party vendors. The gross profit on sales of inventory depends primarily on our assessment of the loan or purchase value at the time the property is either accepted as loan collateral or purchased. Margins achieved on sale of inventory are a function of the assessment of value at the time the pawn loan was originated or, in the case of purchased merchandise, the purchase price.</w:t>
      </w:r>
    </w:p>
    <w:p>
      <w:pPr>
        <w:pStyle w:val="TextBody"/>
        <w:spacing w:lineRule="auto" w:line="288" w:before="0" w:after="0"/>
        <w:rPr>
          <w:rFonts w:ascii="inherit" w:hAnsi="inherit"/>
          <w:sz w:val="17"/>
        </w:rPr>
      </w:pPr>
      <w:r>
        <w:rPr>
          <w:rFonts w:ascii="inherit" w:hAnsi="inherit"/>
          <w:sz w:val="17"/>
        </w:rPr>
        <w:t xml:space="preserve">We record a valuation allowance for obsolete or slow-moving inventory based on the type and age of merchandise. We generally establish a higher allowance percentage on general merchandise, as it is more susceptible to obsolescence, and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31</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establish a lower allowance percentage on jewelry, as it generally has greater inherent commodity value. At September 30, 2013, our total allowance was 2.8% of gross inventory, compared to 4.9% at September 30, 2012. Changes in the valuation allowance are charged to merchandise cost of goods sold.</w:t>
      </w:r>
    </w:p>
    <w:p>
      <w:pPr>
        <w:pStyle w:val="TextBody"/>
        <w:spacing w:lineRule="auto" w:line="288" w:before="0" w:after="0"/>
        <w:rPr>
          <w:rFonts w:ascii="inherit" w:hAnsi="inherit"/>
          <w:i/>
          <w:sz w:val="17"/>
        </w:rPr>
      </w:pPr>
      <w:r>
        <w:rPr>
          <w:rFonts w:ascii="inherit" w:hAnsi="inherit"/>
          <w:i/>
          <w:sz w:val="17"/>
        </w:rPr>
        <w:t>Consumer Loan Activities</w:t>
      </w:r>
    </w:p>
    <w:p>
      <w:pPr>
        <w:pStyle w:val="TextBody"/>
        <w:spacing w:lineRule="auto" w:line="288" w:before="0" w:after="0"/>
        <w:rPr>
          <w:rFonts w:ascii="inherit" w:hAnsi="inherit"/>
          <w:sz w:val="17"/>
        </w:rPr>
      </w:pPr>
      <w:r>
        <w:rPr>
          <w:rFonts w:ascii="inherit" w:hAnsi="inherit"/>
          <w:sz w:val="17"/>
        </w:rPr>
        <w:t>At September 30, 2013, 288 of our U.S. financial services stores and two of our U.S. pawn stores in Texas offered credit services to customers seeking consumer loans from unaffiliated lenders. We do not participate in any of the loans made by the lenders, but earn a fee for helping customers obtain credit and for enhancing customers’ creditworthiness by providing letters of credit to the unaffiliated lenders. Customers may obtain different types of consumer loans from the unaffiliated lenders. For credit services in connection with arranging a single-payment loan (average loan amount of about $500), our fee is approximately 15% - 22% of the loan amount. For credit services in connection with arranging an unsecured multiple-payment loan (average loan amount of about $2,300), our fee is 10% of the initial loan amount with each semi-monthly or bi-weekly installment payment. Low dollar installment loan principal amounts range from $100 to $1,500, but average about $600. With each semi-monthly or bi-weekly installment payment, we earn a fee of 13% to 14% of the initial loan amount. For credit services in connection with arranging single-payment auto title loans (average loan amount of about $1,000), the fee is up to 30% of the loan amount. In fiscal 2012, we began assisting customers in obtaining longer-term multiple-payment auto title loans from unaffiliated lenders. Multiple-payment auto title loans typically carry terms of two to five months with up to ten equal installments. Multiple-payment auto title loan principal amounts range from $150 to $10,000, but average about $1,100; and we earn a fee of 50% to 140% of the initial loan amount. At September 30, 2013, single-payment loans comprised 80% of the balance of consumer loans brokered through our credit services, and multiple-payment loans comprised the remaining 20%.</w:t>
      </w:r>
    </w:p>
    <w:p>
      <w:pPr>
        <w:pStyle w:val="TextBody"/>
        <w:spacing w:lineRule="auto" w:line="288" w:before="0" w:after="0"/>
        <w:rPr>
          <w:rFonts w:ascii="inherit" w:hAnsi="inherit"/>
          <w:sz w:val="17"/>
        </w:rPr>
      </w:pPr>
      <w:r>
        <w:rPr>
          <w:rFonts w:ascii="inherit" w:hAnsi="inherit"/>
          <w:sz w:val="17"/>
        </w:rPr>
        <w:t>Outside of Texas, we earn loan fee revenue on our consumer loans. In two U.S. pawn stores, 106 U.S. financial services stores and 39 Canadian financial services stores, we offer single-payment unsecured consumer loans. The average single-payment loan amount is approximately $500 and the term is generally less than 30 days, averaging about 18 days. We typically charge a fee of 15% to 22% of the loan amount. In 122 of our U.S. financial services stores, we offer multiple-payment unsecured consumer loans. These loans carry a term of four to seven months, with a series of equal installment payments, including principal amortization, due monthly, semi-monthly or on the customer’s paydays. Total interest and fees on these loans vary in accordance with state law and loan terms, but over the entire loan term, total approximately 45% to 130% of the original principal amount of the loan. Multiple-payment loan principal amounts range from $100 to $3,000, but average approximately $550.</w:t>
      </w:r>
    </w:p>
    <w:p>
      <w:pPr>
        <w:pStyle w:val="TextBody"/>
        <w:spacing w:lineRule="auto" w:line="288" w:before="0" w:after="0"/>
        <w:rPr>
          <w:rFonts w:ascii="inherit" w:hAnsi="inherit"/>
          <w:sz w:val="17"/>
        </w:rPr>
      </w:pPr>
      <w:r>
        <w:rPr>
          <w:rFonts w:ascii="inherit" w:hAnsi="inherit"/>
          <w:sz w:val="17"/>
        </w:rPr>
        <w:t xml:space="preserve">At September 30, 2013, 426 of our U.S. financial services stores and two of our U.S. pawn stores offered auto title loans or, in Texas, credit services to assist customers in obtaining auto title loans from unaffiliated lenders. Auto title loans are 30-day loans secured by the titles to customers’ automobiles. Loan principal amounts range from $100 to $10,000, but average about $1,000. We earn a fee of 10% to 30% of auto title loan amounts. In Texas, we assist customers in obtaining multiple-payment auto title loans from unaffiliated lenders. These loans typically carry terms of five months with up to ten equal installments. Principal amounts range from $150 to $10,000, but average about $1,100; and we earn a fee of 50% to 140% of the initial loan amount. </w:t>
      </w:r>
    </w:p>
    <w:p>
      <w:pPr>
        <w:pStyle w:val="TextBody"/>
        <w:spacing w:lineRule="auto" w:line="288" w:before="0" w:after="0"/>
        <w:rPr>
          <w:rFonts w:ascii="inherit" w:hAnsi="inherit"/>
          <w:sz w:val="17"/>
        </w:rPr>
      </w:pPr>
      <w:r>
        <w:rPr>
          <w:rFonts w:ascii="inherit" w:hAnsi="inherit"/>
          <w:sz w:val="17"/>
        </w:rPr>
        <w:t>At September 30, 2013, our U.S. online lending business operated in six states. In Louisiana, Missouri, South Dakota and Hawaii, we offer single-payment loans with an average principal amount of $400 and terms generally less than 30 days. Total interest and fees vary in accordance with state law and loan terms, but over the entire loan term, total approximately 15% to 45% of the original principal amount of the loan. Our online lending business in Texas and Ohio operates under a CSO model similar to that described above. The average principal amount for online loans in Texas and Ohio is about $460. We also offer single- and multiple-payment loans online in the U.K.</w:t>
      </w:r>
    </w:p>
    <w:p>
      <w:pPr>
        <w:pStyle w:val="TextBody"/>
        <w:spacing w:lineRule="auto" w:line="288" w:before="0" w:after="0"/>
        <w:rPr>
          <w:rFonts w:ascii="inherit" w:hAnsi="inherit"/>
          <w:sz w:val="17"/>
        </w:rPr>
      </w:pPr>
      <w:r>
        <w:rPr>
          <w:rFonts w:ascii="inherit" w:hAnsi="inherit"/>
          <w:sz w:val="17"/>
        </w:rPr>
        <w:t>In Mexico, Grupo Finmart offers multiple-payment consumer loans with typical annual yields of approximately 58% and collects interest and principal through payroll deductions. The average loan is approximately $1,170 with a term of 31 months.</w:t>
      </w:r>
    </w:p>
    <w:p>
      <w:pPr>
        <w:pStyle w:val="TextBody"/>
        <w:spacing w:lineRule="auto" w:line="288" w:before="0" w:after="0"/>
        <w:rPr>
          <w:rFonts w:ascii="inherit" w:hAnsi="inherit"/>
          <w:i/>
          <w:sz w:val="17"/>
        </w:rPr>
      </w:pPr>
      <w:r>
        <w:rPr>
          <w:rFonts w:ascii="inherit" w:hAnsi="inherit"/>
          <w:i/>
          <w:sz w:val="17"/>
        </w:rPr>
        <w:t>Acquisitions</w:t>
      </w:r>
    </w:p>
    <w:p>
      <w:pPr>
        <w:pStyle w:val="TextBody"/>
        <w:spacing w:lineRule="auto" w:line="288" w:before="0" w:after="0"/>
        <w:rPr>
          <w:sz w:val="17"/>
        </w:rPr>
      </w:pPr>
      <w:r>
        <w:rPr>
          <w:rFonts w:ascii="inherit" w:hAnsi="inherit"/>
          <w:sz w:val="17"/>
        </w:rPr>
        <w:t xml:space="preserve">On November 20, 2012, we entered into a definitive agreement with Go Cash, LLC and certain of its affiliates ("Go Cash") to acquire substantially all the assets of Go Cash's online lending business. This acquisition of assets was completed on December 20, 2012. The total purchase price is performance-based and will be determined over a period of </w:t>
      </w:r>
      <w:r>
        <w:rPr>
          <w:rFonts w:ascii="inherit" w:hAnsi="inherit"/>
          <w:strike w:val="false"/>
          <w:dstrike w:val="false"/>
          <w:color w:val="000000"/>
          <w:sz w:val="17"/>
          <w:u w:val="none"/>
          <w:effect w:val="none"/>
        </w:rPr>
        <w:t>four years</w:t>
      </w:r>
      <w:r>
        <w:rPr>
          <w:sz w:val="17"/>
        </w:rPr>
        <w:t xml:space="preserve"> </w:t>
      </w:r>
      <w:r>
        <w:rPr>
          <w:rFonts w:ascii="inherit" w:hAnsi="inherit"/>
          <w:sz w:val="17"/>
        </w:rPr>
        <w:t xml:space="preserve">following the closing. A minimum of </w:t>
      </w:r>
      <w:r>
        <w:rPr>
          <w:rFonts w:ascii="inherit" w:hAnsi="inherit"/>
          <w:strike w:val="false"/>
          <w:dstrike w:val="false"/>
          <w:color w:val="000000"/>
          <w:sz w:val="17"/>
          <w:u w:val="none"/>
          <w:effect w:val="none"/>
        </w:rPr>
        <w:t>$50.8 million</w:t>
      </w:r>
      <w:r>
        <w:rPr>
          <w:sz w:val="17"/>
        </w:rPr>
        <w:t xml:space="preserve"> </w:t>
      </w:r>
      <w:r>
        <w:rPr>
          <w:rFonts w:ascii="inherit" w:hAnsi="inherit"/>
          <w:sz w:val="17"/>
        </w:rPr>
        <w:t xml:space="preserve">will be paid. Also, on November 1, 2012, we acquired a </w:t>
      </w:r>
      <w:r>
        <w:rPr>
          <w:rFonts w:ascii="inherit" w:hAnsi="inherit"/>
          <w:strike w:val="false"/>
          <w:dstrike w:val="false"/>
          <w:color w:val="000000"/>
          <w:sz w:val="17"/>
          <w:u w:val="none"/>
          <w:effect w:val="none"/>
        </w:rPr>
        <w:t>51%</w:t>
      </w:r>
      <w:r>
        <w:rPr>
          <w:sz w:val="17"/>
        </w:rPr>
        <w:t xml:space="preserve"> </w:t>
      </w:r>
      <w:r>
        <w:rPr>
          <w:rFonts w:ascii="inherit" w:hAnsi="inherit"/>
          <w:sz w:val="17"/>
        </w:rPr>
        <w:t xml:space="preserve">interest in Renueva Comercial S.A. de C.V., a company headquartered in Mexico City and doing business under the name “TUYO,” for approximately </w:t>
      </w:r>
      <w:r>
        <w:rPr>
          <w:rFonts w:ascii="inherit" w:hAnsi="inherit"/>
          <w:strike w:val="false"/>
          <w:dstrike w:val="false"/>
          <w:color w:val="000000"/>
          <w:sz w:val="17"/>
          <w:u w:val="none"/>
          <w:effect w:val="none"/>
        </w:rPr>
        <w:t>$1.1 million</w:t>
      </w:r>
      <w:r>
        <w:rPr>
          <w:rFonts w:ascii="inherit" w:hAnsi="inherit"/>
          <w:sz w:val="17"/>
        </w:rPr>
        <w:t xml:space="preserve">. As of </w:t>
      </w:r>
      <w:r>
        <w:rPr>
          <w:rFonts w:ascii="inherit" w:hAnsi="inherit"/>
          <w:strike w:val="false"/>
          <w:dstrike w:val="false"/>
          <w:color w:val="000000"/>
          <w:sz w:val="17"/>
          <w:u w:val="none"/>
          <w:effect w:val="none"/>
        </w:rPr>
        <w:t>September 30, 2013</w:t>
      </w:r>
      <w:r>
        <w:rPr>
          <w:rFonts w:ascii="inherit" w:hAnsi="inherit"/>
          <w:sz w:val="17"/>
        </w:rPr>
        <w:t xml:space="preserve">, TUYO owned and operated </w:t>
      </w:r>
      <w:r>
        <w:rPr>
          <w:rFonts w:ascii="inherit" w:hAnsi="inherit"/>
          <w:strike w:val="false"/>
          <w:dstrike w:val="false"/>
          <w:color w:val="000000"/>
          <w:sz w:val="17"/>
          <w:u w:val="none"/>
          <w:effect w:val="none"/>
        </w:rPr>
        <w:t>19</w:t>
      </w:r>
      <w:r>
        <w:rPr>
          <w:sz w:val="17"/>
        </w:rPr>
        <w:t xml:space="preserve"> </w:t>
      </w:r>
      <w:r>
        <w:rPr>
          <w:rFonts w:ascii="inherit" w:hAnsi="inherit"/>
          <w:sz w:val="17"/>
        </w:rPr>
        <w:t xml:space="preserve">buy/sell stores in Mexico City and the surrounding metropolitan area. In addition, on April 26, 2013, Grupo Finmart, our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owned subsidiary, purchased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of the outstanding shares of Fondo ACH, S.A. de C.V., a specialty consumer finance company. The total purchase price is performance-based and will be determined over a period of </w:t>
      </w:r>
      <w:r>
        <w:rPr>
          <w:rFonts w:ascii="inherit" w:hAnsi="inherit"/>
          <w:strike w:val="false"/>
          <w:dstrike w:val="false"/>
          <w:color w:val="000000"/>
          <w:sz w:val="17"/>
          <w:u w:val="none"/>
          <w:effect w:val="none"/>
        </w:rPr>
        <w:t>four years</w:t>
      </w:r>
      <w:r>
        <w:rPr>
          <w:rFonts w:ascii="inherit" w:hAnsi="inherit"/>
          <w:sz w:val="17"/>
        </w:rPr>
        <w:t xml:space="preserve">. A minimum of </w:t>
      </w:r>
      <w:r>
        <w:rPr>
          <w:rFonts w:ascii="inherit" w:hAnsi="inherit"/>
          <w:strike w:val="false"/>
          <w:dstrike w:val="false"/>
          <w:color w:val="000000"/>
          <w:sz w:val="17"/>
          <w:u w:val="none"/>
          <w:effect w:val="none"/>
        </w:rPr>
        <w:t>$3.5 million</w:t>
      </w:r>
      <w:r>
        <w:rPr>
          <w:sz w:val="17"/>
        </w:rPr>
        <w:t xml:space="preserve"> </w:t>
      </w:r>
      <w:r>
        <w:rPr>
          <w:rFonts w:ascii="inherit" w:hAnsi="inherit"/>
          <w:sz w:val="17"/>
        </w:rPr>
        <w:t xml:space="preserve">will be paid. Futhermore, on </w:t>
      </w:r>
      <w:r>
        <w:rPr>
          <w:rFonts w:ascii="inherit" w:hAnsi="inherit"/>
          <w:strike w:val="false"/>
          <w:dstrike w:val="false"/>
          <w:color w:val="000000"/>
          <w:sz w:val="17"/>
          <w:u w:val="none"/>
          <w:effect w:val="none"/>
        </w:rPr>
        <w:t>June 30, 2013</w:t>
      </w:r>
      <w:r>
        <w:rPr>
          <w:rFonts w:ascii="inherit" w:hAnsi="inherit"/>
          <w:sz w:val="17"/>
        </w:rPr>
        <w:t xml:space="preserve">, Grupo Finmart, purchased a consumer loan portfolio for total consideration of approximately </w:t>
      </w:r>
      <w:r>
        <w:rPr>
          <w:rFonts w:ascii="inherit" w:hAnsi="inherit"/>
          <w:strike w:val="false"/>
          <w:dstrike w:val="false"/>
          <w:color w:val="000000"/>
          <w:sz w:val="17"/>
          <w:u w:val="none"/>
          <w:effect w:val="none"/>
        </w:rPr>
        <w:t>$1.3 million</w:t>
      </w:r>
      <w:r>
        <w:rPr>
          <w:rFonts w:ascii="inherit" w:hAnsi="inherit"/>
          <w:sz w:val="17"/>
        </w:rPr>
        <w:t xml:space="preserv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32</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The total purchase price is performance-based and will be determined over the life of the loan portfolio. Finally, the fiscal year ended </w:t>
      </w:r>
      <w:r>
        <w:rPr>
          <w:rFonts w:ascii="inherit" w:hAnsi="inherit"/>
          <w:strike w:val="false"/>
          <w:dstrike w:val="false"/>
          <w:color w:val="000000"/>
          <w:sz w:val="17"/>
          <w:u w:val="none"/>
          <w:effect w:val="none"/>
        </w:rPr>
        <w:t>September 30, 2013</w:t>
      </w:r>
      <w:r>
        <w:rPr>
          <w:rFonts w:ascii="inherit" w:hAnsi="inherit"/>
          <w:sz w:val="17"/>
        </w:rPr>
        <w:t xml:space="preserve">, includes the December 2012 acquisition of </w:t>
      </w:r>
      <w:r>
        <w:rPr>
          <w:rFonts w:ascii="inherit" w:hAnsi="inherit"/>
          <w:strike w:val="false"/>
          <w:dstrike w:val="false"/>
          <w:color w:val="000000"/>
          <w:sz w:val="17"/>
          <w:u w:val="none"/>
          <w:effect w:val="none"/>
        </w:rPr>
        <w:t>12</w:t>
      </w:r>
      <w:r>
        <w:rPr>
          <w:sz w:val="17"/>
        </w:rPr>
        <w:t xml:space="preserve"> </w:t>
      </w:r>
      <w:r>
        <w:rPr>
          <w:rFonts w:ascii="inherit" w:hAnsi="inherit"/>
          <w:sz w:val="17"/>
        </w:rPr>
        <w:t>pawn locations in Arizona, which was a new state of operation for us. The results of all acquired stores and businesses have been consolidated with our results since their acquisition.</w:t>
      </w:r>
    </w:p>
    <w:p>
      <w:pPr>
        <w:pStyle w:val="TextBody"/>
        <w:spacing w:lineRule="auto" w:line="288" w:before="0" w:after="0"/>
        <w:rPr>
          <w:sz w:val="17"/>
        </w:rPr>
      </w:pPr>
      <w:r>
        <w:rPr>
          <w:rFonts w:ascii="inherit" w:hAnsi="inherit"/>
          <w:sz w:val="17"/>
        </w:rPr>
        <w:t xml:space="preserve">In fiscal 2012, we acquired 28 pawn stores in the San Antonio metropolitan area, Florida, Minnesota and Georgia; 8 buy/sell stores in Virginia, Pennsylvania and Canada; and 15 financial services stores in Hawaii and Texas. The aggregate consideration for these stores was approximately $76.9 million, net of cash acquired. During fiscal 2012, we also acquired a </w:t>
      </w:r>
      <w:r>
        <w:rPr>
          <w:rFonts w:ascii="inherit" w:hAnsi="inherit"/>
          <w:strike w:val="false"/>
          <w:dstrike w:val="false"/>
          <w:color w:val="000000"/>
          <w:sz w:val="17"/>
          <w:u w:val="none"/>
          <w:effect w:val="none"/>
        </w:rPr>
        <w:t>60%</w:t>
      </w:r>
      <w:r>
        <w:rPr>
          <w:sz w:val="17"/>
        </w:rPr>
        <w:t xml:space="preserve"> </w:t>
      </w:r>
      <w:r>
        <w:rPr>
          <w:rFonts w:ascii="inherit" w:hAnsi="inherit"/>
          <w:sz w:val="17"/>
        </w:rPr>
        <w:t>interest in Grupo Finmart, a specialty consumer finance company headquartered in Mexico City, for total consideration of $</w:t>
      </w:r>
      <w:r>
        <w:rPr>
          <w:rFonts w:ascii="inherit" w:hAnsi="inherit"/>
          <w:strike w:val="false"/>
          <w:dstrike w:val="false"/>
          <w:color w:val="000000"/>
          <w:sz w:val="17"/>
          <w:u w:val="none"/>
          <w:effect w:val="none"/>
        </w:rPr>
        <w:t>60.1 million</w:t>
      </w:r>
      <w:r>
        <w:rPr>
          <w:rFonts w:ascii="inherit" w:hAnsi="inherit"/>
          <w:sz w:val="17"/>
        </w:rPr>
        <w:t>, net of cash acquired; and a 72% interest in Ariste Holding Limited and its affiliates, which provides online loans in the U.K under the name "Cash Genie," for total consideration of $32.4 million, comprised of 0.2 million shares of EZCORP stock valued at $6.4 million and $26.0 million of cash, net of cash acquired. During fiscal 2013, we acquired the remaining 28% of Cash Genie for total consideration of $11.0 million.</w:t>
      </w:r>
    </w:p>
    <w:p>
      <w:pPr>
        <w:pStyle w:val="TextBody"/>
        <w:spacing w:lineRule="auto" w:line="288" w:before="0" w:after="0"/>
        <w:rPr>
          <w:rFonts w:ascii="inherit" w:hAnsi="inherit"/>
          <w:i/>
          <w:sz w:val="17"/>
        </w:rPr>
      </w:pPr>
      <w:r>
        <w:rPr>
          <w:rFonts w:ascii="inherit" w:hAnsi="inherit"/>
          <w:i/>
          <w:sz w:val="17"/>
        </w:rPr>
        <w:t>Other</w:t>
      </w:r>
    </w:p>
    <w:p>
      <w:pPr>
        <w:pStyle w:val="TextBody"/>
        <w:spacing w:lineRule="auto" w:line="288" w:before="0" w:after="0"/>
        <w:rPr>
          <w:sz w:val="17"/>
        </w:rPr>
      </w:pPr>
      <w:r>
        <w:rPr>
          <w:rFonts w:ascii="inherit" w:hAnsi="inherit"/>
          <w:sz w:val="17"/>
        </w:rPr>
        <w:t xml:space="preserve">The results for the fiscal year ended </w:t>
      </w:r>
      <w:r>
        <w:rPr>
          <w:rFonts w:ascii="inherit" w:hAnsi="inherit"/>
          <w:strike w:val="false"/>
          <w:dstrike w:val="false"/>
          <w:color w:val="000000"/>
          <w:sz w:val="17"/>
          <w:u w:val="none"/>
          <w:effect w:val="none"/>
        </w:rPr>
        <w:t>September 30, 2013</w:t>
      </w:r>
      <w:r>
        <w:rPr>
          <w:sz w:val="17"/>
        </w:rPr>
        <w:t xml:space="preserve"> </w:t>
      </w:r>
      <w:r>
        <w:rPr>
          <w:rFonts w:ascii="inherit" w:hAnsi="inherit"/>
          <w:sz w:val="17"/>
        </w:rPr>
        <w:t xml:space="preserve">include pre-tax impairment charges of $42.5 million related to Albermarle &amp; Bond and $2.1 million related to available for sale securities. The current year income tax expense reflects a $12.3 million tax benefit related to these charges. </w:t>
      </w:r>
    </w:p>
    <w:p>
      <w:pPr>
        <w:pStyle w:val="TextBody"/>
        <w:spacing w:lineRule="auto" w:line="288" w:before="0" w:after="0"/>
        <w:jc w:val="left"/>
        <w:rPr>
          <w:rFonts w:ascii="inherit" w:hAnsi="inherit"/>
          <w:b/>
          <w:sz w:val="17"/>
        </w:rPr>
      </w:pPr>
      <w:bookmarkStart w:id="29" w:name="s06506253FE5AF4A4DCF583E2C15BFDAD"/>
      <w:bookmarkEnd w:id="29"/>
      <w:r>
        <w:rPr>
          <w:rFonts w:ascii="inherit" w:hAnsi="inherit"/>
          <w:b/>
          <w:sz w:val="17"/>
        </w:rPr>
        <w:t>Critical Accounting Policies and Estimates</w:t>
      </w:r>
    </w:p>
    <w:p>
      <w:pPr>
        <w:pStyle w:val="TextBody"/>
        <w:spacing w:lineRule="auto" w:line="288" w:before="0" w:after="0"/>
        <w:jc w:val="left"/>
        <w:rPr>
          <w:rFonts w:ascii="inherit" w:hAnsi="inherit"/>
          <w:sz w:val="17"/>
        </w:rPr>
      </w:pPr>
      <w:r>
        <w:rPr>
          <w:rFonts w:ascii="inherit" w:hAnsi="inherit"/>
          <w:sz w:val="17"/>
        </w:rPr>
        <w:t>Management’s Discussion and Analysis of Financial Condition and Results of Operations is based on our consolidated financial statements, which have been prepared in accordance with accounting principles generally accepted (“GAAP”) in the United States.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 We believe the following critical accounting policies and estimates could have a significant impact on our results of operations. You should refer to Note 1 to our consolidated financial statements included in “Part II — Item 8 — Financial Statements and Supplemental Data” for a more complete review of other accounting policies and estimates used in the preparation of our consolidated financial statements.</w:t>
      </w:r>
    </w:p>
    <w:p>
      <w:pPr>
        <w:pStyle w:val="TextBody"/>
        <w:spacing w:lineRule="auto" w:line="288" w:before="0" w:after="0"/>
        <w:jc w:val="left"/>
        <w:rPr>
          <w:rFonts w:ascii="inherit" w:hAnsi="inherit"/>
          <w:i/>
          <w:sz w:val="17"/>
        </w:rPr>
      </w:pPr>
      <w:r>
        <w:rPr>
          <w:rFonts w:ascii="inherit" w:hAnsi="inherit"/>
          <w:i/>
          <w:sz w:val="17"/>
        </w:rPr>
        <w:t>Consolidation</w:t>
      </w:r>
    </w:p>
    <w:p>
      <w:pPr>
        <w:pStyle w:val="TextBody"/>
        <w:spacing w:lineRule="auto" w:line="288" w:before="0" w:after="0"/>
        <w:jc w:val="left"/>
        <w:rPr>
          <w:rFonts w:ascii="inherit" w:hAnsi="inherit"/>
          <w:sz w:val="17"/>
        </w:rPr>
      </w:pPr>
      <w:r>
        <w:rPr>
          <w:rFonts w:ascii="inherit" w:hAnsi="inherit"/>
          <w:sz w:val="17"/>
        </w:rPr>
        <w:t>The consolidated financial statements include the accounts of EZCORP, Inc. and our controlled subsidiaries. All significant inter-company accounts and transactions have been eliminated in consolidation. We own 60% of the outstanding equity interests in Prestaciones Finmart, S.A. de C.V., SOFOM, E.N.R. ("Grupo Finmart") and 51% Renueva Comercial S.A. de C.V. ("TUYO") and, therefore, include their results in our consolidated financial statements. We account for our investments in Albemarle &amp; Bond Holdings, PLC and Cash Converters International Limited using the equity method.</w:t>
      </w:r>
    </w:p>
    <w:p>
      <w:pPr>
        <w:pStyle w:val="TextBody"/>
        <w:spacing w:lineRule="auto" w:line="288" w:before="0" w:after="0"/>
        <w:jc w:val="left"/>
        <w:rPr>
          <w:rFonts w:ascii="inherit" w:hAnsi="inherit"/>
          <w:i/>
          <w:sz w:val="17"/>
        </w:rPr>
      </w:pPr>
      <w:r>
        <w:rPr>
          <w:rFonts w:ascii="inherit" w:hAnsi="inherit"/>
          <w:i/>
          <w:sz w:val="17"/>
        </w:rPr>
        <w:t>Pawn Loan and Sales Revenue Recognition</w:t>
      </w:r>
    </w:p>
    <w:p>
      <w:pPr>
        <w:pStyle w:val="TextBody"/>
        <w:spacing w:lineRule="auto" w:line="288" w:before="0" w:after="0"/>
        <w:jc w:val="left"/>
        <w:rPr>
          <w:rFonts w:ascii="inherit" w:hAnsi="inherit"/>
          <w:sz w:val="17"/>
        </w:rPr>
      </w:pPr>
      <w:r>
        <w:rPr>
          <w:rFonts w:ascii="inherit" w:hAnsi="inherit"/>
          <w:sz w:val="17"/>
        </w:rPr>
        <w:t>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property. We record sales revenue and the related cost when this inventory is sold, or when we receive the final payment on a layaway sale. Sales tax collected on the sale of inventory is excluded from the amount recognized as sales and instead recorded as a liability in “Accounts payable and other accrued expenses” on our balance sheets until remitted to the appropriate governmental authorities.</w:t>
      </w:r>
    </w:p>
    <w:p>
      <w:pPr>
        <w:pStyle w:val="TextBody"/>
        <w:spacing w:lineRule="auto" w:line="288" w:before="0" w:after="0"/>
        <w:rPr>
          <w:rFonts w:ascii="inherit" w:hAnsi="inherit"/>
          <w:i/>
          <w:sz w:val="17"/>
        </w:rPr>
      </w:pPr>
      <w:r>
        <w:rPr>
          <w:rFonts w:ascii="inherit" w:hAnsi="inherit"/>
          <w:i/>
          <w:sz w:val="17"/>
        </w:rPr>
        <w:t>Consumer Loans</w:t>
      </w:r>
    </w:p>
    <w:p>
      <w:pPr>
        <w:pStyle w:val="TextBody"/>
        <w:spacing w:lineRule="auto" w:line="288" w:before="0" w:after="0"/>
        <w:jc w:val="left"/>
        <w:rPr>
          <w:rFonts w:ascii="inherit" w:hAnsi="inherit"/>
          <w:sz w:val="17"/>
        </w:rPr>
      </w:pPr>
      <w:r>
        <w:rPr>
          <w:rFonts w:ascii="inherit" w:hAnsi="inherit"/>
          <w:sz w:val="17"/>
        </w:rPr>
        <w:t xml:space="preserve">We provide a variety of short-term consumer loans including single-payment and multiple-payment unsecured loans and single-payment and multiple-payment auto title loans. In Texas, we provide fee-based credit services to customers seeking loans. In Mexico, Grupo Finmart enters into agreements with employers that permit it to market consumer loans to employees. Payments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33</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 xml:space="preserve">are withheld by the employers through payroll deductions and remitted to Grupo Finmart. For each of our loan products we estimate the fees we expect to be uncollectible. </w:t>
      </w:r>
    </w:p>
    <w:p>
      <w:pPr>
        <w:pStyle w:val="TextBody"/>
        <w:spacing w:lineRule="auto" w:line="288" w:before="0" w:after="0"/>
        <w:jc w:val="left"/>
        <w:rPr>
          <w:rFonts w:ascii="inherit" w:hAnsi="inherit"/>
          <w:i/>
          <w:sz w:val="17"/>
        </w:rPr>
      </w:pPr>
      <w:r>
        <w:rPr>
          <w:rFonts w:ascii="inherit" w:hAnsi="inherit"/>
          <w:i/>
          <w:sz w:val="17"/>
        </w:rPr>
        <w:t>Revenue Recognition</w:t>
      </w:r>
    </w:p>
    <w:p>
      <w:pPr>
        <w:pStyle w:val="TextBody"/>
        <w:spacing w:lineRule="auto" w:line="288" w:before="0" w:after="0"/>
        <w:ind w:left="0" w:right="0" w:firstLine="360"/>
        <w:jc w:val="left"/>
        <w:rPr>
          <w:sz w:val="17"/>
        </w:rPr>
      </w:pPr>
      <w:r>
        <w:rPr>
          <w:rFonts w:ascii="inherit" w:hAnsi="inherit"/>
          <w:i/>
          <w:sz w:val="17"/>
        </w:rPr>
        <w:t xml:space="preserve">Unsecured Consumer Loan Credit Service Fees — </w:t>
      </w:r>
      <w:r>
        <w:rPr>
          <w:rFonts w:ascii="inherit" w:hAnsi="inherit"/>
          <w:sz w:val="17"/>
        </w:rPr>
        <w:t>We earn credit service fees when we assist customers in obtaining unsecured loans from unaffiliated lenders. We 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Unsecured loan credit service fee revenue is included in “Consumer loan fees and interest” on our consolidated statements of operations.</w:t>
      </w:r>
    </w:p>
    <w:p>
      <w:pPr>
        <w:pStyle w:val="TextBody"/>
        <w:spacing w:lineRule="auto" w:line="288" w:before="0" w:after="0"/>
        <w:ind w:left="0" w:right="0" w:firstLine="360"/>
        <w:jc w:val="left"/>
        <w:rPr>
          <w:sz w:val="17"/>
        </w:rPr>
      </w:pPr>
      <w:r>
        <w:rPr>
          <w:rFonts w:ascii="inherit" w:hAnsi="inherit"/>
          <w:i/>
          <w:sz w:val="17"/>
        </w:rPr>
        <w:t xml:space="preserve">Unsecured Consumer Loan Revenue — </w:t>
      </w:r>
      <w:r>
        <w:rPr>
          <w:rFonts w:ascii="inherit" w:hAnsi="inherit"/>
          <w:sz w:val="17"/>
        </w:rPr>
        <w:t>We accrue fees and interest in accordance with state and provincial laws on the percentage of unsecured loans (single-payment and multiple-payment) we have made that we believe to be collectible. Accrued fees related to defaulted loans reduce fee revenue upon loan default and increase fee revenue upon collection. Unsecured loan revenue is included in “Consumer loan fees and interest” on our consolidated statements of operations.</w:t>
      </w:r>
    </w:p>
    <w:p>
      <w:pPr>
        <w:pStyle w:val="TextBody"/>
        <w:spacing w:lineRule="auto" w:line="288" w:before="0" w:after="0"/>
        <w:ind w:left="0" w:right="0" w:firstLine="360"/>
        <w:jc w:val="left"/>
        <w:rPr>
          <w:sz w:val="17"/>
        </w:rPr>
      </w:pPr>
      <w:r>
        <w:rPr>
          <w:rFonts w:ascii="inherit" w:hAnsi="inherit"/>
          <w:i/>
          <w:sz w:val="17"/>
        </w:rPr>
        <w:t xml:space="preserve">Long-term Unsecured Consumer Loan Revenue — </w:t>
      </w:r>
      <w:r>
        <w:rPr>
          <w:rFonts w:ascii="inherit" w:hAnsi="inherit"/>
          <w:sz w:val="17"/>
        </w:rPr>
        <w:t>Grupo Finmart customers obtain installment loans with a series of payments due over as long as a four-year period. We recognize consumer loan interest related to loans we originate based on the percentage of consumer loans made that we believe to be collectible. We recognize interest revenue ratably over the life of the related loans. We reserve the percentage of interest we expect not to collect. Accrued interest related to defaulted loans reduce consumer loan revenue upon loan default and increase consumer loan fee revenue upon collection. Long-term unsecured consumer loan revenue is included in “Consumer loan fees and interest” on our consolidated statements of operations.</w:t>
      </w:r>
    </w:p>
    <w:p>
      <w:pPr>
        <w:pStyle w:val="TextBody"/>
        <w:spacing w:lineRule="auto" w:line="288" w:before="0" w:after="0"/>
        <w:ind w:left="0" w:right="0" w:firstLine="360"/>
        <w:jc w:val="left"/>
        <w:rPr>
          <w:sz w:val="17"/>
        </w:rPr>
      </w:pPr>
      <w:r>
        <w:rPr>
          <w:rFonts w:ascii="inherit" w:hAnsi="inherit"/>
          <w:i/>
          <w:sz w:val="17"/>
        </w:rPr>
        <w:t xml:space="preserve">Auto Title Loan Credit Service Fee Revenue — </w:t>
      </w:r>
      <w:r>
        <w:rPr>
          <w:rFonts w:ascii="inherit" w:hAnsi="inherit"/>
          <w:sz w:val="17"/>
        </w:rPr>
        <w:t>We earn auto title credit service fees when we assist customers in obtaining auto title loans from unaffiliated lenders. We recognize the fee revenue ratably over the life of the loan, and reserve the percentage of fees we expect not to collect. Auto title loan credit service fee revenue is included in “Consumer loan fees and interest” on our consolidated statements of operations.</w:t>
      </w:r>
    </w:p>
    <w:p>
      <w:pPr>
        <w:pStyle w:val="TextBody"/>
        <w:spacing w:lineRule="auto" w:line="288" w:before="0" w:after="0"/>
        <w:ind w:left="0" w:right="0" w:firstLine="360"/>
        <w:jc w:val="left"/>
        <w:rPr>
          <w:sz w:val="17"/>
        </w:rPr>
      </w:pPr>
      <w:r>
        <w:rPr>
          <w:rFonts w:ascii="inherit" w:hAnsi="inherit"/>
          <w:i/>
          <w:sz w:val="17"/>
        </w:rPr>
        <w:t xml:space="preserve">Auto Title Loan Revenue — </w:t>
      </w:r>
      <w:r>
        <w:rPr>
          <w:rFonts w:ascii="inherit" w:hAnsi="inherit"/>
          <w:sz w:val="17"/>
        </w:rPr>
        <w:t>We accrue fees in accordance with state laws on the percentage of auto title loans we have made that we believe to be collectible. We recognize the fee revenue ratably over the life of the loan. Auto title loan revenue is included in “Consumer loan fees and interest” on our consolidated statements of operations.</w:t>
      </w:r>
    </w:p>
    <w:p>
      <w:pPr>
        <w:pStyle w:val="TextBody"/>
        <w:spacing w:lineRule="auto" w:line="288" w:before="0" w:after="0"/>
        <w:jc w:val="left"/>
        <w:rPr>
          <w:rFonts w:ascii="inherit" w:hAnsi="inherit"/>
          <w:i/>
          <w:sz w:val="17"/>
        </w:rPr>
      </w:pPr>
      <w:r>
        <w:rPr>
          <w:rFonts w:ascii="inherit" w:hAnsi="inherit"/>
          <w:i/>
          <w:sz w:val="17"/>
        </w:rPr>
        <w:t>Bad Debt and Allowance For Losses</w:t>
      </w:r>
    </w:p>
    <w:p>
      <w:pPr>
        <w:pStyle w:val="TextBody"/>
        <w:spacing w:lineRule="auto" w:line="288" w:before="0" w:after="0"/>
        <w:ind w:left="0" w:right="0" w:firstLine="360"/>
        <w:jc w:val="left"/>
        <w:rPr>
          <w:sz w:val="17"/>
        </w:rPr>
      </w:pPr>
      <w:r>
        <w:rPr>
          <w:rFonts w:ascii="inherit" w:hAnsi="inherit"/>
          <w:i/>
          <w:sz w:val="17"/>
        </w:rPr>
        <w:t xml:space="preserve">Unsecured Consumer Loan Credit Service Bad Debt — </w:t>
      </w:r>
      <w:r>
        <w:rPr>
          <w:rFonts w:ascii="inherit" w:hAnsi="inherit"/>
          <w:sz w:val="17"/>
        </w:rPr>
        <w:t xml:space="preserve">We issue letters of credit to enhance the creditworthiness of our customers seeking unsecured loans from unaffiliated lenders. The letters of credit assure the lenders that if borrowers default on the loans, we will pay the lenders, upon demand, the principal and accrued interest owed to the lenders by the borrowers plus any insufficient funds fees. Although amounts paid under letters of credit may be collected later, we charge those amounts to consumer loan bad debt upon default. We record recoveries under the letters of credit as a reduction of bad debt at the time of collection. After attempting collection of bad debts internally, we occasionally sell them to an unaffiliated company as another method of recovery. We record the proceeds from such sales as a reduction of bad debt at the time of the sale. Unsecured consumer loan credit service bad debt is included in "Consumer loan bad debt" on our consolidated statements of operations. </w:t>
      </w:r>
    </w:p>
    <w:p>
      <w:pPr>
        <w:pStyle w:val="TextBody"/>
        <w:spacing w:lineRule="auto" w:line="288" w:before="0" w:after="0"/>
        <w:ind w:left="0" w:right="0" w:firstLine="360"/>
        <w:jc w:val="left"/>
        <w:rPr>
          <w:rFonts w:ascii="inherit" w:hAnsi="inherit"/>
          <w:sz w:val="17"/>
        </w:rPr>
      </w:pPr>
      <w:r>
        <w:rPr>
          <w:rFonts w:ascii="inherit" w:hAnsi="inherit"/>
          <w:sz w:val="17"/>
        </w:rPr>
        <w:t>The majority of our credit service customers obtain short-term unsecured loans with a single maturity date. These short-term loans, with terms averaging about 16 days, are considered defaulted if they have not been repaid or renewed by the maturity date. Other credit service customers obtain multiple-payment loans with a series of payments due over as much as a seven-month period. If one payment of multiple-payment loan is delinquent, that one payment is considered defaulted. If more than one payment is delinquent at any time, the entire loan is considered defaulted.</w:t>
      </w:r>
    </w:p>
    <w:p>
      <w:pPr>
        <w:pStyle w:val="TextBody"/>
        <w:spacing w:lineRule="auto" w:line="288" w:before="0" w:after="0"/>
        <w:ind w:left="0" w:right="0" w:firstLine="360"/>
        <w:jc w:val="left"/>
        <w:rPr>
          <w:sz w:val="17"/>
        </w:rPr>
      </w:pPr>
      <w:r>
        <w:rPr>
          <w:rFonts w:ascii="inherit" w:hAnsi="inherit"/>
          <w:i/>
          <w:sz w:val="17"/>
        </w:rPr>
        <w:t xml:space="preserve">Allowance for Losses on Unsecured Consumer Loan Credit Services — </w:t>
      </w:r>
      <w:r>
        <w:rPr>
          <w:rFonts w:ascii="inherit" w:hAnsi="inherit"/>
          <w:sz w:val="17"/>
        </w:rPr>
        <w:t xml:space="preserve">We provide an allowance for losses we expect to incur under letters of credit for brokered unsecured loans that have not yet matured. The allowance is based on recent loan default experience adjusted for seasonal variations. It includes all amounts we expect to pay to the unaffiliated lenders upon loan default, including loan principal, accrued interest, insufficient funds fees, net of the amounts we expect to collect from borrowers (collectively, “Expected LOC Losses”). Changes in the allowance are charged to consumer loan bad debt on our consolidated statements of operations. We include the balance of Expected LOC Losses in “Accounts payable and other accrued expenses” on our consolidated balance sheets. Based on the expected loss and collection percentages, we also provide an allowance for the unsecured loan credit service fees we expect not to collect, and charge changes in this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34</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ind w:left="0" w:right="0" w:firstLine="360"/>
        <w:jc w:val="left"/>
        <w:rPr>
          <w:rFonts w:ascii="inherit" w:hAnsi="inherit"/>
          <w:sz w:val="17"/>
        </w:rPr>
      </w:pPr>
      <w:r>
        <w:rPr>
          <w:rFonts w:ascii="inherit" w:hAnsi="inherit"/>
          <w:sz w:val="17"/>
        </w:rPr>
        <w:t>allowance to consumer loan fee revenue, which is included in "Consumer loan fees and interest" on our consolidated statements of operations.</w:t>
      </w:r>
    </w:p>
    <w:p>
      <w:pPr>
        <w:pStyle w:val="TextBody"/>
        <w:spacing w:lineRule="auto" w:line="288" w:before="0" w:after="0"/>
        <w:ind w:left="0" w:right="0" w:firstLine="360"/>
        <w:jc w:val="left"/>
        <w:rPr>
          <w:sz w:val="17"/>
        </w:rPr>
      </w:pPr>
      <w:r>
        <w:rPr>
          <w:rFonts w:ascii="inherit" w:hAnsi="inherit"/>
          <w:i/>
          <w:sz w:val="17"/>
        </w:rPr>
        <w:t xml:space="preserve">Unsecured Consumer Loan Bad Debt — </w:t>
      </w:r>
      <w:r>
        <w:rPr>
          <w:rFonts w:ascii="inherit" w:hAnsi="inherit"/>
          <w:sz w:val="17"/>
        </w:rPr>
        <w:t xml:space="preserve">In general, we consider a single-payment loan defaulted if it has not been repaid or renewed by the maturity date. If one 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 reported balance. We record collections of principal as a reduction of consumer loan bad debt when collected. After attempting collection of bad debts internally, we occasionally sell them to an unaffiliated company as another method of recovery and record the proceeds from such sales as a reduction of bad debt at the time of sale. Unsecured consumer loan bad debt is included in "Consumer loan bad debt" on our consolidated statements of operations. </w:t>
      </w:r>
    </w:p>
    <w:p>
      <w:pPr>
        <w:pStyle w:val="TextBody"/>
        <w:spacing w:lineRule="auto" w:line="288" w:before="0" w:after="0"/>
        <w:ind w:left="0" w:right="0" w:firstLine="360"/>
        <w:jc w:val="left"/>
        <w:rPr>
          <w:rFonts w:ascii="inherit" w:hAnsi="inherit"/>
          <w:sz w:val="17"/>
        </w:rPr>
      </w:pPr>
      <w:r>
        <w:rPr>
          <w:rFonts w:ascii="inherit" w:hAnsi="inherit"/>
          <w:sz w:val="17"/>
        </w:rPr>
        <w:t xml:space="preserve">Consumer loans made by EZCORP Online are considered delinquent if they are not repaid or renewed by the maturity date. We do not accrue additional revenues on delinquent loans. All outstanding principal balances and related fee receivables greater than 60 days past due are considered defaulted. Upon default, we charge consumer loan principal to consumer loan bad debt and reverse accrued unsecured consumer loan fee revenue. </w:t>
      </w:r>
    </w:p>
    <w:p>
      <w:pPr>
        <w:pStyle w:val="TextBody"/>
        <w:spacing w:lineRule="auto" w:line="288" w:before="0" w:after="0"/>
        <w:ind w:left="0" w:right="0" w:firstLine="360"/>
        <w:jc w:val="left"/>
        <w:rPr>
          <w:sz w:val="17"/>
        </w:rPr>
      </w:pPr>
      <w:r>
        <w:rPr>
          <w:rFonts w:ascii="inherit" w:hAnsi="inherit"/>
          <w:i/>
          <w:sz w:val="17"/>
        </w:rPr>
        <w:t xml:space="preserve">Unsecured Consumer Loan Allowance for Losses — </w:t>
      </w:r>
      <w:r>
        <w:rPr>
          <w:rFonts w:ascii="inherit" w:hAnsi="inherit"/>
          <w:sz w:val="17"/>
        </w:rPr>
        <w:t>We provide an allowance for losses on unsecured loans that have not yet matured and related fees receivable, based on recent loan default experience adjusted for seasonal variations. We charge any changes in the principal valuation allowance to "Consumer loan bad debt" on our consolidated statements of operations. We record changes in the fee receivable valuation allowance to "Consumer loan fees and interest" on our consolidated statements of operations.</w:t>
      </w:r>
    </w:p>
    <w:p>
      <w:pPr>
        <w:pStyle w:val="TextBody"/>
        <w:spacing w:lineRule="auto" w:line="288" w:before="0" w:after="0"/>
        <w:ind w:left="0" w:right="0" w:firstLine="360"/>
        <w:jc w:val="left"/>
        <w:rPr>
          <w:sz w:val="17"/>
        </w:rPr>
      </w:pPr>
      <w:r>
        <w:rPr>
          <w:rFonts w:ascii="inherit" w:hAnsi="inherit"/>
          <w:i/>
          <w:sz w:val="17"/>
        </w:rPr>
        <w:t xml:space="preserve">Long-Term Unsecured Consumer Loan Bad Debt — </w:t>
      </w:r>
      <w:r>
        <w:rPr>
          <w:rFonts w:ascii="inherit" w:hAnsi="inherit"/>
          <w:sz w:val="17"/>
        </w:rPr>
        <w:t xml:space="preserve">Consumer loans made by Grupo Finmart are considered in current status as long as the customer is employed and Grupo Finmart receives payments via payroll withholdings. Loans made to customers no longer employed are considered current if payments are made by the due date. If one payment of a loan is delinquent, that one payment is considered defaulted. If two or more payments are delinquent at any time, the entire loan is considered defaulted. Although defaulted loans may be collected later, Grupo Finmart charges the loan principal to consumer loan bad debt upon default, leaving only active loans in the reported balance. Collections of principal are recorded as a reduction of consumer loan bad debt when collected. Long-term unsecured consumer loan bad debt is included in "Consumer loan bad debt" on our consolidated statements of operations. </w:t>
      </w:r>
    </w:p>
    <w:p>
      <w:pPr>
        <w:pStyle w:val="TextBody"/>
        <w:spacing w:lineRule="auto" w:line="288" w:before="0" w:after="0"/>
        <w:ind w:left="0" w:right="0" w:firstLine="360"/>
        <w:jc w:val="left"/>
        <w:rPr>
          <w:sz w:val="17"/>
        </w:rPr>
      </w:pPr>
      <w:r>
        <w:rPr>
          <w:rFonts w:ascii="inherit" w:hAnsi="inherit"/>
          <w:i/>
          <w:sz w:val="17"/>
        </w:rPr>
        <w:t xml:space="preserve">Long-Term Unsecured Consumer Loan Allowance for Losses — </w:t>
      </w:r>
      <w:r>
        <w:rPr>
          <w:rFonts w:ascii="inherit" w:hAnsi="inherit"/>
          <w:sz w:val="17"/>
        </w:rPr>
        <w:t>Grupo Finmart provides an allowance for losses on consumer loans that have not yet matured and related fees receivable based on recent loan default experience. Changes in the principal valuation allowance are charged to "Consumer loan bad debt" and changes in the interest receivable valuation allowance are charged to "Consumer loan fees and interest" on our consolidated statements of operations.</w:t>
      </w:r>
    </w:p>
    <w:p>
      <w:pPr>
        <w:pStyle w:val="TextBody"/>
        <w:spacing w:lineRule="auto" w:line="288" w:before="0" w:after="0"/>
        <w:ind w:left="0" w:right="0" w:firstLine="360"/>
        <w:jc w:val="left"/>
        <w:rPr>
          <w:sz w:val="17"/>
        </w:rPr>
      </w:pPr>
      <w:r>
        <w:rPr>
          <w:rFonts w:ascii="inherit" w:hAnsi="inherit"/>
          <w:i/>
          <w:sz w:val="17"/>
        </w:rPr>
        <w:t xml:space="preserve">Auto Title Loan Credit Services Bad Debt and Allowance for Losses — </w:t>
      </w:r>
      <w:r>
        <w:rPr>
          <w:rFonts w:ascii="inherit" w:hAnsi="inherit"/>
          <w:sz w:val="17"/>
        </w:rPr>
        <w:t>We issue letters of credit to enhance the creditworthiness of our customers seeking auto title loans from unaffiliated lenders. The letters of credit assure the lenders that if borrowers default on the loans, we will pay the lenders, upon demand, all amounts owed to the lenders by the borrowers, including loan principal, accrued interest, insufficient funds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net of the amounts we expect to collect from borrowers or through the sale of repossessed vehicles. We include the allowance for expected losses in “Accounts payable and other accrued expenses” on our consolidated balance sheets.</w:t>
      </w:r>
    </w:p>
    <w:p>
      <w:pPr>
        <w:pStyle w:val="TextBody"/>
        <w:spacing w:lineRule="auto" w:line="288" w:before="0" w:after="0"/>
        <w:ind w:left="0" w:right="0" w:firstLine="360"/>
        <w:jc w:val="left"/>
        <w:rPr>
          <w:sz w:val="17"/>
        </w:rPr>
      </w:pPr>
      <w:r>
        <w:rPr>
          <w:rFonts w:ascii="inherit" w:hAnsi="inherit"/>
          <w:i/>
          <w:sz w:val="17"/>
        </w:rPr>
        <w:t xml:space="preserve">Auto Title Loan Bad Debt and Allowance for Losses — </w:t>
      </w:r>
      <w:r>
        <w:rPr>
          <w:rFonts w:ascii="inherit" w:hAnsi="inherit"/>
          <w:sz w:val="17"/>
        </w:rPr>
        <w:t>Based on historical collection experience, the age of past-due loans and amounts we expect to receive through the sale of repossessed vehicles, we provide an allowance for losses on auto title loans and related fees receivable. We charge any increases in the principal valuation allowance to consumer loan bad debt and charge uncollectable loans against this allowance. We record changes in the fee receivable valuation allowance to "Consumer loan fees and interest" on our consolidated statements of operations.</w:t>
      </w:r>
    </w:p>
    <w:p>
      <w:pPr>
        <w:pStyle w:val="TextBody"/>
        <w:spacing w:lineRule="auto" w:line="288" w:before="0" w:after="0"/>
        <w:jc w:val="left"/>
        <w:rPr>
          <w:rFonts w:ascii="inherit" w:hAnsi="inherit"/>
          <w:i/>
          <w:sz w:val="17"/>
        </w:rPr>
      </w:pPr>
      <w:r>
        <w:rPr>
          <w:rFonts w:ascii="inherit" w:hAnsi="inherit"/>
          <w:i/>
          <w:sz w:val="17"/>
        </w:rPr>
        <w:t>Inventory and Cost of Goods Sold</w:t>
      </w:r>
    </w:p>
    <w:p>
      <w:pPr>
        <w:pStyle w:val="TextBody"/>
        <w:spacing w:lineRule="auto" w:line="288" w:before="0" w:after="0"/>
        <w:jc w:val="left"/>
        <w:rPr>
          <w:rFonts w:ascii="inherit" w:hAnsi="inherit"/>
          <w:sz w:val="17"/>
        </w:rPr>
      </w:pPr>
      <w:r>
        <w:rPr>
          <w:rFonts w:ascii="inherit" w:hAnsi="inherit"/>
          <w:sz w:val="17"/>
        </w:rPr>
        <w:t>If a pawn loan is not redeemed, we record the forfeited collateral at cost (the principal amount of the pawn loan) in "Inventory, net" on our consolidated balance sheets. We do not record loan loss allowances or charge-offs on the principal portion of pawn loans, as they are fully collateralized.</w:t>
      </w:r>
    </w:p>
    <w:p>
      <w:pPr>
        <w:pStyle w:val="TextBody"/>
        <w:spacing w:lineRule="auto" w:line="288" w:before="0" w:after="0"/>
        <w:jc w:val="left"/>
        <w:rPr>
          <w:rFonts w:ascii="inherit" w:hAnsi="inherit"/>
          <w:sz w:val="17"/>
        </w:rPr>
      </w:pPr>
      <w:r>
        <w:rPr>
          <w:rFonts w:ascii="inherit" w:hAnsi="inherit"/>
          <w:sz w:val="17"/>
        </w:rPr>
        <w:t xml:space="preserve">In order to state inventory at the lower of cost (specific identification) or market value, we record an allowance for excess, obsolete or slow moving inventory based on the type and age of merchandise. We include in "Merchandise cost of goods sold"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35</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in our consolidated statements of operations the historical cost of inventory sold, inventory shrinkage and any change in the allowance for inventory shrinkage and valuation. We also include the cost of operating our central jewelry processing unit, as it relates directly to sales of precious metals to refiners.</w:t>
      </w:r>
    </w:p>
    <w:p>
      <w:pPr>
        <w:pStyle w:val="TextBody"/>
        <w:spacing w:lineRule="auto" w:line="288" w:before="0" w:after="0"/>
        <w:jc w:val="left"/>
        <w:rPr>
          <w:rFonts w:ascii="inherit" w:hAnsi="inherit"/>
          <w:i/>
          <w:sz w:val="17"/>
        </w:rPr>
      </w:pPr>
      <w:r>
        <w:rPr>
          <w:rFonts w:ascii="inherit" w:hAnsi="inherit"/>
          <w:i/>
          <w:sz w:val="17"/>
        </w:rPr>
        <w:t>Goodwill and Other Intangible Assets</w:t>
      </w:r>
    </w:p>
    <w:p>
      <w:pPr>
        <w:pStyle w:val="TextBody"/>
        <w:spacing w:lineRule="auto" w:line="288" w:before="0" w:after="0"/>
        <w:jc w:val="left"/>
        <w:rPr>
          <w:sz w:val="17"/>
        </w:rPr>
      </w:pPr>
      <w:r>
        <w:rPr>
          <w:rFonts w:ascii="inherit" w:hAnsi="inherit"/>
          <w:sz w:val="17"/>
        </w:rPr>
        <w:t>Goodwill and other intangible assets having indefinite lives are not subject to amortization. In accordance with Financial Accounting Standards Board ("FASB") Accounting Standards Codification ("ASC") ASC 350-20-35,</w:t>
      </w:r>
      <w:r>
        <w:rPr>
          <w:sz w:val="17"/>
        </w:rPr>
        <w:t xml:space="preserve"> </w:t>
      </w:r>
      <w:r>
        <w:rPr>
          <w:rFonts w:ascii="inherit" w:hAnsi="inherit"/>
          <w:i/>
          <w:sz w:val="17"/>
        </w:rPr>
        <w:t xml:space="preserve">Goodwill - Subsequent Measurement, </w:t>
      </w:r>
      <w:r>
        <w:rPr>
          <w:rFonts w:ascii="inherit" w:hAnsi="inherit"/>
          <w:sz w:val="17"/>
        </w:rPr>
        <w:t xml:space="preserve">we test goodwill and intangible assets with an indefinite useful life for potential impairment annually, or more frequently when there are events or circumstances that indicate a potential impairment. </w:t>
      </w:r>
    </w:p>
    <w:p>
      <w:pPr>
        <w:pStyle w:val="TextBody"/>
        <w:spacing w:lineRule="auto" w:line="288" w:before="0" w:after="0"/>
        <w:jc w:val="left"/>
        <w:rPr>
          <w:rFonts w:ascii="inherit" w:hAnsi="inherit"/>
          <w:sz w:val="17"/>
        </w:rPr>
      </w:pPr>
      <w:r>
        <w:rPr>
          <w:rFonts w:ascii="inherit" w:hAnsi="inherit"/>
          <w:sz w:val="17"/>
        </w:rPr>
        <w:t xml:space="preserve">We perform our impairment analysis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completed our annual assessment of goodwill and indefinite lived intangible assets as of September 30, 2013 and determined that no material impairment existed at that date. </w:t>
      </w:r>
    </w:p>
    <w:p>
      <w:pPr>
        <w:pStyle w:val="TextBody"/>
        <w:spacing w:lineRule="auto" w:line="288" w:before="0" w:after="0"/>
        <w:jc w:val="left"/>
        <w:rPr>
          <w:rFonts w:ascii="inherit" w:hAnsi="inherit"/>
          <w:i/>
          <w:sz w:val="17"/>
        </w:rPr>
      </w:pPr>
      <w:r>
        <w:rPr>
          <w:rFonts w:ascii="inherit" w:hAnsi="inherit"/>
          <w:i/>
          <w:sz w:val="17"/>
        </w:rPr>
        <w:t xml:space="preserve">Valuation of Tangible Long-Lived Assets </w:t>
      </w:r>
    </w:p>
    <w:p>
      <w:pPr>
        <w:pStyle w:val="TextBody"/>
        <w:spacing w:lineRule="auto" w:line="288" w:before="0" w:after="0"/>
        <w:jc w:val="left"/>
        <w:rPr>
          <w:rFonts w:ascii="inherit" w:hAnsi="inherit"/>
          <w:sz w:val="17"/>
        </w:rPr>
      </w:pPr>
      <w:r>
        <w:rPr>
          <w:rFonts w:ascii="inherit" w:hAnsi="inherit"/>
          <w:sz w:val="17"/>
        </w:rPr>
        <w:t xml:space="preserve">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significant negative industry trends or legislative changes prohibiting us from offering our loan products. An impairment loss is recognized if the future undiscounted cash flows associated with the asset and the estimated fair value of the asset are less than the asset's carrying value. </w:t>
      </w:r>
    </w:p>
    <w:p>
      <w:pPr>
        <w:pStyle w:val="TextBody"/>
        <w:spacing w:lineRule="auto" w:line="288" w:before="0" w:after="0"/>
        <w:jc w:val="left"/>
        <w:rPr>
          <w:rFonts w:ascii="inherit" w:hAnsi="inherit"/>
          <w:i/>
          <w:sz w:val="17"/>
        </w:rPr>
      </w:pPr>
      <w:r>
        <w:rPr>
          <w:rFonts w:ascii="inherit" w:hAnsi="inherit"/>
          <w:i/>
          <w:sz w:val="17"/>
        </w:rPr>
        <w:t>Acquisitions</w:t>
      </w:r>
    </w:p>
    <w:p>
      <w:pPr>
        <w:pStyle w:val="TextBody"/>
        <w:spacing w:lineRule="auto" w:line="288" w:before="0" w:after="0"/>
        <w:jc w:val="left"/>
        <w:rPr>
          <w:rFonts w:ascii="inherit" w:hAnsi="inherit"/>
          <w:sz w:val="17"/>
        </w:rPr>
      </w:pPr>
      <w:r>
        <w:rPr>
          <w:rFonts w:ascii="inherit" w:hAnsi="inherit"/>
          <w:sz w:val="17"/>
        </w:rPr>
        <w:t>We adopted FASB ASC 805-10-65 (Business Combinations — Revised) on October 1, 2009, and have applied it prospectively to all business acquisitions completed since that date. In accordance with FASB ASC 805-10-65, we allocate the total acquisition price to the fair value of assets and liabilities acquired and immediately expense transaction costs that would have been included in the purchase price allocation under previous accounting standards.</w:t>
      </w:r>
    </w:p>
    <w:p>
      <w:pPr>
        <w:pStyle w:val="TextBody"/>
        <w:spacing w:lineRule="auto" w:line="288" w:before="0" w:after="0"/>
        <w:jc w:val="left"/>
        <w:rPr>
          <w:rFonts w:ascii="inherit" w:hAnsi="inherit"/>
          <w:i/>
          <w:sz w:val="17"/>
        </w:rPr>
      </w:pPr>
      <w:r>
        <w:rPr>
          <w:rFonts w:ascii="inherit" w:hAnsi="inherit"/>
          <w:i/>
          <w:sz w:val="17"/>
        </w:rPr>
        <w:t>Foreign Currency Translation</w:t>
      </w:r>
    </w:p>
    <w:p>
      <w:pPr>
        <w:pStyle w:val="TextBody"/>
        <w:spacing w:lineRule="auto" w:line="288" w:before="0" w:after="0"/>
        <w:jc w:val="left"/>
        <w:rPr>
          <w:rFonts w:ascii="inherit" w:hAnsi="inherit"/>
          <w:sz w:val="17"/>
        </w:rPr>
      </w:pPr>
      <w:r>
        <w:rPr>
          <w:rFonts w:ascii="inherit" w:hAnsi="inherit"/>
          <w:sz w:val="17"/>
        </w:rPr>
        <w:t>Our equity investments in Albemarle &amp; Bond and Cash Converters International are translated from British pounds and Australian dollars, respectively, into U.S. dollars at the exchange rates as of the investees’ balance sheet date of June 30. The related interest in the investees’ net income is translated at the average exchange rates for each six-month period reported by the investees. The functional currency of Empeño Fácil, our wholly owned subsidiary, Grupo Finmart, our 60% owned subsidiary, and TUYO, our 51% owned subsidiary, is the Mexican peso. The functional currency of our wholly owned foreign subsidiary in Canada is the Canadian dollar, and the functional currency of Cash Genie, our wholly owned subsidiary in the U.K., is the British Pound. Our foreign subsidiaries' balance sheet accounts are translated from their respective functional currencies into U.S. dollars at the exchange rate at the end of each quarter, and their earnings are translated into U.S. dollars at the average exchange rate each quarter. We present resulting translation adjustments as a separate component of stockholders’ equity. Foreign currency transaction gains and losses have not been significant, and are reported as “Other” (income) or expense in our statements of operations.</w:t>
      </w:r>
    </w:p>
    <w:p>
      <w:pPr>
        <w:pStyle w:val="TextBody"/>
        <w:spacing w:lineRule="auto" w:line="288" w:before="0" w:after="0"/>
        <w:jc w:val="left"/>
        <w:rPr>
          <w:rFonts w:ascii="inherit" w:hAnsi="inherit"/>
          <w:i/>
          <w:sz w:val="17"/>
        </w:rPr>
      </w:pPr>
      <w:r>
        <w:rPr>
          <w:rFonts w:ascii="inherit" w:hAnsi="inherit"/>
          <w:i/>
          <w:sz w:val="17"/>
        </w:rPr>
        <w:t>Income Taxes</w:t>
      </w:r>
    </w:p>
    <w:p>
      <w:pPr>
        <w:pStyle w:val="TextBody"/>
        <w:spacing w:lineRule="auto" w:line="288" w:before="0" w:after="0"/>
        <w:jc w:val="left"/>
        <w:rPr>
          <w:rFonts w:ascii="inherit" w:hAnsi="inherit"/>
          <w:sz w:val="17"/>
        </w:rPr>
      </w:pPr>
      <w:r>
        <w:rPr>
          <w:rFonts w:ascii="inherit" w:hAnsi="inherit"/>
          <w:sz w:val="17"/>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pStyle w:val="TextBody"/>
        <w:spacing w:lineRule="auto" w:line="288" w:before="0" w:after="0"/>
        <w:jc w:val="left"/>
        <w:rPr>
          <w:rFonts w:ascii="inherit" w:hAnsi="inherit"/>
          <w:sz w:val="17"/>
        </w:rPr>
      </w:pPr>
      <w:r>
        <w:rPr>
          <w:rFonts w:ascii="inherit" w:hAnsi="inherit"/>
          <w:sz w:val="17"/>
        </w:rPr>
        <w:t xml:space="preserve">Management believes that it is more likely than not that forecasted income, including income that may be generated as a result of certain tax planning strategies, together with future reversals of existing taxable temporary differences, will be sufficient to fully recover the deferred tax assets. In the event that we determine all or part of the net deferred tax assets are not realizable in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36</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 xml:space="preserve">the future, we will make an adjustment to the valuation allowance that would be charged to earnings in the period such determination is made. </w:t>
      </w:r>
    </w:p>
    <w:p>
      <w:pPr>
        <w:pStyle w:val="TextBody"/>
        <w:spacing w:lineRule="auto" w:line="288" w:before="0" w:after="0"/>
        <w:jc w:val="left"/>
        <w:rPr>
          <w:rFonts w:ascii="inherit" w:hAnsi="inherit"/>
          <w:i/>
          <w:sz w:val="17"/>
        </w:rPr>
      </w:pPr>
      <w:r>
        <w:rPr>
          <w:rFonts w:ascii="inherit" w:hAnsi="inherit"/>
          <w:i/>
          <w:sz w:val="17"/>
        </w:rPr>
        <w:t>Stock Compensation</w:t>
      </w:r>
    </w:p>
    <w:p>
      <w:pPr>
        <w:pStyle w:val="TextBody"/>
        <w:spacing w:lineRule="auto" w:line="288" w:before="0" w:after="0"/>
        <w:jc w:val="left"/>
        <w:rPr>
          <w:rFonts w:ascii="inherit" w:hAnsi="inherit"/>
          <w:sz w:val="17"/>
        </w:rPr>
      </w:pPr>
      <w:r>
        <w:rPr>
          <w:rFonts w:ascii="inherit" w:hAnsi="inherit"/>
          <w:sz w:val="17"/>
        </w:rPr>
        <w:t>We account for stock compensation in accordance with the fair value recognition provisions of FASB ASC 718-10-25 (Compensation — Stock Compensation). The fair value of restricted shares is measured as the closing market price of our stock on the date of grant, which is amortized over the vesting period for each grant. When we grant options, our policy is to estimate the grant-date fair value of the options using the Black-Scholes-Merton option-pricing model and amortize that fair value to compensation expense on a ratable basis over the options’ vesting periods.</w:t>
      </w:r>
    </w:p>
    <w:p>
      <w:pPr>
        <w:pStyle w:val="TextBody"/>
        <w:spacing w:lineRule="auto" w:line="288" w:before="0" w:after="0"/>
        <w:rPr>
          <w:rFonts w:ascii="inherit" w:hAnsi="inherit"/>
          <w:i/>
          <w:sz w:val="17"/>
        </w:rPr>
      </w:pPr>
      <w:r>
        <w:rPr>
          <w:rFonts w:ascii="inherit" w:hAnsi="inherit"/>
          <w:i/>
          <w:sz w:val="17"/>
        </w:rPr>
        <w:t>Recently Issued Accounting Pronouncements</w:t>
      </w:r>
    </w:p>
    <w:p>
      <w:pPr>
        <w:pStyle w:val="TextBody"/>
        <w:spacing w:lineRule="auto" w:line="288" w:before="0" w:after="0"/>
        <w:jc w:val="left"/>
        <w:rPr>
          <w:rFonts w:ascii="inherit" w:hAnsi="inherit"/>
          <w:sz w:val="17"/>
        </w:rPr>
      </w:pPr>
      <w:r>
        <w:rPr>
          <w:rFonts w:ascii="inherit" w:hAnsi="inherit"/>
          <w:sz w:val="17"/>
        </w:rPr>
        <w:t>See Note 1 to our consolidated financial statements included in “Part II — Item 8 — Financial Statements and Supplementary Data” for a discussion of recent accounting pronouncements.</w:t>
      </w:r>
    </w:p>
    <w:p>
      <w:pPr>
        <w:pStyle w:val="TextBody"/>
        <w:spacing w:lineRule="auto" w:line="288" w:before="0" w:after="0"/>
        <w:jc w:val="center"/>
        <w:rPr>
          <w:rFonts w:ascii="inherit" w:hAnsi="inherit"/>
          <w:sz w:val="17"/>
        </w:rPr>
      </w:pPr>
      <w:r>
        <w:rPr>
          <w:rFonts w:ascii="inherit" w:hAnsi="inherit"/>
          <w:sz w:val="17"/>
        </w:rPr>
      </w:r>
      <w:bookmarkStart w:id="30" w:name="sE84B5443BDACDDC51C9D83E281B0EF39"/>
      <w:bookmarkStart w:id="31" w:name="sE84B5443BDACDDC51C9D83E281B0EF39"/>
      <w:bookmarkEnd w:id="31"/>
    </w:p>
    <w:p>
      <w:pPr>
        <w:pStyle w:val="TextBody"/>
        <w:spacing w:lineRule="auto" w:line="288" w:before="0" w:after="0"/>
        <w:jc w:val="left"/>
        <w:rPr>
          <w:rFonts w:ascii="inherit" w:hAnsi="inherit"/>
          <w:b/>
          <w:sz w:val="17"/>
        </w:rPr>
      </w:pPr>
      <w:bookmarkStart w:id="32" w:name="s9557fe5596d54cd5b32314931fad045f"/>
      <w:bookmarkEnd w:id="32"/>
      <w:r>
        <w:rPr>
          <w:rFonts w:ascii="inherit" w:hAnsi="inherit"/>
          <w:b/>
          <w:sz w:val="17"/>
        </w:rPr>
        <w:t>Results of Operations</w:t>
      </w:r>
    </w:p>
    <w:p>
      <w:pPr>
        <w:pStyle w:val="TextBody"/>
        <w:spacing w:lineRule="auto" w:line="288" w:before="0" w:after="0"/>
        <w:jc w:val="left"/>
        <w:rPr>
          <w:sz w:val="17"/>
        </w:rPr>
      </w:pPr>
      <w:r>
        <w:rPr>
          <w:rFonts w:ascii="inherit" w:hAnsi="inherit"/>
          <w:i/>
          <w:sz w:val="17"/>
        </w:rPr>
        <w:t>Fiscal 2013</w:t>
      </w:r>
      <w:r>
        <w:rPr>
          <w:sz w:val="17"/>
        </w:rPr>
        <w:t xml:space="preserve"> </w:t>
      </w:r>
      <w:r>
        <w:rPr>
          <w:rFonts w:ascii="inherit" w:hAnsi="inherit"/>
          <w:i/>
          <w:sz w:val="17"/>
        </w:rPr>
        <w:t>Compared to Fiscal 2012</w:t>
      </w:r>
      <w:r>
        <w:rPr>
          <w:sz w:val="17"/>
        </w:rPr>
        <w:t xml:space="preserve"> </w:t>
      </w:r>
    </w:p>
    <w:p>
      <w:pPr>
        <w:pStyle w:val="TextBody"/>
        <w:spacing w:lineRule="auto" w:line="288" w:before="0" w:after="0"/>
        <w:jc w:val="left"/>
        <w:rPr>
          <w:sz w:val="17"/>
        </w:rPr>
      </w:pPr>
      <w:r>
        <w:rPr>
          <w:rFonts w:ascii="inherit" w:hAnsi="inherit"/>
          <w:sz w:val="17"/>
        </w:rPr>
        <w:t>The following discussion compares our results of operations for the year ended September 30, 2013</w:t>
      </w:r>
      <w:r>
        <w:rPr>
          <w:sz w:val="17"/>
        </w:rPr>
        <w:t xml:space="preserve"> </w:t>
      </w:r>
      <w:r>
        <w:rPr>
          <w:rFonts w:ascii="inherit" w:hAnsi="inherit"/>
          <w:sz w:val="17"/>
        </w:rPr>
        <w:t>to the year ended September 30, 2012. It should be read with the accompanying consolidated financial statements and related notes.</w:t>
      </w:r>
    </w:p>
    <w:p>
      <w:pPr>
        <w:pStyle w:val="TextBody"/>
        <w:spacing w:lineRule="auto" w:line="288" w:before="0" w:after="0"/>
        <w:jc w:val="left"/>
        <w:rPr>
          <w:sz w:val="17"/>
        </w:rPr>
      </w:pPr>
      <w:r>
        <w:rPr>
          <w:rFonts w:ascii="inherit" w:hAnsi="inherit"/>
          <w:sz w:val="17"/>
        </w:rPr>
        <w:t xml:space="preserve">In fiscal </w:t>
      </w:r>
      <w:r>
        <w:rPr>
          <w:rFonts w:ascii="inherit" w:hAnsi="inherit"/>
          <w:i w:val="false"/>
          <w:caps w:val="false"/>
          <w:smallCaps w:val="false"/>
          <w:sz w:val="17"/>
        </w:rPr>
        <w:t>2013</w:t>
      </w:r>
      <w:r>
        <w:rPr>
          <w:rFonts w:ascii="inherit" w:hAnsi="inherit"/>
          <w:sz w:val="17"/>
        </w:rPr>
        <w:t>, consolidated total revenues increased 4%, or $35.2 million, to $1.0 billion, compared to the prior year. Same store total revenues decreased $70.6 million, or 7%, and new and acquired stores contributed $105.8 million. Income from continuing operations before taxes decreased 60%</w:t>
      </w:r>
      <w:r>
        <w:rPr>
          <w:sz w:val="17"/>
        </w:rPr>
        <w:t xml:space="preserve"> </w:t>
      </w:r>
      <w:r>
        <w:rPr>
          <w:rFonts w:ascii="inherit" w:hAnsi="inherit"/>
          <w:sz w:val="17"/>
        </w:rPr>
        <w:t>to $91.3 million</w:t>
      </w:r>
      <w:r>
        <w:rPr>
          <w:sz w:val="17"/>
        </w:rPr>
        <w:t xml:space="preserve"> </w:t>
      </w:r>
      <w:r>
        <w:rPr>
          <w:rFonts w:ascii="inherit" w:hAnsi="inherit"/>
          <w:sz w:val="17"/>
        </w:rPr>
        <w:t>from $226.4 million</w:t>
      </w:r>
      <w:r>
        <w:rPr>
          <w:sz w:val="17"/>
        </w:rPr>
        <w:t xml:space="preserve"> </w:t>
      </w:r>
      <w:r>
        <w:rPr>
          <w:rFonts w:ascii="inherit" w:hAnsi="inherit"/>
          <w:sz w:val="17"/>
        </w:rPr>
        <w:t>in the prior year. Loss from discontinued operations, net of tax increased $18.8 million</w:t>
      </w:r>
      <w:r>
        <w:rPr>
          <w:sz w:val="17"/>
        </w:rPr>
        <w:t xml:space="preserve"> </w:t>
      </w:r>
      <w:r>
        <w:rPr>
          <w:rFonts w:ascii="inherit" w:hAnsi="inherit"/>
          <w:sz w:val="17"/>
        </w:rPr>
        <w:t>to $23.3 million</w:t>
      </w:r>
      <w:r>
        <w:rPr>
          <w:sz w:val="17"/>
        </w:rPr>
        <w:t xml:space="preserve"> </w:t>
      </w:r>
      <w:r>
        <w:rPr>
          <w:rFonts w:ascii="inherit" w:hAnsi="inherit"/>
          <w:sz w:val="17"/>
        </w:rPr>
        <w:t xml:space="preserve">due to termination costs. Excluding termination costs, pre-tax loss from discontinued operations increased $0.3 million to $5.0 million. Net income attributable to noncontrolling interest decreased $2.5 million, or 37%. Net income attributable to EZCORP decreased $109.6 million, or 76%, to $34.1 million.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37</w:t>
      </w:r>
      <w:r>
        <w:br w:type="page"/>
      </w:r>
    </w:p>
    <w:p>
      <w:pPr>
        <w:pStyle w:val="TextBody"/>
        <w:spacing w:lineRule="auto" w:line="288" w:before="0" w:after="0"/>
        <w:rPr/>
      </w:pPr>
      <w:hyperlink w:anchor="sA13583D437E20DC41B4583E2BD74AA47">
        <w:bookmarkStart w:id="33" w:name="s1b8584119eb44b11aa20565383172d86"/>
        <w:bookmarkEnd w:id="33"/>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U.S. &amp; Canada</w:t>
      </w:r>
    </w:p>
    <w:p>
      <w:pPr>
        <w:pStyle w:val="TextBody"/>
        <w:spacing w:lineRule="auto" w:line="288" w:before="0" w:after="0"/>
        <w:jc w:val="left"/>
        <w:rPr>
          <w:rFonts w:ascii="inherit" w:hAnsi="inherit"/>
          <w:sz w:val="17"/>
        </w:rPr>
      </w:pPr>
      <w:r>
        <w:rPr>
          <w:rFonts w:ascii="inherit" w:hAnsi="inherit"/>
          <w:sz w:val="17"/>
        </w:rPr>
        <w:t>The following table presents selected financial data from continuing operations for the U.S. &amp; Canada segment:</w:t>
      </w:r>
    </w:p>
    <w:tbl>
      <w:tblPr>
        <w:tblW w:w="10205" w:type="dxa"/>
        <w:jc w:val="left"/>
        <w:tblInd w:w="0" w:type="dxa"/>
        <w:tblCellMar>
          <w:top w:w="0" w:type="dxa"/>
          <w:left w:w="0" w:type="dxa"/>
          <w:bottom w:w="0" w:type="dxa"/>
          <w:right w:w="0" w:type="dxa"/>
        </w:tblCellMar>
      </w:tblPr>
      <w:tblGrid>
        <w:gridCol w:w="5805"/>
        <w:gridCol w:w="181"/>
        <w:gridCol w:w="1438"/>
        <w:gridCol w:w="250"/>
        <w:gridCol w:w="149"/>
        <w:gridCol w:w="181"/>
        <w:gridCol w:w="1438"/>
        <w:gridCol w:w="76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80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ind w:left="0" w:right="0" w:firstLine="660"/>
              <w:rPr>
                <w:sz w:val="4"/>
                <w:szCs w:val="4"/>
              </w:rPr>
            </w:pPr>
            <w:r>
              <w:rPr>
                <w:sz w:val="4"/>
                <w:szCs w:val="4"/>
              </w:rPr>
            </w:r>
          </w:p>
        </w:tc>
      </w:tr>
      <w:tr>
        <w:trPr/>
        <w:tc>
          <w:tcPr>
            <w:tcW w:w="5805" w:type="dxa"/>
            <w:tcBorders/>
            <w:shd w:fill="auto" w:val="clear"/>
            <w:vAlign w:val="center"/>
          </w:tcPr>
          <w:p>
            <w:pPr>
              <w:pStyle w:val="TableContents"/>
              <w:spacing w:before="0" w:after="0"/>
              <w:ind w:left="0" w:right="0" w:firstLine="30"/>
              <w:jc w:val="left"/>
              <w:rPr/>
            </w:pPr>
            <w:r>
              <w:rPr/>
              <w:t> </w:t>
            </w:r>
          </w:p>
        </w:tc>
        <w:tc>
          <w:tcPr>
            <w:tcW w:w="440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805" w:type="dxa"/>
            <w:tcBorders/>
            <w:shd w:fill="auto" w:val="clear"/>
            <w:vAlign w:val="center"/>
          </w:tcPr>
          <w:p>
            <w:pPr>
              <w:pStyle w:val="TableContents"/>
              <w:spacing w:before="0" w:after="0"/>
              <w:ind w:left="0" w:right="0" w:firstLine="30"/>
              <w:jc w:val="left"/>
              <w:rPr/>
            </w:pPr>
            <w:r>
              <w:rPr/>
              <w:t> </w:t>
            </w:r>
          </w:p>
        </w:tc>
        <w:tc>
          <w:tcPr>
            <w:tcW w:w="186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9" w:type="dxa"/>
            <w:tcBorders/>
            <w:shd w:fill="auto" w:val="clear"/>
            <w:vAlign w:val="center"/>
          </w:tcPr>
          <w:p>
            <w:pPr>
              <w:pStyle w:val="TableContents"/>
              <w:spacing w:before="0" w:after="0"/>
              <w:ind w:left="0" w:right="0" w:firstLine="30"/>
              <w:rPr/>
            </w:pPr>
            <w:r>
              <w:rPr/>
              <w:t> </w:t>
            </w:r>
          </w:p>
        </w:tc>
        <w:tc>
          <w:tcPr>
            <w:tcW w:w="238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805" w:type="dxa"/>
            <w:tcBorders/>
            <w:shd w:fill="auto" w:val="clear"/>
            <w:vAlign w:val="center"/>
          </w:tcPr>
          <w:p>
            <w:pPr>
              <w:pStyle w:val="TableContents"/>
              <w:spacing w:before="0" w:after="0"/>
              <w:ind w:left="0" w:right="0" w:firstLine="30"/>
              <w:jc w:val="left"/>
              <w:rPr/>
            </w:pPr>
            <w:r>
              <w:rPr/>
              <w:t> </w:t>
            </w:r>
          </w:p>
        </w:tc>
        <w:tc>
          <w:tcPr>
            <w:tcW w:w="440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(dollars in thousands)</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869"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382" w:type="dxa"/>
            <w:gridSpan w:val="3"/>
            <w:tcBorders/>
            <w:shd w:fill="CCEEFF" w:val="clear"/>
            <w:vAlign w:val="center"/>
          </w:tcPr>
          <w:p>
            <w:pPr>
              <w:pStyle w:val="TableContents"/>
              <w:spacing w:before="0" w:after="0"/>
              <w:ind w:left="0" w:right="0" w:firstLine="180"/>
              <w:rPr/>
            </w:pPr>
            <w:r>
              <w:rPr/>
              <w:t> </w:t>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shd w:fill="auto" w:val="clear"/>
            <w:vAlign w:val="center"/>
          </w:tcPr>
          <w:p>
            <w:pPr>
              <w:pStyle w:val="TableContents"/>
              <w:spacing w:before="0" w:after="0"/>
              <w:jc w:val="right"/>
              <w:rPr>
                <w:rFonts w:ascii="inherit" w:hAnsi="inherit"/>
                <w:sz w:val="17"/>
              </w:rPr>
            </w:pPr>
            <w:r>
              <w:rPr>
                <w:rFonts w:ascii="inherit" w:hAnsi="inherit"/>
                <w:sz w:val="17"/>
              </w:rPr>
              <w:t>310,521</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shd w:fill="auto" w:val="clear"/>
            <w:vAlign w:val="center"/>
          </w:tcPr>
          <w:p>
            <w:pPr>
              <w:pStyle w:val="TableContents"/>
              <w:spacing w:before="0" w:after="0"/>
              <w:jc w:val="right"/>
              <w:rPr>
                <w:rFonts w:ascii="inherit" w:hAnsi="inherit"/>
                <w:sz w:val="17"/>
              </w:rPr>
            </w:pPr>
            <w:r>
              <w:rPr>
                <w:rFonts w:ascii="inherit" w:hAnsi="inherit"/>
                <w:sz w:val="17"/>
              </w:rPr>
              <w:t>291,497</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123,162</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191,905</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221,775</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210,601</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and interest</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174,726</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163,896</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5,113</w:t>
            </w:r>
          </w:p>
        </w:tc>
        <w:tc>
          <w:tcPr>
            <w:tcW w:w="2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3,759</w:t>
            </w:r>
          </w:p>
        </w:tc>
        <w:tc>
          <w:tcPr>
            <w:tcW w:w="763"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61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835,297</w:t>
            </w:r>
          </w:p>
        </w:tc>
        <w:tc>
          <w:tcPr>
            <w:tcW w:w="25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861,658</w:t>
            </w:r>
          </w:p>
        </w:tc>
        <w:tc>
          <w:tcPr>
            <w:tcW w:w="763" w:type="dxa"/>
            <w:tcBorders>
              <w:top w:val="single" w:sz="2" w:space="0" w:color="000000"/>
            </w:tcBorders>
            <w:shd w:fill="CCEEFF" w:val="clear"/>
            <w:tcMar>
              <w:top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183,147</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168,133</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88,637</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122,604</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43,095</w:t>
            </w:r>
          </w:p>
        </w:tc>
        <w:tc>
          <w:tcPr>
            <w:tcW w:w="2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35,398</w:t>
            </w:r>
          </w:p>
        </w:tc>
        <w:tc>
          <w:tcPr>
            <w:tcW w:w="763"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520,418</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535,523</w:t>
            </w:r>
          </w:p>
        </w:tc>
        <w:tc>
          <w:tcPr>
            <w:tcW w:w="7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 (income):</w:t>
            </w:r>
          </w:p>
        </w:tc>
        <w:tc>
          <w:tcPr>
            <w:tcW w:w="1869"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382" w:type="dxa"/>
            <w:gridSpan w:val="3"/>
            <w:tcBorders/>
            <w:shd w:fill="auto" w:val="clear"/>
            <w:vAlign w:val="center"/>
          </w:tcPr>
          <w:p>
            <w:pPr>
              <w:pStyle w:val="TableContents"/>
              <w:spacing w:before="0" w:after="0"/>
              <w:ind w:left="0" w:right="0" w:firstLine="180"/>
              <w:rPr/>
            </w:pPr>
            <w:r>
              <w:rPr/>
              <w:t> </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336,421</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292,371</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15,919</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13,058</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2,043</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521</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(gain) on sale or disposal of assets</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284</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(261</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(income), net</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2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(647</w:t>
            </w:r>
          </w:p>
        </w:tc>
        <w:tc>
          <w:tcPr>
            <w:tcW w:w="763" w:type="dxa"/>
            <w:tcBorders>
              <w:bottom w:val="single" w:sz="2" w:space="0" w:color="000000"/>
            </w:tcBorders>
            <w:shd w:fill="auto" w:val="clear"/>
            <w:tcMar>
              <w:bottom w:w="30" w:type="dxa"/>
            </w:tcM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165,738</w:t>
            </w:r>
          </w:p>
        </w:tc>
        <w:tc>
          <w:tcPr>
            <w:tcW w:w="25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230,484</w:t>
            </w:r>
          </w:p>
        </w:tc>
        <w:tc>
          <w:tcPr>
            <w:tcW w:w="76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869" w:type="dxa"/>
            <w:gridSpan w:val="3"/>
            <w:tcBorders/>
            <w:shd w:fill="auto" w:val="clear"/>
            <w:vAlign w:val="center"/>
          </w:tcPr>
          <w:p>
            <w:pPr>
              <w:pStyle w:val="TableContents"/>
              <w:spacing w:before="0" w:after="0"/>
              <w:ind w:left="0" w:right="0" w:firstLine="30"/>
              <w:jc w:val="left"/>
              <w:rPr/>
            </w:pPr>
            <w:r>
              <w:rPr/>
              <w:t> </w:t>
            </w:r>
          </w:p>
        </w:tc>
        <w:tc>
          <w:tcPr>
            <w:tcW w:w="149" w:type="dxa"/>
            <w:tcBorders/>
            <w:shd w:fill="auto" w:val="clear"/>
            <w:vAlign w:val="center"/>
          </w:tcPr>
          <w:p>
            <w:pPr>
              <w:pStyle w:val="TableContents"/>
              <w:spacing w:before="0" w:after="0"/>
              <w:ind w:left="0" w:right="0" w:firstLine="30"/>
              <w:rPr/>
            </w:pPr>
            <w:r>
              <w:rPr/>
              <w:t> </w:t>
            </w:r>
          </w:p>
        </w:tc>
        <w:tc>
          <w:tcPr>
            <w:tcW w:w="2382" w:type="dxa"/>
            <w:gridSpan w:val="3"/>
            <w:tcBorders/>
            <w:shd w:fill="auto" w:val="clear"/>
            <w:vAlign w:val="center"/>
          </w:tcPr>
          <w:p>
            <w:pPr>
              <w:pStyle w:val="TableContents"/>
              <w:spacing w:before="0" w:after="0"/>
              <w:ind w:left="0" w:right="0" w:firstLine="300"/>
              <w:jc w:val="left"/>
              <w:rPr/>
            </w:pPr>
            <w:r>
              <w:rPr/>
              <w:t> </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41.0</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42.3</w:t>
            </w:r>
          </w:p>
        </w:tc>
        <w:tc>
          <w:tcPr>
            <w:tcW w:w="7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28.0</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36.1</w:t>
            </w:r>
          </w:p>
        </w:tc>
        <w:tc>
          <w:tcPr>
            <w:tcW w:w="7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37.3</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39.9</w:t>
            </w:r>
          </w:p>
        </w:tc>
        <w:tc>
          <w:tcPr>
            <w:tcW w:w="7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shd w:fill="auto" w:val="clear"/>
            <w:vAlign w:val="center"/>
          </w:tcPr>
          <w:p>
            <w:pPr>
              <w:pStyle w:val="TableContents"/>
              <w:spacing w:before="0" w:after="0"/>
              <w:jc w:val="right"/>
              <w:rPr>
                <w:rFonts w:ascii="inherit" w:hAnsi="inherit"/>
                <w:sz w:val="17"/>
              </w:rPr>
            </w:pPr>
            <w:r>
              <w:rPr>
                <w:rFonts w:ascii="inherit" w:hAnsi="inherit"/>
                <w:sz w:val="17"/>
              </w:rPr>
              <w:t>285</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shd w:fill="auto" w:val="clear"/>
            <w:vAlign w:val="center"/>
          </w:tcPr>
          <w:p>
            <w:pPr>
              <w:pStyle w:val="TableContents"/>
              <w:spacing w:before="0" w:after="0"/>
              <w:jc w:val="right"/>
              <w:rPr>
                <w:rFonts w:ascii="inherit" w:hAnsi="inherit"/>
                <w:sz w:val="17"/>
              </w:rPr>
            </w:pPr>
            <w:r>
              <w:rPr>
                <w:rFonts w:ascii="inherit" w:hAnsi="inherit"/>
                <w:sz w:val="17"/>
              </w:rPr>
              <w:t>295</w:t>
            </w:r>
          </w:p>
        </w:tc>
        <w:tc>
          <w:tcPr>
            <w:tcW w:w="7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161</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160</w:t>
            </w:r>
          </w:p>
        </w:tc>
        <w:tc>
          <w:tcPr>
            <w:tcW w:w="7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w:t>
            </w:r>
          </w:p>
        </w:tc>
        <w:tc>
          <w:tcPr>
            <w:tcW w:w="7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80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6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w:t>
            </w:r>
          </w:p>
        </w:tc>
        <w:tc>
          <w:tcPr>
            <w:tcW w:w="25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6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w:t>
            </w:r>
          </w:p>
        </w:tc>
        <w:tc>
          <w:tcPr>
            <w:tcW w:w="763"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369"/>
        <w:gridCol w:w="9836"/>
      </w:tblGrid>
      <w:tr>
        <w:trPr/>
        <w:tc>
          <w:tcPr>
            <w:tcW w:w="369" w:type="dxa"/>
            <w:tcBorders/>
            <w:shd w:fill="auto" w:val="clear"/>
            <w:vAlign w:val="center"/>
          </w:tcPr>
          <w:p>
            <w:pPr>
              <w:pStyle w:val="TableContents"/>
              <w:spacing w:before="0" w:after="283"/>
              <w:rPr>
                <w:sz w:val="4"/>
                <w:szCs w:val="4"/>
              </w:rPr>
            </w:pPr>
            <w:r>
              <w:rPr>
                <w:sz w:val="4"/>
                <w:szCs w:val="4"/>
              </w:rPr>
            </w:r>
          </w:p>
        </w:tc>
        <w:tc>
          <w:tcPr>
            <w:tcW w:w="9836" w:type="dxa"/>
            <w:tcBorders/>
            <w:shd w:fill="auto" w:val="clear"/>
            <w:vAlign w:val="center"/>
          </w:tcPr>
          <w:p>
            <w:pPr>
              <w:pStyle w:val="TableContents"/>
              <w:spacing w:before="0" w:after="283"/>
              <w:rPr>
                <w:sz w:val="4"/>
                <w:szCs w:val="4"/>
              </w:rPr>
            </w:pPr>
            <w:r>
              <w:rPr>
                <w:sz w:val="4"/>
                <w:szCs w:val="4"/>
              </w:rPr>
            </w:r>
          </w:p>
        </w:tc>
      </w:tr>
      <w:tr>
        <w:trPr/>
        <w:tc>
          <w:tcPr>
            <w:tcW w:w="369" w:type="dxa"/>
            <w:tcBorders/>
            <w:shd w:fill="auto" w:val="clear"/>
            <w:vAlign w:val="center"/>
          </w:tcPr>
          <w:p>
            <w:pPr>
              <w:pStyle w:val="TableContents"/>
              <w:spacing w:lineRule="auto" w:line="288" w:before="0" w:after="0"/>
              <w:ind w:left="0" w:right="0" w:firstLine="135"/>
              <w:rPr>
                <w:rFonts w:ascii="inherit" w:hAnsi="inherit"/>
                <w:sz w:val="15"/>
              </w:rPr>
            </w:pPr>
            <w:r>
              <w:rPr>
                <w:rFonts w:ascii="inherit" w:hAnsi="inherit"/>
                <w:sz w:val="15"/>
              </w:rPr>
              <w:t>(a)</w:t>
            </w:r>
          </w:p>
        </w:tc>
        <w:tc>
          <w:tcPr>
            <w:tcW w:w="9836" w:type="dxa"/>
            <w:tcBorders/>
            <w:shd w:fill="auto" w:val="clear"/>
            <w:vAlign w:val="center"/>
          </w:tcPr>
          <w:p>
            <w:pPr>
              <w:pStyle w:val="TableContents"/>
              <w:spacing w:lineRule="auto" w:line="288" w:before="0" w:after="0"/>
              <w:rPr>
                <w:rFonts w:ascii="inherit" w:hAnsi="inherit"/>
                <w:sz w:val="15"/>
              </w:rPr>
            </w:pPr>
            <w:r>
              <w:rPr>
                <w:rFonts w:ascii="inherit" w:hAnsi="inherit"/>
                <w:sz w:val="15"/>
              </w:rPr>
              <w:t>Average yield on pawn loan portfolio is calculated as pawn service charge revenues for the period divided by the average pawn loan balance during the period.</w:t>
            </w:r>
          </w:p>
        </w:tc>
      </w:tr>
    </w:tbl>
    <w:p>
      <w:pPr>
        <w:pStyle w:val="TextBody"/>
        <w:spacing w:lineRule="auto" w:line="288" w:before="0" w:after="0"/>
        <w:jc w:val="left"/>
        <w:rPr>
          <w:sz w:val="17"/>
        </w:rPr>
      </w:pPr>
      <w:r>
        <w:rPr>
          <w:rFonts w:ascii="inherit" w:hAnsi="inherit"/>
          <w:sz w:val="17"/>
        </w:rPr>
        <w:t xml:space="preserve">The U.S. &amp; Canada segment total revenues decreased </w:t>
      </w:r>
      <w:r>
        <w:rPr>
          <w:rFonts w:ascii="inherit" w:hAnsi="inherit"/>
          <w:strike w:val="false"/>
          <w:dstrike w:val="false"/>
          <w:color w:val="000000"/>
          <w:sz w:val="17"/>
          <w:u w:val="none"/>
          <w:effect w:val="none"/>
        </w:rPr>
        <w:t>$26.4 million</w:t>
      </w:r>
      <w:r>
        <w:rPr>
          <w:rFonts w:ascii="inherit" w:hAnsi="inherit"/>
          <w:sz w:val="17"/>
        </w:rPr>
        <w:t xml:space="preserve">, or </w:t>
      </w:r>
      <w:r>
        <w:rPr>
          <w:rFonts w:ascii="inherit" w:hAnsi="inherit"/>
          <w:strike w:val="false"/>
          <w:dstrike w:val="false"/>
          <w:color w:val="000000"/>
          <w:sz w:val="17"/>
          <w:u w:val="none"/>
          <w:effect w:val="none"/>
        </w:rPr>
        <w:t>3%</w:t>
      </w:r>
      <w:r>
        <w:rPr>
          <w:rFonts w:ascii="inherit" w:hAnsi="inherit"/>
          <w:sz w:val="17"/>
        </w:rPr>
        <w:t xml:space="preserve">, from the prior year to </w:t>
      </w:r>
      <w:r>
        <w:rPr>
          <w:rFonts w:ascii="inherit" w:hAnsi="inherit"/>
          <w:strike w:val="false"/>
          <w:dstrike w:val="false"/>
          <w:color w:val="000000"/>
          <w:sz w:val="17"/>
          <w:u w:val="none"/>
          <w:effect w:val="none"/>
        </w:rPr>
        <w:t>$835.3 million</w:t>
      </w:r>
      <w:r>
        <w:rPr>
          <w:rFonts w:ascii="inherit" w:hAnsi="inherit"/>
          <w:sz w:val="17"/>
        </w:rPr>
        <w:t xml:space="preserve">. Same store total revenues decreased $79.7 million, or 9%, and new and acquired stores net of closed stores contributed $53.3 million. The overall decrease in total revenues was mostly due to a </w:t>
      </w:r>
      <w:r>
        <w:rPr>
          <w:rFonts w:ascii="inherit" w:hAnsi="inherit"/>
          <w:strike w:val="false"/>
          <w:dstrike w:val="false"/>
          <w:color w:val="000000"/>
          <w:sz w:val="17"/>
          <w:u w:val="none"/>
          <w:effect w:val="none"/>
        </w:rPr>
        <w:t>$68.7 million</w:t>
      </w:r>
      <w:r>
        <w:rPr>
          <w:sz w:val="17"/>
        </w:rPr>
        <w:t xml:space="preserve"> </w:t>
      </w:r>
      <w:r>
        <w:rPr>
          <w:rFonts w:ascii="inherit" w:hAnsi="inherit"/>
          <w:sz w:val="17"/>
        </w:rPr>
        <w:t xml:space="preserve">decrease in jewelry scrapping sales. Excluding jewelry scrapping sales, total revenues increased </w:t>
      </w:r>
      <w:r>
        <w:rPr>
          <w:rFonts w:ascii="inherit" w:hAnsi="inherit"/>
          <w:strike w:val="false"/>
          <w:dstrike w:val="false"/>
          <w:color w:val="000000"/>
          <w:sz w:val="17"/>
          <w:u w:val="none"/>
          <w:effect w:val="none"/>
        </w:rPr>
        <w:t>$42.4 million</w:t>
      </w:r>
      <w:r>
        <w:rPr>
          <w:rFonts w:ascii="inherit" w:hAnsi="inherit"/>
          <w:sz w:val="17"/>
        </w:rPr>
        <w:t xml:space="preserve">, or </w:t>
      </w:r>
      <w:r>
        <w:rPr>
          <w:rFonts w:ascii="inherit" w:hAnsi="inherit"/>
          <w:strike w:val="false"/>
          <w:dstrike w:val="false"/>
          <w:color w:val="000000"/>
          <w:sz w:val="17"/>
          <w:u w:val="none"/>
          <w:effect w:val="none"/>
        </w:rPr>
        <w:t>6%</w:t>
      </w:r>
      <w:r>
        <w:rPr>
          <w:rFonts w:ascii="inherit" w:hAnsi="inherit"/>
          <w:sz w:val="17"/>
        </w:rPr>
        <w:t xml:space="preserve">. The increase consisted of a </w:t>
      </w:r>
      <w:r>
        <w:rPr>
          <w:rFonts w:ascii="inherit" w:hAnsi="inherit"/>
          <w:strike w:val="false"/>
          <w:dstrike w:val="false"/>
          <w:color w:val="000000"/>
          <w:sz w:val="17"/>
          <w:u w:val="none"/>
          <w:effect w:val="none"/>
        </w:rPr>
        <w:t>$19.0 million</w:t>
      </w:r>
      <w:r>
        <w:rPr>
          <w:sz w:val="17"/>
        </w:rPr>
        <w:t xml:space="preserve"> </w:t>
      </w:r>
      <w:r>
        <w:rPr>
          <w:rFonts w:ascii="inherit" w:hAnsi="inherit"/>
          <w:sz w:val="17"/>
        </w:rPr>
        <w:t xml:space="preserve">increase in merchandise sales, an </w:t>
      </w:r>
      <w:r>
        <w:rPr>
          <w:rFonts w:ascii="inherit" w:hAnsi="inherit"/>
          <w:strike w:val="false"/>
          <w:dstrike w:val="false"/>
          <w:color w:val="000000"/>
          <w:sz w:val="17"/>
          <w:u w:val="none"/>
          <w:effect w:val="none"/>
        </w:rPr>
        <w:t>$11.2 million</w:t>
      </w:r>
      <w:r>
        <w:rPr>
          <w:sz w:val="17"/>
        </w:rPr>
        <w:t xml:space="preserve"> </w:t>
      </w:r>
      <w:r>
        <w:rPr>
          <w:rFonts w:ascii="inherit" w:hAnsi="inherit"/>
          <w:sz w:val="17"/>
        </w:rPr>
        <w:t xml:space="preserve">increase in pawn service charges and a </w:t>
      </w:r>
      <w:r>
        <w:rPr>
          <w:rFonts w:ascii="inherit" w:hAnsi="inherit"/>
          <w:strike w:val="false"/>
          <w:dstrike w:val="false"/>
          <w:color w:val="000000"/>
          <w:sz w:val="17"/>
          <w:u w:val="none"/>
          <w:effect w:val="none"/>
        </w:rPr>
        <w:t>$12.2 million</w:t>
      </w:r>
      <w:r>
        <w:rPr>
          <w:sz w:val="17"/>
        </w:rPr>
        <w:t xml:space="preserve"> </w:t>
      </w:r>
      <w:r>
        <w:rPr>
          <w:rFonts w:ascii="inherit" w:hAnsi="inherit"/>
          <w:sz w:val="17"/>
        </w:rPr>
        <w:t xml:space="preserve">increase in loan fees and other revenues. In fiscal </w:t>
      </w:r>
      <w:r>
        <w:rPr>
          <w:rFonts w:ascii="inherit" w:hAnsi="inherit"/>
          <w:strike w:val="false"/>
          <w:dstrike w:val="false"/>
          <w:color w:val="000000"/>
          <w:sz w:val="17"/>
          <w:u w:val="none"/>
          <w:effect w:val="none"/>
        </w:rPr>
        <w:t>2013</w:t>
      </w:r>
      <w:r>
        <w:rPr>
          <w:rFonts w:ascii="inherit" w:hAnsi="inherit"/>
          <w:sz w:val="17"/>
        </w:rPr>
        <w:t xml:space="preserve">, we acquired 12 pawn stores in the U.S. for $23.1 and Go Cash, a U.S. online lender, for $50.8 million. As part of these acquisitions, we began operations in the state of Arizona and online operations in six states, bringing the total number of states in which we operate to 27 at </w:t>
      </w:r>
      <w:r>
        <w:rPr>
          <w:rFonts w:ascii="inherit" w:hAnsi="inherit"/>
          <w:strike w:val="false"/>
          <w:dstrike w:val="false"/>
          <w:color w:val="000000"/>
          <w:sz w:val="17"/>
          <w:u w:val="none"/>
          <w:effect w:val="none"/>
        </w:rPr>
        <w:t>September 30, 2013</w:t>
      </w:r>
      <w:r>
        <w:rPr>
          <w:rFonts w:ascii="inherit" w:hAnsi="inherit"/>
          <w:sz w:val="17"/>
        </w:rPr>
        <w:t xml:space="preserve">. In fiscal </w:t>
      </w:r>
      <w:r>
        <w:rPr>
          <w:rFonts w:ascii="inherit" w:hAnsi="inherit"/>
          <w:strike w:val="false"/>
          <w:dstrike w:val="false"/>
          <w:color w:val="000000"/>
          <w:sz w:val="17"/>
          <w:u w:val="none"/>
          <w:effect w:val="none"/>
        </w:rPr>
        <w:t>2013</w:t>
      </w:r>
      <w:r>
        <w:rPr>
          <w:rFonts w:ascii="inherit" w:hAnsi="inherit"/>
          <w:sz w:val="17"/>
        </w:rPr>
        <w:t xml:space="preserve">, we opened </w:t>
      </w:r>
      <w:r>
        <w:rPr>
          <w:rFonts w:ascii="inherit" w:hAnsi="inherit"/>
          <w:strike w:val="false"/>
          <w:dstrike w:val="false"/>
          <w:color w:val="000000"/>
          <w:sz w:val="17"/>
          <w:u w:val="none"/>
          <w:effect w:val="none"/>
        </w:rPr>
        <w:t>84</w:t>
      </w:r>
      <w:r>
        <w:rPr>
          <w:sz w:val="17"/>
        </w:rPr>
        <w:t xml:space="preserve"> </w:t>
      </w:r>
      <w:r>
        <w:rPr>
          <w:rFonts w:ascii="inherit" w:hAnsi="inherit"/>
          <w:sz w:val="17"/>
        </w:rPr>
        <w:t xml:space="preserve">de novo locations bringing our total number of stores in the U.S. &amp; Canada segment to </w:t>
      </w:r>
      <w:r>
        <w:rPr>
          <w:rFonts w:ascii="inherit" w:hAnsi="inherit"/>
          <w:strike w:val="false"/>
          <w:dstrike w:val="false"/>
          <w:color w:val="000000"/>
          <w:sz w:val="17"/>
          <w:u w:val="none"/>
          <w:effect w:val="none"/>
        </w:rPr>
        <w:t>1,030</w:t>
      </w:r>
      <w:r>
        <w:rPr>
          <w:rFonts w:ascii="inherit" w:hAnsi="inherit"/>
          <w:sz w:val="17"/>
        </w:rPr>
        <w:t xml:space="preserve">. </w:t>
      </w:r>
    </w:p>
    <w:p>
      <w:pPr>
        <w:pStyle w:val="TextBody"/>
        <w:spacing w:lineRule="auto" w:line="288" w:before="0" w:after="0"/>
        <w:jc w:val="left"/>
        <w:rPr>
          <w:sz w:val="17"/>
        </w:rPr>
      </w:pPr>
      <w:r>
        <w:rPr>
          <w:rFonts w:ascii="inherit" w:hAnsi="inherit"/>
          <w:sz w:val="17"/>
        </w:rPr>
        <w:t xml:space="preserve">Fiscal </w:t>
      </w:r>
      <w:r>
        <w:rPr>
          <w:rFonts w:ascii="inherit" w:hAnsi="inherit"/>
          <w:strike w:val="false"/>
          <w:dstrike w:val="false"/>
          <w:color w:val="000000"/>
          <w:sz w:val="17"/>
          <w:u w:val="none"/>
          <w:effect w:val="none"/>
        </w:rPr>
        <w:t>2013</w:t>
      </w:r>
      <w:r>
        <w:rPr>
          <w:sz w:val="17"/>
        </w:rPr>
        <w:t xml:space="preserve"> </w:t>
      </w:r>
      <w:r>
        <w:rPr>
          <w:rFonts w:ascii="inherit" w:hAnsi="inherit"/>
          <w:sz w:val="17"/>
        </w:rPr>
        <w:t xml:space="preserve">pawn service charge revenue increased </w:t>
      </w:r>
      <w:r>
        <w:rPr>
          <w:rFonts w:ascii="inherit" w:hAnsi="inherit"/>
          <w:strike w:val="false"/>
          <w:dstrike w:val="false"/>
          <w:color w:val="000000"/>
          <w:sz w:val="17"/>
          <w:u w:val="none"/>
          <w:effect w:val="none"/>
        </w:rPr>
        <w:t>5%</w:t>
      </w:r>
      <w:r>
        <w:rPr>
          <w:rFonts w:ascii="inherit" w:hAnsi="inherit"/>
          <w:sz w:val="17"/>
        </w:rPr>
        <w:t xml:space="preserve">, or </w:t>
      </w:r>
      <w:r>
        <w:rPr>
          <w:rFonts w:ascii="inherit" w:hAnsi="inherit"/>
          <w:strike w:val="false"/>
          <w:dstrike w:val="false"/>
          <w:color w:val="000000"/>
          <w:sz w:val="17"/>
          <w:u w:val="none"/>
          <w:effect w:val="none"/>
        </w:rPr>
        <w:t>$11.2 million</w:t>
      </w:r>
      <w:r>
        <w:rPr>
          <w:rFonts w:ascii="inherit" w:hAnsi="inherit"/>
          <w:sz w:val="17"/>
        </w:rPr>
        <w:t xml:space="preserve">, from the prior year to </w:t>
      </w:r>
      <w:r>
        <w:rPr>
          <w:rFonts w:ascii="inherit" w:hAnsi="inherit"/>
          <w:strike w:val="false"/>
          <w:dstrike w:val="false"/>
          <w:color w:val="000000"/>
          <w:sz w:val="17"/>
          <w:u w:val="none"/>
          <w:effect w:val="none"/>
        </w:rPr>
        <w:t>$221.8 million</w:t>
      </w:r>
      <w:r>
        <w:rPr>
          <w:rFonts w:ascii="inherit" w:hAnsi="inherit"/>
          <w:sz w:val="17"/>
        </w:rPr>
        <w:t xml:space="preserve">. Same store pawn service charges increased $3.8 million, or 2%, with new and acquired stores net of closed stores contributing $7.4 million. The same store improvement was due to a slight increase in the average yield. The yield improved primarily due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38</w:t>
      </w:r>
      <w:r>
        <w:br w:type="page"/>
      </w:r>
    </w:p>
    <w:p>
      <w:pPr>
        <w:pStyle w:val="TextBody"/>
        <w:spacing w:lineRule="auto" w:line="288" w:before="0" w:after="0"/>
        <w:rPr/>
      </w:pPr>
      <w:hyperlink w:anchor="sA13583D437E20DC41B4583E2BD74AA47">
        <w:bookmarkStart w:id="34" w:name="s1b8584119eb44b11aa20565383172d861"/>
        <w:bookmarkEnd w:id="34"/>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 xml:space="preserve">to a higher loan redemption rate as we continued to focus on loan values and better qualifying customers to determine those that prefer to sell their merchandise rather than use it as collateral for a loan. </w:t>
      </w:r>
    </w:p>
    <w:p>
      <w:pPr>
        <w:pStyle w:val="TextBody"/>
        <w:spacing w:lineRule="auto" w:line="288" w:before="0" w:after="0"/>
        <w:jc w:val="left"/>
        <w:rPr>
          <w:sz w:val="17"/>
        </w:rPr>
      </w:pPr>
      <w:r>
        <w:rPr>
          <w:rFonts w:ascii="inherit" w:hAnsi="inherit"/>
          <w:sz w:val="17"/>
        </w:rPr>
        <w:t xml:space="preserve">Fiscal </w:t>
      </w:r>
      <w:r>
        <w:rPr>
          <w:rFonts w:ascii="inherit" w:hAnsi="inherit"/>
          <w:strike w:val="false"/>
          <w:dstrike w:val="false"/>
          <w:color w:val="000000"/>
          <w:sz w:val="17"/>
          <w:u w:val="none"/>
          <w:effect w:val="none"/>
        </w:rPr>
        <w:t>2013</w:t>
      </w:r>
      <w:r>
        <w:rPr>
          <w:sz w:val="17"/>
        </w:rPr>
        <w:t xml:space="preserve"> </w:t>
      </w:r>
      <w:r>
        <w:rPr>
          <w:rFonts w:ascii="inherit" w:hAnsi="inherit"/>
          <w:sz w:val="17"/>
        </w:rPr>
        <w:t xml:space="preserve">merchandise sales gross profit increased </w:t>
      </w:r>
      <w:r>
        <w:rPr>
          <w:rFonts w:ascii="inherit" w:hAnsi="inherit"/>
          <w:strike w:val="false"/>
          <w:dstrike w:val="false"/>
          <w:color w:val="000000"/>
          <w:sz w:val="17"/>
          <w:u w:val="none"/>
          <w:effect w:val="none"/>
        </w:rPr>
        <w:t>$4.0 million</w:t>
      </w:r>
      <w:r>
        <w:rPr>
          <w:rFonts w:ascii="inherit" w:hAnsi="inherit"/>
          <w:sz w:val="17"/>
        </w:rPr>
        <w:t xml:space="preserve">, or </w:t>
      </w:r>
      <w:r>
        <w:rPr>
          <w:rFonts w:ascii="inherit" w:hAnsi="inherit"/>
          <w:strike w:val="false"/>
          <w:dstrike w:val="false"/>
          <w:color w:val="000000"/>
          <w:sz w:val="17"/>
          <w:u w:val="none"/>
          <w:effect w:val="none"/>
        </w:rPr>
        <w:t>3%</w:t>
      </w:r>
      <w:r>
        <w:rPr>
          <w:rFonts w:ascii="inherit" w:hAnsi="inherit"/>
          <w:sz w:val="17"/>
        </w:rPr>
        <w:t xml:space="preserve">, from the prior year to </w:t>
      </w:r>
      <w:r>
        <w:rPr>
          <w:rFonts w:ascii="inherit" w:hAnsi="inherit"/>
          <w:strike w:val="false"/>
          <w:dstrike w:val="false"/>
          <w:color w:val="000000"/>
          <w:sz w:val="17"/>
          <w:u w:val="none"/>
          <w:effect w:val="none"/>
        </w:rPr>
        <w:t>$127.4 million</w:t>
      </w:r>
      <w:r>
        <w:rPr>
          <w:rFonts w:ascii="inherit" w:hAnsi="inherit"/>
          <w:sz w:val="17"/>
        </w:rPr>
        <w:t xml:space="preserve">. This was due to a $3.3 million increase in same store sales and a $15.7 million increase in sales from new and acquired stores net of closed stores, partially offset by a slight decrease in gross margins. The decrease in gross margins was due to a shift in sales mix from jewelry to general merchandise. </w:t>
      </w:r>
    </w:p>
    <w:p>
      <w:pPr>
        <w:pStyle w:val="TextBody"/>
        <w:spacing w:lineRule="auto" w:line="288" w:before="0" w:after="0"/>
        <w:jc w:val="left"/>
        <w:rPr>
          <w:sz w:val="17"/>
        </w:rPr>
      </w:pPr>
      <w:r>
        <w:rPr>
          <w:rFonts w:ascii="inherit" w:hAnsi="inherit"/>
          <w:sz w:val="17"/>
        </w:rPr>
        <w:t xml:space="preserve">Gross profit on jewelry scrapping sales decreased </w:t>
      </w:r>
      <w:r>
        <w:rPr>
          <w:rFonts w:ascii="inherit" w:hAnsi="inherit"/>
          <w:strike w:val="false"/>
          <w:dstrike w:val="false"/>
          <w:color w:val="000000"/>
          <w:sz w:val="17"/>
          <w:u w:val="none"/>
          <w:effect w:val="none"/>
        </w:rPr>
        <w:t>$34.8 million</w:t>
      </w:r>
      <w:r>
        <w:rPr>
          <w:rFonts w:ascii="inherit" w:hAnsi="inherit"/>
          <w:sz w:val="17"/>
        </w:rPr>
        <w:t xml:space="preserve">, or </w:t>
      </w:r>
      <w:r>
        <w:rPr>
          <w:rFonts w:ascii="inherit" w:hAnsi="inherit"/>
          <w:strike w:val="false"/>
          <w:dstrike w:val="false"/>
          <w:color w:val="000000"/>
          <w:sz w:val="17"/>
          <w:u w:val="none"/>
          <w:effect w:val="none"/>
        </w:rPr>
        <w:t>50%</w:t>
      </w:r>
      <w:r>
        <w:rPr>
          <w:rFonts w:ascii="inherit" w:hAnsi="inherit"/>
          <w:sz w:val="17"/>
        </w:rPr>
        <w:t xml:space="preserve">, from the prior year to </w:t>
      </w:r>
      <w:r>
        <w:rPr>
          <w:rFonts w:ascii="inherit" w:hAnsi="inherit"/>
          <w:strike w:val="false"/>
          <w:dstrike w:val="false"/>
          <w:color w:val="000000"/>
          <w:sz w:val="17"/>
          <w:u w:val="none"/>
          <w:effect w:val="none"/>
        </w:rPr>
        <w:t>$34.5 million</w:t>
      </w:r>
      <w:r>
        <w:rPr>
          <w:rFonts w:ascii="inherit" w:hAnsi="inherit"/>
          <w:sz w:val="17"/>
        </w:rPr>
        <w:t xml:space="preserve">. Jewelry scrapping revenues decreased </w:t>
      </w:r>
      <w:r>
        <w:rPr>
          <w:rFonts w:ascii="inherit" w:hAnsi="inherit"/>
          <w:strike w:val="false"/>
          <w:dstrike w:val="false"/>
          <w:color w:val="000000"/>
          <w:sz w:val="17"/>
          <w:u w:val="none"/>
          <w:effect w:val="none"/>
        </w:rPr>
        <w:t>$68.7 million</w:t>
      </w:r>
      <w:r>
        <w:rPr>
          <w:rFonts w:ascii="inherit" w:hAnsi="inherit"/>
          <w:sz w:val="17"/>
        </w:rPr>
        <w:t xml:space="preserve">, or </w:t>
      </w:r>
      <w:r>
        <w:rPr>
          <w:rFonts w:ascii="inherit" w:hAnsi="inherit"/>
          <w:strike w:val="false"/>
          <w:dstrike w:val="false"/>
          <w:color w:val="000000"/>
          <w:sz w:val="17"/>
          <w:u w:val="none"/>
          <w:effect w:val="none"/>
        </w:rPr>
        <w:t>36%</w:t>
      </w:r>
      <w:r>
        <w:rPr>
          <w:rFonts w:ascii="inherit" w:hAnsi="inherit"/>
          <w:sz w:val="17"/>
        </w:rPr>
        <w:t xml:space="preserve">, due to a 4% decrease in proceeds realized per gram of gold jewelry scrapped, coupled with a 35% decrease in gold volume. Same store jewelry scrapping sales decreased $80.3 million, or 42%, and new and acquired stores contributed $11.6 million. Jewelry scrapping sales include the sale of approximately $11.3 million of loose diamonds removed from scrap jewelry in fiscal </w:t>
      </w:r>
      <w:r>
        <w:rPr>
          <w:rFonts w:ascii="inherit" w:hAnsi="inherit"/>
          <w:strike w:val="false"/>
          <w:dstrike w:val="false"/>
          <w:color w:val="000000"/>
          <w:sz w:val="17"/>
          <w:u w:val="none"/>
          <w:effect w:val="none"/>
        </w:rPr>
        <w:t>2013</w:t>
      </w:r>
      <w:r>
        <w:rPr>
          <w:sz w:val="17"/>
        </w:rPr>
        <w:t xml:space="preserve"> </w:t>
      </w:r>
      <w:r>
        <w:rPr>
          <w:rFonts w:ascii="inherit" w:hAnsi="inherit"/>
          <w:sz w:val="17"/>
        </w:rPr>
        <w:t xml:space="preserve">and $10.8 million in the prior year. As a result of the decrease in volume, scrap cost of goods decreased </w:t>
      </w:r>
      <w:r>
        <w:rPr>
          <w:rFonts w:ascii="inherit" w:hAnsi="inherit"/>
          <w:strike w:val="false"/>
          <w:dstrike w:val="false"/>
          <w:color w:val="000000"/>
          <w:sz w:val="17"/>
          <w:u w:val="none"/>
          <w:effect w:val="none"/>
        </w:rPr>
        <w:t>$34.0 million</w:t>
      </w:r>
      <w:r>
        <w:rPr>
          <w:rFonts w:ascii="inherit" w:hAnsi="inherit"/>
          <w:sz w:val="17"/>
        </w:rPr>
        <w:t>.</w:t>
      </w:r>
    </w:p>
    <w:p>
      <w:pPr>
        <w:pStyle w:val="TextBody"/>
        <w:spacing w:lineRule="auto" w:line="288" w:before="0" w:after="0"/>
        <w:jc w:val="left"/>
        <w:rPr>
          <w:sz w:val="17"/>
        </w:rPr>
      </w:pPr>
      <w:r>
        <w:rPr>
          <w:rFonts w:ascii="inherit" w:hAnsi="inherit"/>
          <w:sz w:val="17"/>
        </w:rPr>
        <w:t xml:space="preserve">Total segment expenses increased to </w:t>
      </w:r>
      <w:r>
        <w:rPr>
          <w:rFonts w:ascii="inherit" w:hAnsi="inherit"/>
          <w:strike w:val="false"/>
          <w:dstrike w:val="false"/>
          <w:color w:val="000000"/>
          <w:sz w:val="17"/>
          <w:u w:val="none"/>
          <w:effect w:val="none"/>
        </w:rPr>
        <w:t>$354.7 million</w:t>
      </w:r>
      <w:r>
        <w:rPr>
          <w:sz w:val="17"/>
        </w:rPr>
        <w:t xml:space="preserve"> </w:t>
      </w:r>
      <w:r>
        <w:rPr>
          <w:rFonts w:ascii="inherit" w:hAnsi="inherit"/>
          <w:sz w:val="17"/>
        </w:rPr>
        <w:t>(</w:t>
      </w:r>
      <w:r>
        <w:rPr>
          <w:rFonts w:ascii="inherit" w:hAnsi="inherit"/>
          <w:strike w:val="false"/>
          <w:dstrike w:val="false"/>
          <w:color w:val="000000"/>
          <w:sz w:val="17"/>
          <w:u w:val="none"/>
          <w:effect w:val="none"/>
        </w:rPr>
        <w:t>42%</w:t>
      </w:r>
      <w:r>
        <w:rPr>
          <w:sz w:val="17"/>
        </w:rPr>
        <w:t xml:space="preserve"> </w:t>
      </w:r>
      <w:r>
        <w:rPr>
          <w:rFonts w:ascii="inherit" w:hAnsi="inherit"/>
          <w:sz w:val="17"/>
        </w:rPr>
        <w:t xml:space="preserve">of revenues) in fiscal 2013 from </w:t>
      </w:r>
      <w:r>
        <w:rPr>
          <w:rFonts w:ascii="inherit" w:hAnsi="inherit"/>
          <w:strike w:val="false"/>
          <w:dstrike w:val="false"/>
          <w:color w:val="000000"/>
          <w:sz w:val="17"/>
          <w:u w:val="none"/>
          <w:effect w:val="none"/>
        </w:rPr>
        <w:t>$305.0 million</w:t>
      </w:r>
      <w:r>
        <w:rPr>
          <w:sz w:val="17"/>
        </w:rPr>
        <w:t xml:space="preserve"> </w:t>
      </w:r>
      <w:r>
        <w:rPr>
          <w:rFonts w:ascii="inherit" w:hAnsi="inherit"/>
          <w:sz w:val="17"/>
        </w:rPr>
        <w:t>(</w:t>
      </w:r>
      <w:r>
        <w:rPr>
          <w:rFonts w:ascii="inherit" w:hAnsi="inherit"/>
          <w:strike w:val="false"/>
          <w:dstrike w:val="false"/>
          <w:color w:val="000000"/>
          <w:sz w:val="17"/>
          <w:u w:val="none"/>
          <w:effect w:val="none"/>
        </w:rPr>
        <w:t>35%</w:t>
      </w:r>
      <w:r>
        <w:rPr>
          <w:sz w:val="17"/>
        </w:rPr>
        <w:t xml:space="preserve"> </w:t>
      </w:r>
      <w:r>
        <w:rPr>
          <w:rFonts w:ascii="inherit" w:hAnsi="inherit"/>
          <w:sz w:val="17"/>
        </w:rPr>
        <w:t xml:space="preserve">of revenues) in the prior year. Operations expense increased </w:t>
      </w:r>
      <w:r>
        <w:rPr>
          <w:rFonts w:ascii="inherit" w:hAnsi="inherit"/>
          <w:strike w:val="false"/>
          <w:dstrike w:val="false"/>
          <w:color w:val="000000"/>
          <w:sz w:val="17"/>
          <w:u w:val="none"/>
          <w:effect w:val="none"/>
        </w:rPr>
        <w:t>15%</w:t>
      </w:r>
      <w:r>
        <w:rPr>
          <w:rFonts w:ascii="inherit" w:hAnsi="inherit"/>
          <w:sz w:val="17"/>
        </w:rPr>
        <w:t xml:space="preserve">, or </w:t>
      </w:r>
      <w:r>
        <w:rPr>
          <w:rFonts w:ascii="inherit" w:hAnsi="inherit"/>
          <w:strike w:val="false"/>
          <w:dstrike w:val="false"/>
          <w:color w:val="000000"/>
          <w:sz w:val="17"/>
          <w:u w:val="none"/>
          <w:effect w:val="none"/>
        </w:rPr>
        <w:t>$44.1 million</w:t>
      </w:r>
      <w:r>
        <w:rPr>
          <w:rFonts w:ascii="inherit" w:hAnsi="inherit"/>
          <w:sz w:val="17"/>
        </w:rPr>
        <w:t xml:space="preserve">, due to higher operating costs at new and acquired stores, increased labor, benefits and additional investments made in infrastructure to support our growth. Depreciation and amortization increased </w:t>
      </w:r>
      <w:r>
        <w:rPr>
          <w:rFonts w:ascii="inherit" w:hAnsi="inherit"/>
          <w:strike w:val="false"/>
          <w:dstrike w:val="false"/>
          <w:color w:val="000000"/>
          <w:sz w:val="17"/>
          <w:u w:val="none"/>
          <w:effect w:val="none"/>
        </w:rPr>
        <w:t>32%</w:t>
      </w:r>
      <w:r>
        <w:rPr>
          <w:rFonts w:ascii="inherit" w:hAnsi="inherit"/>
          <w:sz w:val="17"/>
        </w:rPr>
        <w:t xml:space="preserve">, or </w:t>
      </w:r>
      <w:r>
        <w:rPr>
          <w:rFonts w:ascii="inherit" w:hAnsi="inherit"/>
          <w:strike w:val="false"/>
          <w:dstrike w:val="false"/>
          <w:color w:val="000000"/>
          <w:sz w:val="17"/>
          <w:u w:val="none"/>
          <w:effect w:val="none"/>
        </w:rPr>
        <w:t>$4.4 million</w:t>
      </w:r>
      <w:r>
        <w:rPr>
          <w:rFonts w:ascii="inherit" w:hAnsi="inherit"/>
          <w:sz w:val="17"/>
        </w:rPr>
        <w:t xml:space="preserve">, from the prior year to </w:t>
      </w:r>
      <w:r>
        <w:rPr>
          <w:rFonts w:ascii="inherit" w:hAnsi="inherit"/>
          <w:strike w:val="false"/>
          <w:dstrike w:val="false"/>
          <w:color w:val="000000"/>
          <w:sz w:val="17"/>
          <w:u w:val="none"/>
          <w:effect w:val="none"/>
        </w:rPr>
        <w:t>$18.0 million</w:t>
      </w:r>
      <w:r>
        <w:rPr>
          <w:rFonts w:ascii="inherit" w:hAnsi="inherit"/>
          <w:sz w:val="17"/>
        </w:rPr>
        <w:t xml:space="preserve">, mainly due to assets placed in service at new and acquired stores. </w:t>
      </w:r>
    </w:p>
    <w:p>
      <w:pPr>
        <w:pStyle w:val="TextBody"/>
        <w:spacing w:lineRule="auto" w:line="288" w:before="0" w:after="0"/>
        <w:jc w:val="left"/>
        <w:rPr>
          <w:sz w:val="17"/>
        </w:rPr>
      </w:pPr>
      <w:r>
        <w:rPr>
          <w:rFonts w:ascii="inherit" w:hAnsi="inherit"/>
          <w:sz w:val="17"/>
        </w:rPr>
        <w:t xml:space="preserve">In fiscal </w:t>
      </w:r>
      <w:r>
        <w:rPr>
          <w:rFonts w:ascii="inherit" w:hAnsi="inherit"/>
          <w:strike w:val="false"/>
          <w:dstrike w:val="false"/>
          <w:color w:val="000000"/>
          <w:sz w:val="17"/>
          <w:u w:val="none"/>
          <w:effect w:val="none"/>
        </w:rPr>
        <w:t>2013</w:t>
      </w:r>
      <w:r>
        <w:rPr>
          <w:rFonts w:ascii="inherit" w:hAnsi="inherit"/>
          <w:sz w:val="17"/>
        </w:rPr>
        <w:t xml:space="preserve">, U.S. &amp; Canada delivered segment contribution of </w:t>
      </w:r>
      <w:r>
        <w:rPr>
          <w:rFonts w:ascii="inherit" w:hAnsi="inherit"/>
          <w:strike w:val="false"/>
          <w:dstrike w:val="false"/>
          <w:color w:val="000000"/>
          <w:sz w:val="17"/>
          <w:u w:val="none"/>
          <w:effect w:val="none"/>
        </w:rPr>
        <w:t>$165.7 million</w:t>
      </w:r>
      <w:r>
        <w:rPr>
          <w:rFonts w:ascii="inherit" w:hAnsi="inherit"/>
          <w:sz w:val="17"/>
        </w:rPr>
        <w:t xml:space="preserve">, a </w:t>
      </w:r>
      <w:r>
        <w:rPr>
          <w:rFonts w:ascii="inherit" w:hAnsi="inherit"/>
          <w:strike w:val="false"/>
          <w:dstrike w:val="false"/>
          <w:color w:val="000000"/>
          <w:sz w:val="17"/>
          <w:u w:val="none"/>
          <w:effect w:val="none"/>
        </w:rPr>
        <w:t>$64.7 million</w:t>
      </w:r>
      <w:r>
        <w:rPr>
          <w:rFonts w:ascii="inherit" w:hAnsi="inherit"/>
          <w:sz w:val="17"/>
        </w:rPr>
        <w:t xml:space="preserve">, or 28% decrease compared to prior year. For fiscal 2013, the U.S. &amp; Canada segment's contribution represents 106% of consolidated segment contribution compared to 82% in the prior year. The U.S &amp; Canada segment has experienced significant challenges related to jewelry merchandise sales and gold scrap sales; however, other elements of the business have continued to show strength, offsetting to a large extent the challenges in the gold and jewelry market.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39</w:t>
      </w:r>
      <w:r>
        <w:br w:type="page"/>
      </w:r>
    </w:p>
    <w:p>
      <w:pPr>
        <w:pStyle w:val="TextBody"/>
        <w:spacing w:lineRule="auto" w:line="288" w:before="0" w:after="0"/>
        <w:rPr/>
      </w:pPr>
      <w:hyperlink w:anchor="sA13583D437E20DC41B4583E2BD74AA47">
        <w:bookmarkStart w:id="35" w:name="s21d0865c083f44c7a320ba7e7e5107c3"/>
        <w:bookmarkEnd w:id="35"/>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Latin America</w:t>
      </w:r>
    </w:p>
    <w:p>
      <w:pPr>
        <w:pStyle w:val="TextBody"/>
        <w:spacing w:lineRule="auto" w:line="288" w:before="0" w:after="0"/>
        <w:jc w:val="left"/>
        <w:rPr>
          <w:rFonts w:ascii="inherit" w:hAnsi="inherit"/>
          <w:sz w:val="17"/>
        </w:rPr>
      </w:pPr>
      <w:r>
        <w:rPr>
          <w:rFonts w:ascii="inherit" w:hAnsi="inherit"/>
          <w:sz w:val="17"/>
        </w:rPr>
        <w:t>The following table presents selected financial data from continuing operations for the Latin America segment after translation to U.S. dollars from its functional currency of the Mexican peso:</w:t>
      </w:r>
    </w:p>
    <w:tbl>
      <w:tblPr>
        <w:tblW w:w="10205" w:type="dxa"/>
        <w:jc w:val="left"/>
        <w:tblInd w:w="0" w:type="dxa"/>
        <w:tblCellMar>
          <w:top w:w="0" w:type="dxa"/>
          <w:left w:w="0" w:type="dxa"/>
          <w:bottom w:w="0" w:type="dxa"/>
          <w:right w:w="0" w:type="dxa"/>
        </w:tblCellMar>
      </w:tblPr>
      <w:tblGrid>
        <w:gridCol w:w="6245"/>
        <w:gridCol w:w="182"/>
        <w:gridCol w:w="1154"/>
        <w:gridCol w:w="306"/>
        <w:gridCol w:w="150"/>
        <w:gridCol w:w="182"/>
        <w:gridCol w:w="1222"/>
        <w:gridCol w:w="764"/>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245"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45" w:type="dxa"/>
            <w:tcBorders/>
            <w:shd w:fill="auto" w:val="clear"/>
            <w:vAlign w:val="center"/>
          </w:tcPr>
          <w:p>
            <w:pPr>
              <w:pStyle w:val="TableContents"/>
              <w:spacing w:before="0" w:after="0"/>
              <w:ind w:left="0" w:right="0" w:firstLine="30"/>
              <w:jc w:val="left"/>
              <w:rPr/>
            </w:pPr>
            <w:r>
              <w:rPr/>
              <w:t> </w:t>
            </w:r>
          </w:p>
        </w:tc>
        <w:tc>
          <w:tcPr>
            <w:tcW w:w="3960"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245" w:type="dxa"/>
            <w:tcBorders/>
            <w:shd w:fill="auto" w:val="clear"/>
            <w:vAlign w:val="center"/>
          </w:tcPr>
          <w:p>
            <w:pPr>
              <w:pStyle w:val="TableContents"/>
              <w:spacing w:before="0" w:after="0"/>
              <w:ind w:left="0" w:right="0" w:firstLine="30"/>
              <w:jc w:val="left"/>
              <w:rPr/>
            </w:pPr>
            <w:r>
              <w:rPr/>
              <w:t> </w:t>
            </w:r>
          </w:p>
        </w:tc>
        <w:tc>
          <w:tcPr>
            <w:tcW w:w="164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0" w:type="dxa"/>
            <w:tcBorders/>
            <w:shd w:fill="auto" w:val="clear"/>
            <w:vAlign w:val="center"/>
          </w:tcPr>
          <w:p>
            <w:pPr>
              <w:pStyle w:val="TableContents"/>
              <w:spacing w:before="0" w:after="0"/>
              <w:ind w:left="0" w:right="0" w:firstLine="30"/>
              <w:rPr/>
            </w:pPr>
            <w:r>
              <w:rPr/>
              <w:t> </w:t>
            </w:r>
          </w:p>
        </w:tc>
        <w:tc>
          <w:tcPr>
            <w:tcW w:w="216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245" w:type="dxa"/>
            <w:tcBorders/>
            <w:shd w:fill="auto" w:val="clear"/>
            <w:vAlign w:val="center"/>
          </w:tcPr>
          <w:p>
            <w:pPr>
              <w:pStyle w:val="TableContents"/>
              <w:spacing w:before="0" w:after="0"/>
              <w:ind w:left="0" w:right="0" w:firstLine="30"/>
              <w:jc w:val="left"/>
              <w:rPr/>
            </w:pPr>
            <w:r>
              <w:rPr/>
              <w:t> </w:t>
            </w:r>
          </w:p>
        </w:tc>
        <w:tc>
          <w:tcPr>
            <w:tcW w:w="396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(dollars in thousands)</w:t>
            </w:r>
          </w:p>
        </w:tc>
      </w:tr>
      <w:tr>
        <w:trPr/>
        <w:tc>
          <w:tcPr>
            <w:tcW w:w="6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642"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2168" w:type="dxa"/>
            <w:gridSpan w:val="3"/>
            <w:tcBorders/>
            <w:shd w:fill="CCEEFF" w:val="clear"/>
            <w:vAlign w:val="center"/>
          </w:tcPr>
          <w:p>
            <w:pPr>
              <w:pStyle w:val="TableContents"/>
              <w:spacing w:before="0" w:after="0"/>
              <w:ind w:left="0" w:right="0" w:firstLine="180"/>
              <w:rPr/>
            </w:pPr>
            <w:r>
              <w:rPr/>
              <w:t> </w:t>
            </w:r>
          </w:p>
        </w:tc>
      </w:tr>
      <w:tr>
        <w:trPr/>
        <w:tc>
          <w:tcPr>
            <w:tcW w:w="6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54" w:type="dxa"/>
            <w:tcBorders/>
            <w:shd w:fill="auto" w:val="clear"/>
            <w:vAlign w:val="center"/>
          </w:tcPr>
          <w:p>
            <w:pPr>
              <w:pStyle w:val="TableContents"/>
              <w:spacing w:before="0" w:after="0"/>
              <w:jc w:val="right"/>
              <w:rPr>
                <w:rFonts w:ascii="inherit" w:hAnsi="inherit"/>
                <w:sz w:val="17"/>
              </w:rPr>
            </w:pPr>
            <w:r>
              <w:rPr>
                <w:rFonts w:ascii="inherit" w:hAnsi="inherit"/>
                <w:sz w:val="17"/>
              </w:rPr>
              <w:t>58,245</w:t>
            </w:r>
          </w:p>
        </w:tc>
        <w:tc>
          <w:tcPr>
            <w:tcW w:w="3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22" w:type="dxa"/>
            <w:tcBorders/>
            <w:shd w:fill="auto" w:val="clear"/>
            <w:vAlign w:val="center"/>
          </w:tcPr>
          <w:p>
            <w:pPr>
              <w:pStyle w:val="TableContents"/>
              <w:spacing w:before="0" w:after="0"/>
              <w:jc w:val="right"/>
              <w:rPr>
                <w:rFonts w:ascii="inherit" w:hAnsi="inherit"/>
                <w:sz w:val="17"/>
              </w:rPr>
            </w:pPr>
            <w:r>
              <w:rPr>
                <w:rFonts w:ascii="inherit" w:hAnsi="inherit"/>
                <w:sz w:val="17"/>
              </w:rPr>
              <w:t>41,567</w:t>
            </w:r>
          </w:p>
        </w:tc>
        <w:tc>
          <w:tcPr>
            <w:tcW w:w="76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3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8,540</w:t>
            </w:r>
          </w:p>
        </w:tc>
        <w:tc>
          <w:tcPr>
            <w:tcW w:w="3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10,576</w:t>
            </w:r>
          </w:p>
        </w:tc>
        <w:tc>
          <w:tcPr>
            <w:tcW w:w="76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3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29,579</w:t>
            </w:r>
          </w:p>
        </w:tc>
        <w:tc>
          <w:tcPr>
            <w:tcW w:w="3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22,937</w:t>
            </w:r>
          </w:p>
        </w:tc>
        <w:tc>
          <w:tcPr>
            <w:tcW w:w="76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and interest</w:t>
            </w:r>
          </w:p>
        </w:tc>
        <w:tc>
          <w:tcPr>
            <w:tcW w:w="13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50,461</w:t>
            </w:r>
          </w:p>
        </w:tc>
        <w:tc>
          <w:tcPr>
            <w:tcW w:w="3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26,901</w:t>
            </w:r>
          </w:p>
        </w:tc>
        <w:tc>
          <w:tcPr>
            <w:tcW w:w="76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33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3,197</w:t>
            </w:r>
          </w:p>
        </w:tc>
        <w:tc>
          <w:tcPr>
            <w:tcW w:w="30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1,292</w:t>
            </w:r>
          </w:p>
        </w:tc>
        <w:tc>
          <w:tcPr>
            <w:tcW w:w="764"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3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150,022</w:t>
            </w:r>
          </w:p>
        </w:tc>
        <w:tc>
          <w:tcPr>
            <w:tcW w:w="3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103,273</w:t>
            </w:r>
          </w:p>
        </w:tc>
        <w:tc>
          <w:tcPr>
            <w:tcW w:w="764" w:type="dxa"/>
            <w:tcBorders>
              <w:top w:val="single" w:sz="2" w:space="0" w:color="000000"/>
            </w:tcBorders>
            <w:shd w:fill="CCEEFF" w:val="clear"/>
            <w:tcMar>
              <w:top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3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35,470</w:t>
            </w:r>
          </w:p>
        </w:tc>
        <w:tc>
          <w:tcPr>
            <w:tcW w:w="3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22,504</w:t>
            </w:r>
          </w:p>
        </w:tc>
        <w:tc>
          <w:tcPr>
            <w:tcW w:w="76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3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7,496</w:t>
            </w:r>
          </w:p>
        </w:tc>
        <w:tc>
          <w:tcPr>
            <w:tcW w:w="3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8,111</w:t>
            </w:r>
          </w:p>
        </w:tc>
        <w:tc>
          <w:tcPr>
            <w:tcW w:w="76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(benefit) expense</w:t>
            </w:r>
          </w:p>
        </w:tc>
        <w:tc>
          <w:tcPr>
            <w:tcW w:w="133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(113</w:t>
            </w:r>
          </w:p>
        </w:tc>
        <w:tc>
          <w:tcPr>
            <w:tcW w:w="30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40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309</w:t>
            </w:r>
          </w:p>
        </w:tc>
        <w:tc>
          <w:tcPr>
            <w:tcW w:w="764"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3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107,169</w:t>
            </w:r>
          </w:p>
        </w:tc>
        <w:tc>
          <w:tcPr>
            <w:tcW w:w="3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72,349</w:t>
            </w:r>
          </w:p>
        </w:tc>
        <w:tc>
          <w:tcPr>
            <w:tcW w:w="76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 (income):</w:t>
            </w:r>
          </w:p>
        </w:tc>
        <w:tc>
          <w:tcPr>
            <w:tcW w:w="1642" w:type="dxa"/>
            <w:gridSpan w:val="3"/>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2168" w:type="dxa"/>
            <w:gridSpan w:val="3"/>
            <w:tcBorders/>
            <w:shd w:fill="auto" w:val="clear"/>
            <w:vAlign w:val="center"/>
          </w:tcPr>
          <w:p>
            <w:pPr>
              <w:pStyle w:val="TableContents"/>
              <w:spacing w:before="0" w:after="0"/>
              <w:ind w:left="0" w:right="0" w:firstLine="180"/>
              <w:rPr/>
            </w:pPr>
            <w:r>
              <w:rPr/>
              <w:t> </w:t>
            </w:r>
          </w:p>
        </w:tc>
      </w:tr>
      <w:tr>
        <w:trPr/>
        <w:tc>
          <w:tcPr>
            <w:tcW w:w="6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3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62,496</w:t>
            </w:r>
          </w:p>
        </w:tc>
        <w:tc>
          <w:tcPr>
            <w:tcW w:w="3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37,259</w:t>
            </w:r>
          </w:p>
        </w:tc>
        <w:tc>
          <w:tcPr>
            <w:tcW w:w="76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3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5,222</w:t>
            </w:r>
          </w:p>
        </w:tc>
        <w:tc>
          <w:tcPr>
            <w:tcW w:w="3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3,319</w:t>
            </w:r>
          </w:p>
        </w:tc>
        <w:tc>
          <w:tcPr>
            <w:tcW w:w="76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3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1,711</w:t>
            </w:r>
          </w:p>
        </w:tc>
        <w:tc>
          <w:tcPr>
            <w:tcW w:w="3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1,370</w:t>
            </w:r>
          </w:p>
        </w:tc>
        <w:tc>
          <w:tcPr>
            <w:tcW w:w="76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3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w:t>
            </w:r>
          </w:p>
        </w:tc>
        <w:tc>
          <w:tcPr>
            <w:tcW w:w="3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76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(income), net</w:t>
            </w:r>
          </w:p>
        </w:tc>
        <w:tc>
          <w:tcPr>
            <w:tcW w:w="13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11,279</w:t>
            </w:r>
          </w:p>
        </w:tc>
        <w:tc>
          <w:tcPr>
            <w:tcW w:w="3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(4,507</w:t>
            </w:r>
          </w:p>
        </w:tc>
        <w:tc>
          <w:tcPr>
            <w:tcW w:w="76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6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33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(218</w:t>
            </w:r>
          </w:p>
        </w:tc>
        <w:tc>
          <w:tcPr>
            <w:tcW w:w="30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40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764" w:type="dxa"/>
            <w:tcBorders>
              <w:bottom w:val="single" w:sz="2" w:space="0" w:color="000000"/>
            </w:tcBorders>
            <w:shd w:fill="auto" w:val="clear"/>
            <w:tcMar>
              <w:bottom w:w="30" w:type="dxa"/>
            </w:tcM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6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26,662</w:t>
            </w:r>
          </w:p>
        </w:tc>
        <w:tc>
          <w:tcPr>
            <w:tcW w:w="30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8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34,901</w:t>
            </w:r>
          </w:p>
        </w:tc>
        <w:tc>
          <w:tcPr>
            <w:tcW w:w="76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642" w:type="dxa"/>
            <w:gridSpan w:val="3"/>
            <w:tcBorders/>
            <w:shd w:fill="auto" w:val="clear"/>
            <w:vAlign w:val="center"/>
          </w:tcPr>
          <w:p>
            <w:pPr>
              <w:pStyle w:val="TableContents"/>
              <w:spacing w:before="0" w:after="0"/>
              <w:ind w:left="0" w:right="0" w:firstLine="30"/>
              <w:jc w:val="left"/>
              <w:rPr/>
            </w:pPr>
            <w:r>
              <w:rPr/>
              <w:t> </w:t>
            </w:r>
          </w:p>
        </w:tc>
        <w:tc>
          <w:tcPr>
            <w:tcW w:w="150" w:type="dxa"/>
            <w:tcBorders/>
            <w:shd w:fill="auto" w:val="clear"/>
            <w:vAlign w:val="center"/>
          </w:tcPr>
          <w:p>
            <w:pPr>
              <w:pStyle w:val="TableContents"/>
              <w:spacing w:before="0" w:after="0"/>
              <w:ind w:left="0" w:right="0" w:firstLine="30"/>
              <w:rPr/>
            </w:pPr>
            <w:r>
              <w:rPr/>
              <w:t> </w:t>
            </w:r>
          </w:p>
        </w:tc>
        <w:tc>
          <w:tcPr>
            <w:tcW w:w="2168" w:type="dxa"/>
            <w:gridSpan w:val="3"/>
            <w:tcBorders/>
            <w:shd w:fill="auto" w:val="clear"/>
            <w:vAlign w:val="center"/>
          </w:tcPr>
          <w:p>
            <w:pPr>
              <w:pStyle w:val="TableContents"/>
              <w:spacing w:before="0" w:after="0"/>
              <w:ind w:left="0" w:right="0" w:firstLine="300"/>
              <w:jc w:val="left"/>
              <w:rPr/>
            </w:pPr>
            <w:r>
              <w:rPr/>
              <w:t> </w:t>
            </w:r>
          </w:p>
        </w:tc>
      </w:tr>
      <w:tr>
        <w:trPr/>
        <w:tc>
          <w:tcPr>
            <w:tcW w:w="6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3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39.1</w:t>
            </w:r>
          </w:p>
        </w:tc>
        <w:tc>
          <w:tcPr>
            <w:tcW w:w="306"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45.9</w:t>
            </w:r>
          </w:p>
        </w:tc>
        <w:tc>
          <w:tcPr>
            <w:tcW w:w="7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3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w:t>
            </w:r>
          </w:p>
        </w:tc>
        <w:tc>
          <w:tcPr>
            <w:tcW w:w="306"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4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23.3</w:t>
            </w:r>
          </w:p>
        </w:tc>
        <w:tc>
          <w:tcPr>
            <w:tcW w:w="7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3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35.7</w:t>
            </w:r>
          </w:p>
        </w:tc>
        <w:tc>
          <w:tcPr>
            <w:tcW w:w="306"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41.3</w:t>
            </w:r>
          </w:p>
        </w:tc>
        <w:tc>
          <w:tcPr>
            <w:tcW w:w="7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54" w:type="dxa"/>
            <w:tcBorders/>
            <w:shd w:fill="auto" w:val="clear"/>
            <w:vAlign w:val="center"/>
          </w:tcPr>
          <w:p>
            <w:pPr>
              <w:pStyle w:val="TableContents"/>
              <w:spacing w:before="0" w:after="0"/>
              <w:jc w:val="right"/>
              <w:rPr>
                <w:rFonts w:ascii="inherit" w:hAnsi="inherit"/>
                <w:sz w:val="17"/>
              </w:rPr>
            </w:pPr>
            <w:r>
              <w:rPr>
                <w:rFonts w:ascii="inherit" w:hAnsi="inherit"/>
                <w:sz w:val="17"/>
              </w:rPr>
              <w:t>57</w:t>
            </w:r>
          </w:p>
        </w:tc>
        <w:tc>
          <w:tcPr>
            <w:tcW w:w="3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22" w:type="dxa"/>
            <w:tcBorders/>
            <w:shd w:fill="auto" w:val="clear"/>
            <w:vAlign w:val="center"/>
          </w:tcPr>
          <w:p>
            <w:pPr>
              <w:pStyle w:val="TableContents"/>
              <w:spacing w:before="0" w:after="0"/>
              <w:jc w:val="right"/>
              <w:rPr>
                <w:rFonts w:ascii="inherit" w:hAnsi="inherit"/>
                <w:sz w:val="17"/>
              </w:rPr>
            </w:pPr>
            <w:r>
              <w:rPr>
                <w:rFonts w:ascii="inherit" w:hAnsi="inherit"/>
                <w:sz w:val="17"/>
              </w:rPr>
              <w:t>81</w:t>
            </w:r>
          </w:p>
        </w:tc>
        <w:tc>
          <w:tcPr>
            <w:tcW w:w="7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3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w:t>
            </w:r>
          </w:p>
        </w:tc>
        <w:tc>
          <w:tcPr>
            <w:tcW w:w="306"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198</w:t>
            </w:r>
          </w:p>
        </w:tc>
        <w:tc>
          <w:tcPr>
            <w:tcW w:w="7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3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w:t>
            </w:r>
          </w:p>
        </w:tc>
        <w:tc>
          <w:tcPr>
            <w:tcW w:w="306"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4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w:t>
            </w:r>
          </w:p>
        </w:tc>
        <w:tc>
          <w:tcPr>
            <w:tcW w:w="7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24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expense as a percentage of consumer loan fees and interest</w:t>
            </w:r>
          </w:p>
        </w:tc>
        <w:tc>
          <w:tcPr>
            <w:tcW w:w="133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06" w:type="dxa"/>
            <w:tcBorders>
              <w:bottom w:val="single" w:sz="2"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15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40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764"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369"/>
        <w:gridCol w:w="9836"/>
      </w:tblGrid>
      <w:tr>
        <w:trPr/>
        <w:tc>
          <w:tcPr>
            <w:tcW w:w="369" w:type="dxa"/>
            <w:tcBorders/>
            <w:shd w:fill="auto" w:val="clear"/>
            <w:vAlign w:val="center"/>
          </w:tcPr>
          <w:p>
            <w:pPr>
              <w:pStyle w:val="TableContents"/>
              <w:spacing w:before="0" w:after="283"/>
              <w:rPr>
                <w:sz w:val="4"/>
                <w:szCs w:val="4"/>
              </w:rPr>
            </w:pPr>
            <w:r>
              <w:rPr>
                <w:sz w:val="4"/>
                <w:szCs w:val="4"/>
              </w:rPr>
            </w:r>
          </w:p>
        </w:tc>
        <w:tc>
          <w:tcPr>
            <w:tcW w:w="9836" w:type="dxa"/>
            <w:tcBorders/>
            <w:shd w:fill="auto" w:val="clear"/>
            <w:vAlign w:val="center"/>
          </w:tcPr>
          <w:p>
            <w:pPr>
              <w:pStyle w:val="TableContents"/>
              <w:spacing w:before="0" w:after="283"/>
              <w:rPr>
                <w:sz w:val="4"/>
                <w:szCs w:val="4"/>
              </w:rPr>
            </w:pPr>
            <w:r>
              <w:rPr>
                <w:sz w:val="4"/>
                <w:szCs w:val="4"/>
              </w:rPr>
            </w:r>
          </w:p>
        </w:tc>
      </w:tr>
      <w:tr>
        <w:trPr/>
        <w:tc>
          <w:tcPr>
            <w:tcW w:w="369" w:type="dxa"/>
            <w:tcBorders/>
            <w:shd w:fill="auto" w:val="clear"/>
            <w:vAlign w:val="center"/>
          </w:tcPr>
          <w:p>
            <w:pPr>
              <w:pStyle w:val="TableContents"/>
              <w:spacing w:lineRule="auto" w:line="288" w:before="0" w:after="0"/>
              <w:ind w:left="0" w:right="0" w:firstLine="135"/>
              <w:rPr>
                <w:rFonts w:ascii="inherit" w:hAnsi="inherit"/>
                <w:sz w:val="15"/>
              </w:rPr>
            </w:pPr>
            <w:r>
              <w:rPr>
                <w:rFonts w:ascii="inherit" w:hAnsi="inherit"/>
                <w:sz w:val="15"/>
              </w:rPr>
              <w:t>(a)</w:t>
            </w:r>
          </w:p>
        </w:tc>
        <w:tc>
          <w:tcPr>
            <w:tcW w:w="9836" w:type="dxa"/>
            <w:tcBorders/>
            <w:shd w:fill="auto" w:val="clear"/>
            <w:vAlign w:val="center"/>
          </w:tcPr>
          <w:p>
            <w:pPr>
              <w:pStyle w:val="TableContents"/>
              <w:spacing w:lineRule="auto" w:line="288" w:before="0" w:after="0"/>
              <w:rPr>
                <w:rFonts w:ascii="inherit" w:hAnsi="inherit"/>
                <w:sz w:val="15"/>
              </w:rPr>
            </w:pPr>
            <w:r>
              <w:rPr>
                <w:rFonts w:ascii="inherit" w:hAnsi="inherit"/>
                <w:sz w:val="15"/>
              </w:rPr>
              <w:t>Average yield on pawn loan portfolio is calculated as pawn service charge revenues for the period divided by the average pawn loan balance during the period.</w:t>
            </w:r>
          </w:p>
        </w:tc>
      </w:tr>
    </w:tbl>
    <w:p>
      <w:pPr>
        <w:pStyle w:val="TextBody"/>
        <w:spacing w:lineRule="auto" w:line="288" w:before="0" w:after="0"/>
        <w:jc w:val="left"/>
        <w:rPr>
          <w:sz w:val="17"/>
        </w:rPr>
      </w:pPr>
      <w:r>
        <w:rPr>
          <w:rFonts w:ascii="inherit" w:hAnsi="inherit"/>
          <w:sz w:val="17"/>
        </w:rPr>
        <w:t xml:space="preserve">The average exchange rate used to translate Latin America's results from Mexican pesos to U.S. dollars was 12.7 to 1, 5% lower than the prior year's rate of 13.3 to 1. In fiscal </w:t>
      </w:r>
      <w:r>
        <w:rPr>
          <w:rFonts w:ascii="inherit" w:hAnsi="inherit"/>
          <w:strike w:val="false"/>
          <w:dstrike w:val="false"/>
          <w:color w:val="000000"/>
          <w:sz w:val="17"/>
          <w:u w:val="none"/>
          <w:effect w:val="none"/>
        </w:rPr>
        <w:t>2013</w:t>
      </w:r>
      <w:r>
        <w:rPr>
          <w:rFonts w:ascii="inherit" w:hAnsi="inherit"/>
          <w:sz w:val="17"/>
        </w:rPr>
        <w:t xml:space="preserve">, we opened </w:t>
      </w:r>
      <w:r>
        <w:rPr>
          <w:rFonts w:ascii="inherit" w:hAnsi="inherit"/>
          <w:strike w:val="false"/>
          <w:dstrike w:val="false"/>
          <w:color w:val="000000"/>
          <w:sz w:val="17"/>
          <w:u w:val="none"/>
          <w:effect w:val="none"/>
        </w:rPr>
        <w:t>73</w:t>
      </w:r>
      <w:r>
        <w:rPr>
          <w:sz w:val="17"/>
        </w:rPr>
        <w:t xml:space="preserve"> </w:t>
      </w:r>
      <w:r>
        <w:rPr>
          <w:rFonts w:ascii="inherit" w:hAnsi="inherit"/>
          <w:sz w:val="17"/>
        </w:rPr>
        <w:t xml:space="preserve">de novo stores, and on November 1, 2012, we acquired a 51% interest in Renueva Comercial S.A. de C.V., a company headquartered in Mexico City and doing business under the name "TUYO." TUYO owns and operates 19 buy/sell stores in Mexico City and the surrounding metropolitan area. At </w:t>
      </w:r>
      <w:r>
        <w:rPr>
          <w:rFonts w:ascii="inherit" w:hAnsi="inherit"/>
          <w:strike w:val="false"/>
          <w:dstrike w:val="false"/>
          <w:color w:val="000000"/>
          <w:sz w:val="17"/>
          <w:u w:val="none"/>
          <w:effect w:val="none"/>
        </w:rPr>
        <w:t>September 30, 2013</w:t>
      </w:r>
      <w:r>
        <w:rPr>
          <w:rFonts w:ascii="inherit" w:hAnsi="inherit"/>
          <w:sz w:val="17"/>
        </w:rPr>
        <w:t xml:space="preserve">, the Latin America segment consisted of </w:t>
      </w:r>
      <w:r>
        <w:rPr>
          <w:rFonts w:ascii="inherit" w:hAnsi="inherit"/>
          <w:strike w:val="false"/>
          <w:dstrike w:val="false"/>
          <w:color w:val="000000"/>
          <w:sz w:val="17"/>
          <w:u w:val="none"/>
          <w:effect w:val="none"/>
        </w:rPr>
        <w:t>312</w:t>
      </w:r>
      <w:r>
        <w:rPr>
          <w:sz w:val="17"/>
        </w:rPr>
        <w:t xml:space="preserve"> </w:t>
      </w:r>
      <w:r>
        <w:rPr>
          <w:rFonts w:ascii="inherit" w:hAnsi="inherit"/>
          <w:sz w:val="17"/>
        </w:rPr>
        <w:t xml:space="preserve">stores operating under the brands Crediamigo, Adex, Empeño Fácil, and TUYO. </w:t>
      </w:r>
    </w:p>
    <w:p>
      <w:pPr>
        <w:pStyle w:val="TextBody"/>
        <w:spacing w:lineRule="auto" w:line="288" w:before="0" w:after="0"/>
        <w:jc w:val="left"/>
        <w:rPr>
          <w:sz w:val="17"/>
        </w:rPr>
      </w:pPr>
      <w:r>
        <w:rPr>
          <w:rFonts w:ascii="inherit" w:hAnsi="inherit"/>
          <w:sz w:val="17"/>
        </w:rPr>
        <w:t xml:space="preserve">The Latin America segment's total revenues increased </w:t>
      </w:r>
      <w:r>
        <w:rPr>
          <w:rFonts w:ascii="inherit" w:hAnsi="inherit"/>
          <w:strike w:val="false"/>
          <w:dstrike w:val="false"/>
          <w:color w:val="000000"/>
          <w:sz w:val="17"/>
          <w:u w:val="none"/>
          <w:effect w:val="none"/>
        </w:rPr>
        <w:t>$46.7 million</w:t>
      </w:r>
      <w:r>
        <w:rPr>
          <w:rFonts w:ascii="inherit" w:hAnsi="inherit"/>
          <w:sz w:val="17"/>
        </w:rPr>
        <w:t xml:space="preserve">, or </w:t>
      </w:r>
      <w:r>
        <w:rPr>
          <w:rFonts w:ascii="inherit" w:hAnsi="inherit"/>
          <w:strike w:val="false"/>
          <w:dstrike w:val="false"/>
          <w:color w:val="000000"/>
          <w:sz w:val="17"/>
          <w:u w:val="none"/>
          <w:effect w:val="none"/>
        </w:rPr>
        <w:t>45%</w:t>
      </w:r>
      <w:r>
        <w:rPr>
          <w:rFonts w:ascii="inherit" w:hAnsi="inherit"/>
          <w:sz w:val="17"/>
        </w:rPr>
        <w:t xml:space="preserve">, in fiscal </w:t>
      </w:r>
      <w:r>
        <w:rPr>
          <w:rFonts w:ascii="inherit" w:hAnsi="inherit"/>
          <w:strike w:val="false"/>
          <w:dstrike w:val="false"/>
          <w:color w:val="000000"/>
          <w:sz w:val="17"/>
          <w:u w:val="none"/>
          <w:effect w:val="none"/>
        </w:rPr>
        <w:t>2013</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$150.0 million</w:t>
      </w:r>
      <w:r>
        <w:rPr>
          <w:rFonts w:ascii="inherit" w:hAnsi="inherit"/>
          <w:sz w:val="17"/>
        </w:rPr>
        <w:t xml:space="preserve">. Same store total revenues increased $11.0 million, or 11%, and new and acquired stores contributed $35.7 million. The overall increase in total revenues was due to the </w:t>
      </w:r>
      <w:r>
        <w:rPr>
          <w:rFonts w:ascii="inherit" w:hAnsi="inherit"/>
          <w:strike w:val="false"/>
          <w:dstrike w:val="false"/>
          <w:color w:val="000000"/>
          <w:sz w:val="17"/>
          <w:u w:val="none"/>
          <w:effect w:val="none"/>
        </w:rPr>
        <w:t>$23.6 million</w:t>
      </w:r>
      <w:r>
        <w:rPr>
          <w:sz w:val="17"/>
        </w:rPr>
        <w:t xml:space="preserve"> </w:t>
      </w:r>
      <w:r>
        <w:rPr>
          <w:rFonts w:ascii="inherit" w:hAnsi="inherit"/>
          <w:sz w:val="17"/>
        </w:rPr>
        <w:t xml:space="preserve">increase in Grupo Finmart consumer loan fees, </w:t>
      </w:r>
      <w:r>
        <w:rPr>
          <w:rFonts w:ascii="inherit" w:hAnsi="inherit"/>
          <w:strike w:val="false"/>
          <w:dstrike w:val="false"/>
          <w:color w:val="000000"/>
          <w:sz w:val="17"/>
          <w:u w:val="none"/>
          <w:effect w:val="none"/>
        </w:rPr>
        <w:t>$16.7 million</w:t>
      </w:r>
      <w:r>
        <w:rPr>
          <w:sz w:val="17"/>
        </w:rPr>
        <w:t xml:space="preserve"> </w:t>
      </w:r>
      <w:r>
        <w:rPr>
          <w:rFonts w:ascii="inherit" w:hAnsi="inherit"/>
          <w:sz w:val="17"/>
        </w:rPr>
        <w:t xml:space="preserve">increase in merchandise sales, a </w:t>
      </w:r>
      <w:r>
        <w:rPr>
          <w:rFonts w:ascii="inherit" w:hAnsi="inherit"/>
          <w:strike w:val="false"/>
          <w:dstrike w:val="false"/>
          <w:color w:val="000000"/>
          <w:sz w:val="17"/>
          <w:u w:val="none"/>
          <w:effect w:val="none"/>
        </w:rPr>
        <w:t>$6.6 million</w:t>
      </w:r>
      <w:r>
        <w:rPr>
          <w:sz w:val="17"/>
        </w:rPr>
        <w:t xml:space="preserve"> </w:t>
      </w:r>
      <w:r>
        <w:rPr>
          <w:rFonts w:ascii="inherit" w:hAnsi="inherit"/>
          <w:sz w:val="17"/>
        </w:rPr>
        <w:t xml:space="preserve">increase in pawn service charges and a </w:t>
      </w:r>
      <w:r>
        <w:rPr>
          <w:rFonts w:ascii="inherit" w:hAnsi="inherit"/>
          <w:strike w:val="false"/>
          <w:dstrike w:val="false"/>
          <w:color w:val="000000"/>
          <w:sz w:val="17"/>
          <w:u w:val="none"/>
          <w:effect w:val="none"/>
        </w:rPr>
        <w:t>$1.9 million</w:t>
      </w:r>
      <w:r>
        <w:rPr>
          <w:sz w:val="17"/>
        </w:rPr>
        <w:t xml:space="preserve"> </w:t>
      </w:r>
      <w:r>
        <w:rPr>
          <w:rFonts w:ascii="inherit" w:hAnsi="inherit"/>
          <w:sz w:val="17"/>
        </w:rPr>
        <w:t>increase in other revenues, partially offset by a $2.0 million</w:t>
      </w:r>
      <w:r>
        <w:rPr>
          <w:sz w:val="17"/>
        </w:rPr>
        <w:t xml:space="preserve"> </w:t>
      </w:r>
      <w:r>
        <w:rPr>
          <w:rFonts w:ascii="inherit" w:hAnsi="inherit"/>
          <w:sz w:val="17"/>
        </w:rPr>
        <w:t xml:space="preserve">decrease in jewelry scrapping sales.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40</w:t>
      </w:r>
      <w:r>
        <w:br w:type="page"/>
      </w:r>
    </w:p>
    <w:p>
      <w:pPr>
        <w:pStyle w:val="TextBody"/>
        <w:spacing w:lineRule="auto" w:line="288" w:before="0" w:after="0"/>
        <w:rPr/>
      </w:pPr>
      <w:hyperlink w:anchor="sA13583D437E20DC41B4583E2BD74AA47">
        <w:bookmarkStart w:id="36" w:name="s21d0865c083f44c7a320ba7e7e5107c31"/>
        <w:bookmarkEnd w:id="36"/>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The Latin America segment's pawn service charge revenues increased $6.6 million, or 29%, in fiscal </w:t>
      </w:r>
      <w:r>
        <w:rPr>
          <w:rFonts w:ascii="inherit" w:hAnsi="inherit"/>
          <w:strike w:val="false"/>
          <w:dstrike w:val="false"/>
          <w:color w:val="000000"/>
          <w:sz w:val="17"/>
          <w:u w:val="none"/>
          <w:effect w:val="none"/>
        </w:rPr>
        <w:t>2013</w:t>
      </w:r>
      <w:r>
        <w:rPr>
          <w:sz w:val="17"/>
        </w:rPr>
        <w:t xml:space="preserve"> </w:t>
      </w:r>
      <w:r>
        <w:rPr>
          <w:rFonts w:ascii="inherit" w:hAnsi="inherit"/>
          <w:sz w:val="17"/>
        </w:rPr>
        <w:t xml:space="preserve">to $29.6 million. Same store pawn service charges increased $2.3 million, or 10%, and new and acquired stores contributed $4.3 million. The total increase was due to a 12% increase in the average pawn loan balance during the period, partially offset by a 7.0 percentage point decrease in the pawn yield. The yield decrease was primarily due to a slight decrease in the loan redemption rate and a shift in the loan balance to general merchandise. </w:t>
      </w:r>
    </w:p>
    <w:p>
      <w:pPr>
        <w:pStyle w:val="TextBody"/>
        <w:spacing w:lineRule="auto" w:line="288" w:before="0" w:after="0"/>
        <w:jc w:val="left"/>
        <w:rPr>
          <w:sz w:val="17"/>
        </w:rPr>
      </w:pPr>
      <w:r>
        <w:rPr>
          <w:rFonts w:ascii="inherit" w:hAnsi="inherit"/>
          <w:sz w:val="17"/>
        </w:rPr>
        <w:t>Merchandise sales gross profit increased $3.7 million, or 19%, from the prior year to $22.8 million. The increase was due to a $4.0 million, or 10%, same store sales increase and a $12.6 million increase in sales from new and acquired stores, partially offset by a 6.8</w:t>
      </w:r>
      <w:r>
        <w:rPr>
          <w:sz w:val="17"/>
        </w:rPr>
        <w:t xml:space="preserve"> </w:t>
      </w:r>
      <w:r>
        <w:rPr>
          <w:rFonts w:ascii="inherit" w:hAnsi="inherit"/>
          <w:sz w:val="17"/>
        </w:rPr>
        <w:t xml:space="preserve">percentage point decrease in gross margins to 39.1%. The decrease in margins was due to a decrease in jewelry sales. </w:t>
      </w:r>
    </w:p>
    <w:p>
      <w:pPr>
        <w:pStyle w:val="TextBody"/>
        <w:spacing w:lineRule="auto" w:line="288" w:before="0" w:after="0"/>
        <w:jc w:val="left"/>
        <w:rPr>
          <w:sz w:val="17"/>
        </w:rPr>
      </w:pPr>
      <w:r>
        <w:rPr>
          <w:rFonts w:ascii="inherit" w:hAnsi="inherit"/>
          <w:sz w:val="17"/>
        </w:rPr>
        <w:t xml:space="preserve">Gross profit on jewelry scrapping sales decreased $1.4 million, or 58%, from the prior year to $1.0 million. Jewelry scrapping revenues decreased $2.0 million, or 19%, in fiscal </w:t>
      </w:r>
      <w:r>
        <w:rPr>
          <w:rFonts w:ascii="inherit" w:hAnsi="inherit"/>
          <w:strike w:val="false"/>
          <w:dstrike w:val="false"/>
          <w:color w:val="000000"/>
          <w:sz w:val="17"/>
          <w:u w:val="none"/>
          <w:effect w:val="none"/>
        </w:rPr>
        <w:t>2013</w:t>
      </w:r>
      <w:r>
        <w:rPr>
          <w:rFonts w:ascii="inherit" w:hAnsi="inherit"/>
          <w:sz w:val="17"/>
        </w:rPr>
        <w:t xml:space="preserve">, to $8.5 million. The decrease was due to an 11% decrease in proceeds realized per gram of gold jewelry scrapped coupled with a 13% decrease in gold volume processed. Same store jewelry scrapping sales decreased $3.7 million, or 35%, and new and acquired stores contributed $1.7 million. Scrap cost of goods decreased $0.6 million, or 8%, due to the decrease in volume. </w:t>
      </w:r>
    </w:p>
    <w:p>
      <w:pPr>
        <w:pStyle w:val="TextBody"/>
        <w:spacing w:lineRule="auto" w:line="288" w:before="0" w:after="0"/>
        <w:jc w:val="left"/>
        <w:rPr>
          <w:rFonts w:ascii="inherit" w:hAnsi="inherit"/>
          <w:sz w:val="17"/>
        </w:rPr>
      </w:pPr>
      <w:r>
        <w:rPr>
          <w:rFonts w:ascii="inherit" w:hAnsi="inherit"/>
          <w:sz w:val="17"/>
        </w:rPr>
        <w:t xml:space="preserve">Consumer loan fees and interest increased $23.6 million, or 88%, to $50.5 million. The increase is due to a full year inclusion of Grupo Finmart as opposed to eight months in fiscal 2012, coupled with a 46% increase in the average loan balance during the period. The increase in the loan balance is due higher penetration on existing contracts with government entities, coupled with the addition of new contracts in fiscal 2013. </w:t>
      </w:r>
    </w:p>
    <w:p>
      <w:pPr>
        <w:pStyle w:val="TextBody"/>
        <w:spacing w:lineRule="auto" w:line="288" w:before="0" w:after="0"/>
        <w:jc w:val="left"/>
        <w:rPr>
          <w:sz w:val="17"/>
        </w:rPr>
      </w:pPr>
      <w:r>
        <w:rPr>
          <w:rFonts w:ascii="inherit" w:hAnsi="inherit"/>
          <w:sz w:val="17"/>
        </w:rPr>
        <w:t>Total segment expenses increased to $80.5 million</w:t>
      </w:r>
      <w:r>
        <w:rPr>
          <w:sz w:val="17"/>
        </w:rPr>
        <w:t xml:space="preserve"> </w:t>
      </w:r>
      <w:r>
        <w:rPr>
          <w:rFonts w:ascii="inherit" w:hAnsi="inherit"/>
          <w:sz w:val="17"/>
        </w:rPr>
        <w:t>(54%</w:t>
      </w:r>
      <w:r>
        <w:rPr>
          <w:sz w:val="17"/>
        </w:rPr>
        <w:t xml:space="preserve"> </w:t>
      </w:r>
      <w:r>
        <w:rPr>
          <w:rFonts w:ascii="inherit" w:hAnsi="inherit"/>
          <w:sz w:val="17"/>
        </w:rPr>
        <w:t>of revenues) in fiscal 2013</w:t>
      </w:r>
      <w:r>
        <w:rPr>
          <w:sz w:val="17"/>
        </w:rPr>
        <w:t xml:space="preserve"> </w:t>
      </w:r>
      <w:r>
        <w:rPr>
          <w:rFonts w:ascii="inherit" w:hAnsi="inherit"/>
          <w:sz w:val="17"/>
        </w:rPr>
        <w:t>from $37.4 million</w:t>
      </w:r>
      <w:r>
        <w:rPr>
          <w:sz w:val="17"/>
        </w:rPr>
        <w:t xml:space="preserve"> </w:t>
      </w:r>
      <w:r>
        <w:rPr>
          <w:rFonts w:ascii="inherit" w:hAnsi="inherit"/>
          <w:sz w:val="17"/>
        </w:rPr>
        <w:t>(36%</w:t>
      </w:r>
      <w:r>
        <w:rPr>
          <w:sz w:val="17"/>
        </w:rPr>
        <w:t xml:space="preserve"> </w:t>
      </w:r>
      <w:r>
        <w:rPr>
          <w:rFonts w:ascii="inherit" w:hAnsi="inherit"/>
          <w:sz w:val="17"/>
        </w:rPr>
        <w:t>of revenues) in the prior year. The increase was due to a 68%, or $25.2 million, increase in operations expenses due to higher operating costs resulting from the addition of 66 Empeño Fácil stores since the prior period, the acquisition of TUYO and the full year inclusion of Grupo Finmart's administrative expenses. Depreciation and amortization increased $2.2 million</w:t>
      </w:r>
      <w:r>
        <w:rPr>
          <w:sz w:val="17"/>
        </w:rPr>
        <w:t xml:space="preserve"> </w:t>
      </w:r>
      <w:r>
        <w:rPr>
          <w:rFonts w:ascii="inherit" w:hAnsi="inherit"/>
          <w:sz w:val="17"/>
        </w:rPr>
        <w:t>from the prior year to $6.9 million, mainly due to depreciation of assets placed in service at new stores and amortization of acquisition related intangible assets. The $15.8 million</w:t>
      </w:r>
      <w:r>
        <w:rPr>
          <w:sz w:val="17"/>
        </w:rPr>
        <w:t xml:space="preserve"> </w:t>
      </w:r>
      <w:r>
        <w:rPr>
          <w:rFonts w:ascii="inherit" w:hAnsi="inherit"/>
          <w:sz w:val="17"/>
        </w:rPr>
        <w:t xml:space="preserve">increase in interest expense was due to a prior year </w:t>
      </w:r>
      <w:r>
        <w:rPr>
          <w:rFonts w:ascii="inherit" w:hAnsi="inherit"/>
          <w:strike w:val="false"/>
          <w:dstrike w:val="false"/>
          <w:color w:val="000000"/>
          <w:sz w:val="17"/>
          <w:u w:val="none"/>
          <w:effect w:val="none"/>
        </w:rPr>
        <w:t>$4.5 million</w:t>
      </w:r>
      <w:r>
        <w:rPr>
          <w:sz w:val="17"/>
        </w:rPr>
        <w:t xml:space="preserve"> </w:t>
      </w:r>
      <w:r>
        <w:rPr>
          <w:rFonts w:ascii="inherit" w:hAnsi="inherit"/>
          <w:sz w:val="17"/>
        </w:rPr>
        <w:t>reduction to interest expense due to the accelerated amortization of debt premium associated with Grupo Finmart's refinanced debt. The weighted average rate on Grupo Finmart's third party debt remained flat at 11% on outstanding debt of $105.5 million</w:t>
      </w:r>
      <w:r>
        <w:rPr>
          <w:sz w:val="17"/>
        </w:rPr>
        <w:t xml:space="preserve"> </w:t>
      </w:r>
      <w:r>
        <w:rPr>
          <w:rFonts w:ascii="inherit" w:hAnsi="inherit"/>
          <w:sz w:val="17"/>
        </w:rPr>
        <w:t xml:space="preserve">at September 30, 2013. </w:t>
      </w:r>
    </w:p>
    <w:p>
      <w:pPr>
        <w:pStyle w:val="TextBody"/>
        <w:spacing w:lineRule="auto" w:line="288" w:before="0" w:after="0"/>
        <w:jc w:val="left"/>
        <w:rPr>
          <w:rFonts w:ascii="inherit" w:hAnsi="inherit"/>
          <w:sz w:val="17"/>
        </w:rPr>
      </w:pPr>
      <w:r>
        <w:rPr>
          <w:rFonts w:ascii="inherit" w:hAnsi="inherit"/>
          <w:sz w:val="17"/>
        </w:rPr>
        <w:t xml:space="preserve">In fiscal 2012, purchase accounting pre-tax income impact during the year totaled $9.3 million, of which $5.6 million was attributable to EZCORP, Inc. with the majority of the adjustment coming from the accelerated amortization of debt premium associated with the refinanced debt at Grupo Finmart.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In fiscal </w:t>
      </w:r>
      <w:r>
        <w:rPr>
          <w:rFonts w:ascii="inherit" w:hAnsi="inherit"/>
          <w:strike w:val="false"/>
          <w:dstrike w:val="false"/>
          <w:color w:val="000000"/>
          <w:sz w:val="17"/>
          <w:u w:val="none"/>
          <w:effect w:val="none"/>
        </w:rPr>
        <w:t>2013</w:t>
      </w:r>
      <w:r>
        <w:rPr>
          <w:rFonts w:ascii="inherit" w:hAnsi="inherit"/>
          <w:sz w:val="17"/>
        </w:rPr>
        <w:t>, the $34.8 million</w:t>
      </w:r>
      <w:r>
        <w:rPr>
          <w:sz w:val="17"/>
        </w:rPr>
        <w:t xml:space="preserve"> </w:t>
      </w:r>
      <w:r>
        <w:rPr>
          <w:rFonts w:ascii="inherit" w:hAnsi="inherit"/>
          <w:sz w:val="17"/>
        </w:rPr>
        <w:t>greater net revenues were offset by the $43.1 million</w:t>
      </w:r>
      <w:r>
        <w:rPr>
          <w:sz w:val="17"/>
        </w:rPr>
        <w:t xml:space="preserve"> </w:t>
      </w:r>
      <w:r>
        <w:rPr>
          <w:rFonts w:ascii="inherit" w:hAnsi="inherit"/>
          <w:sz w:val="17"/>
        </w:rPr>
        <w:t>in segment expenses, resulting in an $8.2 million</w:t>
      </w:r>
      <w:r>
        <w:rPr>
          <w:sz w:val="17"/>
        </w:rPr>
        <w:t xml:space="preserve"> </w:t>
      </w:r>
      <w:r>
        <w:rPr>
          <w:rFonts w:ascii="inherit" w:hAnsi="inherit"/>
          <w:sz w:val="17"/>
        </w:rPr>
        <w:t xml:space="preserve">decrease in contribution for the Latin America segment. Excluding the $9.3 million of purchase accounting pre-tax income in fiscal 2012, segment contribution increased $1.1 million, or 4%. For fiscal </w:t>
      </w:r>
      <w:r>
        <w:rPr>
          <w:rFonts w:ascii="inherit" w:hAnsi="inherit"/>
          <w:strike w:val="false"/>
          <w:dstrike w:val="false"/>
          <w:color w:val="000000"/>
          <w:sz w:val="17"/>
          <w:u w:val="none"/>
          <w:effect w:val="none"/>
        </w:rPr>
        <w:t>2013</w:t>
      </w:r>
      <w:r>
        <w:rPr>
          <w:rFonts w:ascii="inherit" w:hAnsi="inherit"/>
          <w:sz w:val="17"/>
        </w:rPr>
        <w:t>, Latin America's segment contribution represents 17%</w:t>
      </w:r>
      <w:r>
        <w:rPr>
          <w:sz w:val="17"/>
        </w:rPr>
        <w:t xml:space="preserve"> </w:t>
      </w:r>
      <w:r>
        <w:rPr>
          <w:rFonts w:ascii="inherit" w:hAnsi="inherit"/>
          <w:sz w:val="17"/>
        </w:rPr>
        <w:t>of consolidated segment contribution compared to 12%</w:t>
      </w:r>
      <w:r>
        <w:rPr>
          <w:sz w:val="17"/>
        </w:rPr>
        <w:t xml:space="preserve"> </w:t>
      </w:r>
      <w:r>
        <w:rPr>
          <w:rFonts w:ascii="inherit" w:hAnsi="inherit"/>
          <w:sz w:val="17"/>
        </w:rPr>
        <w:t xml:space="preserve">in the prior fiscal year.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41</w:t>
      </w:r>
      <w:r>
        <w:br w:type="page"/>
      </w:r>
    </w:p>
    <w:p>
      <w:pPr>
        <w:pStyle w:val="TextBody"/>
        <w:spacing w:lineRule="auto" w:line="288" w:before="0" w:after="0"/>
        <w:rPr/>
      </w:pPr>
      <w:hyperlink w:anchor="sA13583D437E20DC41B4583E2BD74AA47">
        <w:bookmarkStart w:id="37" w:name="s5edde2df0c374fbaadc4b18a9f9075f4"/>
        <w:bookmarkEnd w:id="3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 xml:space="preserve">Other International </w:t>
      </w:r>
    </w:p>
    <w:p>
      <w:pPr>
        <w:pStyle w:val="TextBody"/>
        <w:spacing w:lineRule="auto" w:line="288" w:before="0" w:after="0"/>
        <w:jc w:val="left"/>
        <w:rPr>
          <w:rFonts w:ascii="inherit" w:hAnsi="inherit"/>
          <w:sz w:val="17"/>
        </w:rPr>
      </w:pPr>
      <w:r>
        <w:rPr>
          <w:rFonts w:ascii="inherit" w:hAnsi="inherit"/>
          <w:sz w:val="17"/>
        </w:rPr>
        <w:t>The following table presents selected financial data from continuing operations for the Other International segment:</w:t>
      </w:r>
    </w:p>
    <w:tbl>
      <w:tblPr>
        <w:tblW w:w="10205" w:type="dxa"/>
        <w:jc w:val="left"/>
        <w:tblInd w:w="0" w:type="dxa"/>
        <w:tblCellMar>
          <w:top w:w="0" w:type="dxa"/>
          <w:left w:w="0" w:type="dxa"/>
          <w:bottom w:w="0" w:type="dxa"/>
          <w:right w:w="0" w:type="dxa"/>
        </w:tblCellMar>
      </w:tblPr>
      <w:tblGrid>
        <w:gridCol w:w="5952"/>
        <w:gridCol w:w="181"/>
        <w:gridCol w:w="1394"/>
        <w:gridCol w:w="249"/>
        <w:gridCol w:w="148"/>
        <w:gridCol w:w="181"/>
        <w:gridCol w:w="1339"/>
        <w:gridCol w:w="761"/>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95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52" w:type="dxa"/>
            <w:tcBorders/>
            <w:shd w:fill="auto" w:val="clear"/>
            <w:vAlign w:val="center"/>
          </w:tcPr>
          <w:p>
            <w:pPr>
              <w:pStyle w:val="TableContents"/>
              <w:spacing w:before="0" w:after="0"/>
              <w:ind w:left="0" w:right="0" w:firstLine="30"/>
              <w:jc w:val="left"/>
              <w:rPr/>
            </w:pPr>
            <w:r>
              <w:rPr/>
              <w:t> </w:t>
            </w:r>
          </w:p>
        </w:tc>
        <w:tc>
          <w:tcPr>
            <w:tcW w:w="425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952" w:type="dxa"/>
            <w:tcBorders/>
            <w:shd w:fill="auto" w:val="clear"/>
            <w:vAlign w:val="center"/>
          </w:tcPr>
          <w:p>
            <w:pPr>
              <w:pStyle w:val="TableContents"/>
              <w:spacing w:before="0" w:after="0"/>
              <w:ind w:left="0" w:right="0" w:firstLine="30"/>
              <w:jc w:val="left"/>
              <w:rPr/>
            </w:pPr>
            <w:r>
              <w:rPr/>
              <w:t> </w:t>
            </w:r>
          </w:p>
        </w:tc>
        <w:tc>
          <w:tcPr>
            <w:tcW w:w="182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8" w:type="dxa"/>
            <w:tcBorders/>
            <w:shd w:fill="auto" w:val="clear"/>
            <w:vAlign w:val="center"/>
          </w:tcPr>
          <w:p>
            <w:pPr>
              <w:pStyle w:val="TableContents"/>
              <w:spacing w:before="0" w:after="0"/>
              <w:ind w:left="0" w:right="0" w:firstLine="30"/>
              <w:rPr/>
            </w:pPr>
            <w:r>
              <w:rPr/>
              <w:t> </w:t>
            </w:r>
          </w:p>
        </w:tc>
        <w:tc>
          <w:tcPr>
            <w:tcW w:w="228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952" w:type="dxa"/>
            <w:tcBorders/>
            <w:shd w:fill="auto" w:val="clear"/>
            <w:vAlign w:val="center"/>
          </w:tcPr>
          <w:p>
            <w:pPr>
              <w:pStyle w:val="TableContents"/>
              <w:spacing w:before="0" w:after="0"/>
              <w:ind w:left="0" w:right="0" w:firstLine="30"/>
              <w:jc w:val="left"/>
              <w:rPr/>
            </w:pPr>
            <w:r>
              <w:rPr/>
              <w:t> </w:t>
            </w:r>
          </w:p>
        </w:tc>
        <w:tc>
          <w:tcPr>
            <w:tcW w:w="4253"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(dollars in thousands)</w:t>
            </w:r>
          </w:p>
        </w:tc>
      </w:tr>
      <w:tr>
        <w:trPr/>
        <w:tc>
          <w:tcPr>
            <w:tcW w:w="59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824" w:type="dxa"/>
            <w:gridSpan w:val="3"/>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ind w:left="0" w:right="0" w:firstLine="30"/>
              <w:rPr/>
            </w:pPr>
            <w:r>
              <w:rPr/>
              <w:t> </w:t>
            </w:r>
          </w:p>
        </w:tc>
        <w:tc>
          <w:tcPr>
            <w:tcW w:w="2281" w:type="dxa"/>
            <w:gridSpan w:val="3"/>
            <w:tcBorders/>
            <w:shd w:fill="CCEEFF" w:val="clear"/>
            <w:vAlign w:val="center"/>
          </w:tcPr>
          <w:p>
            <w:pPr>
              <w:pStyle w:val="TableContents"/>
              <w:spacing w:before="0" w:after="0"/>
              <w:ind w:left="0" w:right="0" w:firstLine="180"/>
              <w:rPr/>
            </w:pPr>
            <w:r>
              <w:rPr/>
              <w:t> </w:t>
            </w:r>
          </w:p>
        </w:tc>
      </w:tr>
      <w:tr>
        <w:trPr/>
        <w:tc>
          <w:tcPr>
            <w:tcW w:w="59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and interest</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94" w:type="dxa"/>
            <w:tcBorders/>
            <w:shd w:fill="auto" w:val="clear"/>
            <w:vAlign w:val="center"/>
          </w:tcPr>
          <w:p>
            <w:pPr>
              <w:pStyle w:val="TableContents"/>
              <w:spacing w:before="0" w:after="0"/>
              <w:jc w:val="right"/>
              <w:rPr>
                <w:rFonts w:ascii="inherit" w:hAnsi="inherit"/>
                <w:sz w:val="17"/>
              </w:rPr>
            </w:pPr>
            <w:r>
              <w:rPr>
                <w:rFonts w:ascii="inherit" w:hAnsi="inherit"/>
                <w:sz w:val="17"/>
              </w:rPr>
              <w:t>23,117</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39" w:type="dxa"/>
            <w:tcBorders/>
            <w:shd w:fill="auto" w:val="clear"/>
            <w:vAlign w:val="center"/>
          </w:tcPr>
          <w:p>
            <w:pPr>
              <w:pStyle w:val="TableContents"/>
              <w:spacing w:before="0" w:after="0"/>
              <w:jc w:val="right"/>
              <w:rPr>
                <w:rFonts w:ascii="inherit" w:hAnsi="inherit"/>
                <w:sz w:val="17"/>
              </w:rPr>
            </w:pPr>
            <w:r>
              <w:rPr>
                <w:rFonts w:ascii="inherit" w:hAnsi="inherit"/>
                <w:sz w:val="17"/>
              </w:rPr>
              <w:t>9,884</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5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1,871</w:t>
            </w:r>
          </w:p>
        </w:tc>
        <w:tc>
          <w:tcPr>
            <w:tcW w:w="2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5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308</w:t>
            </w:r>
          </w:p>
        </w:tc>
        <w:tc>
          <w:tcPr>
            <w:tcW w:w="761"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9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5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24,988</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52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10,192</w:t>
            </w:r>
          </w:p>
        </w:tc>
        <w:tc>
          <w:tcPr>
            <w:tcW w:w="761" w:type="dxa"/>
            <w:tcBorders>
              <w:top w:val="single" w:sz="2" w:space="0" w:color="000000"/>
            </w:tcBorders>
            <w:shd w:fill="auto" w:val="clear"/>
            <w:tcMar>
              <w:top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5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11,891</w:t>
            </w:r>
          </w:p>
        </w:tc>
        <w:tc>
          <w:tcPr>
            <w:tcW w:w="2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5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3,663</w:t>
            </w:r>
          </w:p>
        </w:tc>
        <w:tc>
          <w:tcPr>
            <w:tcW w:w="761"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9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5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13,097</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5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6,529</w:t>
            </w:r>
          </w:p>
        </w:tc>
        <w:tc>
          <w:tcPr>
            <w:tcW w:w="7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 (income):</w:t>
            </w:r>
          </w:p>
        </w:tc>
        <w:tc>
          <w:tcPr>
            <w:tcW w:w="1824" w:type="dxa"/>
            <w:gridSpan w:val="3"/>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ind w:left="0" w:right="0" w:firstLine="30"/>
              <w:rPr/>
            </w:pPr>
            <w:r>
              <w:rPr/>
              <w:t> </w:t>
            </w:r>
          </w:p>
        </w:tc>
        <w:tc>
          <w:tcPr>
            <w:tcW w:w="2281" w:type="dxa"/>
            <w:gridSpan w:val="3"/>
            <w:tcBorders/>
            <w:shd w:fill="CCEEFF" w:val="clear"/>
            <w:vAlign w:val="center"/>
          </w:tcPr>
          <w:p>
            <w:pPr>
              <w:pStyle w:val="TableContents"/>
              <w:spacing w:before="0" w:after="0"/>
              <w:ind w:left="0" w:right="0" w:firstLine="180"/>
              <w:rPr/>
            </w:pPr>
            <w:r>
              <w:rPr/>
              <w:t> </w:t>
            </w:r>
          </w:p>
        </w:tc>
      </w:tr>
      <w:tr>
        <w:trPr/>
        <w:tc>
          <w:tcPr>
            <w:tcW w:w="59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5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15,308</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5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6,718</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5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364</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5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177</w:t>
            </w:r>
          </w:p>
        </w:tc>
        <w:tc>
          <w:tcPr>
            <w:tcW w:w="76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5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5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575" w:type="dxa"/>
            <w:gridSpan w:val="2"/>
            <w:tcBorders/>
            <w:shd w:fill="CCEEFF" w:val="clear"/>
            <w:vAlign w:val="center"/>
          </w:tcPr>
          <w:p>
            <w:pPr>
              <w:pStyle w:val="TableContents"/>
              <w:spacing w:before="0" w:after="0"/>
              <w:jc w:val="right"/>
              <w:rPr/>
            </w:pPr>
            <w:r>
              <w:rPr/>
              <w:t>—</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5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76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net</w:t>
            </w:r>
          </w:p>
        </w:tc>
        <w:tc>
          <w:tcPr>
            <w:tcW w:w="15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auto" w:val="clear"/>
            <w:vAlign w:val="center"/>
          </w:tcPr>
          <w:p>
            <w:pPr>
              <w:pStyle w:val="TableContents"/>
              <w:spacing w:before="0" w:after="0"/>
              <w:ind w:left="0" w:right="0" w:firstLine="30"/>
              <w:rPr/>
            </w:pPr>
            <w:r>
              <w:rPr/>
              <w:t> </w:t>
            </w:r>
          </w:p>
        </w:tc>
        <w:tc>
          <w:tcPr>
            <w:tcW w:w="15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9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5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(11,878</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CCEEFF" w:val="clear"/>
            <w:vAlign w:val="center"/>
          </w:tcPr>
          <w:p>
            <w:pPr>
              <w:pStyle w:val="TableContents"/>
              <w:spacing w:before="0" w:after="0"/>
              <w:ind w:left="0" w:right="0" w:firstLine="30"/>
              <w:rPr/>
            </w:pPr>
            <w:r>
              <w:rPr/>
              <w:t> </w:t>
            </w:r>
          </w:p>
        </w:tc>
        <w:tc>
          <w:tcPr>
            <w:tcW w:w="15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(17,400</w:t>
            </w:r>
          </w:p>
        </w:tc>
        <w:tc>
          <w:tcPr>
            <w:tcW w:w="76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9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Impairment expense</w:t>
            </w:r>
          </w:p>
        </w:tc>
        <w:tc>
          <w:tcPr>
            <w:tcW w:w="15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44,598</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520" w:type="dxa"/>
            <w:gridSpan w:val="2"/>
            <w:tcBorders/>
            <w:shd w:fill="auto" w:val="clear"/>
            <w:vAlign w:val="center"/>
          </w:tcPr>
          <w:p>
            <w:pPr>
              <w:pStyle w:val="TableContents"/>
              <w:spacing w:before="0" w:after="0"/>
              <w:jc w:val="right"/>
              <w:rPr/>
            </w:pPr>
            <w:r>
              <w:rPr/>
              <w:t>—</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5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153</w:t>
            </w:r>
          </w:p>
        </w:tc>
        <w:tc>
          <w:tcPr>
            <w:tcW w:w="2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5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(559</w:t>
            </w:r>
          </w:p>
        </w:tc>
        <w:tc>
          <w:tcPr>
            <w:tcW w:w="761" w:type="dxa"/>
            <w:tcBorders>
              <w:bottom w:val="single" w:sz="2" w:space="0" w:color="000000"/>
            </w:tcBorders>
            <w:shd w:fill="CCEEFF" w:val="clear"/>
            <w:tcMar>
              <w:bottom w:w="30" w:type="dxa"/>
            </w:tcM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59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(35,544</w:t>
            </w:r>
          </w:p>
        </w:tc>
        <w:tc>
          <w:tcPr>
            <w:tcW w:w="249"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3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17,325</w:t>
            </w:r>
          </w:p>
        </w:tc>
        <w:tc>
          <w:tcPr>
            <w:tcW w:w="761" w:type="dxa"/>
            <w:tcBorders>
              <w:bottom w:val="double" w:sz="6"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824" w:type="dxa"/>
            <w:gridSpan w:val="3"/>
            <w:tcBorders/>
            <w:shd w:fill="CCEEFF" w:val="clear"/>
            <w:vAlign w:val="center"/>
          </w:tcPr>
          <w:p>
            <w:pPr>
              <w:pStyle w:val="TableContents"/>
              <w:spacing w:before="0" w:after="0"/>
              <w:ind w:left="0" w:right="0" w:firstLine="30"/>
              <w:jc w:val="left"/>
              <w:rPr/>
            </w:pPr>
            <w:r>
              <w:rPr/>
              <w:t> </w:t>
            </w:r>
          </w:p>
        </w:tc>
        <w:tc>
          <w:tcPr>
            <w:tcW w:w="148" w:type="dxa"/>
            <w:tcBorders/>
            <w:shd w:fill="CCEEFF" w:val="clear"/>
            <w:vAlign w:val="center"/>
          </w:tcPr>
          <w:p>
            <w:pPr>
              <w:pStyle w:val="TableContents"/>
              <w:spacing w:before="0" w:after="0"/>
              <w:ind w:left="0" w:right="0" w:firstLine="30"/>
              <w:rPr/>
            </w:pPr>
            <w:r>
              <w:rPr/>
              <w:t> </w:t>
            </w:r>
          </w:p>
        </w:tc>
        <w:tc>
          <w:tcPr>
            <w:tcW w:w="2281" w:type="dxa"/>
            <w:gridSpan w:val="3"/>
            <w:tcBorders/>
            <w:shd w:fill="CCEEFF" w:val="clear"/>
            <w:vAlign w:val="center"/>
          </w:tcPr>
          <w:p>
            <w:pPr>
              <w:pStyle w:val="TableContents"/>
              <w:spacing w:before="0" w:after="0"/>
              <w:ind w:left="0" w:right="0" w:firstLine="300"/>
              <w:jc w:val="left"/>
              <w:rPr/>
            </w:pPr>
            <w:r>
              <w:rPr/>
              <w:t> </w:t>
            </w:r>
          </w:p>
        </w:tc>
      </w:tr>
      <w:tr>
        <w:trPr/>
        <w:tc>
          <w:tcPr>
            <w:tcW w:w="59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5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auto" w:val="clear"/>
            <w:vAlign w:val="center"/>
          </w:tcPr>
          <w:p>
            <w:pPr>
              <w:pStyle w:val="TableContents"/>
              <w:spacing w:before="0" w:after="0"/>
              <w:ind w:left="0" w:right="0" w:firstLine="30"/>
              <w:rPr/>
            </w:pPr>
            <w:r>
              <w:rPr/>
              <w:t> </w:t>
            </w:r>
          </w:p>
        </w:tc>
        <w:tc>
          <w:tcPr>
            <w:tcW w:w="15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w:t>
            </w:r>
          </w:p>
        </w:tc>
        <w:tc>
          <w:tcPr>
            <w:tcW w:w="7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rFonts w:ascii="inherit" w:hAnsi="inherit"/>
          <w:sz w:val="17"/>
        </w:rPr>
      </w:pPr>
      <w:r>
        <w:rPr>
          <w:rFonts w:ascii="inherit" w:hAnsi="inherit"/>
          <w:sz w:val="17"/>
        </w:rPr>
        <w:t xml:space="preserve">In fiscal 2013, we acquired the remaining 28% of Cash Genie, our online lending business in the U.K. At September 30, 2013, we owned 100% of the ordinary shares of Cash Genie. </w:t>
      </w:r>
    </w:p>
    <w:p>
      <w:pPr>
        <w:pStyle w:val="TextBody"/>
        <w:spacing w:lineRule="auto" w:line="288" w:before="0" w:after="0"/>
        <w:jc w:val="left"/>
        <w:rPr>
          <w:sz w:val="17"/>
        </w:rPr>
      </w:pPr>
      <w:r>
        <w:rPr>
          <w:rFonts w:ascii="inherit" w:hAnsi="inherit"/>
          <w:sz w:val="17"/>
        </w:rPr>
        <w:t>In fiscal 2013, Cash Genie's consumer loan fees were $23.1 million, with bad debt as a percentage of fees of 51%. The segment's $1.9 million</w:t>
      </w:r>
      <w:r>
        <w:rPr>
          <w:sz w:val="17"/>
        </w:rPr>
        <w:t xml:space="preserve"> </w:t>
      </w:r>
      <w:r>
        <w:rPr>
          <w:rFonts w:ascii="inherit" w:hAnsi="inherit"/>
          <w:sz w:val="17"/>
        </w:rPr>
        <w:t xml:space="preserve">in other revenues represent fees from a consulting agreement with Albemarle &amp; Bond. Under the terms of the agreement we were engaged to assess, identify and implement improvements in their gold and diamond supply chains and labor optimization. </w:t>
      </w:r>
    </w:p>
    <w:p>
      <w:pPr>
        <w:pStyle w:val="TextBody"/>
        <w:spacing w:lineRule="auto" w:line="288" w:before="0" w:after="0"/>
        <w:jc w:val="left"/>
        <w:rPr>
          <w:sz w:val="17"/>
        </w:rPr>
      </w:pPr>
      <w:r>
        <w:rPr>
          <w:rFonts w:ascii="inherit" w:hAnsi="inherit"/>
          <w:sz w:val="17"/>
        </w:rPr>
        <w:t>Operations expense increased $8.6 million</w:t>
      </w:r>
      <w:r>
        <w:rPr>
          <w:sz w:val="17"/>
        </w:rPr>
        <w:t xml:space="preserve"> </w:t>
      </w:r>
      <w:r>
        <w:rPr>
          <w:rFonts w:ascii="inherit" w:hAnsi="inherit"/>
          <w:sz w:val="17"/>
        </w:rPr>
        <w:t xml:space="preserve">to $15.3 million. The increase was due to higher payroll expenses and professional fees associated with a full year ownership of Cash Genie in fiscal 2013. </w:t>
      </w:r>
    </w:p>
    <w:p>
      <w:pPr>
        <w:pStyle w:val="TextBody"/>
        <w:spacing w:lineRule="auto" w:line="288" w:before="0" w:after="0"/>
        <w:jc w:val="left"/>
        <w:rPr>
          <w:rFonts w:ascii="inherit" w:hAnsi="inherit"/>
          <w:sz w:val="17"/>
        </w:rPr>
      </w:pPr>
      <w:r>
        <w:rPr>
          <w:rFonts w:ascii="inherit" w:hAnsi="inherit"/>
          <w:sz w:val="17"/>
        </w:rPr>
        <w:t>Our equity in the net income of unconsolidated affiliates decreased $5.5 million, or 32%, from the prior year to $11.9 million. The decrease is due to a prior period adjustment of Cash Converter's earnings, and a significant decrease in Albemarle &amp; Bond's results.</w:t>
      </w:r>
    </w:p>
    <w:p>
      <w:pPr>
        <w:pStyle w:val="TextBody"/>
        <w:spacing w:lineRule="auto" w:line="288" w:before="0" w:after="0"/>
        <w:jc w:val="left"/>
        <w:rPr>
          <w:sz w:val="17"/>
        </w:rPr>
      </w:pPr>
      <w:r>
        <w:rPr>
          <w:rFonts w:ascii="inherit" w:hAnsi="inherit"/>
          <w:sz w:val="17"/>
        </w:rPr>
        <w:t>In fiscal 2013, we recorded a $44.6 million</w:t>
      </w:r>
      <w:r>
        <w:rPr>
          <w:sz w:val="17"/>
        </w:rPr>
        <w:t xml:space="preserve"> </w:t>
      </w:r>
      <w:r>
        <w:rPr>
          <w:rFonts w:ascii="inherit" w:hAnsi="inherit"/>
          <w:sz w:val="17"/>
        </w:rPr>
        <w:t xml:space="preserve">impairment of investments. This amount comprised our $42.5 million impairment of Albermarle &amp; Bond and a $2.1 million impairment of our investment in available for sale securities. </w:t>
      </w:r>
    </w:p>
    <w:p>
      <w:pPr>
        <w:pStyle w:val="TextBody"/>
        <w:spacing w:lineRule="auto" w:line="288" w:before="0" w:after="0"/>
        <w:jc w:val="left"/>
        <w:rPr>
          <w:sz w:val="17"/>
        </w:rPr>
      </w:pPr>
      <w:r>
        <w:rPr>
          <w:rFonts w:ascii="inherit" w:hAnsi="inherit"/>
          <w:sz w:val="17"/>
        </w:rPr>
        <w:t>In fiscal 2013, the $6.6 million</w:t>
      </w:r>
      <w:r>
        <w:rPr>
          <w:sz w:val="17"/>
        </w:rPr>
        <w:t xml:space="preserve"> </w:t>
      </w:r>
      <w:r>
        <w:rPr>
          <w:rFonts w:ascii="inherit" w:hAnsi="inherit"/>
          <w:sz w:val="17"/>
        </w:rPr>
        <w:t>increase in net revenues was offset by the $59.4 million</w:t>
      </w:r>
      <w:r>
        <w:rPr>
          <w:sz w:val="17"/>
        </w:rPr>
        <w:t xml:space="preserve"> </w:t>
      </w:r>
      <w:r>
        <w:rPr>
          <w:rFonts w:ascii="inherit" w:hAnsi="inherit"/>
          <w:sz w:val="17"/>
        </w:rPr>
        <w:t>increase in segment expenses, resulting in a $52.9 million</w:t>
      </w:r>
      <w:r>
        <w:rPr>
          <w:sz w:val="17"/>
        </w:rPr>
        <w:t xml:space="preserve"> </w:t>
      </w:r>
      <w:r>
        <w:rPr>
          <w:rFonts w:ascii="inherit" w:hAnsi="inherit"/>
          <w:sz w:val="17"/>
        </w:rPr>
        <w:t>decrease in contribution for the Other International segment. Excluding impairment expenses, contribution from the Other International segment decreased $8.3 million</w:t>
      </w:r>
      <w:r>
        <w:rPr>
          <w:sz w:val="17"/>
        </w:rPr>
        <w:t xml:space="preserve"> </w:t>
      </w:r>
      <w:r>
        <w:rPr>
          <w:rFonts w:ascii="inherit" w:hAnsi="inherit"/>
          <w:sz w:val="17"/>
        </w:rPr>
        <w:t xml:space="preserve">to $9.1 million.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42</w:t>
      </w:r>
      <w:r>
        <w:br w:type="page"/>
      </w:r>
    </w:p>
    <w:p>
      <w:pPr>
        <w:pStyle w:val="TextBody"/>
        <w:spacing w:lineRule="auto" w:line="288" w:before="0" w:after="0"/>
        <w:rPr/>
      </w:pPr>
      <w:hyperlink w:anchor="sA13583D437E20DC41B4583E2BD74AA47">
        <w:bookmarkStart w:id="38" w:name="sc6e7050879874a479cb329f128cc09c4"/>
        <w:bookmarkEnd w:id="38"/>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Other Items</w:t>
      </w:r>
    </w:p>
    <w:p>
      <w:pPr>
        <w:pStyle w:val="TextBody"/>
        <w:spacing w:lineRule="auto" w:line="288" w:before="0" w:after="0"/>
        <w:jc w:val="left"/>
        <w:rPr>
          <w:rFonts w:ascii="inherit" w:hAnsi="inherit"/>
          <w:sz w:val="17"/>
        </w:rPr>
      </w:pPr>
      <w:r>
        <w:rPr>
          <w:rFonts w:ascii="inherit" w:hAnsi="inherit"/>
          <w:sz w:val="17"/>
        </w:rPr>
        <w:t>The following table reconciles our consolidated segment contribution discussed above to net income attributable to EZCORP, Inc., including items that affect our consolidated financial results but are not allocated among segments:</w:t>
      </w:r>
    </w:p>
    <w:tbl>
      <w:tblPr>
        <w:tblW w:w="10205" w:type="dxa"/>
        <w:jc w:val="left"/>
        <w:tblInd w:w="0" w:type="dxa"/>
        <w:tblCellMar>
          <w:top w:w="0" w:type="dxa"/>
          <w:left w:w="0" w:type="dxa"/>
          <w:bottom w:w="0" w:type="dxa"/>
          <w:right w:w="0" w:type="dxa"/>
        </w:tblCellMar>
      </w:tblPr>
      <w:tblGrid>
        <w:gridCol w:w="6005"/>
        <w:gridCol w:w="180"/>
        <w:gridCol w:w="1442"/>
        <w:gridCol w:w="166"/>
        <w:gridCol w:w="148"/>
        <w:gridCol w:w="180"/>
        <w:gridCol w:w="1442"/>
        <w:gridCol w:w="642"/>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00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05" w:type="dxa"/>
            <w:tcBorders/>
            <w:shd w:fill="auto" w:val="clear"/>
            <w:vAlign w:val="center"/>
          </w:tcPr>
          <w:p>
            <w:pPr>
              <w:pStyle w:val="TableContents"/>
              <w:spacing w:before="0" w:after="0"/>
              <w:ind w:left="0" w:right="0" w:firstLine="30"/>
              <w:jc w:val="left"/>
              <w:rPr/>
            </w:pPr>
            <w:r>
              <w:rPr/>
              <w:t> </w:t>
            </w:r>
          </w:p>
        </w:tc>
        <w:tc>
          <w:tcPr>
            <w:tcW w:w="420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005" w:type="dxa"/>
            <w:tcBorders/>
            <w:shd w:fill="auto" w:val="clear"/>
            <w:vAlign w:val="center"/>
          </w:tcPr>
          <w:p>
            <w:pPr>
              <w:pStyle w:val="TableContents"/>
              <w:spacing w:before="0" w:after="0"/>
              <w:ind w:left="0" w:right="0" w:firstLine="30"/>
              <w:jc w:val="left"/>
              <w:rPr/>
            </w:pPr>
            <w:r>
              <w:rPr/>
              <w:t> </w:t>
            </w:r>
          </w:p>
        </w:tc>
        <w:tc>
          <w:tcPr>
            <w:tcW w:w="178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8" w:type="dxa"/>
            <w:tcBorders/>
            <w:shd w:fill="auto" w:val="clear"/>
            <w:vAlign w:val="center"/>
          </w:tcPr>
          <w:p>
            <w:pPr>
              <w:pStyle w:val="TableContents"/>
              <w:spacing w:before="0" w:after="0"/>
              <w:ind w:left="0" w:right="0" w:firstLine="30"/>
              <w:rPr/>
            </w:pPr>
            <w:r>
              <w:rPr/>
              <w:t> </w:t>
            </w:r>
          </w:p>
        </w:tc>
        <w:tc>
          <w:tcPr>
            <w:tcW w:w="226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005" w:type="dxa"/>
            <w:tcBorders/>
            <w:shd w:fill="auto" w:val="clear"/>
            <w:vAlign w:val="center"/>
          </w:tcPr>
          <w:p>
            <w:pPr>
              <w:pStyle w:val="TableContents"/>
              <w:spacing w:before="0" w:after="0"/>
              <w:ind w:left="0" w:right="0" w:firstLine="30"/>
              <w:jc w:val="left"/>
              <w:rPr/>
            </w:pPr>
            <w:r>
              <w:rPr/>
              <w:t> </w:t>
            </w:r>
          </w:p>
        </w:tc>
        <w:tc>
          <w:tcPr>
            <w:tcW w:w="420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(dollars in thousands)</w:t>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shd w:fill="CCEEFF" w:val="clear"/>
            <w:vAlign w:val="center"/>
          </w:tcPr>
          <w:p>
            <w:pPr>
              <w:pStyle w:val="TableContents"/>
              <w:spacing w:before="0" w:after="0"/>
              <w:jc w:val="right"/>
              <w:rPr>
                <w:rFonts w:ascii="inherit" w:hAnsi="inherit"/>
                <w:sz w:val="17"/>
              </w:rPr>
            </w:pPr>
            <w:r>
              <w:rPr>
                <w:rFonts w:ascii="inherit" w:hAnsi="inherit"/>
                <w:sz w:val="17"/>
              </w:rPr>
              <w:t>156,856</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shd w:fill="CCEEFF" w:val="clear"/>
            <w:vAlign w:val="center"/>
          </w:tcPr>
          <w:p>
            <w:pPr>
              <w:pStyle w:val="TableContents"/>
              <w:spacing w:before="0" w:after="0"/>
              <w:jc w:val="right"/>
              <w:rPr>
                <w:rFonts w:ascii="inherit" w:hAnsi="inherit"/>
                <w:sz w:val="17"/>
              </w:rPr>
            </w:pPr>
            <w:r>
              <w:rPr>
                <w:rFonts w:ascii="inherit" w:hAnsi="inherit"/>
                <w:sz w:val="17"/>
              </w:rPr>
              <w:t>282,710</w:t>
            </w:r>
          </w:p>
        </w:tc>
        <w:tc>
          <w:tcPr>
            <w:tcW w:w="6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items:</w:t>
            </w:r>
          </w:p>
        </w:tc>
        <w:tc>
          <w:tcPr>
            <w:tcW w:w="1788" w:type="dxa"/>
            <w:gridSpan w:val="3"/>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2264" w:type="dxa"/>
            <w:gridSpan w:val="3"/>
            <w:tcBorders/>
            <w:shd w:fill="auto" w:val="clear"/>
            <w:vAlign w:val="center"/>
          </w:tcPr>
          <w:p>
            <w:pPr>
              <w:pStyle w:val="TableContents"/>
              <w:spacing w:before="0" w:after="0"/>
              <w:ind w:left="0" w:right="0" w:firstLine="180"/>
              <w:rPr/>
            </w:pPr>
            <w:r>
              <w:rPr/>
              <w:t> </w:t>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6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52,474</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47,912</w:t>
            </w:r>
          </w:p>
        </w:tc>
        <w:tc>
          <w:tcPr>
            <w:tcW w:w="64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6,822</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5,457</w:t>
            </w:r>
          </w:p>
        </w:tc>
        <w:tc>
          <w:tcPr>
            <w:tcW w:w="64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6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1,381</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64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 on sale or disposal of assets</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1,133</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64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6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3,873</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2,961</w:t>
            </w:r>
          </w:p>
        </w:tc>
        <w:tc>
          <w:tcPr>
            <w:tcW w:w="64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6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(137</w:t>
            </w:r>
          </w:p>
        </w:tc>
        <w:tc>
          <w:tcPr>
            <w:tcW w:w="16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642"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16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91,310</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226,362</w:t>
            </w:r>
          </w:p>
        </w:tc>
        <w:tc>
          <w:tcPr>
            <w:tcW w:w="64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6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29,575</w:t>
            </w:r>
          </w:p>
        </w:tc>
        <w:tc>
          <w:tcPr>
            <w:tcW w:w="16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71,252</w:t>
            </w:r>
          </w:p>
        </w:tc>
        <w:tc>
          <w:tcPr>
            <w:tcW w:w="64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16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61,735</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155,110</w:t>
            </w:r>
          </w:p>
        </w:tc>
        <w:tc>
          <w:tcPr>
            <w:tcW w:w="6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6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(23,310</w:t>
            </w:r>
          </w:p>
        </w:tc>
        <w:tc>
          <w:tcPr>
            <w:tcW w:w="16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(4,533</w:t>
            </w:r>
          </w:p>
        </w:tc>
        <w:tc>
          <w:tcPr>
            <w:tcW w:w="642" w:type="dxa"/>
            <w:tcBorders>
              <w:bottom w:val="single" w:sz="2" w:space="0" w:color="000000"/>
            </w:tcBorders>
            <w:shd w:fill="auto" w:val="clear"/>
            <w:tcMar>
              <w:bottom w:w="30" w:type="dxa"/>
            </w:tcMar>
            <w:vAlign w:val="center"/>
          </w:tcPr>
          <w:p>
            <w:pPr>
              <w:pStyle w:val="TableContents"/>
              <w:spacing w:before="0" w:after="0"/>
              <w:ind w:left="0" w:right="0" w:firstLine="540"/>
              <w:jc w:val="left"/>
              <w:rPr>
                <w:rFonts w:ascii="inherit" w:hAnsi="inherit"/>
                <w:sz w:val="17"/>
              </w:rPr>
            </w:pPr>
            <w:r>
              <w:rPr>
                <w:rFonts w:ascii="inherit" w:hAnsi="inherit"/>
                <w:sz w:val="17"/>
              </w:rPr>
              <w:t>)</w:t>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62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38,425</w:t>
            </w:r>
          </w:p>
        </w:tc>
        <w:tc>
          <w:tcPr>
            <w:tcW w:w="16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150,577</w:t>
            </w:r>
          </w:p>
        </w:tc>
        <w:tc>
          <w:tcPr>
            <w:tcW w:w="642" w:type="dxa"/>
            <w:tcBorders>
              <w:top w:val="single" w:sz="2" w:space="0" w:color="000000"/>
            </w:tcBorders>
            <w:shd w:fill="CCEEFF" w:val="clear"/>
            <w:tcMar>
              <w:top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redeemable noncontrolling interest</w:t>
            </w:r>
          </w:p>
        </w:tc>
        <w:tc>
          <w:tcPr>
            <w:tcW w:w="16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4,348</w:t>
            </w:r>
          </w:p>
        </w:tc>
        <w:tc>
          <w:tcPr>
            <w:tcW w:w="16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6,869</w:t>
            </w:r>
          </w:p>
        </w:tc>
        <w:tc>
          <w:tcPr>
            <w:tcW w:w="64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Net income attributable to EZCORP, Inc. </w:t>
            </w:r>
          </w:p>
        </w:tc>
        <w:tc>
          <w:tcPr>
            <w:tcW w:w="18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34,077</w:t>
            </w:r>
          </w:p>
        </w:tc>
        <w:tc>
          <w:tcPr>
            <w:tcW w:w="16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8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143,708</w:t>
            </w:r>
          </w:p>
        </w:tc>
        <w:tc>
          <w:tcPr>
            <w:tcW w:w="642"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Total corporate items increased $9.2 million</w:t>
      </w:r>
      <w:r>
        <w:rPr>
          <w:sz w:val="17"/>
        </w:rPr>
        <w:t xml:space="preserve"> </w:t>
      </w:r>
      <w:r>
        <w:rPr>
          <w:rFonts w:ascii="inherit" w:hAnsi="inherit"/>
          <w:sz w:val="17"/>
        </w:rPr>
        <w:t>to $65.5 million. The increase was due to a $4.6 million</w:t>
      </w:r>
      <w:r>
        <w:rPr>
          <w:sz w:val="17"/>
        </w:rPr>
        <w:t xml:space="preserve"> </w:t>
      </w:r>
      <w:r>
        <w:rPr>
          <w:rFonts w:ascii="inherit" w:hAnsi="inherit"/>
          <w:sz w:val="17"/>
        </w:rPr>
        <w:t>increase in administrative expenses, a $2.7 million</w:t>
      </w:r>
      <w:r>
        <w:rPr>
          <w:sz w:val="17"/>
        </w:rPr>
        <w:t xml:space="preserve"> </w:t>
      </w:r>
      <w:r>
        <w:rPr>
          <w:rFonts w:ascii="inherit" w:hAnsi="inherit"/>
          <w:sz w:val="17"/>
        </w:rPr>
        <w:t>increase in depreciation and amortization and a $0.9 million</w:t>
      </w:r>
      <w:r>
        <w:rPr>
          <w:sz w:val="17"/>
        </w:rPr>
        <w:t xml:space="preserve"> </w:t>
      </w:r>
      <w:r>
        <w:rPr>
          <w:rFonts w:ascii="inherit" w:hAnsi="inherit"/>
          <w:sz w:val="17"/>
        </w:rPr>
        <w:t xml:space="preserve">increase in interest expense. The increase in administrative expenses, depreciation and amortization was primarily associated with supporting accelerated growth of the de novo and international operations. In fiscal 2013, interest expense increased 31% due to greater utilization of our revolver and depreciation expense increased 25% due to assets placed in service as we continue to invest in the infrastructure to support our growth. </w:t>
      </w:r>
    </w:p>
    <w:p>
      <w:pPr>
        <w:pStyle w:val="TextBody"/>
        <w:spacing w:lineRule="auto" w:line="288" w:before="0" w:after="0"/>
        <w:jc w:val="left"/>
        <w:rPr>
          <w:sz w:val="17"/>
        </w:rPr>
      </w:pPr>
      <w:r>
        <w:rPr>
          <w:rFonts w:ascii="inherit" w:hAnsi="inherit"/>
          <w:sz w:val="17"/>
        </w:rPr>
        <w:t>Consolidated income from continuing operations before income taxes decreased $135.1 million, or 60%, to $91.3 million</w:t>
      </w:r>
      <w:r>
        <w:rPr>
          <w:sz w:val="17"/>
        </w:rPr>
        <w:t xml:space="preserve"> </w:t>
      </w:r>
      <w:r>
        <w:rPr>
          <w:rFonts w:ascii="inherit" w:hAnsi="inherit"/>
          <w:sz w:val="17"/>
        </w:rPr>
        <w:t>due to the $64.7 million, $8.2 million</w:t>
      </w:r>
      <w:r>
        <w:rPr>
          <w:sz w:val="17"/>
        </w:rPr>
        <w:t xml:space="preserve"> </w:t>
      </w:r>
      <w:r>
        <w:rPr>
          <w:rFonts w:ascii="inherit" w:hAnsi="inherit"/>
          <w:sz w:val="17"/>
        </w:rPr>
        <w:t>and $52.9 million</w:t>
      </w:r>
      <w:r>
        <w:rPr>
          <w:sz w:val="17"/>
        </w:rPr>
        <w:t xml:space="preserve"> </w:t>
      </w:r>
      <w:r>
        <w:rPr>
          <w:rFonts w:ascii="inherit" w:hAnsi="inherit"/>
          <w:sz w:val="17"/>
        </w:rPr>
        <w:t>decreases in contribution from the U.S. &amp; Canada, Latin America and Other International segments, respectively, and a $9.2 million</w:t>
      </w:r>
      <w:r>
        <w:rPr>
          <w:sz w:val="17"/>
        </w:rPr>
        <w:t xml:space="preserve"> </w:t>
      </w:r>
      <w:r>
        <w:rPr>
          <w:rFonts w:ascii="inherit" w:hAnsi="inherit"/>
          <w:sz w:val="17"/>
        </w:rPr>
        <w:t xml:space="preserve">increase in corporate expenses. </w:t>
      </w:r>
    </w:p>
    <w:p>
      <w:pPr>
        <w:pStyle w:val="TextBody"/>
        <w:spacing w:lineRule="auto" w:line="288" w:before="0" w:after="0"/>
        <w:jc w:val="left"/>
        <w:rPr>
          <w:sz w:val="17"/>
        </w:rPr>
      </w:pPr>
      <w:r>
        <w:rPr>
          <w:rFonts w:ascii="inherit" w:hAnsi="inherit"/>
          <w:sz w:val="17"/>
        </w:rPr>
        <w:t>In fiscal 2013, income tax expense decreased $41.7 million, or 58%, to $29.6 million. The fiscal 2013</w:t>
      </w:r>
      <w:r>
        <w:rPr>
          <w:sz w:val="17"/>
        </w:rPr>
        <w:t xml:space="preserve"> </w:t>
      </w:r>
      <w:r>
        <w:rPr>
          <w:rFonts w:ascii="inherit" w:hAnsi="inherit"/>
          <w:sz w:val="17"/>
        </w:rPr>
        <w:t>effective tax rate is 32%, compared to 32%</w:t>
      </w:r>
      <w:r>
        <w:rPr>
          <w:sz w:val="17"/>
        </w:rPr>
        <w:t xml:space="preserve"> </w:t>
      </w:r>
      <w:r>
        <w:rPr>
          <w:rFonts w:ascii="inherit" w:hAnsi="inherit"/>
          <w:sz w:val="17"/>
        </w:rPr>
        <w:t>in the prior year.</w:t>
      </w:r>
    </w:p>
    <w:p>
      <w:pPr>
        <w:pStyle w:val="TextBody"/>
        <w:spacing w:lineRule="auto" w:line="288" w:before="0" w:after="0"/>
        <w:jc w:val="left"/>
        <w:rPr>
          <w:sz w:val="17"/>
        </w:rPr>
      </w:pPr>
      <w:r>
        <w:rPr>
          <w:rFonts w:ascii="inherit" w:hAnsi="inherit"/>
          <w:sz w:val="17"/>
        </w:rPr>
        <w:t>After an $18.8 million</w:t>
      </w:r>
      <w:r>
        <w:rPr>
          <w:sz w:val="17"/>
        </w:rPr>
        <w:t xml:space="preserve"> </w:t>
      </w:r>
      <w:r>
        <w:rPr>
          <w:rFonts w:ascii="inherit" w:hAnsi="inherit"/>
          <w:sz w:val="17"/>
        </w:rPr>
        <w:t>increase in loss from discontinued operations and a $2.5 million</w:t>
      </w:r>
      <w:r>
        <w:rPr>
          <w:sz w:val="17"/>
        </w:rPr>
        <w:t xml:space="preserve"> </w:t>
      </w:r>
      <w:r>
        <w:rPr>
          <w:rFonts w:ascii="inherit" w:hAnsi="inherit"/>
          <w:sz w:val="17"/>
        </w:rPr>
        <w:t>decrease in net income attributable to the noncontrolling interests, net income attributable to EZCORP, Inc. decreased $109.6 million, or 76%, to $34.1 million</w:t>
      </w:r>
      <w:r>
        <w:rPr>
          <w:sz w:val="17"/>
        </w:rPr>
        <w:t xml:space="preserve"> </w:t>
      </w:r>
      <w:r>
        <w:rPr>
          <w:rFonts w:ascii="inherit" w:hAnsi="inherit"/>
          <w:sz w:val="17"/>
        </w:rPr>
        <w:t xml:space="preserve">in fiscal 2013. </w:t>
      </w:r>
    </w:p>
    <w:p>
      <w:pPr>
        <w:pStyle w:val="TextBody"/>
        <w:spacing w:lineRule="auto" w:line="288" w:before="0" w:after="0"/>
        <w:jc w:val="left"/>
        <w:rPr>
          <w:sz w:val="17"/>
        </w:rPr>
      </w:pPr>
      <w:bookmarkStart w:id="39" w:name="sed079e6325f04b3381f22ad2947271f4"/>
      <w:bookmarkEnd w:id="39"/>
      <w:r>
        <w:rPr>
          <w:rFonts w:ascii="inherit" w:hAnsi="inherit"/>
          <w:i/>
          <w:sz w:val="17"/>
        </w:rPr>
        <w:t xml:space="preserve">Fiscal </w:t>
      </w:r>
      <w:r>
        <w:rPr>
          <w:rFonts w:ascii="inherit" w:hAnsi="inherit"/>
          <w:i/>
          <w:strike w:val="false"/>
          <w:dstrike w:val="false"/>
          <w:color w:val="000000"/>
          <w:sz w:val="17"/>
          <w:u w:val="none"/>
          <w:effect w:val="none"/>
        </w:rPr>
        <w:t>2012</w:t>
      </w:r>
      <w:r>
        <w:rPr>
          <w:sz w:val="17"/>
        </w:rPr>
        <w:t xml:space="preserve"> </w:t>
      </w:r>
      <w:r>
        <w:rPr>
          <w:rFonts w:ascii="inherit" w:hAnsi="inherit"/>
          <w:i/>
          <w:sz w:val="17"/>
        </w:rPr>
        <w:t xml:space="preserve">Compared to Fiscal </w:t>
      </w:r>
      <w:r>
        <w:rPr>
          <w:rFonts w:ascii="inherit" w:hAnsi="inherit"/>
          <w:i/>
          <w:strike w:val="false"/>
          <w:dstrike w:val="false"/>
          <w:color w:val="000000"/>
          <w:sz w:val="17"/>
          <w:u w:val="none"/>
          <w:effect w:val="none"/>
        </w:rPr>
        <w:t>2011</w:t>
      </w:r>
      <w:r>
        <w:rPr>
          <w:sz w:val="17"/>
        </w:rPr>
        <w:t xml:space="preserve"> </w:t>
      </w:r>
    </w:p>
    <w:p>
      <w:pPr>
        <w:pStyle w:val="TextBody"/>
        <w:spacing w:lineRule="auto" w:line="288" w:before="0" w:after="0"/>
        <w:jc w:val="left"/>
        <w:rPr>
          <w:sz w:val="17"/>
        </w:rPr>
      </w:pPr>
      <w:r>
        <w:rPr>
          <w:rFonts w:ascii="inherit" w:hAnsi="inherit"/>
          <w:sz w:val="17"/>
        </w:rPr>
        <w:t xml:space="preserve">The following discussion compares our results of operations for the year ended </w:t>
      </w:r>
      <w:r>
        <w:rPr>
          <w:rFonts w:ascii="inherit" w:hAnsi="inherit"/>
          <w:strike w:val="false"/>
          <w:dstrike w:val="false"/>
          <w:color w:val="000000"/>
          <w:sz w:val="17"/>
          <w:u w:val="none"/>
          <w:effect w:val="none"/>
        </w:rPr>
        <w:t>September 30, 2012</w:t>
      </w:r>
      <w:r>
        <w:rPr>
          <w:sz w:val="17"/>
        </w:rPr>
        <w:t xml:space="preserve"> </w:t>
      </w:r>
      <w:r>
        <w:rPr>
          <w:rFonts w:ascii="inherit" w:hAnsi="inherit"/>
          <w:sz w:val="17"/>
        </w:rPr>
        <w:t xml:space="preserve">to the year ended </w:t>
      </w:r>
      <w:r>
        <w:rPr>
          <w:rFonts w:ascii="inherit" w:hAnsi="inherit"/>
          <w:strike w:val="false"/>
          <w:dstrike w:val="false"/>
          <w:color w:val="000000"/>
          <w:sz w:val="17"/>
          <w:u w:val="none"/>
          <w:effect w:val="none"/>
        </w:rPr>
        <w:t>September 30, 2011</w:t>
      </w:r>
      <w:r>
        <w:rPr>
          <w:rFonts w:ascii="inherit" w:hAnsi="inherit"/>
          <w:sz w:val="17"/>
        </w:rPr>
        <w:t>. It should be read with the accompanying consolidated financial statements and related notes.</w:t>
      </w:r>
    </w:p>
    <w:p>
      <w:pPr>
        <w:pStyle w:val="TextBody"/>
        <w:spacing w:lineRule="auto" w:line="288" w:before="0" w:after="0"/>
        <w:jc w:val="left"/>
        <w:rPr>
          <w:sz w:val="17"/>
        </w:rPr>
      </w:pPr>
      <w:r>
        <w:rPr>
          <w:rFonts w:ascii="inherit" w:hAnsi="inherit"/>
          <w:sz w:val="17"/>
        </w:rPr>
        <w:t xml:space="preserve">In fiscal </w:t>
      </w:r>
      <w:r>
        <w:rPr>
          <w:rFonts w:ascii="inherit" w:hAnsi="inherit"/>
          <w:strike w:val="false"/>
          <w:dstrike w:val="false"/>
          <w:color w:val="000000"/>
          <w:sz w:val="17"/>
          <w:u w:val="none"/>
          <w:effect w:val="none"/>
        </w:rPr>
        <w:t>2012</w:t>
      </w:r>
      <w:r>
        <w:rPr>
          <w:rFonts w:ascii="inherit" w:hAnsi="inherit"/>
          <w:sz w:val="17"/>
        </w:rPr>
        <w:t xml:space="preserve">, consolidated total revenues increased </w:t>
      </w:r>
      <w:r>
        <w:rPr>
          <w:rFonts w:ascii="inherit" w:hAnsi="inherit"/>
          <w:strike w:val="false"/>
          <w:dstrike w:val="false"/>
          <w:color w:val="000000"/>
          <w:sz w:val="17"/>
          <w:u w:val="none"/>
          <w:effect w:val="none"/>
        </w:rPr>
        <w:t>14%</w:t>
      </w:r>
      <w:r>
        <w:rPr>
          <w:rFonts w:ascii="inherit" w:hAnsi="inherit"/>
          <w:sz w:val="17"/>
        </w:rPr>
        <w:t>, or $</w:t>
      </w:r>
      <w:r>
        <w:rPr>
          <w:rFonts w:ascii="inherit" w:hAnsi="inherit"/>
          <w:strike w:val="false"/>
          <w:dstrike w:val="false"/>
          <w:color w:val="000000"/>
          <w:sz w:val="17"/>
          <w:u w:val="none"/>
          <w:effect w:val="none"/>
        </w:rPr>
        <w:t>122.3 million</w:t>
      </w:r>
      <w:r>
        <w:rPr>
          <w:rFonts w:ascii="inherit" w:hAnsi="inherit"/>
          <w:sz w:val="17"/>
        </w:rPr>
        <w:t>, to $</w:t>
      </w:r>
      <w:r>
        <w:rPr>
          <w:rFonts w:ascii="inherit" w:hAnsi="inherit"/>
          <w:strike w:val="false"/>
          <w:dstrike w:val="false"/>
          <w:color w:val="000000"/>
          <w:sz w:val="17"/>
          <w:u w:val="none"/>
          <w:effect w:val="none"/>
        </w:rPr>
        <w:t>975.1 million</w:t>
      </w:r>
      <w:r>
        <w:rPr>
          <w:rFonts w:ascii="inherit" w:hAnsi="inherit"/>
          <w:sz w:val="17"/>
        </w:rPr>
        <w:t xml:space="preserve">, compared to the prior year. Same store total revenues decreased $15.7 million, or 2%, and new and acquired stores contributed $138.0 million. Excluding the one-time $10.9 million charge related to the retirement of our former Chief Executive Officer, income from continuing operations before taxes increased 13% to </w:t>
      </w:r>
      <w:r>
        <w:rPr>
          <w:rFonts w:ascii="inherit" w:hAnsi="inherit"/>
          <w:strike w:val="false"/>
          <w:dstrike w:val="false"/>
          <w:color w:val="000000"/>
          <w:sz w:val="17"/>
          <w:u w:val="none"/>
          <w:effect w:val="none"/>
        </w:rPr>
        <w:t>$226.4 million</w:t>
      </w:r>
      <w:r>
        <w:rPr>
          <w:sz w:val="17"/>
        </w:rPr>
        <w:t xml:space="preserve"> </w:t>
      </w:r>
      <w:r>
        <w:rPr>
          <w:rFonts w:ascii="inherit" w:hAnsi="inherit"/>
          <w:sz w:val="17"/>
        </w:rPr>
        <w:t xml:space="preserve">from </w:t>
      </w:r>
      <w:r>
        <w:rPr>
          <w:rFonts w:ascii="inherit" w:hAnsi="inherit"/>
          <w:strike w:val="false"/>
          <w:dstrike w:val="false"/>
          <w:color w:val="000000"/>
          <w:sz w:val="17"/>
          <w:u w:val="none"/>
          <w:effect w:val="none"/>
        </w:rPr>
        <w:t>$201.2 million</w:t>
      </w:r>
      <w:r>
        <w:rPr>
          <w:sz w:val="17"/>
        </w:rPr>
        <w:t xml:space="preserve"> </w:t>
      </w:r>
      <w:r>
        <w:rPr>
          <w:rFonts w:ascii="inherit" w:hAnsi="inherit"/>
          <w:sz w:val="17"/>
        </w:rPr>
        <w:t xml:space="preserve">in the prior year. Loss from discontinued operations increased </w:t>
      </w:r>
      <w:r>
        <w:rPr>
          <w:rFonts w:ascii="inherit" w:hAnsi="inherit"/>
          <w:strike w:val="false"/>
          <w:dstrike w:val="false"/>
          <w:color w:val="000000"/>
          <w:sz w:val="17"/>
          <w:u w:val="none"/>
          <w:effect w:val="none"/>
        </w:rPr>
        <w:t>$3.0 million</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$4.5 million</w:t>
      </w:r>
      <w:r>
        <w:rPr>
          <w:rFonts w:ascii="inherit" w:hAnsi="inherit"/>
          <w:sz w:val="17"/>
        </w:rPr>
        <w:t xml:space="preserve">. Including the charge related to the retirement of our former Chief Executive Officer and after the increase in income tax expense and the </w:t>
      </w:r>
      <w:r>
        <w:rPr>
          <w:rFonts w:ascii="inherit" w:hAnsi="inherit"/>
          <w:strike w:val="false"/>
          <w:dstrike w:val="false"/>
          <w:color w:val="000000"/>
          <w:sz w:val="17"/>
          <w:u w:val="none"/>
          <w:effect w:val="none"/>
        </w:rPr>
        <w:t>$6.9 million</w:t>
      </w:r>
      <w:r>
        <w:rPr>
          <w:sz w:val="17"/>
        </w:rPr>
        <w:t xml:space="preserve"> </w:t>
      </w:r>
      <w:r>
        <w:rPr>
          <w:rFonts w:ascii="inherit" w:hAnsi="inherit"/>
          <w:sz w:val="17"/>
        </w:rPr>
        <w:t xml:space="preserve">of net income attributable to noncontrolling interest, net income attributable to EZCORP, Inc. increased </w:t>
      </w:r>
      <w:r>
        <w:rPr>
          <w:rFonts w:ascii="inherit" w:hAnsi="inherit"/>
          <w:strike w:val="false"/>
          <w:dstrike w:val="false"/>
          <w:color w:val="000000"/>
          <w:sz w:val="17"/>
          <w:u w:val="none"/>
          <w:effect w:val="none"/>
        </w:rPr>
        <w:t>$21.5 million</w:t>
      </w:r>
      <w:r>
        <w:rPr>
          <w:rFonts w:ascii="inherit" w:hAnsi="inherit"/>
          <w:sz w:val="17"/>
        </w:rPr>
        <w:t xml:space="preserve">, or </w:t>
      </w:r>
      <w:r>
        <w:rPr>
          <w:rFonts w:ascii="inherit" w:hAnsi="inherit"/>
          <w:strike w:val="false"/>
          <w:dstrike w:val="false"/>
          <w:color w:val="000000"/>
          <w:sz w:val="17"/>
          <w:u w:val="none"/>
          <w:effect w:val="none"/>
        </w:rPr>
        <w:t>18%</w:t>
      </w:r>
      <w:r>
        <w:rPr>
          <w:rFonts w:ascii="inherit" w:hAnsi="inherit"/>
          <w:sz w:val="17"/>
        </w:rPr>
        <w: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43</w:t>
      </w:r>
      <w:r>
        <w:br w:type="page"/>
      </w:r>
    </w:p>
    <w:p>
      <w:pPr>
        <w:pStyle w:val="TextBody"/>
        <w:spacing w:lineRule="auto" w:line="288" w:before="0" w:after="0"/>
        <w:rPr/>
      </w:pPr>
      <w:hyperlink w:anchor="sA13583D437E20DC41B4583E2BD74AA47">
        <w:bookmarkStart w:id="40" w:name="s84c04438bc764b1c8dcd4cfff6450f5e"/>
        <w:bookmarkEnd w:id="40"/>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U.S. &amp; Canada</w:t>
      </w:r>
    </w:p>
    <w:p>
      <w:pPr>
        <w:pStyle w:val="TextBody"/>
        <w:spacing w:lineRule="auto" w:line="288" w:before="0" w:after="0"/>
        <w:jc w:val="left"/>
        <w:rPr>
          <w:rFonts w:ascii="inherit" w:hAnsi="inherit"/>
          <w:sz w:val="17"/>
        </w:rPr>
      </w:pPr>
      <w:r>
        <w:rPr>
          <w:rFonts w:ascii="inherit" w:hAnsi="inherit"/>
          <w:sz w:val="17"/>
        </w:rPr>
        <w:t>The following table presents selected financial data from continuing operations for the U.S. &amp; Canada segment:</w:t>
      </w:r>
    </w:p>
    <w:tbl>
      <w:tblPr>
        <w:tblW w:w="10205" w:type="dxa"/>
        <w:jc w:val="left"/>
        <w:tblInd w:w="0" w:type="dxa"/>
        <w:tblCellMar>
          <w:top w:w="0" w:type="dxa"/>
          <w:left w:w="0" w:type="dxa"/>
          <w:bottom w:w="0" w:type="dxa"/>
          <w:right w:w="0" w:type="dxa"/>
        </w:tblCellMar>
      </w:tblPr>
      <w:tblGrid>
        <w:gridCol w:w="5805"/>
        <w:gridCol w:w="181"/>
        <w:gridCol w:w="1438"/>
        <w:gridCol w:w="250"/>
        <w:gridCol w:w="149"/>
        <w:gridCol w:w="181"/>
        <w:gridCol w:w="1438"/>
        <w:gridCol w:w="76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80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ind w:left="0" w:right="0" w:firstLine="660"/>
              <w:rPr>
                <w:sz w:val="4"/>
                <w:szCs w:val="4"/>
              </w:rPr>
            </w:pPr>
            <w:r>
              <w:rPr>
                <w:sz w:val="4"/>
                <w:szCs w:val="4"/>
              </w:rPr>
            </w:r>
          </w:p>
        </w:tc>
      </w:tr>
      <w:tr>
        <w:trPr/>
        <w:tc>
          <w:tcPr>
            <w:tcW w:w="5805" w:type="dxa"/>
            <w:tcBorders/>
            <w:shd w:fill="auto" w:val="clear"/>
            <w:vAlign w:val="center"/>
          </w:tcPr>
          <w:p>
            <w:pPr>
              <w:pStyle w:val="TableContents"/>
              <w:spacing w:before="0" w:after="0"/>
              <w:ind w:left="0" w:right="0" w:firstLine="30"/>
              <w:jc w:val="left"/>
              <w:rPr/>
            </w:pPr>
            <w:r>
              <w:rPr/>
              <w:t> </w:t>
            </w:r>
          </w:p>
        </w:tc>
        <w:tc>
          <w:tcPr>
            <w:tcW w:w="440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805" w:type="dxa"/>
            <w:tcBorders/>
            <w:shd w:fill="auto" w:val="clear"/>
            <w:vAlign w:val="center"/>
          </w:tcPr>
          <w:p>
            <w:pPr>
              <w:pStyle w:val="TableContents"/>
              <w:spacing w:before="0" w:after="0"/>
              <w:ind w:left="0" w:right="0" w:firstLine="30"/>
              <w:jc w:val="left"/>
              <w:rPr/>
            </w:pPr>
            <w:r>
              <w:rPr/>
              <w:t> </w:t>
            </w:r>
          </w:p>
        </w:tc>
        <w:tc>
          <w:tcPr>
            <w:tcW w:w="18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9" w:type="dxa"/>
            <w:tcBorders/>
            <w:shd w:fill="auto" w:val="clear"/>
            <w:vAlign w:val="center"/>
          </w:tcPr>
          <w:p>
            <w:pPr>
              <w:pStyle w:val="TableContents"/>
              <w:spacing w:before="0" w:after="0"/>
              <w:ind w:left="0" w:right="0" w:firstLine="30"/>
              <w:rPr/>
            </w:pPr>
            <w:r>
              <w:rPr/>
              <w:t> </w:t>
            </w:r>
          </w:p>
        </w:tc>
        <w:tc>
          <w:tcPr>
            <w:tcW w:w="23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805" w:type="dxa"/>
            <w:tcBorders/>
            <w:shd w:fill="auto" w:val="clear"/>
            <w:vAlign w:val="center"/>
          </w:tcPr>
          <w:p>
            <w:pPr>
              <w:pStyle w:val="TableContents"/>
              <w:spacing w:before="0" w:after="0"/>
              <w:ind w:left="0" w:right="0" w:firstLine="30"/>
              <w:jc w:val="left"/>
              <w:rPr/>
            </w:pPr>
            <w:r>
              <w:rPr/>
              <w:t> </w:t>
            </w:r>
          </w:p>
        </w:tc>
        <w:tc>
          <w:tcPr>
            <w:tcW w:w="440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(dollars in thousands)</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869"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382" w:type="dxa"/>
            <w:gridSpan w:val="3"/>
            <w:tcBorders/>
            <w:shd w:fill="CCEEFF" w:val="clear"/>
            <w:vAlign w:val="center"/>
          </w:tcPr>
          <w:p>
            <w:pPr>
              <w:pStyle w:val="TableContents"/>
              <w:spacing w:before="0" w:after="0"/>
              <w:ind w:left="0" w:right="0" w:firstLine="180"/>
              <w:rPr/>
            </w:pPr>
            <w:r>
              <w:rPr/>
              <w:t> </w:t>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shd w:fill="auto" w:val="clear"/>
            <w:vAlign w:val="center"/>
          </w:tcPr>
          <w:p>
            <w:pPr>
              <w:pStyle w:val="TableContents"/>
              <w:spacing w:before="0" w:after="0"/>
              <w:jc w:val="right"/>
              <w:rPr>
                <w:rFonts w:ascii="inherit" w:hAnsi="inherit"/>
                <w:sz w:val="17"/>
              </w:rPr>
            </w:pPr>
            <w:r>
              <w:rPr>
                <w:rFonts w:ascii="inherit" w:hAnsi="inherit"/>
                <w:sz w:val="17"/>
              </w:rPr>
              <w:t>291,497</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shd w:fill="auto" w:val="clear"/>
            <w:vAlign w:val="center"/>
          </w:tcPr>
          <w:p>
            <w:pPr>
              <w:pStyle w:val="TableContents"/>
              <w:spacing w:before="0" w:after="0"/>
              <w:jc w:val="right"/>
              <w:rPr>
                <w:rFonts w:ascii="inherit" w:hAnsi="inherit"/>
                <w:sz w:val="17"/>
              </w:rPr>
            </w:pPr>
            <w:r>
              <w:rPr>
                <w:rFonts w:ascii="inherit" w:hAnsi="inherit"/>
                <w:sz w:val="17"/>
              </w:rPr>
              <w:t>256,694</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191,905</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195,920</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210,601</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184,204</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and interest</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163,896</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164,895</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3,759</w:t>
            </w:r>
          </w:p>
        </w:tc>
        <w:tc>
          <w:tcPr>
            <w:tcW w:w="2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1,484</w:t>
            </w:r>
          </w:p>
        </w:tc>
        <w:tc>
          <w:tcPr>
            <w:tcW w:w="763"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61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861,658</w:t>
            </w:r>
          </w:p>
        </w:tc>
        <w:tc>
          <w:tcPr>
            <w:tcW w:w="25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803,197</w:t>
            </w:r>
          </w:p>
        </w:tc>
        <w:tc>
          <w:tcPr>
            <w:tcW w:w="763" w:type="dxa"/>
            <w:tcBorders>
              <w:top w:val="single" w:sz="2" w:space="0" w:color="000000"/>
            </w:tcBorders>
            <w:shd w:fill="CCEEFF" w:val="clear"/>
            <w:tcMar>
              <w:top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168,133</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147,297</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122,604</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121,051</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35,398</w:t>
            </w:r>
          </w:p>
        </w:tc>
        <w:tc>
          <w:tcPr>
            <w:tcW w:w="2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36,791</w:t>
            </w:r>
          </w:p>
        </w:tc>
        <w:tc>
          <w:tcPr>
            <w:tcW w:w="763"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535,523</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498,058</w:t>
            </w:r>
          </w:p>
        </w:tc>
        <w:tc>
          <w:tcPr>
            <w:tcW w:w="7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 (income):</w:t>
            </w:r>
          </w:p>
        </w:tc>
        <w:tc>
          <w:tcPr>
            <w:tcW w:w="1869"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382" w:type="dxa"/>
            <w:gridSpan w:val="3"/>
            <w:tcBorders/>
            <w:shd w:fill="auto" w:val="clear"/>
            <w:vAlign w:val="center"/>
          </w:tcPr>
          <w:p>
            <w:pPr>
              <w:pStyle w:val="TableContents"/>
              <w:spacing w:before="0" w:after="0"/>
              <w:ind w:left="0" w:right="0" w:firstLine="180"/>
              <w:rPr/>
            </w:pPr>
            <w:r>
              <w:rPr/>
              <w:t> </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292,371</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260,340</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13,058</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10,858</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521</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452</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(261</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281</w:t>
            </w:r>
          </w:p>
        </w:tc>
        <w:tc>
          <w:tcPr>
            <w:tcW w:w="763"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expense, net</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763"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(647</w:t>
            </w:r>
          </w:p>
        </w:tc>
        <w:tc>
          <w:tcPr>
            <w:tcW w:w="2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763" w:type="dxa"/>
            <w:tcBorders>
              <w:bottom w:val="single" w:sz="2" w:space="0" w:color="000000"/>
            </w:tcBorders>
            <w:shd w:fill="auto" w:val="clear"/>
            <w:tcMar>
              <w:bottom w:w="30" w:type="dxa"/>
            </w:tcM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230,484</w:t>
            </w:r>
          </w:p>
        </w:tc>
        <w:tc>
          <w:tcPr>
            <w:tcW w:w="25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226,100</w:t>
            </w:r>
          </w:p>
        </w:tc>
        <w:tc>
          <w:tcPr>
            <w:tcW w:w="76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869" w:type="dxa"/>
            <w:gridSpan w:val="3"/>
            <w:tcBorders/>
            <w:shd w:fill="auto" w:val="clear"/>
            <w:vAlign w:val="center"/>
          </w:tcPr>
          <w:p>
            <w:pPr>
              <w:pStyle w:val="TableContents"/>
              <w:spacing w:before="0" w:after="0"/>
              <w:ind w:left="0" w:right="0" w:firstLine="30"/>
              <w:jc w:val="left"/>
              <w:rPr/>
            </w:pPr>
            <w:r>
              <w:rPr/>
              <w:t> </w:t>
            </w:r>
          </w:p>
        </w:tc>
        <w:tc>
          <w:tcPr>
            <w:tcW w:w="149" w:type="dxa"/>
            <w:tcBorders/>
            <w:shd w:fill="auto" w:val="clear"/>
            <w:vAlign w:val="center"/>
          </w:tcPr>
          <w:p>
            <w:pPr>
              <w:pStyle w:val="TableContents"/>
              <w:spacing w:before="0" w:after="0"/>
              <w:ind w:left="0" w:right="0" w:firstLine="30"/>
              <w:rPr/>
            </w:pPr>
            <w:r>
              <w:rPr/>
              <w:t> </w:t>
            </w:r>
          </w:p>
        </w:tc>
        <w:tc>
          <w:tcPr>
            <w:tcW w:w="2382" w:type="dxa"/>
            <w:gridSpan w:val="3"/>
            <w:tcBorders/>
            <w:shd w:fill="auto" w:val="clear"/>
            <w:vAlign w:val="center"/>
          </w:tcPr>
          <w:p>
            <w:pPr>
              <w:pStyle w:val="TableContents"/>
              <w:spacing w:before="0" w:after="0"/>
              <w:ind w:left="0" w:right="0" w:firstLine="300"/>
              <w:jc w:val="left"/>
              <w:rPr/>
            </w:pPr>
            <w:r>
              <w:rPr/>
              <w:t> </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42.3</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42.6</w:t>
            </w:r>
          </w:p>
        </w:tc>
        <w:tc>
          <w:tcPr>
            <w:tcW w:w="7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36.1</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38.2</w:t>
            </w:r>
          </w:p>
        </w:tc>
        <w:tc>
          <w:tcPr>
            <w:tcW w:w="7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39.9</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40.7</w:t>
            </w:r>
          </w:p>
        </w:tc>
        <w:tc>
          <w:tcPr>
            <w:tcW w:w="7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shd w:fill="auto" w:val="clear"/>
            <w:vAlign w:val="center"/>
          </w:tcPr>
          <w:p>
            <w:pPr>
              <w:pStyle w:val="TableContents"/>
              <w:spacing w:before="0" w:after="0"/>
              <w:jc w:val="right"/>
              <w:rPr>
                <w:rFonts w:ascii="inherit" w:hAnsi="inherit"/>
                <w:sz w:val="17"/>
              </w:rPr>
            </w:pPr>
            <w:r>
              <w:rPr>
                <w:rFonts w:ascii="inherit" w:hAnsi="inherit"/>
                <w:sz w:val="17"/>
              </w:rPr>
              <w:t>295</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38" w:type="dxa"/>
            <w:tcBorders/>
            <w:shd w:fill="auto" w:val="clear"/>
            <w:vAlign w:val="center"/>
          </w:tcPr>
          <w:p>
            <w:pPr>
              <w:pStyle w:val="TableContents"/>
              <w:spacing w:before="0" w:after="0"/>
              <w:jc w:val="right"/>
              <w:rPr>
                <w:rFonts w:ascii="inherit" w:hAnsi="inherit"/>
                <w:sz w:val="17"/>
              </w:rPr>
            </w:pPr>
            <w:r>
              <w:rPr>
                <w:rFonts w:ascii="inherit" w:hAnsi="inherit"/>
                <w:sz w:val="17"/>
              </w:rPr>
              <w:t>311</w:t>
            </w:r>
          </w:p>
        </w:tc>
        <w:tc>
          <w:tcPr>
            <w:tcW w:w="7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160</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6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w:t>
            </w:r>
          </w:p>
        </w:tc>
        <w:tc>
          <w:tcPr>
            <w:tcW w:w="76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6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w:t>
            </w:r>
          </w:p>
        </w:tc>
        <w:tc>
          <w:tcPr>
            <w:tcW w:w="76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80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6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w:t>
            </w:r>
          </w:p>
        </w:tc>
        <w:tc>
          <w:tcPr>
            <w:tcW w:w="25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6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w:t>
            </w:r>
          </w:p>
        </w:tc>
        <w:tc>
          <w:tcPr>
            <w:tcW w:w="763"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369"/>
        <w:gridCol w:w="9836"/>
      </w:tblGrid>
      <w:tr>
        <w:trPr/>
        <w:tc>
          <w:tcPr>
            <w:tcW w:w="369" w:type="dxa"/>
            <w:tcBorders/>
            <w:shd w:fill="auto" w:val="clear"/>
            <w:vAlign w:val="center"/>
          </w:tcPr>
          <w:p>
            <w:pPr>
              <w:pStyle w:val="TableContents"/>
              <w:spacing w:before="0" w:after="283"/>
              <w:rPr>
                <w:sz w:val="4"/>
                <w:szCs w:val="4"/>
              </w:rPr>
            </w:pPr>
            <w:r>
              <w:rPr>
                <w:sz w:val="4"/>
                <w:szCs w:val="4"/>
              </w:rPr>
            </w:r>
          </w:p>
        </w:tc>
        <w:tc>
          <w:tcPr>
            <w:tcW w:w="9836" w:type="dxa"/>
            <w:tcBorders/>
            <w:shd w:fill="auto" w:val="clear"/>
            <w:vAlign w:val="center"/>
          </w:tcPr>
          <w:p>
            <w:pPr>
              <w:pStyle w:val="TableContents"/>
              <w:spacing w:before="0" w:after="283"/>
              <w:rPr>
                <w:sz w:val="4"/>
                <w:szCs w:val="4"/>
              </w:rPr>
            </w:pPr>
            <w:r>
              <w:rPr>
                <w:sz w:val="4"/>
                <w:szCs w:val="4"/>
              </w:rPr>
            </w:r>
          </w:p>
        </w:tc>
      </w:tr>
      <w:tr>
        <w:trPr/>
        <w:tc>
          <w:tcPr>
            <w:tcW w:w="369" w:type="dxa"/>
            <w:tcBorders/>
            <w:shd w:fill="auto" w:val="clear"/>
            <w:vAlign w:val="center"/>
          </w:tcPr>
          <w:p>
            <w:pPr>
              <w:pStyle w:val="TableContents"/>
              <w:spacing w:lineRule="auto" w:line="288" w:before="0" w:after="0"/>
              <w:ind w:left="0" w:right="0" w:firstLine="135"/>
              <w:rPr>
                <w:rFonts w:ascii="inherit" w:hAnsi="inherit"/>
                <w:sz w:val="15"/>
              </w:rPr>
            </w:pPr>
            <w:r>
              <w:rPr>
                <w:rFonts w:ascii="inherit" w:hAnsi="inherit"/>
                <w:sz w:val="15"/>
              </w:rPr>
              <w:t>(a)</w:t>
            </w:r>
          </w:p>
        </w:tc>
        <w:tc>
          <w:tcPr>
            <w:tcW w:w="9836" w:type="dxa"/>
            <w:tcBorders/>
            <w:shd w:fill="auto" w:val="clear"/>
            <w:vAlign w:val="center"/>
          </w:tcPr>
          <w:p>
            <w:pPr>
              <w:pStyle w:val="TableContents"/>
              <w:spacing w:lineRule="auto" w:line="288" w:before="0" w:after="0"/>
              <w:rPr>
                <w:rFonts w:ascii="inherit" w:hAnsi="inherit"/>
                <w:sz w:val="15"/>
              </w:rPr>
            </w:pPr>
            <w:r>
              <w:rPr>
                <w:rFonts w:ascii="inherit" w:hAnsi="inherit"/>
                <w:sz w:val="15"/>
              </w:rPr>
              <w:t>Average yield on pawn loan portfolio is calculated as pawn service charge revenues for the period divided by the average pawn loan balance during the period.</w:t>
            </w:r>
          </w:p>
        </w:tc>
      </w:tr>
    </w:tbl>
    <w:p>
      <w:pPr>
        <w:pStyle w:val="TextBody"/>
        <w:spacing w:lineRule="auto" w:line="288" w:before="0" w:after="0"/>
        <w:jc w:val="left"/>
        <w:rPr>
          <w:sz w:val="17"/>
        </w:rPr>
      </w:pPr>
      <w:r>
        <w:rPr>
          <w:rFonts w:ascii="inherit" w:hAnsi="inherit"/>
          <w:sz w:val="17"/>
        </w:rPr>
        <w:t>The U.S. &amp; Canada segment total revenues increased $</w:t>
      </w:r>
      <w:r>
        <w:rPr>
          <w:rFonts w:ascii="inherit" w:hAnsi="inherit"/>
          <w:strike w:val="false"/>
          <w:dstrike w:val="false"/>
          <w:color w:val="000000"/>
          <w:sz w:val="17"/>
          <w:u w:val="none"/>
          <w:effect w:val="none"/>
        </w:rPr>
        <w:t>58.5 million</w:t>
      </w:r>
      <w:r>
        <w:rPr>
          <w:rFonts w:ascii="inherit" w:hAnsi="inherit"/>
          <w:sz w:val="17"/>
        </w:rPr>
        <w:t xml:space="preserve">, or </w:t>
      </w:r>
      <w:r>
        <w:rPr>
          <w:rFonts w:ascii="inherit" w:hAnsi="inherit"/>
          <w:strike w:val="false"/>
          <w:dstrike w:val="false"/>
          <w:color w:val="000000"/>
          <w:sz w:val="17"/>
          <w:u w:val="none"/>
          <w:effect w:val="none"/>
        </w:rPr>
        <w:t>7%</w:t>
      </w:r>
      <w:r>
        <w:rPr>
          <w:rFonts w:ascii="inherit" w:hAnsi="inherit"/>
          <w:sz w:val="17"/>
        </w:rPr>
        <w:t>, from the prior year to $</w:t>
      </w:r>
      <w:r>
        <w:rPr>
          <w:rFonts w:ascii="inherit" w:hAnsi="inherit"/>
          <w:strike w:val="false"/>
          <w:dstrike w:val="false"/>
          <w:color w:val="000000"/>
          <w:sz w:val="17"/>
          <w:u w:val="none"/>
          <w:effect w:val="none"/>
        </w:rPr>
        <w:t>861.7 million</w:t>
      </w:r>
      <w:r>
        <w:rPr>
          <w:rFonts w:ascii="inherit" w:hAnsi="inherit"/>
          <w:sz w:val="17"/>
        </w:rPr>
        <w:t>. Same store total revenues decreased $21.9 million, or 3%, and new and acquired stores net of closed stores contributed $80.4 million. The overall increase in total revenues consisted of a $30.8 million increase in merchandise and jewelry scrapping sales, a $</w:t>
      </w:r>
      <w:r>
        <w:rPr>
          <w:rFonts w:ascii="inherit" w:hAnsi="inherit"/>
          <w:strike w:val="false"/>
          <w:dstrike w:val="false"/>
          <w:color w:val="000000"/>
          <w:sz w:val="17"/>
          <w:u w:val="none"/>
          <w:effect w:val="none"/>
        </w:rPr>
        <w:t>26.4 million</w:t>
      </w:r>
      <w:r>
        <w:rPr>
          <w:sz w:val="17"/>
        </w:rPr>
        <w:t xml:space="preserve"> </w:t>
      </w:r>
      <w:r>
        <w:rPr>
          <w:rFonts w:ascii="inherit" w:hAnsi="inherit"/>
          <w:sz w:val="17"/>
        </w:rPr>
        <w:t xml:space="preserve">increase in pawn service charges and a $1.3 million increase in loan fees and other revenues. In fiscal </w:t>
      </w:r>
      <w:r>
        <w:rPr>
          <w:rFonts w:ascii="inherit" w:hAnsi="inherit"/>
          <w:strike w:val="false"/>
          <w:dstrike w:val="false"/>
          <w:color w:val="000000"/>
          <w:sz w:val="17"/>
          <w:u w:val="none"/>
          <w:effect w:val="none"/>
        </w:rPr>
        <w:t>2012</w:t>
      </w:r>
      <w:r>
        <w:rPr>
          <w:rFonts w:ascii="inherit" w:hAnsi="inherit"/>
          <w:sz w:val="17"/>
        </w:rPr>
        <w:t xml:space="preserve">, we acquired 28 U.S. pawn stores, seven U.S. buy/sell stores, 15 financial services stores in the U.S. and one buy/sell store in Canada for an aggregate of $78.2 million. As part of these acquisitions, we began operations in the states of Pennsylvania, Virginia, Hawaii and Minnesota, bringing the total number of states in which we operate at </w:t>
      </w:r>
      <w:r>
        <w:rPr>
          <w:rFonts w:ascii="inherit" w:hAnsi="inherit"/>
          <w:strike w:val="false"/>
          <w:dstrike w:val="false"/>
          <w:color w:val="000000"/>
          <w:sz w:val="17"/>
          <w:u w:val="none"/>
          <w:effect w:val="none"/>
        </w:rPr>
        <w:t>September 30, 2012</w:t>
      </w:r>
      <w:r>
        <w:rPr>
          <w:sz w:val="17"/>
        </w:rPr>
        <w:t xml:space="preserve"> </w:t>
      </w:r>
      <w:r>
        <w:rPr>
          <w:rFonts w:ascii="inherit" w:hAnsi="inherit"/>
          <w:sz w:val="17"/>
        </w:rPr>
        <w:t>to 24.</w:t>
      </w:r>
    </w:p>
    <w:p>
      <w:pPr>
        <w:pStyle w:val="TextBody"/>
        <w:spacing w:lineRule="auto" w:line="288" w:before="0" w:after="0"/>
        <w:jc w:val="left"/>
        <w:rPr>
          <w:sz w:val="17"/>
        </w:rPr>
      </w:pPr>
      <w:r>
        <w:rPr>
          <w:rFonts w:ascii="inherit" w:hAnsi="inherit"/>
          <w:sz w:val="17"/>
        </w:rPr>
        <w:t xml:space="preserve">Fiscal 2012 pawn service charge revenue increased </w:t>
      </w:r>
      <w:r>
        <w:rPr>
          <w:rFonts w:ascii="inherit" w:hAnsi="inherit"/>
          <w:strike w:val="false"/>
          <w:dstrike w:val="false"/>
          <w:color w:val="000000"/>
          <w:sz w:val="17"/>
          <w:u w:val="none"/>
          <w:effect w:val="none"/>
        </w:rPr>
        <w:t>14%</w:t>
      </w:r>
      <w:r>
        <w:rPr>
          <w:rFonts w:ascii="inherit" w:hAnsi="inherit"/>
          <w:sz w:val="17"/>
        </w:rPr>
        <w:t>, or $</w:t>
      </w:r>
      <w:r>
        <w:rPr>
          <w:rFonts w:ascii="inherit" w:hAnsi="inherit"/>
          <w:strike w:val="false"/>
          <w:dstrike w:val="false"/>
          <w:color w:val="000000"/>
          <w:sz w:val="17"/>
          <w:u w:val="none"/>
          <w:effect w:val="none"/>
        </w:rPr>
        <w:t>26.4 million</w:t>
      </w:r>
      <w:r>
        <w:rPr>
          <w:rFonts w:ascii="inherit" w:hAnsi="inherit"/>
          <w:sz w:val="17"/>
        </w:rPr>
        <w:t>, from the prior year to $</w:t>
      </w:r>
      <w:r>
        <w:rPr>
          <w:rFonts w:ascii="inherit" w:hAnsi="inherit"/>
          <w:strike w:val="false"/>
          <w:dstrike w:val="false"/>
          <w:color w:val="000000"/>
          <w:sz w:val="17"/>
          <w:u w:val="none"/>
          <w:effect w:val="none"/>
        </w:rPr>
        <w:t>210.6 million</w:t>
      </w:r>
      <w:r>
        <w:rPr>
          <w:rFonts w:ascii="inherit" w:hAnsi="inherit"/>
          <w:sz w:val="17"/>
        </w:rPr>
        <w:t xml:space="preserve">. Same store pawn service charges increased $12.2 million, or 7%, with new and acquired stores net of closed stores contributing $14.2 million. The same store improvement was due to a higher average same store pawn loan balance coupled with higher yield. The yield improved primarily due to a slightly higher loan redemption rate as we continued to focus on loan values and better qualifying customers to determine those that prefer to sell their merchandise rather than use it as collateral for a loan.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44</w:t>
      </w:r>
      <w:r>
        <w:br w:type="page"/>
      </w:r>
    </w:p>
    <w:p>
      <w:pPr>
        <w:pStyle w:val="TextBody"/>
        <w:spacing w:lineRule="auto" w:line="288" w:before="0" w:after="0"/>
        <w:rPr/>
      </w:pPr>
      <w:hyperlink w:anchor="sA13583D437E20DC41B4583E2BD74AA47">
        <w:bookmarkStart w:id="41" w:name="s84c04438bc764b1c8dcd4cfff6450f5e1"/>
        <w:bookmarkEnd w:id="41"/>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Fiscal 2012 merchandise sales gross profit increased </w:t>
      </w:r>
      <w:r>
        <w:rPr>
          <w:rFonts w:ascii="inherit" w:hAnsi="inherit"/>
          <w:strike w:val="false"/>
          <w:dstrike w:val="false"/>
          <w:color w:val="000000"/>
          <w:sz w:val="17"/>
          <w:u w:val="none"/>
          <w:effect w:val="none"/>
        </w:rPr>
        <w:t>$14.0 million</w:t>
      </w:r>
      <w:r>
        <w:rPr>
          <w:rFonts w:ascii="inherit" w:hAnsi="inherit"/>
          <w:sz w:val="17"/>
        </w:rPr>
        <w:t xml:space="preserve">, or </w:t>
      </w:r>
      <w:r>
        <w:rPr>
          <w:rFonts w:ascii="inherit" w:hAnsi="inherit"/>
          <w:strike w:val="false"/>
          <w:dstrike w:val="false"/>
          <w:color w:val="000000"/>
          <w:sz w:val="17"/>
          <w:u w:val="none"/>
          <w:effect w:val="none"/>
        </w:rPr>
        <w:t>13%</w:t>
      </w:r>
      <w:r>
        <w:rPr>
          <w:rFonts w:ascii="inherit" w:hAnsi="inherit"/>
          <w:sz w:val="17"/>
        </w:rPr>
        <w:t xml:space="preserve">, from the prior year to </w:t>
      </w:r>
      <w:r>
        <w:rPr>
          <w:rFonts w:ascii="inherit" w:hAnsi="inherit"/>
          <w:strike w:val="false"/>
          <w:dstrike w:val="false"/>
          <w:color w:val="000000"/>
          <w:sz w:val="17"/>
          <w:u w:val="none"/>
          <w:effect w:val="none"/>
        </w:rPr>
        <w:t>$123.4 million</w:t>
      </w:r>
      <w:r>
        <w:rPr>
          <w:rFonts w:ascii="inherit" w:hAnsi="inherit"/>
          <w:sz w:val="17"/>
        </w:rPr>
        <w:t xml:space="preserve">. This was due to a $34.9 million increase in sales from new and acquired stores net of closed stores, partially offset by a $0.1 million decrease in same store sales and a 0.3 percentage point decrease in gross margins. The decrease in gross margins was due to a shift in sales mix from jewelry to general merchandise. </w:t>
      </w:r>
    </w:p>
    <w:p>
      <w:pPr>
        <w:pStyle w:val="TextBody"/>
        <w:spacing w:lineRule="auto" w:line="288" w:before="0" w:after="0"/>
        <w:jc w:val="left"/>
        <w:rPr>
          <w:sz w:val="17"/>
        </w:rPr>
      </w:pPr>
      <w:r>
        <w:rPr>
          <w:rFonts w:ascii="inherit" w:hAnsi="inherit"/>
          <w:sz w:val="17"/>
        </w:rPr>
        <w:t xml:space="preserve">Gross profit on jewelry scrapping sales decreased $5.6 million, or 7%, from the prior year to $69.3 million. Jewelry scrapping revenues decreased </w:t>
      </w:r>
      <w:r>
        <w:rPr>
          <w:rFonts w:ascii="inherit" w:hAnsi="inherit"/>
          <w:strike w:val="false"/>
          <w:dstrike w:val="false"/>
          <w:color w:val="000000"/>
          <w:sz w:val="17"/>
          <w:u w:val="none"/>
          <w:effect w:val="none"/>
        </w:rPr>
        <w:t>$4.0 million</w:t>
      </w:r>
      <w:r>
        <w:rPr>
          <w:rFonts w:ascii="inherit" w:hAnsi="inherit"/>
          <w:sz w:val="17"/>
        </w:rPr>
        <w:t xml:space="preserve">, or </w:t>
      </w:r>
      <w:r>
        <w:rPr>
          <w:rFonts w:ascii="inherit" w:hAnsi="inherit"/>
          <w:strike w:val="false"/>
          <w:dstrike w:val="false"/>
          <w:color w:val="000000"/>
          <w:sz w:val="17"/>
          <w:u w:val="none"/>
          <w:effect w:val="none"/>
        </w:rPr>
        <w:t>2%</w:t>
      </w:r>
      <w:r>
        <w:rPr>
          <w:rFonts w:ascii="inherit" w:hAnsi="inherit"/>
          <w:sz w:val="17"/>
        </w:rPr>
        <w:t xml:space="preserve">, due to a 16% increase in proceeds realized per gram of gold jewelry scrapped, offset by a 19% decrease in gold volume. Same store jewelry scrapping sales decreased $26.2 million, or 13%, and new and acquired stores contributed $22.2 million. Jewelry scrapping sales include the sale of approximately $10.8 million of loose diamonds removed from scrap jewelry in fiscal 2012 and $8.1 million in the prior year. As a result of the higher average cost per gram of jewelry scrapped, scrap cost of goods increased </w:t>
      </w:r>
      <w:r>
        <w:rPr>
          <w:rFonts w:ascii="inherit" w:hAnsi="inherit"/>
          <w:strike w:val="false"/>
          <w:dstrike w:val="false"/>
          <w:color w:val="000000"/>
          <w:sz w:val="17"/>
          <w:u w:val="none"/>
          <w:effect w:val="none"/>
        </w:rPr>
        <w:t>$1.6 million</w:t>
      </w:r>
      <w:r>
        <w:rPr>
          <w:rFonts w:ascii="inherit" w:hAnsi="inherit"/>
          <w:sz w:val="17"/>
        </w:rPr>
        <w:t>.</w:t>
      </w:r>
    </w:p>
    <w:p>
      <w:pPr>
        <w:pStyle w:val="TextBody"/>
        <w:spacing w:lineRule="auto" w:line="288" w:before="0" w:after="0"/>
        <w:jc w:val="left"/>
        <w:rPr>
          <w:sz w:val="17"/>
        </w:rPr>
      </w:pPr>
      <w:r>
        <w:rPr>
          <w:rFonts w:ascii="inherit" w:hAnsi="inherit"/>
          <w:sz w:val="17"/>
        </w:rPr>
        <w:t xml:space="preserve">Total segment expenses increased to </w:t>
      </w:r>
      <w:r>
        <w:rPr>
          <w:rFonts w:ascii="inherit" w:hAnsi="inherit"/>
          <w:strike w:val="false"/>
          <w:dstrike w:val="false"/>
          <w:color w:val="000000"/>
          <w:sz w:val="17"/>
          <w:u w:val="none"/>
          <w:effect w:val="none"/>
        </w:rPr>
        <w:t>$305.0 million</w:t>
      </w:r>
      <w:r>
        <w:rPr>
          <w:sz w:val="17"/>
        </w:rPr>
        <w:t xml:space="preserve"> </w:t>
      </w:r>
      <w:r>
        <w:rPr>
          <w:rFonts w:ascii="inherit" w:hAnsi="inherit"/>
          <w:sz w:val="17"/>
        </w:rPr>
        <w:t>(</w:t>
      </w:r>
      <w:r>
        <w:rPr>
          <w:rFonts w:ascii="inherit" w:hAnsi="inherit"/>
          <w:strike w:val="false"/>
          <w:dstrike w:val="false"/>
          <w:color w:val="000000"/>
          <w:sz w:val="17"/>
          <w:u w:val="none"/>
          <w:effect w:val="none"/>
        </w:rPr>
        <w:t>35%</w:t>
      </w:r>
      <w:r>
        <w:rPr>
          <w:sz w:val="17"/>
        </w:rPr>
        <w:t xml:space="preserve"> </w:t>
      </w:r>
      <w:r>
        <w:rPr>
          <w:rFonts w:ascii="inherit" w:hAnsi="inherit"/>
          <w:sz w:val="17"/>
        </w:rPr>
        <w:t xml:space="preserve">of revenues) in fiscal 2012 from </w:t>
      </w:r>
      <w:r>
        <w:rPr>
          <w:rFonts w:ascii="inherit" w:hAnsi="inherit"/>
          <w:strike w:val="false"/>
          <w:dstrike w:val="false"/>
          <w:color w:val="000000"/>
          <w:sz w:val="17"/>
          <w:u w:val="none"/>
          <w:effect w:val="none"/>
        </w:rPr>
        <w:t>$272.0 million</w:t>
      </w:r>
      <w:r>
        <w:rPr>
          <w:sz w:val="17"/>
        </w:rPr>
        <w:t xml:space="preserve"> </w:t>
      </w:r>
      <w:r>
        <w:rPr>
          <w:rFonts w:ascii="inherit" w:hAnsi="inherit"/>
          <w:sz w:val="17"/>
        </w:rPr>
        <w:t>(</w:t>
      </w:r>
      <w:r>
        <w:rPr>
          <w:rFonts w:ascii="inherit" w:hAnsi="inherit"/>
          <w:strike w:val="false"/>
          <w:dstrike w:val="false"/>
          <w:color w:val="000000"/>
          <w:sz w:val="17"/>
          <w:u w:val="none"/>
          <w:effect w:val="none"/>
        </w:rPr>
        <w:t>34%</w:t>
      </w:r>
      <w:r>
        <w:rPr>
          <w:sz w:val="17"/>
        </w:rPr>
        <w:t xml:space="preserve"> </w:t>
      </w:r>
      <w:r>
        <w:rPr>
          <w:rFonts w:ascii="inherit" w:hAnsi="inherit"/>
          <w:sz w:val="17"/>
        </w:rPr>
        <w:t xml:space="preserve">of revenues) in the prior year. Operations expense increased </w:t>
      </w:r>
      <w:r>
        <w:rPr>
          <w:rFonts w:ascii="inherit" w:hAnsi="inherit"/>
          <w:strike w:val="false"/>
          <w:dstrike w:val="false"/>
          <w:color w:val="000000"/>
          <w:sz w:val="17"/>
          <w:u w:val="none"/>
          <w:effect w:val="none"/>
        </w:rPr>
        <w:t>12%</w:t>
      </w:r>
      <w:r>
        <w:rPr>
          <w:rFonts w:ascii="inherit" w:hAnsi="inherit"/>
          <w:sz w:val="17"/>
        </w:rPr>
        <w:t xml:space="preserve">, or </w:t>
      </w:r>
      <w:r>
        <w:rPr>
          <w:rFonts w:ascii="inherit" w:hAnsi="inherit"/>
          <w:strike w:val="false"/>
          <w:dstrike w:val="false"/>
          <w:color w:val="000000"/>
          <w:sz w:val="17"/>
          <w:u w:val="none"/>
          <w:effect w:val="none"/>
        </w:rPr>
        <w:t>$32.0 million</w:t>
      </w:r>
      <w:r>
        <w:rPr>
          <w:rFonts w:ascii="inherit" w:hAnsi="inherit"/>
          <w:sz w:val="17"/>
        </w:rPr>
        <w:t xml:space="preserve">, due to higher operating costs at new and acquired stores, increased labor, benefits and additional investments made in infrastructure to support our growth. Depreciation and amortization increased </w:t>
      </w:r>
      <w:r>
        <w:rPr>
          <w:rFonts w:ascii="inherit" w:hAnsi="inherit"/>
          <w:strike w:val="false"/>
          <w:dstrike w:val="false"/>
          <w:color w:val="000000"/>
          <w:sz w:val="17"/>
          <w:u w:val="none"/>
          <w:effect w:val="none"/>
        </w:rPr>
        <w:t>20%</w:t>
      </w:r>
      <w:r>
        <w:rPr>
          <w:rFonts w:ascii="inherit" w:hAnsi="inherit"/>
          <w:sz w:val="17"/>
        </w:rPr>
        <w:t xml:space="preserve">, or </w:t>
      </w:r>
      <w:r>
        <w:rPr>
          <w:rFonts w:ascii="inherit" w:hAnsi="inherit"/>
          <w:strike w:val="false"/>
          <w:dstrike w:val="false"/>
          <w:color w:val="000000"/>
          <w:sz w:val="17"/>
          <w:u w:val="none"/>
          <w:effect w:val="none"/>
        </w:rPr>
        <w:t>$2.3 million</w:t>
      </w:r>
      <w:r>
        <w:rPr>
          <w:rFonts w:ascii="inherit" w:hAnsi="inherit"/>
          <w:sz w:val="17"/>
        </w:rPr>
        <w:t xml:space="preserve">, from the prior year to </w:t>
      </w:r>
      <w:r>
        <w:rPr>
          <w:rFonts w:ascii="inherit" w:hAnsi="inherit"/>
          <w:strike w:val="false"/>
          <w:dstrike w:val="false"/>
          <w:color w:val="000000"/>
          <w:sz w:val="17"/>
          <w:u w:val="none"/>
          <w:effect w:val="none"/>
        </w:rPr>
        <w:t>$13.6 million</w:t>
      </w:r>
      <w:r>
        <w:rPr>
          <w:rFonts w:ascii="inherit" w:hAnsi="inherit"/>
          <w:sz w:val="17"/>
        </w:rPr>
        <w:t xml:space="preserve">, mainly due to assets placed in service at new and acquired stores. </w:t>
      </w:r>
    </w:p>
    <w:p>
      <w:pPr>
        <w:pStyle w:val="TextBody"/>
        <w:spacing w:lineRule="auto" w:line="288" w:before="0" w:after="0"/>
        <w:jc w:val="left"/>
        <w:rPr>
          <w:sz w:val="17"/>
        </w:rPr>
      </w:pPr>
      <w:r>
        <w:rPr>
          <w:rFonts w:ascii="inherit" w:hAnsi="inherit"/>
          <w:sz w:val="17"/>
        </w:rPr>
        <w:t xml:space="preserve">In fiscal 2012, U.S. &amp; Canada delivered segment contribution of </w:t>
      </w:r>
      <w:r>
        <w:rPr>
          <w:rFonts w:ascii="inherit" w:hAnsi="inherit"/>
          <w:strike w:val="false"/>
          <w:dstrike w:val="false"/>
          <w:color w:val="000000"/>
          <w:sz w:val="17"/>
          <w:u w:val="none"/>
          <w:effect w:val="none"/>
        </w:rPr>
        <w:t>$230.5 million</w:t>
      </w:r>
      <w:r>
        <w:rPr>
          <w:rFonts w:ascii="inherit" w:hAnsi="inherit"/>
          <w:sz w:val="17"/>
        </w:rPr>
        <w:t xml:space="preserve">, a </w:t>
      </w:r>
      <w:r>
        <w:rPr>
          <w:rFonts w:ascii="inherit" w:hAnsi="inherit"/>
          <w:strike w:val="false"/>
          <w:dstrike w:val="false"/>
          <w:color w:val="000000"/>
          <w:sz w:val="17"/>
          <w:u w:val="none"/>
          <w:effect w:val="none"/>
        </w:rPr>
        <w:t>$4.4 million</w:t>
      </w:r>
      <w:r>
        <w:rPr>
          <w:sz w:val="17"/>
        </w:rPr>
        <w:t xml:space="preserve"> </w:t>
      </w:r>
      <w:r>
        <w:rPr>
          <w:rFonts w:ascii="inherit" w:hAnsi="inherit"/>
          <w:sz w:val="17"/>
        </w:rPr>
        <w:t xml:space="preserve">increase compared to the prior year. For fiscal 2012, the U.S. &amp; Canada segment's contribution represents </w:t>
      </w:r>
      <w:r>
        <w:rPr>
          <w:rFonts w:ascii="inherit" w:hAnsi="inherit"/>
          <w:strike w:val="false"/>
          <w:dstrike w:val="false"/>
          <w:color w:val="000000"/>
          <w:sz w:val="17"/>
          <w:u w:val="none"/>
          <w:effect w:val="none"/>
        </w:rPr>
        <w:t>82%</w:t>
      </w:r>
      <w:r>
        <w:rPr>
          <w:sz w:val="17"/>
        </w:rPr>
        <w:t xml:space="preserve"> </w:t>
      </w:r>
      <w:r>
        <w:rPr>
          <w:rFonts w:ascii="inherit" w:hAnsi="inherit"/>
          <w:sz w:val="17"/>
        </w:rPr>
        <w:t xml:space="preserve">of consolidated segment contribution compared to </w:t>
      </w:r>
      <w:r>
        <w:rPr>
          <w:rFonts w:ascii="inherit" w:hAnsi="inherit"/>
          <w:strike w:val="false"/>
          <w:dstrike w:val="false"/>
          <w:color w:val="000000"/>
          <w:sz w:val="17"/>
          <w:u w:val="none"/>
          <w:effect w:val="none"/>
        </w:rPr>
        <w:t>92%</w:t>
      </w:r>
      <w:r>
        <w:rPr>
          <w:sz w:val="17"/>
        </w:rPr>
        <w:t xml:space="preserve"> </w:t>
      </w:r>
      <w:r>
        <w:rPr>
          <w:rFonts w:ascii="inherit" w:hAnsi="inherit"/>
          <w:sz w:val="17"/>
        </w:rPr>
        <w:t>in the prior year. While the U.S. &amp; Canada segment has experienced some challenges related to jewelry merchandise sales and gold scrap sales, other elements of the business have continued to show strength, offsetting to a large extent, the challenges in the gold and jewelry market.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45</w:t>
      </w:r>
      <w:r>
        <w:br w:type="page"/>
      </w:r>
    </w:p>
    <w:p>
      <w:pPr>
        <w:pStyle w:val="TextBody"/>
        <w:spacing w:lineRule="auto" w:line="288" w:before="0" w:after="0"/>
        <w:rPr/>
      </w:pPr>
      <w:hyperlink w:anchor="sA13583D437E20DC41B4583E2BD74AA47">
        <w:bookmarkStart w:id="42" w:name="sf0be305dcb9d412880fcf93f0c6d396a"/>
        <w:bookmarkEnd w:id="42"/>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Latin America</w:t>
      </w:r>
    </w:p>
    <w:p>
      <w:pPr>
        <w:pStyle w:val="TextBody"/>
        <w:spacing w:lineRule="auto" w:line="288" w:before="0" w:after="0"/>
        <w:jc w:val="left"/>
        <w:rPr>
          <w:rFonts w:ascii="inherit" w:hAnsi="inherit"/>
          <w:sz w:val="17"/>
        </w:rPr>
      </w:pPr>
      <w:r>
        <w:rPr>
          <w:rFonts w:ascii="inherit" w:hAnsi="inherit"/>
          <w:sz w:val="17"/>
        </w:rPr>
        <w:t>The following table presents selected financial data from continuing operations for the Latin America segment after translation to U.S. dollars from its functional currency of the Mexican peso:</w:t>
      </w:r>
    </w:p>
    <w:tbl>
      <w:tblPr>
        <w:tblW w:w="10205" w:type="dxa"/>
        <w:jc w:val="left"/>
        <w:tblInd w:w="0" w:type="dxa"/>
        <w:tblCellMar>
          <w:top w:w="0" w:type="dxa"/>
          <w:left w:w="0" w:type="dxa"/>
          <w:bottom w:w="0" w:type="dxa"/>
          <w:right w:w="0" w:type="dxa"/>
        </w:tblCellMar>
      </w:tblPr>
      <w:tblGrid>
        <w:gridCol w:w="6014"/>
        <w:gridCol w:w="182"/>
        <w:gridCol w:w="1372"/>
        <w:gridCol w:w="250"/>
        <w:gridCol w:w="151"/>
        <w:gridCol w:w="182"/>
        <w:gridCol w:w="1372"/>
        <w:gridCol w:w="682"/>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014"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14" w:type="dxa"/>
            <w:tcBorders/>
            <w:shd w:fill="auto" w:val="clear"/>
            <w:vAlign w:val="center"/>
          </w:tcPr>
          <w:p>
            <w:pPr>
              <w:pStyle w:val="TableContents"/>
              <w:spacing w:before="0" w:after="0"/>
              <w:ind w:left="0" w:right="0" w:firstLine="30"/>
              <w:jc w:val="left"/>
              <w:rPr/>
            </w:pPr>
            <w:r>
              <w:rPr/>
              <w:t> </w:t>
            </w:r>
          </w:p>
        </w:tc>
        <w:tc>
          <w:tcPr>
            <w:tcW w:w="419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014" w:type="dxa"/>
            <w:tcBorders/>
            <w:shd w:fill="auto" w:val="clear"/>
            <w:vAlign w:val="center"/>
          </w:tcPr>
          <w:p>
            <w:pPr>
              <w:pStyle w:val="TableContents"/>
              <w:spacing w:before="0" w:after="0"/>
              <w:ind w:left="0" w:right="0" w:firstLine="30"/>
              <w:jc w:val="left"/>
              <w:rPr/>
            </w:pPr>
            <w:r>
              <w:rPr/>
              <w:t> </w:t>
            </w:r>
          </w:p>
        </w:tc>
        <w:tc>
          <w:tcPr>
            <w:tcW w:w="180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51" w:type="dxa"/>
            <w:tcBorders/>
            <w:shd w:fill="auto" w:val="clear"/>
            <w:vAlign w:val="center"/>
          </w:tcPr>
          <w:p>
            <w:pPr>
              <w:pStyle w:val="TableContents"/>
              <w:spacing w:before="0" w:after="0"/>
              <w:ind w:left="0" w:right="0" w:firstLine="30"/>
              <w:rPr/>
            </w:pPr>
            <w:r>
              <w:rPr/>
              <w:t> </w:t>
            </w:r>
          </w:p>
        </w:tc>
        <w:tc>
          <w:tcPr>
            <w:tcW w:w="223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014" w:type="dxa"/>
            <w:tcBorders/>
            <w:shd w:fill="auto" w:val="clear"/>
            <w:vAlign w:val="center"/>
          </w:tcPr>
          <w:p>
            <w:pPr>
              <w:pStyle w:val="TableContents"/>
              <w:spacing w:before="0" w:after="0"/>
              <w:ind w:left="0" w:right="0" w:firstLine="30"/>
              <w:jc w:val="left"/>
              <w:rPr/>
            </w:pPr>
            <w:r>
              <w:rPr/>
              <w:t> </w:t>
            </w:r>
          </w:p>
        </w:tc>
        <w:tc>
          <w:tcPr>
            <w:tcW w:w="4191"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(dollars in thousands)</w:t>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804"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236" w:type="dxa"/>
            <w:gridSpan w:val="3"/>
            <w:tcBorders/>
            <w:shd w:fill="CCEEFF" w:val="clear"/>
            <w:vAlign w:val="center"/>
          </w:tcPr>
          <w:p>
            <w:pPr>
              <w:pStyle w:val="TableContents"/>
              <w:spacing w:before="0" w:after="0"/>
              <w:ind w:left="0" w:right="0" w:firstLine="180"/>
              <w:rPr/>
            </w:pPr>
            <w:r>
              <w:rPr/>
              <w:t> </w:t>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72" w:type="dxa"/>
            <w:tcBorders/>
            <w:shd w:fill="auto" w:val="clear"/>
            <w:vAlign w:val="center"/>
          </w:tcPr>
          <w:p>
            <w:pPr>
              <w:pStyle w:val="TableContents"/>
              <w:spacing w:before="0" w:after="0"/>
              <w:jc w:val="right"/>
              <w:rPr>
                <w:rFonts w:ascii="inherit" w:hAnsi="inherit"/>
                <w:sz w:val="17"/>
              </w:rPr>
            </w:pPr>
            <w:r>
              <w:rPr>
                <w:rFonts w:ascii="inherit" w:hAnsi="inherit"/>
                <w:sz w:val="17"/>
              </w:rPr>
              <w:t>41,567</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72" w:type="dxa"/>
            <w:tcBorders/>
            <w:shd w:fill="auto" w:val="clear"/>
            <w:vAlign w:val="center"/>
          </w:tcPr>
          <w:p>
            <w:pPr>
              <w:pStyle w:val="TableContents"/>
              <w:spacing w:before="0" w:after="0"/>
              <w:jc w:val="right"/>
              <w:rPr>
                <w:rFonts w:ascii="inherit" w:hAnsi="inherit"/>
                <w:sz w:val="17"/>
              </w:rPr>
            </w:pPr>
            <w:r>
              <w:rPr>
                <w:rFonts w:ascii="inherit" w:hAnsi="inherit"/>
                <w:sz w:val="17"/>
              </w:rPr>
              <w:t>25,022</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10,576</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8,938</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22,937</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15,542</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and interest</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26,901</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pPr>
            <w:r>
              <w:rPr/>
              <w:t>—</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1,292</w:t>
            </w:r>
          </w:p>
        </w:tc>
        <w:tc>
          <w:tcPr>
            <w:tcW w:w="2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99</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103,273</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49,601</w:t>
            </w:r>
          </w:p>
        </w:tc>
        <w:tc>
          <w:tcPr>
            <w:tcW w:w="682" w:type="dxa"/>
            <w:tcBorders>
              <w:top w:val="single" w:sz="2" w:space="0" w:color="000000"/>
            </w:tcBorders>
            <w:shd w:fill="CCEEFF" w:val="clear"/>
            <w:tcMar>
              <w:top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22,504</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14,537</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8,111</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6,819</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309</w:t>
            </w:r>
          </w:p>
        </w:tc>
        <w:tc>
          <w:tcPr>
            <w:tcW w:w="2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72,349</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28,245</w:t>
            </w:r>
          </w:p>
        </w:tc>
        <w:tc>
          <w:tcPr>
            <w:tcW w:w="68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 (income):</w:t>
            </w:r>
          </w:p>
        </w:tc>
        <w:tc>
          <w:tcPr>
            <w:tcW w:w="1804"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2236" w:type="dxa"/>
            <w:gridSpan w:val="3"/>
            <w:tcBorders/>
            <w:shd w:fill="auto" w:val="clear"/>
            <w:vAlign w:val="center"/>
          </w:tcPr>
          <w:p>
            <w:pPr>
              <w:pStyle w:val="TableContents"/>
              <w:spacing w:before="0" w:after="0"/>
              <w:ind w:left="0" w:right="0" w:firstLine="180"/>
              <w:rPr/>
            </w:pPr>
            <w:r>
              <w:rPr/>
              <w:t> </w:t>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37,259</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21,260</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3,319</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2,066</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1,370</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382</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expense, net</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(4,507</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2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7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34,901</w:t>
            </w:r>
          </w:p>
        </w:tc>
        <w:tc>
          <w:tcPr>
            <w:tcW w:w="25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4,514</w:t>
            </w:r>
          </w:p>
        </w:tc>
        <w:tc>
          <w:tcPr>
            <w:tcW w:w="68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804" w:type="dxa"/>
            <w:gridSpan w:val="3"/>
            <w:tcBorders/>
            <w:shd w:fill="auto" w:val="clear"/>
            <w:vAlign w:val="center"/>
          </w:tcPr>
          <w:p>
            <w:pPr>
              <w:pStyle w:val="TableContents"/>
              <w:spacing w:before="0" w:after="0"/>
              <w:ind w:left="0" w:right="0" w:firstLine="30"/>
              <w:jc w:val="left"/>
              <w:rPr/>
            </w:pPr>
            <w:r>
              <w:rPr/>
              <w:t> </w:t>
            </w:r>
          </w:p>
        </w:tc>
        <w:tc>
          <w:tcPr>
            <w:tcW w:w="151" w:type="dxa"/>
            <w:tcBorders/>
            <w:shd w:fill="auto" w:val="clear"/>
            <w:vAlign w:val="center"/>
          </w:tcPr>
          <w:p>
            <w:pPr>
              <w:pStyle w:val="TableContents"/>
              <w:spacing w:before="0" w:after="0"/>
              <w:ind w:left="0" w:right="0" w:firstLine="30"/>
              <w:rPr/>
            </w:pPr>
            <w:r>
              <w:rPr/>
              <w:t> </w:t>
            </w:r>
          </w:p>
        </w:tc>
        <w:tc>
          <w:tcPr>
            <w:tcW w:w="2236" w:type="dxa"/>
            <w:gridSpan w:val="3"/>
            <w:tcBorders/>
            <w:shd w:fill="auto" w:val="clear"/>
            <w:vAlign w:val="center"/>
          </w:tcPr>
          <w:p>
            <w:pPr>
              <w:pStyle w:val="TableContents"/>
              <w:spacing w:before="0" w:after="0"/>
              <w:ind w:left="0" w:right="0" w:firstLine="300"/>
              <w:jc w:val="left"/>
              <w:rPr/>
            </w:pPr>
            <w:r>
              <w:rPr/>
              <w:t> </w:t>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45.9</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w:t>
            </w:r>
          </w:p>
        </w:tc>
        <w:tc>
          <w:tcPr>
            <w:tcW w:w="682"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23.3</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23.7</w:t>
            </w:r>
          </w:p>
        </w:tc>
        <w:tc>
          <w:tcPr>
            <w:tcW w:w="682"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41.3</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37.1</w:t>
            </w:r>
          </w:p>
        </w:tc>
        <w:tc>
          <w:tcPr>
            <w:tcW w:w="682"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72" w:type="dxa"/>
            <w:tcBorders/>
            <w:shd w:fill="auto" w:val="clear"/>
            <w:vAlign w:val="center"/>
          </w:tcPr>
          <w:p>
            <w:pPr>
              <w:pStyle w:val="TableContents"/>
              <w:spacing w:before="0" w:after="0"/>
              <w:jc w:val="right"/>
              <w:rPr>
                <w:rFonts w:ascii="inherit" w:hAnsi="inherit"/>
                <w:sz w:val="17"/>
              </w:rPr>
            </w:pPr>
            <w:r>
              <w:rPr>
                <w:rFonts w:ascii="inherit" w:hAnsi="inherit"/>
                <w:sz w:val="17"/>
              </w:rPr>
              <w:t>81</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72" w:type="dxa"/>
            <w:tcBorders/>
            <w:shd w:fill="auto" w:val="clear"/>
            <w:vAlign w:val="center"/>
          </w:tcPr>
          <w:p>
            <w:pPr>
              <w:pStyle w:val="TableContents"/>
              <w:spacing w:before="0" w:after="0"/>
              <w:jc w:val="right"/>
              <w:rPr>
                <w:rFonts w:ascii="inherit" w:hAnsi="inherit"/>
                <w:sz w:val="17"/>
              </w:rPr>
            </w:pPr>
            <w:r>
              <w:rPr>
                <w:rFonts w:ascii="inherit" w:hAnsi="inherit"/>
                <w:sz w:val="17"/>
              </w:rPr>
              <w:t>65</w:t>
            </w:r>
          </w:p>
        </w:tc>
        <w:tc>
          <w:tcPr>
            <w:tcW w:w="682"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0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198</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5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196</w:t>
            </w:r>
          </w:p>
        </w:tc>
        <w:tc>
          <w:tcPr>
            <w:tcW w:w="682"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0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5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w:t>
            </w:r>
          </w:p>
        </w:tc>
        <w:tc>
          <w:tcPr>
            <w:tcW w:w="682"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601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5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25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5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N/A</w:t>
            </w:r>
          </w:p>
        </w:tc>
        <w:tc>
          <w:tcPr>
            <w:tcW w:w="682" w:type="dxa"/>
            <w:tcBorders>
              <w:bottom w:val="single" w:sz="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369"/>
        <w:gridCol w:w="9836"/>
      </w:tblGrid>
      <w:tr>
        <w:trPr/>
        <w:tc>
          <w:tcPr>
            <w:tcW w:w="369" w:type="dxa"/>
            <w:tcBorders/>
            <w:shd w:fill="auto" w:val="clear"/>
            <w:vAlign w:val="center"/>
          </w:tcPr>
          <w:p>
            <w:pPr>
              <w:pStyle w:val="TableContents"/>
              <w:spacing w:before="0" w:after="283"/>
              <w:rPr>
                <w:sz w:val="4"/>
                <w:szCs w:val="4"/>
              </w:rPr>
            </w:pPr>
            <w:r>
              <w:rPr>
                <w:sz w:val="4"/>
                <w:szCs w:val="4"/>
              </w:rPr>
            </w:r>
          </w:p>
        </w:tc>
        <w:tc>
          <w:tcPr>
            <w:tcW w:w="9836" w:type="dxa"/>
            <w:tcBorders/>
            <w:shd w:fill="auto" w:val="clear"/>
            <w:vAlign w:val="center"/>
          </w:tcPr>
          <w:p>
            <w:pPr>
              <w:pStyle w:val="TableContents"/>
              <w:spacing w:before="0" w:after="283"/>
              <w:rPr>
                <w:sz w:val="4"/>
                <w:szCs w:val="4"/>
              </w:rPr>
            </w:pPr>
            <w:r>
              <w:rPr>
                <w:sz w:val="4"/>
                <w:szCs w:val="4"/>
              </w:rPr>
            </w:r>
          </w:p>
        </w:tc>
      </w:tr>
      <w:tr>
        <w:trPr/>
        <w:tc>
          <w:tcPr>
            <w:tcW w:w="369" w:type="dxa"/>
            <w:tcBorders/>
            <w:shd w:fill="auto" w:val="clear"/>
            <w:vAlign w:val="center"/>
          </w:tcPr>
          <w:p>
            <w:pPr>
              <w:pStyle w:val="TableContents"/>
              <w:spacing w:lineRule="auto" w:line="288" w:before="0" w:after="0"/>
              <w:ind w:left="0" w:right="0" w:firstLine="135"/>
              <w:rPr>
                <w:rFonts w:ascii="inherit" w:hAnsi="inherit"/>
                <w:sz w:val="15"/>
              </w:rPr>
            </w:pPr>
            <w:r>
              <w:rPr>
                <w:rFonts w:ascii="inherit" w:hAnsi="inherit"/>
                <w:sz w:val="15"/>
              </w:rPr>
              <w:t>(a)</w:t>
            </w:r>
          </w:p>
        </w:tc>
        <w:tc>
          <w:tcPr>
            <w:tcW w:w="9836" w:type="dxa"/>
            <w:tcBorders/>
            <w:shd w:fill="auto" w:val="clear"/>
            <w:vAlign w:val="center"/>
          </w:tcPr>
          <w:p>
            <w:pPr>
              <w:pStyle w:val="TableContents"/>
              <w:spacing w:lineRule="auto" w:line="288" w:before="0" w:after="0"/>
              <w:rPr>
                <w:rFonts w:ascii="inherit" w:hAnsi="inherit"/>
                <w:sz w:val="15"/>
              </w:rPr>
            </w:pPr>
            <w:r>
              <w:rPr>
                <w:rFonts w:ascii="inherit" w:hAnsi="inherit"/>
                <w:sz w:val="15"/>
              </w:rPr>
              <w:t>Average yield on pawn loan portfolio is calculated as pawn service charge revenues for the period divided by the average pawn loan balance during the period.</w:t>
            </w:r>
          </w:p>
        </w:tc>
      </w:tr>
    </w:tbl>
    <w:p>
      <w:pPr>
        <w:pStyle w:val="TextBody"/>
        <w:spacing w:lineRule="auto" w:line="288" w:before="0" w:after="0"/>
        <w:jc w:val="left"/>
        <w:rPr>
          <w:rFonts w:ascii="inherit" w:hAnsi="inherit"/>
          <w:sz w:val="17"/>
        </w:rPr>
      </w:pPr>
      <w:r>
        <w:rPr>
          <w:rFonts w:ascii="inherit" w:hAnsi="inherit"/>
          <w:sz w:val="17"/>
        </w:rPr>
        <w:t xml:space="preserve">The average exchange rate used to translate Latin America's results from Mexican pesos to U.S. dollars was 13.3 to 1 pesos to the dollar, 9% higher than the prior year's rate of 12.1 to 1. In fiscal 2012, we opened 52 de novo pawn stores, and on January 30, 2012, we acquired a 60% interest in Grupo Finmart, a specialty consumer finance company headquartered in Mexico City with 45 loan servicing locations throughout the county. Grupo Finmart is included in our fiscal 2012 results for eight months of the twelve-month period. </w:t>
      </w:r>
    </w:p>
    <w:p>
      <w:pPr>
        <w:pStyle w:val="TextBody"/>
        <w:spacing w:lineRule="auto" w:line="288" w:before="0" w:after="0"/>
        <w:jc w:val="left"/>
        <w:rPr>
          <w:sz w:val="17"/>
        </w:rPr>
      </w:pPr>
      <w:r>
        <w:rPr>
          <w:rFonts w:ascii="inherit" w:hAnsi="inherit"/>
          <w:sz w:val="17"/>
        </w:rPr>
        <w:t xml:space="preserve">The Latin America segment's total revenues increased </w:t>
      </w:r>
      <w:r>
        <w:rPr>
          <w:rFonts w:ascii="inherit" w:hAnsi="inherit"/>
          <w:strike w:val="false"/>
          <w:dstrike w:val="false"/>
          <w:color w:val="000000"/>
          <w:sz w:val="17"/>
          <w:u w:val="none"/>
          <w:effect w:val="none"/>
        </w:rPr>
        <w:t>$53.7 million</w:t>
      </w:r>
      <w:r>
        <w:rPr>
          <w:rFonts w:ascii="inherit" w:hAnsi="inherit"/>
          <w:sz w:val="17"/>
        </w:rPr>
        <w:t xml:space="preserve">, or </w:t>
      </w:r>
      <w:r>
        <w:rPr>
          <w:rFonts w:ascii="inherit" w:hAnsi="inherit"/>
          <w:strike w:val="false"/>
          <w:dstrike w:val="false"/>
          <w:color w:val="000000"/>
          <w:sz w:val="17"/>
          <w:u w:val="none"/>
          <w:effect w:val="none"/>
        </w:rPr>
        <w:t>108%</w:t>
      </w:r>
      <w:r>
        <w:rPr>
          <w:rFonts w:ascii="inherit" w:hAnsi="inherit"/>
          <w:sz w:val="17"/>
        </w:rPr>
        <w:t xml:space="preserve">, in fiscal 2012 to </w:t>
      </w:r>
      <w:r>
        <w:rPr>
          <w:rFonts w:ascii="inherit" w:hAnsi="inherit"/>
          <w:strike w:val="false"/>
          <w:dstrike w:val="false"/>
          <w:color w:val="000000"/>
          <w:sz w:val="17"/>
          <w:u w:val="none"/>
          <w:effect w:val="none"/>
        </w:rPr>
        <w:t>$103.3 million</w:t>
      </w:r>
      <w:r>
        <w:rPr>
          <w:rFonts w:ascii="inherit" w:hAnsi="inherit"/>
          <w:sz w:val="17"/>
        </w:rPr>
        <w:t xml:space="preserve">. Same store total revenues increased $6.1 million, or 12%, and new and acquired stores contributed $47.5 million. The overall increase in total revenues was mostly due to the </w:t>
      </w:r>
      <w:r>
        <w:rPr>
          <w:rFonts w:ascii="inherit" w:hAnsi="inherit"/>
          <w:strike w:val="false"/>
          <w:dstrike w:val="false"/>
          <w:color w:val="000000"/>
          <w:sz w:val="17"/>
          <w:u w:val="none"/>
          <w:effect w:val="none"/>
        </w:rPr>
        <w:t>$26.9 million</w:t>
      </w:r>
      <w:r>
        <w:rPr>
          <w:sz w:val="17"/>
        </w:rPr>
        <w:t xml:space="preserve"> </w:t>
      </w:r>
      <w:r>
        <w:rPr>
          <w:rFonts w:ascii="inherit" w:hAnsi="inherit"/>
          <w:sz w:val="17"/>
        </w:rPr>
        <w:t xml:space="preserve">in Grupo Finmart consumer loan fees, </w:t>
      </w:r>
      <w:r>
        <w:rPr>
          <w:rFonts w:ascii="inherit" w:hAnsi="inherit"/>
          <w:strike w:val="false"/>
          <w:dstrike w:val="false"/>
          <w:color w:val="000000"/>
          <w:sz w:val="17"/>
          <w:u w:val="none"/>
          <w:effect w:val="none"/>
        </w:rPr>
        <w:t>$18.2 million</w:t>
      </w:r>
      <w:r>
        <w:rPr>
          <w:sz w:val="17"/>
        </w:rPr>
        <w:t xml:space="preserve"> </w:t>
      </w:r>
      <w:r>
        <w:rPr>
          <w:rFonts w:ascii="inherit" w:hAnsi="inherit"/>
          <w:sz w:val="17"/>
        </w:rPr>
        <w:t xml:space="preserve">increase in merchandise and jewelry scrapping sales, a </w:t>
      </w:r>
      <w:r>
        <w:rPr>
          <w:rFonts w:ascii="inherit" w:hAnsi="inherit"/>
          <w:strike w:val="false"/>
          <w:dstrike w:val="false"/>
          <w:color w:val="000000"/>
          <w:sz w:val="17"/>
          <w:u w:val="none"/>
          <w:effect w:val="none"/>
        </w:rPr>
        <w:t>$7.4 million</w:t>
      </w:r>
      <w:r>
        <w:rPr>
          <w:sz w:val="17"/>
        </w:rPr>
        <w:t xml:space="preserve"> </w:t>
      </w:r>
      <w:r>
        <w:rPr>
          <w:rFonts w:ascii="inherit" w:hAnsi="inherit"/>
          <w:sz w:val="17"/>
        </w:rPr>
        <w:t xml:space="preserve">increase in pawn service charges and a </w:t>
      </w:r>
      <w:r>
        <w:rPr>
          <w:rFonts w:ascii="inherit" w:hAnsi="inherit"/>
          <w:strike w:val="false"/>
          <w:dstrike w:val="false"/>
          <w:color w:val="000000"/>
          <w:sz w:val="17"/>
          <w:u w:val="none"/>
          <w:effect w:val="none"/>
        </w:rPr>
        <w:t>$1.2 million</w:t>
      </w:r>
      <w:r>
        <w:rPr>
          <w:sz w:val="17"/>
        </w:rPr>
        <w:t xml:space="preserve"> </w:t>
      </w:r>
      <w:r>
        <w:rPr>
          <w:rFonts w:ascii="inherit" w:hAnsi="inherit"/>
          <w:sz w:val="17"/>
        </w:rPr>
        <w:t xml:space="preserve">increase in other revenues. </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46</w:t>
      </w:r>
      <w:r>
        <w:br w:type="page"/>
      </w:r>
    </w:p>
    <w:p>
      <w:pPr>
        <w:pStyle w:val="TextBody"/>
        <w:spacing w:lineRule="auto" w:line="288" w:before="0" w:after="0"/>
        <w:rPr/>
      </w:pPr>
      <w:hyperlink w:anchor="sA13583D437E20DC41B4583E2BD74AA47">
        <w:bookmarkStart w:id="43" w:name="sf0be305dcb9d412880fcf93f0c6d396a1"/>
        <w:bookmarkEnd w:id="43"/>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The Latin America segment's pawn service charge revenues increased </w:t>
      </w:r>
      <w:r>
        <w:rPr>
          <w:rFonts w:ascii="inherit" w:hAnsi="inherit"/>
          <w:strike w:val="false"/>
          <w:dstrike w:val="false"/>
          <w:color w:val="000000"/>
          <w:sz w:val="17"/>
          <w:u w:val="none"/>
          <w:effect w:val="none"/>
        </w:rPr>
        <w:t>$7.4 million</w:t>
      </w:r>
      <w:r>
        <w:rPr>
          <w:rFonts w:ascii="inherit" w:hAnsi="inherit"/>
          <w:sz w:val="17"/>
        </w:rPr>
        <w:t xml:space="preserve">, or </w:t>
      </w:r>
      <w:r>
        <w:rPr>
          <w:rFonts w:ascii="inherit" w:hAnsi="inherit"/>
          <w:strike w:val="false"/>
          <w:dstrike w:val="false"/>
          <w:color w:val="000000"/>
          <w:sz w:val="17"/>
          <w:u w:val="none"/>
          <w:effect w:val="none"/>
        </w:rPr>
        <w:t>48%</w:t>
      </w:r>
      <w:r>
        <w:rPr>
          <w:rFonts w:ascii="inherit" w:hAnsi="inherit"/>
          <w:sz w:val="17"/>
        </w:rPr>
        <w:t xml:space="preserve">, in fiscal 2012 to </w:t>
      </w:r>
      <w:r>
        <w:rPr>
          <w:rFonts w:ascii="inherit" w:hAnsi="inherit"/>
          <w:strike w:val="false"/>
          <w:dstrike w:val="false"/>
          <w:color w:val="000000"/>
          <w:sz w:val="17"/>
          <w:u w:val="none"/>
          <w:effect w:val="none"/>
        </w:rPr>
        <w:t>$22.9 million</w:t>
      </w:r>
      <w:r>
        <w:rPr>
          <w:rFonts w:ascii="inherit" w:hAnsi="inherit"/>
          <w:sz w:val="17"/>
        </w:rPr>
        <w:t xml:space="preserve">. Same store pawn service charges increased $2.0 million, or 13%, and new and acquired stores contributed $5.4 million. The total increase was due to a 56% increase in the outstanding pawn loan balance coupled with a 2 percentage point increase in the pawn yield. The yield increased primarily due to a 3 percentage point increase in the loan redemption rate as we continued to focus on loan values. </w:t>
      </w:r>
    </w:p>
    <w:p>
      <w:pPr>
        <w:pStyle w:val="TextBody"/>
        <w:spacing w:lineRule="auto" w:line="288" w:before="0" w:after="0"/>
        <w:jc w:val="left"/>
        <w:rPr>
          <w:sz w:val="17"/>
        </w:rPr>
      </w:pPr>
      <w:r>
        <w:rPr>
          <w:rFonts w:ascii="inherit" w:hAnsi="inherit"/>
          <w:sz w:val="17"/>
        </w:rPr>
        <w:t xml:space="preserve">Merchandise gross profit increased $8.6 million, or 82%, from the prior year to $19.1 million. The increase was due to a $5.3 million, or 21%, same store sales increase and a $11.2 million increase in sales from new and acquired stores coupled with a </w:t>
      </w:r>
      <w:r>
        <w:rPr>
          <w:rFonts w:ascii="inherit" w:hAnsi="inherit"/>
          <w:strike w:val="false"/>
          <w:dstrike w:val="false"/>
          <w:color w:val="000000"/>
          <w:sz w:val="17"/>
          <w:u w:val="none"/>
          <w:effect w:val="none"/>
        </w:rPr>
        <w:t>4.0</w:t>
      </w:r>
      <w:r>
        <w:rPr>
          <w:sz w:val="17"/>
        </w:rPr>
        <w:t xml:space="preserve"> </w:t>
      </w:r>
      <w:r>
        <w:rPr>
          <w:rFonts w:ascii="inherit" w:hAnsi="inherit"/>
          <w:sz w:val="17"/>
        </w:rPr>
        <w:t xml:space="preserve">percentage point increase in gross margins to </w:t>
      </w:r>
      <w:r>
        <w:rPr>
          <w:rFonts w:ascii="inherit" w:hAnsi="inherit"/>
          <w:strike w:val="false"/>
          <w:dstrike w:val="false"/>
          <w:color w:val="000000"/>
          <w:sz w:val="17"/>
          <w:u w:val="none"/>
          <w:effect w:val="none"/>
        </w:rPr>
        <w:t>46%</w:t>
      </w:r>
      <w:r>
        <w:rPr>
          <w:rFonts w:ascii="inherit" w:hAnsi="inherit"/>
          <w:sz w:val="17"/>
        </w:rPr>
        <w:t xml:space="preserve">. </w:t>
      </w:r>
    </w:p>
    <w:p>
      <w:pPr>
        <w:pStyle w:val="TextBody"/>
        <w:spacing w:lineRule="auto" w:line="288" w:before="0" w:after="0"/>
        <w:jc w:val="left"/>
        <w:rPr>
          <w:sz w:val="17"/>
        </w:rPr>
      </w:pPr>
      <w:r>
        <w:rPr>
          <w:rFonts w:ascii="inherit" w:hAnsi="inherit"/>
          <w:sz w:val="17"/>
        </w:rPr>
        <w:t xml:space="preserve">Gross profit on jewelry scrapping sales increased </w:t>
      </w:r>
      <w:r>
        <w:rPr>
          <w:rFonts w:ascii="inherit" w:hAnsi="inherit"/>
          <w:strike w:val="false"/>
          <w:dstrike w:val="false"/>
          <w:color w:val="000000"/>
          <w:sz w:val="17"/>
          <w:u w:val="none"/>
          <w:effect w:val="none"/>
        </w:rPr>
        <w:t>$0.3 million</w:t>
      </w:r>
      <w:r>
        <w:rPr>
          <w:rFonts w:ascii="inherit" w:hAnsi="inherit"/>
          <w:sz w:val="17"/>
        </w:rPr>
        <w:t xml:space="preserve">, or </w:t>
      </w:r>
      <w:r>
        <w:rPr>
          <w:rFonts w:ascii="inherit" w:hAnsi="inherit"/>
          <w:strike w:val="false"/>
          <w:dstrike w:val="false"/>
          <w:color w:val="000000"/>
          <w:sz w:val="17"/>
          <w:u w:val="none"/>
          <w:effect w:val="none"/>
        </w:rPr>
        <w:t>16%</w:t>
      </w:r>
      <w:r>
        <w:rPr>
          <w:rFonts w:ascii="inherit" w:hAnsi="inherit"/>
          <w:sz w:val="17"/>
        </w:rPr>
        <w:t xml:space="preserve">, from the prior year to </w:t>
      </w:r>
      <w:r>
        <w:rPr>
          <w:rFonts w:ascii="inherit" w:hAnsi="inherit"/>
          <w:strike w:val="false"/>
          <w:dstrike w:val="false"/>
          <w:color w:val="000000"/>
          <w:sz w:val="17"/>
          <w:u w:val="none"/>
          <w:effect w:val="none"/>
        </w:rPr>
        <w:t>$2.5 million</w:t>
      </w:r>
      <w:r>
        <w:rPr>
          <w:rFonts w:ascii="inherit" w:hAnsi="inherit"/>
          <w:sz w:val="17"/>
        </w:rPr>
        <w:t xml:space="preserve">. Jewelry scrapping revenues increased </w:t>
      </w:r>
      <w:r>
        <w:rPr>
          <w:rFonts w:ascii="inherit" w:hAnsi="inherit"/>
          <w:strike w:val="false"/>
          <w:dstrike w:val="false"/>
          <w:color w:val="000000"/>
          <w:sz w:val="17"/>
          <w:u w:val="none"/>
          <w:effect w:val="none"/>
        </w:rPr>
        <w:t>$1.6 million</w:t>
      </w:r>
      <w:r>
        <w:rPr>
          <w:rFonts w:ascii="inherit" w:hAnsi="inherit"/>
          <w:sz w:val="17"/>
        </w:rPr>
        <w:t xml:space="preserve">, or </w:t>
      </w:r>
      <w:r>
        <w:rPr>
          <w:rFonts w:ascii="inherit" w:hAnsi="inherit"/>
          <w:strike w:val="false"/>
          <w:dstrike w:val="false"/>
          <w:color w:val="000000"/>
          <w:sz w:val="17"/>
          <w:u w:val="none"/>
          <w:effect w:val="none"/>
        </w:rPr>
        <w:t>18%</w:t>
      </w:r>
      <w:r>
        <w:rPr>
          <w:rFonts w:ascii="inherit" w:hAnsi="inherit"/>
          <w:sz w:val="17"/>
        </w:rPr>
        <w:t xml:space="preserve">, in fiscal 2012 to </w:t>
      </w:r>
      <w:r>
        <w:rPr>
          <w:rFonts w:ascii="inherit" w:hAnsi="inherit"/>
          <w:strike w:val="false"/>
          <w:dstrike w:val="false"/>
          <w:color w:val="000000"/>
          <w:sz w:val="17"/>
          <w:u w:val="none"/>
          <w:effect w:val="none"/>
        </w:rPr>
        <w:t>$10.6 million</w:t>
      </w:r>
      <w:r>
        <w:rPr>
          <w:rFonts w:ascii="inherit" w:hAnsi="inherit"/>
          <w:sz w:val="17"/>
        </w:rPr>
        <w:t xml:space="preserve">. The 10% increase in proceeds realized per gram of gold jewelry scrapped was partially offset by the 22% decrease in gold volume processed. Same store jewelry scrapping sales decreased $1.5 million, or 16%, and new and acquired stores contributed $3.1 million. Scrap cost of goods increased </w:t>
      </w:r>
      <w:r>
        <w:rPr>
          <w:rFonts w:ascii="inherit" w:hAnsi="inherit"/>
          <w:strike w:val="false"/>
          <w:dstrike w:val="false"/>
          <w:color w:val="000000"/>
          <w:sz w:val="17"/>
          <w:u w:val="none"/>
          <w:effect w:val="none"/>
        </w:rPr>
        <w:t>$1.3 million</w:t>
      </w:r>
      <w:r>
        <w:rPr>
          <w:rFonts w:ascii="inherit" w:hAnsi="inherit"/>
          <w:sz w:val="17"/>
        </w:rPr>
        <w:t xml:space="preserve">, or </w:t>
      </w:r>
      <w:r>
        <w:rPr>
          <w:rFonts w:ascii="inherit" w:hAnsi="inherit"/>
          <w:strike w:val="false"/>
          <w:dstrike w:val="false"/>
          <w:color w:val="000000"/>
          <w:sz w:val="17"/>
          <w:u w:val="none"/>
          <w:effect w:val="none"/>
        </w:rPr>
        <w:t>19%</w:t>
      </w:r>
      <w:r>
        <w:rPr>
          <w:rFonts w:ascii="inherit" w:hAnsi="inherit"/>
          <w:sz w:val="17"/>
        </w:rPr>
        <w:t xml:space="preserve">, due to the 10% increase in cost per gram. </w:t>
      </w:r>
    </w:p>
    <w:p>
      <w:pPr>
        <w:pStyle w:val="TextBody"/>
        <w:spacing w:lineRule="auto" w:line="288" w:before="0" w:after="0"/>
        <w:jc w:val="left"/>
        <w:rPr>
          <w:sz w:val="17"/>
        </w:rPr>
      </w:pPr>
      <w:r>
        <w:rPr>
          <w:rFonts w:ascii="inherit" w:hAnsi="inherit"/>
          <w:sz w:val="17"/>
        </w:rPr>
        <w:t xml:space="preserve">Total segment expenses increased to </w:t>
      </w:r>
      <w:r>
        <w:rPr>
          <w:rFonts w:ascii="inherit" w:hAnsi="inherit"/>
          <w:strike w:val="false"/>
          <w:dstrike w:val="false"/>
          <w:color w:val="000000"/>
          <w:sz w:val="17"/>
          <w:u w:val="none"/>
          <w:effect w:val="none"/>
        </w:rPr>
        <w:t>$37.4 million</w:t>
      </w:r>
      <w:r>
        <w:rPr>
          <w:sz w:val="17"/>
        </w:rPr>
        <w:t xml:space="preserve"> </w:t>
      </w:r>
      <w:r>
        <w:rPr>
          <w:rFonts w:ascii="inherit" w:hAnsi="inherit"/>
          <w:sz w:val="17"/>
        </w:rPr>
        <w:t>(</w:t>
      </w:r>
      <w:r>
        <w:rPr>
          <w:rFonts w:ascii="inherit" w:hAnsi="inherit"/>
          <w:strike w:val="false"/>
          <w:dstrike w:val="false"/>
          <w:color w:val="000000"/>
          <w:sz w:val="17"/>
          <w:u w:val="none"/>
          <w:effect w:val="none"/>
        </w:rPr>
        <w:t>36%</w:t>
      </w:r>
      <w:r>
        <w:rPr>
          <w:sz w:val="17"/>
        </w:rPr>
        <w:t xml:space="preserve"> </w:t>
      </w:r>
      <w:r>
        <w:rPr>
          <w:rFonts w:ascii="inherit" w:hAnsi="inherit"/>
          <w:sz w:val="17"/>
        </w:rPr>
        <w:t xml:space="preserve">of revenues) in fiscal 2012 from </w:t>
      </w:r>
      <w:r>
        <w:rPr>
          <w:rFonts w:ascii="inherit" w:hAnsi="inherit"/>
          <w:strike w:val="false"/>
          <w:dstrike w:val="false"/>
          <w:color w:val="000000"/>
          <w:sz w:val="17"/>
          <w:u w:val="none"/>
          <w:effect w:val="none"/>
        </w:rPr>
        <w:t>$23.7 million</w:t>
      </w:r>
      <w:r>
        <w:rPr>
          <w:sz w:val="17"/>
        </w:rPr>
        <w:t xml:space="preserve"> </w:t>
      </w:r>
      <w:r>
        <w:rPr>
          <w:rFonts w:ascii="inherit" w:hAnsi="inherit"/>
          <w:sz w:val="17"/>
        </w:rPr>
        <w:t>(</w:t>
      </w:r>
      <w:r>
        <w:rPr>
          <w:rFonts w:ascii="inherit" w:hAnsi="inherit"/>
          <w:strike w:val="false"/>
          <w:dstrike w:val="false"/>
          <w:color w:val="000000"/>
          <w:sz w:val="17"/>
          <w:u w:val="none"/>
          <w:effect w:val="none"/>
        </w:rPr>
        <w:t>48%</w:t>
      </w:r>
      <w:r>
        <w:rPr>
          <w:sz w:val="17"/>
        </w:rPr>
        <w:t xml:space="preserve"> </w:t>
      </w:r>
      <w:r>
        <w:rPr>
          <w:rFonts w:ascii="inherit" w:hAnsi="inherit"/>
          <w:sz w:val="17"/>
        </w:rPr>
        <w:t xml:space="preserve">of revenues) in the prior year. The dollar increase was due to a </w:t>
      </w:r>
      <w:r>
        <w:rPr>
          <w:rFonts w:ascii="inherit" w:hAnsi="inherit"/>
          <w:strike w:val="false"/>
          <w:dstrike w:val="false"/>
          <w:color w:val="000000"/>
          <w:sz w:val="17"/>
          <w:u w:val="none"/>
          <w:effect w:val="none"/>
        </w:rPr>
        <w:t>75.3%</w:t>
      </w:r>
      <w:r>
        <w:rPr>
          <w:rFonts w:ascii="inherit" w:hAnsi="inherit"/>
          <w:sz w:val="17"/>
        </w:rPr>
        <w:t xml:space="preserve">, or </w:t>
      </w:r>
      <w:r>
        <w:rPr>
          <w:rFonts w:ascii="inherit" w:hAnsi="inherit"/>
          <w:strike w:val="false"/>
          <w:dstrike w:val="false"/>
          <w:color w:val="000000"/>
          <w:sz w:val="17"/>
          <w:u w:val="none"/>
          <w:effect w:val="none"/>
        </w:rPr>
        <w:t>$16.0 million</w:t>
      </w:r>
      <w:r>
        <w:rPr>
          <w:rFonts w:ascii="inherit" w:hAnsi="inherit"/>
          <w:sz w:val="17"/>
        </w:rPr>
        <w:t xml:space="preserve">, increase in operations expenses due to higher operating costs resulting from the addition of 51 Empeño Fácil stores since the prior period, other acquisition costs and Grupo Finmart administrative expenses. Depreciation and amortization increased </w:t>
      </w:r>
      <w:r>
        <w:rPr>
          <w:rFonts w:ascii="inherit" w:hAnsi="inherit"/>
          <w:strike w:val="false"/>
          <w:dstrike w:val="false"/>
          <w:color w:val="000000"/>
          <w:sz w:val="17"/>
          <w:u w:val="none"/>
          <w:effect w:val="none"/>
        </w:rPr>
        <w:t>$2.2 million</w:t>
      </w:r>
      <w:r>
        <w:rPr>
          <w:sz w:val="17"/>
        </w:rPr>
        <w:t xml:space="preserve"> </w:t>
      </w:r>
      <w:r>
        <w:rPr>
          <w:rFonts w:ascii="inherit" w:hAnsi="inherit"/>
          <w:sz w:val="17"/>
        </w:rPr>
        <w:t xml:space="preserve">from the prior year to </w:t>
      </w:r>
      <w:r>
        <w:rPr>
          <w:rFonts w:ascii="inherit" w:hAnsi="inherit"/>
          <w:strike w:val="false"/>
          <w:dstrike w:val="false"/>
          <w:color w:val="000000"/>
          <w:sz w:val="17"/>
          <w:u w:val="none"/>
          <w:effect w:val="none"/>
        </w:rPr>
        <w:t>$4.7 million</w:t>
      </w:r>
      <w:r>
        <w:rPr>
          <w:rFonts w:ascii="inherit" w:hAnsi="inherit"/>
          <w:sz w:val="17"/>
        </w:rPr>
        <w:t xml:space="preserve">, mainly due to depreciation of assets placed in service at new stores and amortization of acquisition related intangible assets. The increase in total expense was partially offset by a </w:t>
      </w:r>
      <w:r>
        <w:rPr>
          <w:rFonts w:ascii="inherit" w:hAnsi="inherit"/>
          <w:strike w:val="false"/>
          <w:dstrike w:val="false"/>
          <w:color w:val="000000"/>
          <w:sz w:val="17"/>
          <w:u w:val="none"/>
          <w:effect w:val="none"/>
        </w:rPr>
        <w:t>$4.5 million</w:t>
      </w:r>
      <w:r>
        <w:rPr>
          <w:sz w:val="17"/>
        </w:rPr>
        <w:t xml:space="preserve"> </w:t>
      </w:r>
      <w:r>
        <w:rPr>
          <w:rFonts w:ascii="inherit" w:hAnsi="inherit"/>
          <w:sz w:val="17"/>
        </w:rPr>
        <w:t xml:space="preserve">reduction in interest expense due to the accelerated amortization of debt premium associated with Grupo Finmart's refinanced debt. The weighted average rate on Grupo Finmart's third party debt was 11% at September 30, 2012 compared to 19% at the time of acquisition. </w:t>
      </w:r>
    </w:p>
    <w:p>
      <w:pPr>
        <w:pStyle w:val="TextBody"/>
        <w:spacing w:lineRule="auto" w:line="288" w:before="0" w:after="0"/>
        <w:jc w:val="left"/>
        <w:rPr>
          <w:rFonts w:ascii="inherit" w:hAnsi="inherit"/>
          <w:sz w:val="17"/>
        </w:rPr>
      </w:pPr>
      <w:r>
        <w:rPr>
          <w:rFonts w:ascii="inherit" w:hAnsi="inherit"/>
          <w:sz w:val="17"/>
        </w:rPr>
        <w:t xml:space="preserve">Within the segment, purchase accounting pre-tax income impact during the year totaled $9.3 million, of which $5.6 million was attributable to EZCORP, Inc. with the majority of the adjustment coming from the accelerated amortization of debt premium associated with the refinanced debt at Grupo Finmart. </w:t>
      </w:r>
    </w:p>
    <w:p>
      <w:pPr>
        <w:pStyle w:val="TextBody"/>
        <w:spacing w:lineRule="auto" w:line="288" w:before="0" w:after="0"/>
        <w:jc w:val="left"/>
        <w:rPr>
          <w:sz w:val="17"/>
        </w:rPr>
      </w:pPr>
      <w:r>
        <w:rPr>
          <w:rFonts w:ascii="inherit" w:hAnsi="inherit"/>
          <w:sz w:val="17"/>
        </w:rPr>
        <w:t xml:space="preserve">In fiscal 2012, the </w:t>
      </w:r>
      <w:r>
        <w:rPr>
          <w:rFonts w:ascii="inherit" w:hAnsi="inherit"/>
          <w:strike w:val="false"/>
          <w:dstrike w:val="false"/>
          <w:color w:val="000000"/>
          <w:sz w:val="17"/>
          <w:u w:val="none"/>
          <w:effect w:val="none"/>
        </w:rPr>
        <w:t>$44.1 million</w:t>
      </w:r>
      <w:r>
        <w:rPr>
          <w:sz w:val="17"/>
        </w:rPr>
        <w:t xml:space="preserve"> </w:t>
      </w:r>
      <w:r>
        <w:rPr>
          <w:rFonts w:ascii="inherit" w:hAnsi="inherit"/>
          <w:sz w:val="17"/>
        </w:rPr>
        <w:t xml:space="preserve">greater net revenues were partially offset by the $13.7 million increase in segment expenses, resulting in a </w:t>
      </w:r>
      <w:r>
        <w:rPr>
          <w:rFonts w:ascii="inherit" w:hAnsi="inherit"/>
          <w:strike w:val="false"/>
          <w:dstrike w:val="false"/>
          <w:color w:val="000000"/>
          <w:sz w:val="17"/>
          <w:u w:val="none"/>
          <w:effect w:val="none"/>
        </w:rPr>
        <w:t>$30.4 million</w:t>
      </w:r>
      <w:r>
        <w:rPr>
          <w:sz w:val="17"/>
        </w:rPr>
        <w:t xml:space="preserve"> </w:t>
      </w:r>
      <w:r>
        <w:rPr>
          <w:rFonts w:ascii="inherit" w:hAnsi="inherit"/>
          <w:sz w:val="17"/>
        </w:rPr>
        <w:t xml:space="preserve">increase in contribution for the Latin America segment. Contribution margin increased 24.7 percentage points to 34%. For fiscal 2012, Latin America's segment contribution represents 12% of consolidated segment contribution compared to 2% a year ago. This 10 percentage point increase makes Latin America our fastest growing segment.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47</w:t>
      </w:r>
      <w:r>
        <w:br w:type="page"/>
      </w:r>
    </w:p>
    <w:p>
      <w:pPr>
        <w:pStyle w:val="TextBody"/>
        <w:spacing w:lineRule="auto" w:line="288" w:before="0" w:after="0"/>
        <w:rPr/>
      </w:pPr>
      <w:hyperlink w:anchor="sA13583D437E20DC41B4583E2BD74AA47">
        <w:bookmarkStart w:id="44" w:name="se030dc0718144af5b23891212ba885a8"/>
        <w:bookmarkEnd w:id="44"/>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 xml:space="preserve">Other International </w:t>
      </w:r>
    </w:p>
    <w:p>
      <w:pPr>
        <w:pStyle w:val="TextBody"/>
        <w:spacing w:lineRule="auto" w:line="288" w:before="0" w:after="0"/>
        <w:jc w:val="left"/>
        <w:rPr>
          <w:rFonts w:ascii="inherit" w:hAnsi="inherit"/>
          <w:sz w:val="17"/>
        </w:rPr>
      </w:pPr>
      <w:r>
        <w:rPr>
          <w:rFonts w:ascii="inherit" w:hAnsi="inherit"/>
          <w:sz w:val="17"/>
        </w:rPr>
        <w:t>The following table presents selected financial data from continuing operations for the Other International segment:</w:t>
      </w:r>
    </w:p>
    <w:tbl>
      <w:tblPr>
        <w:tblW w:w="10205" w:type="dxa"/>
        <w:jc w:val="left"/>
        <w:tblInd w:w="0" w:type="dxa"/>
        <w:tblCellMar>
          <w:top w:w="0" w:type="dxa"/>
          <w:left w:w="0" w:type="dxa"/>
          <w:bottom w:w="0" w:type="dxa"/>
          <w:right w:w="0" w:type="dxa"/>
        </w:tblCellMar>
      </w:tblPr>
      <w:tblGrid>
        <w:gridCol w:w="5993"/>
        <w:gridCol w:w="181"/>
        <w:gridCol w:w="1345"/>
        <w:gridCol w:w="250"/>
        <w:gridCol w:w="149"/>
        <w:gridCol w:w="181"/>
        <w:gridCol w:w="1345"/>
        <w:gridCol w:w="761"/>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99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93" w:type="dxa"/>
            <w:tcBorders/>
            <w:shd w:fill="auto" w:val="clear"/>
            <w:vAlign w:val="center"/>
          </w:tcPr>
          <w:p>
            <w:pPr>
              <w:pStyle w:val="TableContents"/>
              <w:spacing w:before="0" w:after="0"/>
              <w:ind w:left="0" w:right="0" w:firstLine="30"/>
              <w:jc w:val="left"/>
              <w:rPr/>
            </w:pPr>
            <w:r>
              <w:rPr/>
              <w:t> </w:t>
            </w:r>
          </w:p>
        </w:tc>
        <w:tc>
          <w:tcPr>
            <w:tcW w:w="421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993" w:type="dxa"/>
            <w:tcBorders/>
            <w:shd w:fill="auto" w:val="clear"/>
            <w:vAlign w:val="center"/>
          </w:tcPr>
          <w:p>
            <w:pPr>
              <w:pStyle w:val="TableContents"/>
              <w:spacing w:before="0" w:after="0"/>
              <w:ind w:left="0" w:right="0" w:firstLine="30"/>
              <w:jc w:val="left"/>
              <w:rPr/>
            </w:pPr>
            <w:r>
              <w:rPr/>
              <w:t> </w:t>
            </w:r>
          </w:p>
        </w:tc>
        <w:tc>
          <w:tcPr>
            <w:tcW w:w="17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9" w:type="dxa"/>
            <w:tcBorders/>
            <w:shd w:fill="auto" w:val="clear"/>
            <w:vAlign w:val="center"/>
          </w:tcPr>
          <w:p>
            <w:pPr>
              <w:pStyle w:val="TableContents"/>
              <w:spacing w:before="0" w:after="0"/>
              <w:ind w:left="0" w:right="0" w:firstLine="30"/>
              <w:rPr/>
            </w:pPr>
            <w:r>
              <w:rPr/>
              <w:t> </w:t>
            </w:r>
          </w:p>
        </w:tc>
        <w:tc>
          <w:tcPr>
            <w:tcW w:w="228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993" w:type="dxa"/>
            <w:tcBorders/>
            <w:shd w:fill="auto" w:val="clear"/>
            <w:vAlign w:val="center"/>
          </w:tcPr>
          <w:p>
            <w:pPr>
              <w:pStyle w:val="TableContents"/>
              <w:spacing w:before="0" w:after="0"/>
              <w:ind w:left="0" w:right="0" w:firstLine="30"/>
              <w:jc w:val="left"/>
              <w:rPr/>
            </w:pPr>
            <w:r>
              <w:rPr/>
              <w:t> </w:t>
            </w:r>
          </w:p>
        </w:tc>
        <w:tc>
          <w:tcPr>
            <w:tcW w:w="4212"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(dollars in thousands)</w:t>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776"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287" w:type="dxa"/>
            <w:gridSpan w:val="3"/>
            <w:tcBorders/>
            <w:shd w:fill="CCEEFF" w:val="clear"/>
            <w:vAlign w:val="center"/>
          </w:tcPr>
          <w:p>
            <w:pPr>
              <w:pStyle w:val="TableContents"/>
              <w:spacing w:before="0" w:after="0"/>
              <w:ind w:left="0" w:right="0" w:firstLine="180"/>
              <w:rPr/>
            </w:pPr>
            <w:r>
              <w:rPr/>
              <w:t> </w:t>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and interest</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45" w:type="dxa"/>
            <w:tcBorders/>
            <w:shd w:fill="auto" w:val="clear"/>
            <w:vAlign w:val="center"/>
          </w:tcPr>
          <w:p>
            <w:pPr>
              <w:pStyle w:val="TableContents"/>
              <w:spacing w:before="0" w:after="0"/>
              <w:jc w:val="right"/>
              <w:rPr>
                <w:rFonts w:ascii="inherit" w:hAnsi="inherit"/>
                <w:sz w:val="17"/>
              </w:rPr>
            </w:pPr>
            <w:r>
              <w:rPr>
                <w:rFonts w:ascii="inherit" w:hAnsi="inherit"/>
                <w:sz w:val="17"/>
              </w:rPr>
              <w:t>9,884</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45" w:type="dxa"/>
            <w:tcBorders/>
            <w:shd w:fill="auto" w:val="clear"/>
            <w:vAlign w:val="center"/>
          </w:tcPr>
          <w:p>
            <w:pPr>
              <w:pStyle w:val="TableContents"/>
              <w:spacing w:before="0" w:after="0"/>
              <w:jc w:val="right"/>
              <w:rPr/>
            </w:pPr>
            <w:r>
              <w:rPr/>
              <w:t>—</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52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308</w:t>
            </w:r>
          </w:p>
        </w:tc>
        <w:tc>
          <w:tcPr>
            <w:tcW w:w="2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2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61"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5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10,192</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26"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761" w:type="dxa"/>
            <w:tcBorders>
              <w:top w:val="single" w:sz="2" w:space="0" w:color="000000"/>
            </w:tcBorders>
            <w:shd w:fill="auto" w:val="clear"/>
            <w:tcMar>
              <w:top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52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3,663</w:t>
            </w:r>
          </w:p>
        </w:tc>
        <w:tc>
          <w:tcPr>
            <w:tcW w:w="2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2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61"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5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6,529</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26" w:type="dxa"/>
            <w:gridSpan w:val="2"/>
            <w:tcBorders/>
            <w:shd w:fill="auto" w:val="clear"/>
            <w:vAlign w:val="center"/>
          </w:tcPr>
          <w:p>
            <w:pPr>
              <w:pStyle w:val="TableContents"/>
              <w:spacing w:before="0" w:after="0"/>
              <w:jc w:val="right"/>
              <w:rPr/>
            </w:pPr>
            <w:r>
              <w:rPr/>
              <w:t>—</w:t>
            </w:r>
          </w:p>
        </w:tc>
        <w:tc>
          <w:tcPr>
            <w:tcW w:w="7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 (income):</w:t>
            </w:r>
          </w:p>
        </w:tc>
        <w:tc>
          <w:tcPr>
            <w:tcW w:w="1776"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287" w:type="dxa"/>
            <w:gridSpan w:val="3"/>
            <w:tcBorders/>
            <w:shd w:fill="CCEEFF" w:val="clear"/>
            <w:vAlign w:val="center"/>
          </w:tcPr>
          <w:p>
            <w:pPr>
              <w:pStyle w:val="TableContents"/>
              <w:spacing w:before="0" w:after="0"/>
              <w:ind w:left="0" w:right="0" w:firstLine="180"/>
              <w:rPr/>
            </w:pPr>
            <w:r>
              <w:rPr/>
              <w:t> </w:t>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5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6,718</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795</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5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177</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26" w:type="dxa"/>
            <w:gridSpan w:val="2"/>
            <w:tcBorders/>
            <w:shd w:fill="CCEEFF" w:val="clear"/>
            <w:vAlign w:val="center"/>
          </w:tcPr>
          <w:p>
            <w:pPr>
              <w:pStyle w:val="TableContents"/>
              <w:spacing w:before="0" w:after="0"/>
              <w:jc w:val="right"/>
              <w:rPr/>
            </w:pPr>
            <w:r>
              <w:rPr/>
              <w:t>—</w:t>
            </w:r>
          </w:p>
        </w:tc>
        <w:tc>
          <w:tcPr>
            <w:tcW w:w="76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5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26" w:type="dxa"/>
            <w:gridSpan w:val="2"/>
            <w:tcBorders/>
            <w:shd w:fill="auto" w:val="clear"/>
            <w:vAlign w:val="center"/>
          </w:tcPr>
          <w:p>
            <w:pPr>
              <w:pStyle w:val="TableContents"/>
              <w:spacing w:before="0" w:after="0"/>
              <w:jc w:val="right"/>
              <w:rPr/>
            </w:pPr>
            <w:r>
              <w:rPr/>
              <w:t>—</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5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26" w:type="dxa"/>
            <w:gridSpan w:val="2"/>
            <w:tcBorders/>
            <w:shd w:fill="CCEEFF" w:val="clear"/>
            <w:vAlign w:val="center"/>
          </w:tcPr>
          <w:p>
            <w:pPr>
              <w:pStyle w:val="TableContents"/>
              <w:spacing w:before="0" w:after="0"/>
              <w:jc w:val="right"/>
              <w:rPr/>
            </w:pPr>
            <w:r>
              <w:rPr/>
              <w:t>—</w:t>
            </w:r>
          </w:p>
        </w:tc>
        <w:tc>
          <w:tcPr>
            <w:tcW w:w="76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net</w:t>
            </w:r>
          </w:p>
        </w:tc>
        <w:tc>
          <w:tcPr>
            <w:tcW w:w="15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26" w:type="dxa"/>
            <w:gridSpan w:val="2"/>
            <w:tcBorders/>
            <w:shd w:fill="auto" w:val="clear"/>
            <w:vAlign w:val="center"/>
          </w:tcPr>
          <w:p>
            <w:pPr>
              <w:pStyle w:val="TableContents"/>
              <w:spacing w:before="0" w:after="0"/>
              <w:jc w:val="right"/>
              <w:rPr/>
            </w:pPr>
            <w:r>
              <w:rPr/>
              <w:t>—</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5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(17,400</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5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(16,237</w:t>
            </w:r>
          </w:p>
        </w:tc>
        <w:tc>
          <w:tcPr>
            <w:tcW w:w="76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5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(559</w:t>
            </w:r>
          </w:p>
        </w:tc>
        <w:tc>
          <w:tcPr>
            <w:tcW w:w="2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(168</w:t>
            </w:r>
          </w:p>
        </w:tc>
        <w:tc>
          <w:tcPr>
            <w:tcW w:w="761" w:type="dxa"/>
            <w:tcBorders>
              <w:bottom w:val="single" w:sz="2" w:space="0" w:color="000000"/>
            </w:tcBorders>
            <w:shd w:fill="auto" w:val="clear"/>
            <w:tcMar>
              <w:bottom w:w="30" w:type="dxa"/>
            </w:tcM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4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17,325</w:t>
            </w:r>
          </w:p>
        </w:tc>
        <w:tc>
          <w:tcPr>
            <w:tcW w:w="25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4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15,610</w:t>
            </w:r>
          </w:p>
        </w:tc>
        <w:tc>
          <w:tcPr>
            <w:tcW w:w="761" w:type="dxa"/>
            <w:tcBorders>
              <w:bottom w:val="double" w:sz="6"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9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76" w:type="dxa"/>
            <w:gridSpan w:val="3"/>
            <w:tcBorders/>
            <w:shd w:fill="auto" w:val="clear"/>
            <w:vAlign w:val="center"/>
          </w:tcPr>
          <w:p>
            <w:pPr>
              <w:pStyle w:val="TableContents"/>
              <w:spacing w:before="0" w:after="0"/>
              <w:ind w:left="0" w:right="0" w:firstLine="30"/>
              <w:jc w:val="left"/>
              <w:rPr/>
            </w:pPr>
            <w:r>
              <w:rPr/>
              <w:t> </w:t>
            </w:r>
          </w:p>
        </w:tc>
        <w:tc>
          <w:tcPr>
            <w:tcW w:w="149" w:type="dxa"/>
            <w:tcBorders/>
            <w:shd w:fill="auto" w:val="clear"/>
            <w:vAlign w:val="center"/>
          </w:tcPr>
          <w:p>
            <w:pPr>
              <w:pStyle w:val="TableContents"/>
              <w:spacing w:before="0" w:after="0"/>
              <w:ind w:left="0" w:right="0" w:firstLine="30"/>
              <w:rPr/>
            </w:pPr>
            <w:r>
              <w:rPr/>
              <w:t> </w:t>
            </w:r>
          </w:p>
        </w:tc>
        <w:tc>
          <w:tcPr>
            <w:tcW w:w="2287" w:type="dxa"/>
            <w:gridSpan w:val="3"/>
            <w:tcBorders/>
            <w:shd w:fill="auto" w:val="clear"/>
            <w:vAlign w:val="center"/>
          </w:tcPr>
          <w:p>
            <w:pPr>
              <w:pStyle w:val="TableContents"/>
              <w:spacing w:before="0" w:after="0"/>
              <w:ind w:left="0" w:right="0" w:firstLine="300"/>
              <w:jc w:val="left"/>
              <w:rPr/>
            </w:pPr>
            <w:r>
              <w:rPr/>
              <w:t> </w:t>
            </w:r>
          </w:p>
        </w:tc>
      </w:tr>
      <w:tr>
        <w:trPr/>
        <w:tc>
          <w:tcPr>
            <w:tcW w:w="59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5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5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N/A</w:t>
            </w:r>
          </w:p>
        </w:tc>
        <w:tc>
          <w:tcPr>
            <w:tcW w:w="76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In the first quarter of fiscal 2012, we began offering consumer loans online in the U.K. On April 14, 2012, we acquired a 72% interest in Cash Genie, an online lending business in the U.K., and consolidated it with our existing U.K. operations. In fiscal 2012, consumer loan fees were </w:t>
      </w:r>
      <w:r>
        <w:rPr>
          <w:rFonts w:ascii="inherit" w:hAnsi="inherit"/>
          <w:strike w:val="false"/>
          <w:dstrike w:val="false"/>
          <w:color w:val="000000"/>
          <w:sz w:val="17"/>
          <w:u w:val="none"/>
          <w:effect w:val="none"/>
        </w:rPr>
        <w:t>$9.9 million</w:t>
      </w:r>
      <w:r>
        <w:rPr>
          <w:rFonts w:ascii="inherit" w:hAnsi="inherit"/>
          <w:sz w:val="17"/>
        </w:rPr>
        <w:t xml:space="preserve">, with bad debt as a percentage of fees at </w:t>
      </w:r>
      <w:r>
        <w:rPr>
          <w:rFonts w:ascii="inherit" w:hAnsi="inherit"/>
          <w:strike w:val="false"/>
          <w:dstrike w:val="false"/>
          <w:color w:val="000000"/>
          <w:sz w:val="17"/>
          <w:u w:val="none"/>
          <w:effect w:val="none"/>
        </w:rPr>
        <w:t>37%</w:t>
      </w:r>
      <w:r>
        <w:rPr>
          <w:rFonts w:ascii="inherit" w:hAnsi="inherit"/>
          <w:sz w:val="17"/>
        </w:rPr>
        <w:t xml:space="preserve">. </w:t>
      </w:r>
    </w:p>
    <w:p>
      <w:pPr>
        <w:pStyle w:val="TextBody"/>
        <w:spacing w:lineRule="auto" w:line="288" w:before="0" w:after="0"/>
        <w:jc w:val="left"/>
        <w:rPr>
          <w:sz w:val="17"/>
        </w:rPr>
      </w:pPr>
      <w:r>
        <w:rPr>
          <w:rFonts w:ascii="inherit" w:hAnsi="inherit"/>
          <w:sz w:val="17"/>
        </w:rPr>
        <w:t xml:space="preserve">Our equity in the net income of unconsolidated affiliates increased </w:t>
      </w:r>
      <w:r>
        <w:rPr>
          <w:rFonts w:ascii="inherit" w:hAnsi="inherit"/>
          <w:strike w:val="false"/>
          <w:dstrike w:val="false"/>
          <w:color w:val="000000"/>
          <w:sz w:val="17"/>
          <w:u w:val="none"/>
          <w:effect w:val="none"/>
        </w:rPr>
        <w:t>$1.2 million</w:t>
      </w:r>
      <w:r>
        <w:rPr>
          <w:rFonts w:ascii="inherit" w:hAnsi="inherit"/>
          <w:sz w:val="17"/>
        </w:rPr>
        <w:t xml:space="preserve">, or </w:t>
      </w:r>
      <w:r>
        <w:rPr>
          <w:rFonts w:ascii="inherit" w:hAnsi="inherit"/>
          <w:strike w:val="false"/>
          <w:dstrike w:val="false"/>
          <w:color w:val="000000"/>
          <w:sz w:val="17"/>
          <w:u w:val="none"/>
          <w:effect w:val="none"/>
        </w:rPr>
        <w:t>7%</w:t>
      </w:r>
      <w:r>
        <w:rPr>
          <w:rFonts w:ascii="inherit" w:hAnsi="inherit"/>
          <w:sz w:val="17"/>
        </w:rPr>
        <w:t xml:space="preserve">, from the prior year to </w:t>
      </w:r>
      <w:r>
        <w:rPr>
          <w:rFonts w:ascii="inherit" w:hAnsi="inherit"/>
          <w:strike w:val="false"/>
          <w:dstrike w:val="false"/>
          <w:color w:val="000000"/>
          <w:sz w:val="17"/>
          <w:u w:val="none"/>
          <w:effect w:val="none"/>
        </w:rPr>
        <w:t>$17.4 million</w:t>
      </w:r>
      <w:r>
        <w:rPr>
          <w:rFonts w:ascii="inherit" w:hAnsi="inherit"/>
          <w:sz w:val="17"/>
        </w:rPr>
        <w:t xml:space="preserve">. The increase is due to strong performance by Cash Converters International and a slight increase by Albermarle &amp; Bond. </w:t>
      </w:r>
    </w:p>
    <w:p>
      <w:pPr>
        <w:pStyle w:val="TextBody"/>
        <w:spacing w:lineRule="auto" w:line="288" w:before="0" w:after="0"/>
        <w:jc w:val="left"/>
        <w:rPr>
          <w:sz w:val="17"/>
        </w:rPr>
      </w:pPr>
      <w:r>
        <w:rPr>
          <w:rFonts w:ascii="inherit" w:hAnsi="inherit"/>
          <w:sz w:val="17"/>
        </w:rPr>
        <w:t xml:space="preserve">In fiscal 2012, the </w:t>
      </w:r>
      <w:r>
        <w:rPr>
          <w:rFonts w:ascii="inherit" w:hAnsi="inherit"/>
          <w:strike w:val="false"/>
          <w:dstrike w:val="false"/>
          <w:color w:val="000000"/>
          <w:sz w:val="17"/>
          <w:u w:val="none"/>
          <w:effect w:val="none"/>
        </w:rPr>
        <w:t>$6.5 million</w:t>
      </w:r>
      <w:r>
        <w:rPr>
          <w:sz w:val="17"/>
        </w:rPr>
        <w:t xml:space="preserve"> </w:t>
      </w:r>
      <w:r>
        <w:rPr>
          <w:rFonts w:ascii="inherit" w:hAnsi="inherit"/>
          <w:sz w:val="17"/>
        </w:rPr>
        <w:t xml:space="preserve">net revenues, the </w:t>
      </w:r>
      <w:r>
        <w:rPr>
          <w:rFonts w:ascii="inherit" w:hAnsi="inherit"/>
          <w:strike w:val="false"/>
          <w:dstrike w:val="false"/>
          <w:color w:val="000000"/>
          <w:sz w:val="17"/>
          <w:u w:val="none"/>
          <w:effect w:val="none"/>
        </w:rPr>
        <w:t>$1.2 million</w:t>
      </w:r>
      <w:r>
        <w:rPr>
          <w:sz w:val="17"/>
        </w:rPr>
        <w:t xml:space="preserve"> </w:t>
      </w:r>
      <w:r>
        <w:rPr>
          <w:rFonts w:ascii="inherit" w:hAnsi="inherit"/>
          <w:sz w:val="17"/>
        </w:rPr>
        <w:t xml:space="preserve">increase in our equity in the net income of unconsolidated affiliates and $0.4 million increase in other income were mostly offset by a $6.4 million increase in other segment expenses, resulting in a </w:t>
      </w:r>
      <w:r>
        <w:rPr>
          <w:rFonts w:ascii="inherit" w:hAnsi="inherit"/>
          <w:strike w:val="false"/>
          <w:dstrike w:val="false"/>
          <w:color w:val="000000"/>
          <w:sz w:val="17"/>
          <w:u w:val="none"/>
          <w:effect w:val="none"/>
        </w:rPr>
        <w:t>$1.7 million</w:t>
      </w:r>
      <w:r>
        <w:rPr>
          <w:sz w:val="17"/>
        </w:rPr>
        <w:t xml:space="preserve"> </w:t>
      </w:r>
      <w:r>
        <w:rPr>
          <w:rFonts w:ascii="inherit" w:hAnsi="inherit"/>
          <w:sz w:val="17"/>
        </w:rPr>
        <w:t>increase in contribution for the Other International segment. Operations expenses include $6.1 million of Cash Genie expenses. For fiscal 2012, segment contribution from the Other International segment stayed relatively constant at 6% of consolidated segment contribution.</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48</w:t>
      </w:r>
      <w:r>
        <w:br w:type="page"/>
      </w:r>
    </w:p>
    <w:p>
      <w:pPr>
        <w:pStyle w:val="TextBody"/>
        <w:spacing w:lineRule="auto" w:line="288" w:before="0" w:after="0"/>
        <w:rPr/>
      </w:pPr>
      <w:hyperlink w:anchor="sA13583D437E20DC41B4583E2BD74AA47">
        <w:bookmarkStart w:id="45" w:name="s442804d2bdd243ad8473244cc7a0164b"/>
        <w:bookmarkEnd w:id="45"/>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Other Items</w:t>
      </w:r>
    </w:p>
    <w:p>
      <w:pPr>
        <w:pStyle w:val="TextBody"/>
        <w:spacing w:lineRule="auto" w:line="288" w:before="0" w:after="0"/>
        <w:jc w:val="left"/>
        <w:rPr>
          <w:rFonts w:ascii="inherit" w:hAnsi="inherit"/>
          <w:sz w:val="17"/>
        </w:rPr>
      </w:pPr>
      <w:r>
        <w:rPr>
          <w:rFonts w:ascii="inherit" w:hAnsi="inherit"/>
          <w:sz w:val="17"/>
        </w:rPr>
        <w:t>The following table reconciles our consolidated segment contribution discussed above to net income attributable to EZCORP, Inc., including items that affect our consolidated financial results but are not allocated among segments:</w:t>
      </w:r>
    </w:p>
    <w:tbl>
      <w:tblPr>
        <w:tblW w:w="10205" w:type="dxa"/>
        <w:jc w:val="left"/>
        <w:tblInd w:w="0" w:type="dxa"/>
        <w:tblCellMar>
          <w:top w:w="0" w:type="dxa"/>
          <w:left w:w="0" w:type="dxa"/>
          <w:bottom w:w="0" w:type="dxa"/>
          <w:right w:w="0" w:type="dxa"/>
        </w:tblCellMar>
      </w:tblPr>
      <w:tblGrid>
        <w:gridCol w:w="6005"/>
        <w:gridCol w:w="180"/>
        <w:gridCol w:w="1442"/>
        <w:gridCol w:w="166"/>
        <w:gridCol w:w="148"/>
        <w:gridCol w:w="180"/>
        <w:gridCol w:w="1442"/>
        <w:gridCol w:w="642"/>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00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05" w:type="dxa"/>
            <w:tcBorders/>
            <w:shd w:fill="auto" w:val="clear"/>
            <w:vAlign w:val="center"/>
          </w:tcPr>
          <w:p>
            <w:pPr>
              <w:pStyle w:val="TableContents"/>
              <w:spacing w:before="0" w:after="0"/>
              <w:ind w:left="0" w:right="0" w:firstLine="30"/>
              <w:jc w:val="left"/>
              <w:rPr/>
            </w:pPr>
            <w:r>
              <w:rPr/>
              <w:t> </w:t>
            </w:r>
          </w:p>
        </w:tc>
        <w:tc>
          <w:tcPr>
            <w:tcW w:w="420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005" w:type="dxa"/>
            <w:tcBorders/>
            <w:shd w:fill="auto" w:val="clear"/>
            <w:vAlign w:val="center"/>
          </w:tcPr>
          <w:p>
            <w:pPr>
              <w:pStyle w:val="TableContents"/>
              <w:spacing w:before="0" w:after="0"/>
              <w:ind w:left="0" w:right="0" w:firstLine="30"/>
              <w:jc w:val="left"/>
              <w:rPr/>
            </w:pPr>
            <w:r>
              <w:rPr/>
              <w:t> </w:t>
            </w:r>
          </w:p>
        </w:tc>
        <w:tc>
          <w:tcPr>
            <w:tcW w:w="178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8" w:type="dxa"/>
            <w:tcBorders/>
            <w:shd w:fill="auto" w:val="clear"/>
            <w:vAlign w:val="center"/>
          </w:tcPr>
          <w:p>
            <w:pPr>
              <w:pStyle w:val="TableContents"/>
              <w:spacing w:before="0" w:after="0"/>
              <w:ind w:left="0" w:right="0" w:firstLine="30"/>
              <w:rPr/>
            </w:pPr>
            <w:r>
              <w:rPr/>
              <w:t> </w:t>
            </w:r>
          </w:p>
        </w:tc>
        <w:tc>
          <w:tcPr>
            <w:tcW w:w="22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005" w:type="dxa"/>
            <w:tcBorders/>
            <w:shd w:fill="auto" w:val="clear"/>
            <w:vAlign w:val="center"/>
          </w:tcPr>
          <w:p>
            <w:pPr>
              <w:pStyle w:val="TableContents"/>
              <w:spacing w:before="0" w:after="0"/>
              <w:ind w:left="0" w:right="0" w:firstLine="30"/>
              <w:jc w:val="left"/>
              <w:rPr/>
            </w:pPr>
            <w:r>
              <w:rPr/>
              <w:t> </w:t>
            </w:r>
          </w:p>
        </w:tc>
        <w:tc>
          <w:tcPr>
            <w:tcW w:w="420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(dollars in thousands)</w:t>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shd w:fill="CCEEFF" w:val="clear"/>
            <w:vAlign w:val="center"/>
          </w:tcPr>
          <w:p>
            <w:pPr>
              <w:pStyle w:val="TableContents"/>
              <w:spacing w:before="0" w:after="0"/>
              <w:jc w:val="right"/>
              <w:rPr>
                <w:rFonts w:ascii="inherit" w:hAnsi="inherit"/>
                <w:sz w:val="17"/>
              </w:rPr>
            </w:pPr>
            <w:r>
              <w:rPr>
                <w:rFonts w:ascii="inherit" w:hAnsi="inherit"/>
                <w:sz w:val="17"/>
              </w:rPr>
              <w:t>282,710</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shd w:fill="CCEEFF" w:val="clear"/>
            <w:vAlign w:val="center"/>
          </w:tcPr>
          <w:p>
            <w:pPr>
              <w:pStyle w:val="TableContents"/>
              <w:spacing w:before="0" w:after="0"/>
              <w:jc w:val="right"/>
              <w:rPr>
                <w:rFonts w:ascii="inherit" w:hAnsi="inherit"/>
                <w:sz w:val="17"/>
              </w:rPr>
            </w:pPr>
            <w:r>
              <w:rPr>
                <w:rFonts w:ascii="inherit" w:hAnsi="inherit"/>
                <w:sz w:val="17"/>
              </w:rPr>
              <w:t>246,224</w:t>
            </w:r>
          </w:p>
        </w:tc>
        <w:tc>
          <w:tcPr>
            <w:tcW w:w="6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788" w:type="dxa"/>
            <w:gridSpan w:val="3"/>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2264" w:type="dxa"/>
            <w:gridSpan w:val="3"/>
            <w:tcBorders/>
            <w:shd w:fill="auto" w:val="clear"/>
            <w:vAlign w:val="center"/>
          </w:tcPr>
          <w:p>
            <w:pPr>
              <w:pStyle w:val="TableContents"/>
              <w:spacing w:before="0" w:after="0"/>
              <w:ind w:left="0" w:right="0" w:firstLine="180"/>
              <w:rPr/>
            </w:pPr>
            <w:r>
              <w:rPr/>
              <w:t> </w:t>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6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47,912</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50,584</w:t>
            </w:r>
          </w:p>
        </w:tc>
        <w:tc>
          <w:tcPr>
            <w:tcW w:w="64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5,457</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3,832</w:t>
            </w:r>
          </w:p>
        </w:tc>
        <w:tc>
          <w:tcPr>
            <w:tcW w:w="64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6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shd w:fill="CCEEFF" w:val="clear"/>
            <w:vAlign w:val="center"/>
          </w:tcPr>
          <w:p>
            <w:pPr>
              <w:pStyle w:val="TableContents"/>
              <w:spacing w:before="0" w:after="0"/>
              <w:jc w:val="right"/>
              <w:rPr/>
            </w:pPr>
            <w:r>
              <w:rPr/>
              <w:t>—</w:t>
            </w:r>
          </w:p>
        </w:tc>
        <w:tc>
          <w:tcPr>
            <w:tcW w:w="64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 on sale or disposal of assets</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shd w:fill="auto" w:val="clear"/>
            <w:vAlign w:val="center"/>
          </w:tcPr>
          <w:p>
            <w:pPr>
              <w:pStyle w:val="TableContents"/>
              <w:spacing w:before="0" w:after="0"/>
              <w:jc w:val="right"/>
              <w:rPr/>
            </w:pPr>
            <w:r>
              <w:rPr/>
              <w:t>—</w:t>
            </w:r>
          </w:p>
        </w:tc>
        <w:tc>
          <w:tcPr>
            <w:tcW w:w="64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6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2,961</w:t>
            </w:r>
          </w:p>
        </w:tc>
        <w:tc>
          <w:tcPr>
            <w:tcW w:w="16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1,619</w:t>
            </w:r>
          </w:p>
        </w:tc>
        <w:tc>
          <w:tcPr>
            <w:tcW w:w="642"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226,362</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190,189</w:t>
            </w:r>
          </w:p>
        </w:tc>
        <w:tc>
          <w:tcPr>
            <w:tcW w:w="64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6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71,252</w:t>
            </w:r>
          </w:p>
        </w:tc>
        <w:tc>
          <w:tcPr>
            <w:tcW w:w="16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66,472</w:t>
            </w:r>
          </w:p>
        </w:tc>
        <w:tc>
          <w:tcPr>
            <w:tcW w:w="6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155,110</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123,717</w:t>
            </w:r>
          </w:p>
        </w:tc>
        <w:tc>
          <w:tcPr>
            <w:tcW w:w="6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6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(4,533</w:t>
            </w:r>
          </w:p>
        </w:tc>
        <w:tc>
          <w:tcPr>
            <w:tcW w:w="16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(1,558</w:t>
            </w:r>
          </w:p>
        </w:tc>
        <w:tc>
          <w:tcPr>
            <w:tcW w:w="642" w:type="dxa"/>
            <w:tcBorders>
              <w:bottom w:val="single" w:sz="2" w:space="0" w:color="000000"/>
            </w:tcBorders>
            <w:shd w:fill="CCEEFF" w:val="clear"/>
            <w:tcMar>
              <w:bottom w:w="30" w:type="dxa"/>
            </w:tcMar>
            <w:vAlign w:val="center"/>
          </w:tcPr>
          <w:p>
            <w:pPr>
              <w:pStyle w:val="TableContents"/>
              <w:spacing w:before="0" w:after="0"/>
              <w:ind w:left="0" w:right="0" w:firstLine="540"/>
              <w:jc w:val="left"/>
              <w:rPr>
                <w:rFonts w:ascii="inherit" w:hAnsi="inherit"/>
                <w:sz w:val="17"/>
              </w:rPr>
            </w:pPr>
            <w:r>
              <w:rPr>
                <w:rFonts w:ascii="inherit" w:hAnsi="inherit"/>
                <w:sz w:val="17"/>
              </w:rPr>
              <w:t>)</w:t>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6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150,577</w:t>
            </w:r>
          </w:p>
        </w:tc>
        <w:tc>
          <w:tcPr>
            <w:tcW w:w="16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642" w:type="dxa"/>
            <w:tcBorders>
              <w:top w:val="single" w:sz="2" w:space="0" w:color="000000"/>
            </w:tcBorders>
            <w:shd w:fill="auto" w:val="clear"/>
            <w:tcMar>
              <w:top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redeemable noncontrolling interest</w:t>
            </w:r>
          </w:p>
        </w:tc>
        <w:tc>
          <w:tcPr>
            <w:tcW w:w="16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6,869</w:t>
            </w:r>
          </w:p>
        </w:tc>
        <w:tc>
          <w:tcPr>
            <w:tcW w:w="16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22" w:type="dxa"/>
            <w:gridSpan w:val="2"/>
            <w:tcBorders/>
            <w:shd w:fill="CCEEFF" w:val="clear"/>
            <w:vAlign w:val="center"/>
          </w:tcPr>
          <w:p>
            <w:pPr>
              <w:pStyle w:val="TableContents"/>
              <w:spacing w:before="0" w:after="0"/>
              <w:jc w:val="right"/>
              <w:rPr/>
            </w:pPr>
            <w:r>
              <w:rPr/>
              <w:t>—</w:t>
            </w:r>
          </w:p>
        </w:tc>
        <w:tc>
          <w:tcPr>
            <w:tcW w:w="6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Net income attributable to EZCORP, Inc. </w:t>
            </w:r>
          </w:p>
        </w:tc>
        <w:tc>
          <w:tcPr>
            <w:tcW w:w="1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143,708</w:t>
            </w:r>
          </w:p>
        </w:tc>
        <w:tc>
          <w:tcPr>
            <w:tcW w:w="16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122,159</w:t>
            </w:r>
          </w:p>
        </w:tc>
        <w:tc>
          <w:tcPr>
            <w:tcW w:w="6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Total corporate expenses increased $0.3 million to $56.3 million as the </w:t>
      </w:r>
      <w:r>
        <w:rPr>
          <w:rFonts w:ascii="inherit" w:hAnsi="inherit"/>
          <w:strike w:val="false"/>
          <w:dstrike w:val="false"/>
          <w:color w:val="000000"/>
          <w:sz w:val="17"/>
          <w:u w:val="none"/>
          <w:effect w:val="none"/>
        </w:rPr>
        <w:t>$1.6 million</w:t>
      </w:r>
      <w:r>
        <w:rPr>
          <w:sz w:val="17"/>
        </w:rPr>
        <w:t xml:space="preserve"> </w:t>
      </w:r>
      <w:r>
        <w:rPr>
          <w:rFonts w:ascii="inherit" w:hAnsi="inherit"/>
          <w:sz w:val="17"/>
        </w:rPr>
        <w:t xml:space="preserve">increase in depreciation expense and </w:t>
      </w:r>
      <w:r>
        <w:rPr>
          <w:rFonts w:ascii="inherit" w:hAnsi="inherit"/>
          <w:strike w:val="false"/>
          <w:dstrike w:val="false"/>
          <w:color w:val="000000"/>
          <w:sz w:val="17"/>
          <w:u w:val="none"/>
          <w:effect w:val="none"/>
        </w:rPr>
        <w:t>$1.3 million</w:t>
      </w:r>
      <w:r>
        <w:rPr>
          <w:sz w:val="17"/>
        </w:rPr>
        <w:t xml:space="preserve"> </w:t>
      </w:r>
      <w:r>
        <w:rPr>
          <w:rFonts w:ascii="inherit" w:hAnsi="inherit"/>
          <w:sz w:val="17"/>
        </w:rPr>
        <w:t xml:space="preserve">increase in interest expense, were mostly offset by a </w:t>
      </w:r>
      <w:r>
        <w:rPr>
          <w:rFonts w:ascii="inherit" w:hAnsi="inherit"/>
          <w:strike w:val="false"/>
          <w:dstrike w:val="false"/>
          <w:color w:val="000000"/>
          <w:sz w:val="17"/>
          <w:u w:val="none"/>
          <w:effect w:val="none"/>
        </w:rPr>
        <w:t>$2.7 million</w:t>
      </w:r>
      <w:r>
        <w:rPr>
          <w:sz w:val="17"/>
        </w:rPr>
        <w:t xml:space="preserve"> </w:t>
      </w:r>
      <w:r>
        <w:rPr>
          <w:rFonts w:ascii="inherit" w:hAnsi="inherit"/>
          <w:sz w:val="17"/>
        </w:rPr>
        <w:t xml:space="preserve">decrease in administrative expense. The decrease in administrative expense is primarily due to a pre-tax charge of $10.9 million related to the retirement of our former Chief Executive officer in fiscal 2011. This charge included a $3.4 million attributable to a cash payment and $7.5 million attributable to the accelerated vesting of restricted stock. Excluding this charge, administrative expenses increased $8.2 million, or 21%, which was primarily associated with supporting accelerated growth of the de novo and international operations. In fiscal 2012, interest expense increased 83% due to greater utilization of our revolver and depreciation expense increased 42% due to assets placed in service as we continue to invest in the infrastructure to support our growth. </w:t>
      </w:r>
    </w:p>
    <w:p>
      <w:pPr>
        <w:pStyle w:val="TextBody"/>
        <w:spacing w:lineRule="auto" w:line="288" w:before="0" w:after="0"/>
        <w:jc w:val="left"/>
        <w:rPr>
          <w:sz w:val="17"/>
        </w:rPr>
      </w:pPr>
      <w:r>
        <w:rPr>
          <w:rFonts w:ascii="inherit" w:hAnsi="inherit"/>
          <w:sz w:val="17"/>
        </w:rPr>
        <w:t xml:space="preserve">Consolidated income from continued operations before taxes increased </w:t>
      </w:r>
      <w:r>
        <w:rPr>
          <w:rFonts w:ascii="inherit" w:hAnsi="inherit"/>
          <w:strike w:val="false"/>
          <w:dstrike w:val="false"/>
          <w:color w:val="000000"/>
          <w:sz w:val="17"/>
          <w:u w:val="none"/>
          <w:effect w:val="none"/>
        </w:rPr>
        <w:t>$36.2 million</w:t>
      </w:r>
      <w:r>
        <w:rPr>
          <w:rFonts w:ascii="inherit" w:hAnsi="inherit"/>
          <w:sz w:val="17"/>
        </w:rPr>
        <w:t xml:space="preserve">, or </w:t>
      </w:r>
      <w:r>
        <w:rPr>
          <w:rFonts w:ascii="inherit" w:hAnsi="inherit"/>
          <w:strike w:val="false"/>
          <w:dstrike w:val="false"/>
          <w:color w:val="000000"/>
          <w:sz w:val="17"/>
          <w:u w:val="none"/>
          <w:effect w:val="none"/>
        </w:rPr>
        <w:t>19%</w:t>
      </w:r>
      <w:r>
        <w:rPr>
          <w:rFonts w:ascii="inherit" w:hAnsi="inherit"/>
          <w:sz w:val="17"/>
        </w:rPr>
        <w:t xml:space="preserve">, to </w:t>
      </w:r>
      <w:r>
        <w:rPr>
          <w:rFonts w:ascii="inherit" w:hAnsi="inherit"/>
          <w:strike w:val="false"/>
          <w:dstrike w:val="false"/>
          <w:color w:val="000000"/>
          <w:sz w:val="17"/>
          <w:u w:val="none"/>
          <w:effect w:val="none"/>
        </w:rPr>
        <w:t>$226.4 million</w:t>
      </w:r>
      <w:r>
        <w:rPr>
          <w:sz w:val="17"/>
        </w:rPr>
        <w:t xml:space="preserve"> </w:t>
      </w:r>
      <w:r>
        <w:rPr>
          <w:rFonts w:ascii="inherit" w:hAnsi="inherit"/>
          <w:sz w:val="17"/>
        </w:rPr>
        <w:t xml:space="preserve">mostly due to a </w:t>
      </w:r>
      <w:r>
        <w:rPr>
          <w:rFonts w:ascii="inherit" w:hAnsi="inherit"/>
          <w:strike w:val="false"/>
          <w:dstrike w:val="false"/>
          <w:color w:val="000000"/>
          <w:sz w:val="17"/>
          <w:u w:val="none"/>
          <w:effect w:val="none"/>
        </w:rPr>
        <w:t>$4.4 million</w:t>
      </w:r>
      <w:r>
        <w:rPr>
          <w:rFonts w:ascii="inherit" w:hAnsi="inherit"/>
          <w:sz w:val="17"/>
        </w:rPr>
        <w:t xml:space="preserve">, </w:t>
      </w:r>
      <w:r>
        <w:rPr>
          <w:rFonts w:ascii="inherit" w:hAnsi="inherit"/>
          <w:strike w:val="false"/>
          <w:dstrike w:val="false"/>
          <w:color w:val="000000"/>
          <w:sz w:val="17"/>
          <w:u w:val="none"/>
          <w:effect w:val="none"/>
        </w:rPr>
        <w:t>$30.4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$1.7 million</w:t>
      </w:r>
      <w:r>
        <w:rPr>
          <w:sz w:val="17"/>
        </w:rPr>
        <w:t xml:space="preserve"> </w:t>
      </w:r>
      <w:r>
        <w:rPr>
          <w:rFonts w:ascii="inherit" w:hAnsi="inherit"/>
          <w:sz w:val="17"/>
        </w:rPr>
        <w:t xml:space="preserve">increase in contribution from the U.S. &amp; Canada, Latin America and Other International segments, respectively, partially offset by a $0.3 million increase in corporate expenses. </w:t>
      </w:r>
    </w:p>
    <w:p>
      <w:pPr>
        <w:pStyle w:val="TextBody"/>
        <w:spacing w:lineRule="auto" w:line="288" w:before="0" w:after="0"/>
        <w:jc w:val="left"/>
        <w:rPr>
          <w:sz w:val="17"/>
        </w:rPr>
      </w:pPr>
      <w:r>
        <w:rPr>
          <w:rFonts w:ascii="inherit" w:hAnsi="inherit"/>
          <w:sz w:val="17"/>
        </w:rPr>
        <w:t xml:space="preserve">In fiscal 2012, income tax expense increased </w:t>
      </w:r>
      <w:r>
        <w:rPr>
          <w:rFonts w:ascii="inherit" w:hAnsi="inherit"/>
          <w:strike w:val="false"/>
          <w:dstrike w:val="false"/>
          <w:color w:val="000000"/>
          <w:sz w:val="17"/>
          <w:u w:val="none"/>
          <w:effect w:val="none"/>
        </w:rPr>
        <w:t>$4.8 million</w:t>
      </w:r>
      <w:r>
        <w:rPr>
          <w:rFonts w:ascii="inherit" w:hAnsi="inherit"/>
          <w:sz w:val="17"/>
        </w:rPr>
        <w:t xml:space="preserve">, or </w:t>
      </w:r>
      <w:r>
        <w:rPr>
          <w:rFonts w:ascii="inherit" w:hAnsi="inherit"/>
          <w:strike w:val="false"/>
          <w:dstrike w:val="false"/>
          <w:color w:val="000000"/>
          <w:sz w:val="17"/>
          <w:u w:val="none"/>
          <w:effect w:val="none"/>
        </w:rPr>
        <w:t>7%</w:t>
      </w:r>
      <w:r>
        <w:rPr>
          <w:rFonts w:ascii="inherit" w:hAnsi="inherit"/>
          <w:sz w:val="17"/>
        </w:rPr>
        <w:t xml:space="preserve">, to </w:t>
      </w:r>
      <w:r>
        <w:rPr>
          <w:rFonts w:ascii="inherit" w:hAnsi="inherit"/>
          <w:strike w:val="false"/>
          <w:dstrike w:val="false"/>
          <w:color w:val="000000"/>
          <w:sz w:val="17"/>
          <w:u w:val="none"/>
          <w:effect w:val="none"/>
        </w:rPr>
        <w:t>$71.3 million</w:t>
      </w:r>
      <w:r>
        <w:rPr>
          <w:rFonts w:ascii="inherit" w:hAnsi="inherit"/>
          <w:sz w:val="17"/>
        </w:rPr>
        <w:t xml:space="preserve">. The fiscal 2012 effective tax rate is </w:t>
      </w:r>
      <w:r>
        <w:rPr>
          <w:rFonts w:ascii="inherit" w:hAnsi="inherit"/>
          <w:strike w:val="false"/>
          <w:dstrike w:val="false"/>
          <w:color w:val="000000"/>
          <w:sz w:val="17"/>
          <w:u w:val="none"/>
          <w:effect w:val="none"/>
        </w:rPr>
        <w:t>32%</w:t>
      </w:r>
      <w:r>
        <w:rPr>
          <w:rFonts w:ascii="inherit" w:hAnsi="inherit"/>
          <w:sz w:val="17"/>
        </w:rPr>
        <w:t xml:space="preserve">, compared to </w:t>
      </w:r>
      <w:r>
        <w:rPr>
          <w:rFonts w:ascii="inherit" w:hAnsi="inherit"/>
          <w:strike w:val="false"/>
          <w:dstrike w:val="false"/>
          <w:color w:val="000000"/>
          <w:sz w:val="17"/>
          <w:u w:val="none"/>
          <w:effect w:val="none"/>
        </w:rPr>
        <w:t>35%</w:t>
      </w:r>
      <w:r>
        <w:rPr>
          <w:sz w:val="17"/>
        </w:rPr>
        <w:t xml:space="preserve"> </w:t>
      </w:r>
      <w:r>
        <w:rPr>
          <w:rFonts w:ascii="inherit" w:hAnsi="inherit"/>
          <w:sz w:val="17"/>
        </w:rPr>
        <w:t>in the prior year. The decrease is primarily due to a larger portion of income being derived from countries outside the United States, as well as the recognition of state net operating losses.</w:t>
      </w:r>
    </w:p>
    <w:p>
      <w:pPr>
        <w:pStyle w:val="TextBody"/>
        <w:spacing w:lineRule="auto" w:line="288" w:before="0" w:after="0"/>
        <w:jc w:val="left"/>
        <w:rPr>
          <w:sz w:val="17"/>
        </w:rPr>
      </w:pPr>
      <w:r>
        <w:rPr>
          <w:rFonts w:ascii="inherit" w:hAnsi="inherit"/>
          <w:sz w:val="17"/>
        </w:rPr>
        <w:t xml:space="preserve">After a $3.0 million increase in loss from discontinued operations and </w:t>
      </w:r>
      <w:r>
        <w:rPr>
          <w:rFonts w:ascii="inherit" w:hAnsi="inherit"/>
          <w:strike w:val="false"/>
          <w:dstrike w:val="false"/>
          <w:color w:val="000000"/>
          <w:sz w:val="17"/>
          <w:u w:val="none"/>
          <w:effect w:val="none"/>
        </w:rPr>
        <w:t>$6.9 million</w:t>
      </w:r>
      <w:r>
        <w:rPr>
          <w:sz w:val="17"/>
        </w:rPr>
        <w:t xml:space="preserve"> </w:t>
      </w:r>
      <w:r>
        <w:rPr>
          <w:rFonts w:ascii="inherit" w:hAnsi="inherit"/>
          <w:sz w:val="17"/>
        </w:rPr>
        <w:t xml:space="preserve">of net income attributable to the noncontrolling interests, net income attributable to EZCORP, Inc. increased </w:t>
      </w:r>
      <w:r>
        <w:rPr>
          <w:rFonts w:ascii="inherit" w:hAnsi="inherit"/>
          <w:strike w:val="false"/>
          <w:dstrike w:val="false"/>
          <w:color w:val="000000"/>
          <w:sz w:val="17"/>
          <w:u w:val="none"/>
          <w:effect w:val="none"/>
        </w:rPr>
        <w:t>$21.5 million</w:t>
      </w:r>
      <w:r>
        <w:rPr>
          <w:rFonts w:ascii="inherit" w:hAnsi="inherit"/>
          <w:sz w:val="17"/>
        </w:rPr>
        <w:t xml:space="preserve">, or </w:t>
      </w:r>
      <w:r>
        <w:rPr>
          <w:rFonts w:ascii="inherit" w:hAnsi="inherit"/>
          <w:strike w:val="false"/>
          <w:dstrike w:val="false"/>
          <w:color w:val="000000"/>
          <w:sz w:val="17"/>
          <w:u w:val="none"/>
          <w:effect w:val="none"/>
        </w:rPr>
        <w:t>18%</w:t>
      </w:r>
      <w:r>
        <w:rPr>
          <w:rFonts w:ascii="inherit" w:hAnsi="inherit"/>
          <w:sz w:val="17"/>
        </w:rPr>
        <w:t xml:space="preserve">, to </w:t>
      </w:r>
      <w:r>
        <w:rPr>
          <w:rFonts w:ascii="inherit" w:hAnsi="inherit"/>
          <w:strike w:val="false"/>
          <w:dstrike w:val="false"/>
          <w:color w:val="000000"/>
          <w:sz w:val="17"/>
          <w:u w:val="none"/>
          <w:effect w:val="none"/>
        </w:rPr>
        <w:t>$143.7 million</w:t>
      </w:r>
      <w:r>
        <w:rPr>
          <w:sz w:val="17"/>
        </w:rPr>
        <w:t xml:space="preserve"> </w:t>
      </w:r>
      <w:r>
        <w:rPr>
          <w:rFonts w:ascii="inherit" w:hAnsi="inherit"/>
          <w:sz w:val="17"/>
        </w:rPr>
        <w:t xml:space="preserve">in fiscal 2012. </w:t>
      </w:r>
    </w:p>
    <w:p>
      <w:pPr>
        <w:pStyle w:val="TextBody"/>
        <w:spacing w:lineRule="auto" w:line="288" w:before="0" w:after="0"/>
        <w:jc w:val="left"/>
        <w:rPr>
          <w:rFonts w:ascii="inherit" w:hAnsi="inherit"/>
          <w:b/>
          <w:sz w:val="17"/>
        </w:rPr>
      </w:pPr>
      <w:bookmarkStart w:id="46" w:name="sD78F304B641680598B6C83E284ACD430"/>
      <w:bookmarkEnd w:id="46"/>
      <w:r>
        <w:rPr>
          <w:rFonts w:ascii="inherit" w:hAnsi="inherit"/>
          <w:b/>
          <w:sz w:val="17"/>
        </w:rPr>
        <w:t>Liquidity and Capital Resources</w:t>
      </w:r>
    </w:p>
    <w:p>
      <w:pPr>
        <w:pStyle w:val="TextBody"/>
        <w:spacing w:lineRule="auto" w:line="288" w:before="0" w:after="0"/>
        <w:rPr>
          <w:rFonts w:ascii="inherit" w:hAnsi="inherit"/>
          <w:sz w:val="17"/>
        </w:rPr>
      </w:pPr>
      <w:r>
        <w:rPr>
          <w:rFonts w:ascii="inherit" w:hAnsi="inherit"/>
          <w:sz w:val="17"/>
        </w:rPr>
        <w:t xml:space="preserve">In fiscal 2013, our operating cash flow from operations decreased 10% from the prior year to $126.5 million. The decrease in our consolidated net income was somewhat offset by an increase in several non-cash items, including our Albemarle &amp; Bond investment impairment, an increase in our consumer loan loss provision, an increase in year-end accrued expenses, and an increase in our dividends received from unconsolidated affiliates. </w:t>
      </w:r>
    </w:p>
    <w:p>
      <w:pPr>
        <w:pStyle w:val="TextBody"/>
        <w:spacing w:lineRule="auto" w:line="288" w:before="0" w:after="0"/>
        <w:rPr>
          <w:sz w:val="17"/>
        </w:rPr>
      </w:pPr>
      <w:r>
        <w:rPr>
          <w:rFonts w:ascii="inherit" w:hAnsi="inherit"/>
          <w:sz w:val="17"/>
        </w:rPr>
        <w:t>In the prior year, our $140.9 million</w:t>
      </w:r>
      <w:r>
        <w:rPr>
          <w:sz w:val="17"/>
        </w:rPr>
        <w:t xml:space="preserve"> </w:t>
      </w:r>
      <w:r>
        <w:rPr>
          <w:rFonts w:ascii="inherit" w:hAnsi="inherit"/>
          <w:sz w:val="17"/>
        </w:rPr>
        <w:t xml:space="preserve">of cash flow from operations consisted of (i) net income plus several non-cash items, aggregating to $170.7 million, and $5.6 million in cash dividends from our unconsolidated affiliates, net of (ii) $35.4 million of normal, recurring changes in operating assets and liabilities. The primary differences in cash flow from operations between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49</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 xml:space="preserve">fiscal 2013 and the prior year are the termination costs due to discontinued operations, impairment charges on investments and amortization of debt premium and consumer loan discount. </w:t>
      </w:r>
    </w:p>
    <w:p>
      <w:pPr>
        <w:pStyle w:val="TextBody"/>
        <w:spacing w:lineRule="auto" w:line="288" w:before="0" w:after="0"/>
        <w:rPr>
          <w:sz w:val="17"/>
        </w:rPr>
      </w:pPr>
      <w:r>
        <w:rPr>
          <w:rFonts w:ascii="inherit" w:hAnsi="inherit"/>
          <w:sz w:val="17"/>
        </w:rPr>
        <w:t>In fiscal 2013, we increased our loans made over last year by 15% to $923.1 million and loan repayments received also increased 15% year-over-year. The $160.4 million</w:t>
      </w:r>
      <w:r>
        <w:rPr>
          <w:sz w:val="17"/>
        </w:rPr>
        <w:t xml:space="preserve"> </w:t>
      </w:r>
      <w:r>
        <w:rPr>
          <w:rFonts w:ascii="inherit" w:hAnsi="inherit"/>
          <w:sz w:val="17"/>
        </w:rPr>
        <w:t xml:space="preserve">of net cash used in investing activities during fiscal 2013 was funded by cash flow from operations, cash on hand and borrowings on our line of credit facility. We invested $14.8 million in cash to acquire 12 pawn locations in Arizona, a 51% interest in TUYO, and 100% of the outstanding shares of Fondo ACH, S.A. de C.V. Other significant investing activities in the period were $11.0 million used for investments in unconsolidated affiliates and $47.2 million in additions of property and equipment. In addition, $87.9 million of loans made in excess of customer loan repayments and the recovery of principal through the sale of forfeited pawn loan collateral contributed to the net cash used in investing activities for the period. </w:t>
      </w:r>
    </w:p>
    <w:p>
      <w:pPr>
        <w:pStyle w:val="TextBody"/>
        <w:spacing w:lineRule="auto" w:line="288" w:before="0" w:after="0"/>
        <w:rPr>
          <w:rFonts w:ascii="inherit" w:hAnsi="inherit"/>
          <w:sz w:val="17"/>
        </w:rPr>
      </w:pPr>
      <w:r>
        <w:rPr>
          <w:rFonts w:ascii="inherit" w:hAnsi="inherit"/>
          <w:sz w:val="17"/>
        </w:rPr>
        <w:t xml:space="preserve">Total debt outstanding increased 12% over last year to $247.3 million. Of this amount, $141.8 million was recourse to EZCORP and the remaining debt was non-recourse and attributable to our payroll withholding lending business in Mexico (Grupo Finmart). </w:t>
      </w:r>
    </w:p>
    <w:p>
      <w:pPr>
        <w:pStyle w:val="TextBody"/>
        <w:spacing w:lineRule="auto" w:line="288" w:before="0" w:after="0"/>
        <w:rPr>
          <w:sz w:val="17"/>
        </w:rPr>
      </w:pPr>
      <w:r>
        <w:rPr>
          <w:rFonts w:ascii="inherit" w:hAnsi="inherit"/>
          <w:sz w:val="17"/>
        </w:rPr>
        <w:t>The net effect of these and other smaller cash flows was a $12.2 million</w:t>
      </w:r>
      <w:r>
        <w:rPr>
          <w:sz w:val="17"/>
        </w:rPr>
        <w:t xml:space="preserve"> </w:t>
      </w:r>
      <w:r>
        <w:rPr>
          <w:rFonts w:ascii="inherit" w:hAnsi="inherit"/>
          <w:sz w:val="17"/>
        </w:rPr>
        <w:t>decrease in cash on hand, providing a $36.3 million</w:t>
      </w:r>
      <w:r>
        <w:rPr>
          <w:sz w:val="17"/>
        </w:rPr>
        <w:t xml:space="preserve"> </w:t>
      </w:r>
      <w:r>
        <w:rPr>
          <w:rFonts w:ascii="inherit" w:hAnsi="inherit"/>
          <w:sz w:val="17"/>
        </w:rPr>
        <w:t>ending cash balance. Of the aforementioned ending cash balance, approximately 60%, or $21.7 million, is held by foreign subsidiaries and is not available to fund domestic operations, as we intend to permanently reinvest earnings from foreign operations.</w:t>
      </w:r>
    </w:p>
    <w:p>
      <w:pPr>
        <w:pStyle w:val="TextBody"/>
        <w:spacing w:lineRule="auto" w:line="288" w:before="0" w:after="0"/>
        <w:rPr>
          <w:rFonts w:ascii="inherit" w:hAnsi="inherit"/>
          <w:sz w:val="17"/>
        </w:rPr>
      </w:pPr>
      <w:r>
        <w:rPr>
          <w:rFonts w:ascii="inherit" w:hAnsi="inherit"/>
          <w:sz w:val="17"/>
        </w:rPr>
        <w:t>Below is a summary of our cash needs to meet future aggregate contractual obligations:</w:t>
      </w:r>
    </w:p>
    <w:tbl>
      <w:tblPr>
        <w:tblW w:w="10205" w:type="dxa"/>
        <w:jc w:val="left"/>
        <w:tblInd w:w="0" w:type="dxa"/>
        <w:tblCellMar>
          <w:top w:w="0" w:type="dxa"/>
          <w:left w:w="0" w:type="dxa"/>
          <w:bottom w:w="0" w:type="dxa"/>
          <w:right w:w="0" w:type="dxa"/>
        </w:tblCellMar>
      </w:tblPr>
      <w:tblGrid>
        <w:gridCol w:w="615"/>
        <w:gridCol w:w="3025"/>
        <w:gridCol w:w="150"/>
        <w:gridCol w:w="1030"/>
        <w:gridCol w:w="78"/>
        <w:gridCol w:w="124"/>
        <w:gridCol w:w="150"/>
        <w:gridCol w:w="951"/>
        <w:gridCol w:w="78"/>
        <w:gridCol w:w="124"/>
        <w:gridCol w:w="150"/>
        <w:gridCol w:w="1030"/>
        <w:gridCol w:w="78"/>
        <w:gridCol w:w="124"/>
        <w:gridCol w:w="150"/>
        <w:gridCol w:w="951"/>
        <w:gridCol w:w="78"/>
        <w:gridCol w:w="124"/>
        <w:gridCol w:w="150"/>
        <w:gridCol w:w="951"/>
        <w:gridCol w:w="94"/>
      </w:tblGrid>
      <w:tr>
        <w:trPr/>
        <w:tc>
          <w:tcPr>
            <w:tcW w:w="10205" w:type="dxa"/>
            <w:gridSpan w:val="21"/>
            <w:tcBorders/>
            <w:shd w:fill="auto" w:val="clear"/>
            <w:vAlign w:val="center"/>
          </w:tcPr>
          <w:p>
            <w:pPr>
              <w:pStyle w:val="TableContents"/>
              <w:spacing w:before="0" w:after="283"/>
              <w:rPr>
                <w:sz w:val="4"/>
                <w:szCs w:val="4"/>
              </w:rPr>
            </w:pPr>
            <w:r>
              <w:rPr>
                <w:sz w:val="4"/>
                <w:szCs w:val="4"/>
              </w:rPr>
            </w:r>
          </w:p>
        </w:tc>
      </w:tr>
      <w:tr>
        <w:trPr/>
        <w:tc>
          <w:tcPr>
            <w:tcW w:w="615" w:type="dxa"/>
            <w:tcBorders/>
            <w:shd w:fill="auto" w:val="clear"/>
            <w:vAlign w:val="center"/>
          </w:tcPr>
          <w:p>
            <w:pPr>
              <w:pStyle w:val="TableContents"/>
              <w:spacing w:before="0" w:after="283"/>
              <w:rPr>
                <w:sz w:val="4"/>
                <w:szCs w:val="4"/>
              </w:rPr>
            </w:pPr>
            <w:r>
              <w:rPr>
                <w:sz w:val="4"/>
                <w:szCs w:val="4"/>
              </w:rPr>
            </w:r>
          </w:p>
        </w:tc>
        <w:tc>
          <w:tcPr>
            <w:tcW w:w="302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r>
      <w:tr>
        <w:trPr/>
        <w:tc>
          <w:tcPr>
            <w:tcW w:w="615" w:type="dxa"/>
            <w:tcBorders/>
            <w:shd w:fill="auto" w:val="clear"/>
            <w:vAlign w:val="center"/>
          </w:tcPr>
          <w:p>
            <w:pPr>
              <w:pStyle w:val="TableContents"/>
              <w:spacing w:before="0" w:after="283"/>
              <w:ind w:left="0" w:right="0" w:firstLine="30"/>
              <w:rPr/>
            </w:pPr>
            <w:r>
              <w:rPr/>
              <w:t> </w:t>
            </w:r>
          </w:p>
        </w:tc>
        <w:tc>
          <w:tcPr>
            <w:tcW w:w="3025" w:type="dxa"/>
            <w:tcBorders/>
            <w:shd w:fill="auto" w:val="clear"/>
            <w:vAlign w:val="center"/>
          </w:tcPr>
          <w:p>
            <w:pPr>
              <w:pStyle w:val="TableContents"/>
              <w:spacing w:before="0" w:after="0"/>
              <w:ind w:left="0" w:right="0" w:firstLine="30"/>
              <w:jc w:val="left"/>
              <w:rPr/>
            </w:pPr>
            <w:r>
              <w:rPr/>
              <w:t> </w:t>
            </w:r>
          </w:p>
        </w:tc>
        <w:tc>
          <w:tcPr>
            <w:tcW w:w="1258" w:type="dxa"/>
            <w:gridSpan w:val="3"/>
            <w:tcBorders/>
            <w:shd w:fill="auto" w:val="clear"/>
            <w:vAlign w:val="center"/>
          </w:tcPr>
          <w:p>
            <w:pPr>
              <w:pStyle w:val="TableContents"/>
              <w:spacing w:before="0" w:after="0"/>
              <w:ind w:left="0" w:right="0" w:firstLine="30"/>
              <w:jc w:val="left"/>
              <w:rPr/>
            </w:pPr>
            <w:r>
              <w:rPr/>
              <w:t> </w:t>
            </w:r>
          </w:p>
        </w:tc>
        <w:tc>
          <w:tcPr>
            <w:tcW w:w="124" w:type="dxa"/>
            <w:tcBorders/>
            <w:shd w:fill="auto" w:val="clear"/>
            <w:vAlign w:val="center"/>
          </w:tcPr>
          <w:p>
            <w:pPr>
              <w:pStyle w:val="TableContents"/>
              <w:spacing w:before="0" w:after="0"/>
              <w:ind w:left="0" w:right="0" w:firstLine="30"/>
              <w:rPr/>
            </w:pPr>
            <w:r>
              <w:rPr/>
              <w:t> </w:t>
            </w:r>
          </w:p>
        </w:tc>
        <w:tc>
          <w:tcPr>
            <w:tcW w:w="5183" w:type="dxa"/>
            <w:gridSpan w:val="15"/>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Payments due by Period</w:t>
            </w:r>
          </w:p>
        </w:tc>
      </w:tr>
      <w:tr>
        <w:trPr/>
        <w:tc>
          <w:tcPr>
            <w:tcW w:w="615" w:type="dxa"/>
            <w:tcBorders/>
            <w:shd w:fill="auto" w:val="clear"/>
            <w:vAlign w:val="center"/>
          </w:tcPr>
          <w:p>
            <w:pPr>
              <w:pStyle w:val="TableContents"/>
              <w:spacing w:before="0" w:after="283"/>
              <w:ind w:left="0" w:right="0" w:firstLine="30"/>
              <w:rPr/>
            </w:pPr>
            <w:r>
              <w:rPr/>
              <w:t> </w:t>
            </w:r>
          </w:p>
        </w:tc>
        <w:tc>
          <w:tcPr>
            <w:tcW w:w="3025"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r>
              <w:rPr>
                <w:rFonts w:ascii="inherit" w:hAnsi="inherit"/>
                <w:b/>
                <w:sz w:val="13"/>
              </w:rPr>
              <w:t>Contractual Obligations</w:t>
            </w:r>
          </w:p>
        </w:tc>
        <w:tc>
          <w:tcPr>
            <w:tcW w:w="1258"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r>
              <w:rPr>
                <w:rFonts w:ascii="inherit" w:hAnsi="inherit"/>
                <w:b/>
                <w:sz w:val="13"/>
              </w:rPr>
              <w:t>Total</w:t>
            </w:r>
          </w:p>
        </w:tc>
        <w:tc>
          <w:tcPr>
            <w:tcW w:w="124" w:type="dxa"/>
            <w:vMerge w:val="restart"/>
            <w:tcBorders/>
            <w:shd w:fill="auto" w:val="clear"/>
            <w:vAlign w:val="center"/>
          </w:tcPr>
          <w:p>
            <w:pPr>
              <w:pStyle w:val="TableContents"/>
              <w:spacing w:before="0" w:after="0"/>
              <w:ind w:left="0" w:right="0" w:firstLine="30"/>
              <w:rPr/>
            </w:pPr>
            <w:r>
              <w:rPr/>
              <w:t> </w:t>
            </w:r>
          </w:p>
        </w:tc>
        <w:tc>
          <w:tcPr>
            <w:tcW w:w="1179"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Less than 1 year</w:t>
            </w:r>
          </w:p>
        </w:tc>
        <w:tc>
          <w:tcPr>
            <w:tcW w:w="124" w:type="dxa"/>
            <w:vMerge w:val="restart"/>
            <w:tcBorders/>
            <w:shd w:fill="auto" w:val="clear"/>
            <w:vAlign w:val="center"/>
          </w:tcPr>
          <w:p>
            <w:pPr>
              <w:pStyle w:val="TableContents"/>
              <w:spacing w:before="0" w:after="0"/>
              <w:ind w:left="0" w:right="0" w:firstLine="30"/>
              <w:rPr/>
            </w:pPr>
            <w:r>
              <w:rPr/>
              <w:t> </w:t>
            </w:r>
          </w:p>
        </w:tc>
        <w:tc>
          <w:tcPr>
            <w:tcW w:w="1258"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1-3 years</w:t>
            </w:r>
          </w:p>
        </w:tc>
        <w:tc>
          <w:tcPr>
            <w:tcW w:w="124" w:type="dxa"/>
            <w:vMerge w:val="restart"/>
            <w:tcBorders/>
            <w:shd w:fill="auto" w:val="clear"/>
            <w:vAlign w:val="center"/>
          </w:tcPr>
          <w:p>
            <w:pPr>
              <w:pStyle w:val="TableContents"/>
              <w:spacing w:before="0" w:after="0"/>
              <w:ind w:left="0" w:right="0" w:firstLine="30"/>
              <w:rPr/>
            </w:pPr>
            <w:r>
              <w:rPr/>
              <w:t> </w:t>
            </w:r>
          </w:p>
        </w:tc>
        <w:tc>
          <w:tcPr>
            <w:tcW w:w="1179"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b/>
                <w:sz w:val="13"/>
              </w:rPr>
              <w:t>3-5 years</w:t>
            </w:r>
          </w:p>
        </w:tc>
        <w:tc>
          <w:tcPr>
            <w:tcW w:w="124" w:type="dxa"/>
            <w:vMerge w:val="restart"/>
            <w:tcBorders/>
            <w:shd w:fill="auto" w:val="clear"/>
            <w:vAlign w:val="center"/>
          </w:tcPr>
          <w:p>
            <w:pPr>
              <w:pStyle w:val="TableContents"/>
              <w:spacing w:before="0" w:after="0"/>
              <w:ind w:left="0" w:right="0" w:firstLine="30"/>
              <w:rPr/>
            </w:pPr>
            <w:r>
              <w:rPr/>
              <w:t> </w:t>
            </w:r>
          </w:p>
        </w:tc>
        <w:tc>
          <w:tcPr>
            <w:tcW w:w="1195"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More than 5 years</w:t>
            </w:r>
          </w:p>
        </w:tc>
      </w:tr>
      <w:tr>
        <w:trPr/>
        <w:tc>
          <w:tcPr>
            <w:tcW w:w="615" w:type="dxa"/>
            <w:tcBorders/>
            <w:shd w:fill="auto" w:val="clear"/>
            <w:vAlign w:val="center"/>
          </w:tcPr>
          <w:p>
            <w:pPr>
              <w:pStyle w:val="TableContents"/>
              <w:spacing w:before="0" w:after="283"/>
              <w:rPr/>
            </w:pPr>
            <w:r>
              <w:rPr/>
              <w:t> </w:t>
            </w:r>
          </w:p>
        </w:tc>
        <w:tc>
          <w:tcPr>
            <w:tcW w:w="3025" w:type="dxa"/>
            <w:vMerge w:val="continue"/>
            <w:tcBorders>
              <w:bottom w:val="single" w:sz="2" w:space="0" w:color="000000"/>
            </w:tcBorders>
            <w:shd w:fill="auto" w:val="clear"/>
            <w:tcMar>
              <w:bottom w:w="30" w:type="dxa"/>
            </w:tcMar>
            <w:vAlign w:val="center"/>
          </w:tcPr>
          <w:p>
            <w:pPr>
              <w:pStyle w:val="Normal"/>
              <w:rPr/>
            </w:pPr>
            <w:r>
              <w:rPr/>
            </w:r>
          </w:p>
        </w:tc>
        <w:tc>
          <w:tcPr>
            <w:tcW w:w="1258" w:type="dxa"/>
            <w:gridSpan w:val="3"/>
            <w:vMerge w:val="continue"/>
            <w:tcBorders>
              <w:bottom w:val="single" w:sz="2" w:space="0" w:color="000000"/>
            </w:tcBorders>
            <w:shd w:fill="auto" w:val="clear"/>
            <w:tcMar>
              <w:bottom w:w="30" w:type="dxa"/>
            </w:tcMar>
            <w:vAlign w:val="center"/>
          </w:tcPr>
          <w:p>
            <w:pPr>
              <w:pStyle w:val="Normal"/>
              <w:rPr/>
            </w:pPr>
            <w:r>
              <w:rPr/>
            </w:r>
          </w:p>
        </w:tc>
        <w:tc>
          <w:tcPr>
            <w:tcW w:w="124" w:type="dxa"/>
            <w:vMerge w:val="continue"/>
            <w:tcBorders/>
            <w:shd w:fill="auto" w:val="clear"/>
            <w:vAlign w:val="center"/>
          </w:tcPr>
          <w:p>
            <w:pPr>
              <w:pStyle w:val="Normal"/>
              <w:rPr/>
            </w:pPr>
            <w:r>
              <w:rPr/>
            </w:r>
          </w:p>
        </w:tc>
        <w:tc>
          <w:tcPr>
            <w:tcW w:w="1179" w:type="dxa"/>
            <w:gridSpan w:val="3"/>
            <w:vMerge w:val="continue"/>
            <w:tcBorders>
              <w:bottom w:val="single" w:sz="2" w:space="0" w:color="000000"/>
            </w:tcBorders>
            <w:shd w:fill="auto" w:val="clear"/>
            <w:tcMar>
              <w:bottom w:w="30" w:type="dxa"/>
            </w:tcMar>
            <w:vAlign w:val="center"/>
          </w:tcPr>
          <w:p>
            <w:pPr>
              <w:pStyle w:val="Normal"/>
              <w:rPr/>
            </w:pPr>
            <w:r>
              <w:rPr/>
            </w:r>
          </w:p>
        </w:tc>
        <w:tc>
          <w:tcPr>
            <w:tcW w:w="124" w:type="dxa"/>
            <w:vMerge w:val="continue"/>
            <w:tcBorders/>
            <w:shd w:fill="auto" w:val="clear"/>
            <w:vAlign w:val="center"/>
          </w:tcPr>
          <w:p>
            <w:pPr>
              <w:pStyle w:val="Normal"/>
              <w:rPr/>
            </w:pPr>
            <w:r>
              <w:rPr/>
            </w:r>
          </w:p>
        </w:tc>
        <w:tc>
          <w:tcPr>
            <w:tcW w:w="1258" w:type="dxa"/>
            <w:gridSpan w:val="3"/>
            <w:vMerge w:val="continue"/>
            <w:tcBorders>
              <w:bottom w:val="single" w:sz="2" w:space="0" w:color="000000"/>
            </w:tcBorders>
            <w:shd w:fill="auto" w:val="clear"/>
            <w:tcMar>
              <w:bottom w:w="30" w:type="dxa"/>
            </w:tcMar>
            <w:vAlign w:val="center"/>
          </w:tcPr>
          <w:p>
            <w:pPr>
              <w:pStyle w:val="Normal"/>
              <w:rPr/>
            </w:pPr>
            <w:r>
              <w:rPr/>
            </w:r>
          </w:p>
        </w:tc>
        <w:tc>
          <w:tcPr>
            <w:tcW w:w="124" w:type="dxa"/>
            <w:vMerge w:val="continue"/>
            <w:tcBorders/>
            <w:shd w:fill="auto" w:val="clear"/>
            <w:vAlign w:val="center"/>
          </w:tcPr>
          <w:p>
            <w:pPr>
              <w:pStyle w:val="Normal"/>
              <w:rPr/>
            </w:pPr>
            <w:r>
              <w:rPr/>
            </w:r>
          </w:p>
        </w:tc>
        <w:tc>
          <w:tcPr>
            <w:tcW w:w="1179" w:type="dxa"/>
            <w:gridSpan w:val="3"/>
            <w:vMerge w:val="continue"/>
            <w:tcBorders>
              <w:bottom w:val="single" w:sz="2" w:space="0" w:color="000000"/>
            </w:tcBorders>
            <w:shd w:fill="auto" w:val="clear"/>
            <w:tcMar>
              <w:bottom w:w="30" w:type="dxa"/>
            </w:tcMar>
            <w:vAlign w:val="center"/>
          </w:tcPr>
          <w:p>
            <w:pPr>
              <w:pStyle w:val="Normal"/>
              <w:rPr/>
            </w:pPr>
            <w:r>
              <w:rPr/>
            </w:r>
          </w:p>
        </w:tc>
        <w:tc>
          <w:tcPr>
            <w:tcW w:w="124" w:type="dxa"/>
            <w:vMerge w:val="continue"/>
            <w:tcBorders/>
            <w:shd w:fill="auto" w:val="clear"/>
            <w:vAlign w:val="center"/>
          </w:tcPr>
          <w:p>
            <w:pPr>
              <w:pStyle w:val="Normal"/>
              <w:rPr/>
            </w:pPr>
            <w:r>
              <w:rPr/>
            </w:r>
          </w:p>
        </w:tc>
        <w:tc>
          <w:tcPr>
            <w:tcW w:w="1195"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615" w:type="dxa"/>
            <w:tcBorders/>
            <w:shd w:fill="auto" w:val="clear"/>
            <w:vAlign w:val="center"/>
          </w:tcPr>
          <w:p>
            <w:pPr>
              <w:pStyle w:val="TableContents"/>
              <w:spacing w:before="0" w:after="283"/>
              <w:ind w:left="0" w:right="0" w:firstLine="30"/>
              <w:rPr/>
            </w:pPr>
            <w:r>
              <w:rPr/>
              <w:t> </w:t>
            </w:r>
          </w:p>
        </w:tc>
        <w:tc>
          <w:tcPr>
            <w:tcW w:w="3025" w:type="dxa"/>
            <w:tcBorders/>
            <w:shd w:fill="auto" w:val="clear"/>
            <w:vAlign w:val="center"/>
          </w:tcPr>
          <w:p>
            <w:pPr>
              <w:pStyle w:val="TableContents"/>
              <w:spacing w:before="0" w:after="0"/>
              <w:ind w:left="0" w:right="0" w:firstLine="30"/>
              <w:rPr/>
            </w:pPr>
            <w:r>
              <w:rPr/>
              <w:t> </w:t>
            </w:r>
          </w:p>
        </w:tc>
        <w:tc>
          <w:tcPr>
            <w:tcW w:w="6565" w:type="dxa"/>
            <w:gridSpan w:val="19"/>
            <w:tcBorders/>
            <w:shd w:fill="auto" w:val="clear"/>
            <w:vAlign w:val="center"/>
          </w:tcPr>
          <w:p>
            <w:pPr>
              <w:pStyle w:val="TableContents"/>
              <w:spacing w:before="0" w:after="0"/>
              <w:jc w:val="center"/>
              <w:rPr>
                <w:rFonts w:ascii="inherit" w:hAnsi="inherit"/>
                <w:i/>
                <w:sz w:val="13"/>
              </w:rPr>
            </w:pPr>
            <w:r>
              <w:rPr>
                <w:rFonts w:ascii="inherit" w:hAnsi="inherit"/>
                <w:i/>
                <w:sz w:val="13"/>
              </w:rPr>
              <w:t>(in thousands)</w:t>
            </w:r>
          </w:p>
        </w:tc>
      </w:tr>
      <w:tr>
        <w:trPr/>
        <w:tc>
          <w:tcPr>
            <w:tcW w:w="615" w:type="dxa"/>
            <w:tcBorders/>
            <w:shd w:fill="auto" w:val="clear"/>
            <w:vAlign w:val="center"/>
          </w:tcPr>
          <w:p>
            <w:pPr>
              <w:pStyle w:val="TableContents"/>
              <w:spacing w:before="0" w:after="283"/>
              <w:ind w:left="0" w:right="0" w:firstLine="30"/>
              <w:rPr/>
            </w:pPr>
            <w:r>
              <w:rPr/>
              <w:t> </w:t>
            </w:r>
          </w:p>
        </w:tc>
        <w:tc>
          <w:tcPr>
            <w:tcW w:w="30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obligations</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0" w:type="dxa"/>
            <w:tcBorders/>
            <w:shd w:fill="CCEEFF" w:val="clear"/>
            <w:vAlign w:val="center"/>
          </w:tcPr>
          <w:p>
            <w:pPr>
              <w:pStyle w:val="TableContents"/>
              <w:spacing w:before="0" w:after="0"/>
              <w:jc w:val="right"/>
              <w:rPr>
                <w:rFonts w:ascii="inherit" w:hAnsi="inherit"/>
                <w:sz w:val="17"/>
              </w:rPr>
            </w:pPr>
            <w:r>
              <w:rPr>
                <w:rFonts w:ascii="inherit" w:hAnsi="inherit"/>
                <w:sz w:val="17"/>
              </w:rPr>
              <w:t>148,661</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1" w:type="dxa"/>
            <w:tcBorders/>
            <w:shd w:fill="CCEEFF" w:val="clear"/>
            <w:vAlign w:val="center"/>
          </w:tcPr>
          <w:p>
            <w:pPr>
              <w:pStyle w:val="TableContents"/>
              <w:spacing w:before="0" w:after="0"/>
              <w:jc w:val="right"/>
              <w:rPr>
                <w:rFonts w:ascii="inherit" w:hAnsi="inherit"/>
                <w:sz w:val="17"/>
              </w:rPr>
            </w:pPr>
            <w:r>
              <w:rPr>
                <w:rFonts w:ascii="inherit" w:hAnsi="inherit"/>
                <w:sz w:val="17"/>
              </w:rPr>
              <w:t>21</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0" w:type="dxa"/>
            <w:tcBorders/>
            <w:shd w:fill="CCEEFF" w:val="clear"/>
            <w:vAlign w:val="center"/>
          </w:tcPr>
          <w:p>
            <w:pPr>
              <w:pStyle w:val="TableContents"/>
              <w:spacing w:before="0" w:after="0"/>
              <w:jc w:val="right"/>
              <w:rPr>
                <w:rFonts w:ascii="inherit" w:hAnsi="inherit"/>
                <w:sz w:val="17"/>
              </w:rPr>
            </w:pPr>
            <w:r>
              <w:rPr>
                <w:rFonts w:ascii="inherit" w:hAnsi="inherit"/>
                <w:sz w:val="17"/>
              </w:rPr>
              <w:t>148,601</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1" w:type="dxa"/>
            <w:tcBorders/>
            <w:shd w:fill="CCEEFF" w:val="clear"/>
            <w:vAlign w:val="center"/>
          </w:tcPr>
          <w:p>
            <w:pPr>
              <w:pStyle w:val="TableContents"/>
              <w:spacing w:before="0" w:after="0"/>
              <w:jc w:val="right"/>
              <w:rPr>
                <w:rFonts w:ascii="inherit" w:hAnsi="inherit"/>
                <w:sz w:val="17"/>
              </w:rPr>
            </w:pPr>
            <w:r>
              <w:rPr>
                <w:rFonts w:ascii="inherit" w:hAnsi="inherit"/>
                <w:sz w:val="17"/>
              </w:rPr>
              <w:t>39</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1" w:type="dxa"/>
            <w:tcBorders/>
            <w:shd w:fill="CCEEFF" w:val="clear"/>
            <w:vAlign w:val="center"/>
          </w:tcPr>
          <w:p>
            <w:pPr>
              <w:pStyle w:val="TableContents"/>
              <w:spacing w:before="0" w:after="0"/>
              <w:jc w:val="right"/>
              <w:rPr/>
            </w:pPr>
            <w:r>
              <w:rPr/>
              <w:t>—</w:t>
            </w:r>
          </w:p>
        </w:tc>
        <w:tc>
          <w:tcPr>
            <w:tcW w:w="94"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615" w:type="dxa"/>
            <w:tcBorders/>
            <w:shd w:fill="auto" w:val="clear"/>
            <w:vAlign w:val="center"/>
          </w:tcPr>
          <w:p>
            <w:pPr>
              <w:pStyle w:val="TableContents"/>
              <w:spacing w:before="0" w:after="283"/>
              <w:ind w:left="0" w:right="0" w:firstLine="30"/>
              <w:rPr/>
            </w:pPr>
            <w:r>
              <w:rPr/>
              <w:t> </w:t>
            </w:r>
          </w:p>
        </w:tc>
        <w:tc>
          <w:tcPr>
            <w:tcW w:w="30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on long-term debt obligations</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7,443</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4,245</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3,195</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pPr>
            <w:r>
              <w:rPr/>
              <w:t>—</w:t>
            </w:r>
          </w:p>
        </w:tc>
        <w:tc>
          <w:tcPr>
            <w:tcW w:w="94"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615" w:type="dxa"/>
            <w:tcBorders/>
            <w:shd w:fill="auto" w:val="clear"/>
            <w:vAlign w:val="center"/>
          </w:tcPr>
          <w:p>
            <w:pPr>
              <w:pStyle w:val="TableContents"/>
              <w:spacing w:before="0" w:after="283"/>
              <w:ind w:left="0" w:right="0" w:firstLine="30"/>
              <w:rPr/>
            </w:pPr>
            <w:r>
              <w:rPr/>
              <w:t> </w:t>
            </w:r>
          </w:p>
        </w:tc>
        <w:tc>
          <w:tcPr>
            <w:tcW w:w="30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obligations</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257,346</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58,908</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94,766</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51,564</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52,108</w:t>
            </w:r>
          </w:p>
        </w:tc>
        <w:tc>
          <w:tcPr>
            <w:tcW w:w="94"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615" w:type="dxa"/>
            <w:tcBorders/>
            <w:shd w:fill="auto" w:val="clear"/>
            <w:vAlign w:val="center"/>
          </w:tcPr>
          <w:p>
            <w:pPr>
              <w:pStyle w:val="TableContents"/>
              <w:spacing w:before="0" w:after="283"/>
              <w:ind w:left="0" w:right="0" w:firstLine="30"/>
              <w:rPr/>
            </w:pPr>
            <w:r>
              <w:rPr/>
              <w:t> </w:t>
            </w:r>
          </w:p>
        </w:tc>
        <w:tc>
          <w:tcPr>
            <w:tcW w:w="30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Capital lease obligations</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1,005</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613</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392</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01" w:type="dxa"/>
            <w:gridSpan w:val="2"/>
            <w:tcBorders/>
            <w:shd w:fill="auto" w:val="clear"/>
            <w:vAlign w:val="center"/>
          </w:tcPr>
          <w:p>
            <w:pPr>
              <w:pStyle w:val="TableContents"/>
              <w:spacing w:before="0" w:after="0"/>
              <w:jc w:val="right"/>
              <w:rPr/>
            </w:pPr>
            <w:r>
              <w:rPr/>
              <w:t>—</w:t>
            </w:r>
          </w:p>
        </w:tc>
        <w:tc>
          <w:tcPr>
            <w:tcW w:w="94"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615" w:type="dxa"/>
            <w:tcBorders/>
            <w:shd w:fill="auto" w:val="clear"/>
            <w:vAlign w:val="center"/>
          </w:tcPr>
          <w:p>
            <w:pPr>
              <w:pStyle w:val="TableContents"/>
              <w:spacing w:before="0" w:after="283"/>
              <w:ind w:left="0" w:right="0" w:firstLine="540"/>
              <w:rPr/>
            </w:pPr>
            <w:r>
              <w:rPr/>
              <w:t> </w:t>
            </w:r>
          </w:p>
        </w:tc>
        <w:tc>
          <w:tcPr>
            <w:tcW w:w="30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5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414,455</w:t>
            </w:r>
          </w:p>
        </w:tc>
        <w:tc>
          <w:tcPr>
            <w:tcW w:w="7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5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63,787</w:t>
            </w:r>
          </w:p>
        </w:tc>
        <w:tc>
          <w:tcPr>
            <w:tcW w:w="7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5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246,954</w:t>
            </w:r>
          </w:p>
        </w:tc>
        <w:tc>
          <w:tcPr>
            <w:tcW w:w="7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5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51,606</w:t>
            </w:r>
          </w:p>
        </w:tc>
        <w:tc>
          <w:tcPr>
            <w:tcW w:w="7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5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52,108</w:t>
            </w:r>
          </w:p>
        </w:tc>
        <w:tc>
          <w:tcPr>
            <w:tcW w:w="9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r>
        <w:rPr>
          <w:rFonts w:ascii="inherit" w:hAnsi="inherit"/>
          <w:sz w:val="17"/>
        </w:rPr>
        <w:t xml:space="preserve">In addition to the contractual obligations in the table above, we are obligated under letters of credit issued to unaffiliated lenders as part of our credit service operations. At </w:t>
      </w:r>
      <w:r>
        <w:rPr>
          <w:rFonts w:ascii="inherit" w:hAnsi="inherit"/>
          <w:strike w:val="false"/>
          <w:dstrike w:val="false"/>
          <w:color w:val="000000"/>
          <w:sz w:val="17"/>
          <w:u w:val="none"/>
          <w:effect w:val="none"/>
        </w:rPr>
        <w:t>September 30, 2013</w:t>
      </w:r>
      <w:r>
        <w:rPr>
          <w:rFonts w:ascii="inherit" w:hAnsi="inherit"/>
          <w:sz w:val="17"/>
        </w:rPr>
        <w:t>, our maximum exposure for losses on letters of credit, if all brokered loans defaulted and none was collected, was $33.4 million. Of that total, $9.9 million was secured by titles to customers’ automobiles. These amounts include principal, interest and insufficient funds fees.</w:t>
      </w:r>
    </w:p>
    <w:p>
      <w:pPr>
        <w:pStyle w:val="TextBody"/>
        <w:spacing w:lineRule="auto" w:line="288" w:before="0" w:after="0"/>
        <w:rPr>
          <w:sz w:val="17"/>
        </w:rPr>
      </w:pPr>
      <w:r>
        <w:rPr>
          <w:rFonts w:ascii="inherit" w:hAnsi="inherit"/>
          <w:sz w:val="17"/>
        </w:rPr>
        <w:t xml:space="preserve">In addition to the operating lease obligations in the table above, we are responsible for the maintenance, property taxes and insurance at most of our locations. In the fiscal year ended </w:t>
      </w:r>
      <w:r>
        <w:rPr>
          <w:rFonts w:ascii="inherit" w:hAnsi="inherit"/>
          <w:strike w:val="false"/>
          <w:dstrike w:val="false"/>
          <w:color w:val="000000"/>
          <w:sz w:val="17"/>
          <w:u w:val="none"/>
          <w:effect w:val="none"/>
        </w:rPr>
        <w:t>September 30, 2013</w:t>
      </w:r>
      <w:r>
        <w:rPr>
          <w:rFonts w:ascii="inherit" w:hAnsi="inherit"/>
          <w:sz w:val="17"/>
        </w:rPr>
        <w:t>, these collectively amounted to $22.5 million.</w:t>
      </w:r>
    </w:p>
    <w:p>
      <w:pPr>
        <w:pStyle w:val="TextBody"/>
        <w:spacing w:lineRule="auto" w:line="288" w:before="0" w:after="0"/>
        <w:rPr>
          <w:sz w:val="17"/>
        </w:rPr>
      </w:pPr>
      <w:r>
        <w:rPr>
          <w:rFonts w:ascii="inherit" w:hAnsi="inherit"/>
          <w:sz w:val="17"/>
        </w:rPr>
        <w:t>The operating lease obligations in the table above include expected rent for all our store locations through the end of their current lease terms. Of our 489 U.S. financial services stores, 207 adjoin a pawn store and are covered by the same lease agreement. The lease agreements at approximately 95%</w:t>
      </w:r>
      <w:r>
        <w:rPr>
          <w:color w:val="FF0000"/>
          <w:sz w:val="17"/>
        </w:rPr>
        <w:t xml:space="preserve"> </w:t>
      </w:r>
      <w:r>
        <w:rPr>
          <w:rFonts w:ascii="inherit" w:hAnsi="inherit"/>
          <w:sz w:val="17"/>
        </w:rPr>
        <w:t xml:space="preserve">of the remaining 282 free-standing U.S. financial services stores contain provisions that limit our exposure for additional rent at these stores to only a few months if laws are enacted that have a significant negative effect on our operations at these stores. If such laws were passed, the space currently utilized by stores adjoining pawn stores could be re-incorporated into the pawn operations. </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May 10, 2011</w:t>
      </w:r>
      <w:r>
        <w:rPr>
          <w:rFonts w:ascii="inherit" w:hAnsi="inherit"/>
          <w:sz w:val="17"/>
        </w:rPr>
        <w:t xml:space="preserve">, we entered into a new senior secured credit agreement with a syndicate of </w:t>
      </w:r>
      <w:r>
        <w:rPr>
          <w:rFonts w:ascii="inherit" w:hAnsi="inherit"/>
          <w:strike w:val="false"/>
          <w:dstrike w:val="false"/>
          <w:color w:val="000000"/>
          <w:sz w:val="17"/>
          <w:u w:val="none"/>
          <w:effect w:val="none"/>
        </w:rPr>
        <w:t>five</w:t>
      </w:r>
      <w:r>
        <w:rPr>
          <w:sz w:val="17"/>
        </w:rPr>
        <w:t xml:space="preserve"> </w:t>
      </w:r>
      <w:r>
        <w:rPr>
          <w:rFonts w:ascii="inherit" w:hAnsi="inherit"/>
          <w:sz w:val="17"/>
        </w:rPr>
        <w:t xml:space="preserve">banks, replacing our previous credit agreement. Among other things, the new credit agreement provides for a </w:t>
      </w:r>
      <w:r>
        <w:rPr>
          <w:rFonts w:ascii="inherit" w:hAnsi="inherit"/>
          <w:strike w:val="false"/>
          <w:dstrike w:val="false"/>
          <w:color w:val="000000"/>
          <w:sz w:val="17"/>
          <w:u w:val="none"/>
          <w:effect w:val="none"/>
        </w:rPr>
        <w:t>four</w:t>
      </w:r>
      <w:r>
        <w:rPr>
          <w:rFonts w:ascii="inherit" w:hAnsi="inherit"/>
          <w:sz w:val="17"/>
        </w:rPr>
        <w:t xml:space="preserve">-year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revolving credit facility that we may, under the terms of the agreement, request to be increased to a total of </w:t>
      </w:r>
      <w:r>
        <w:rPr>
          <w:rFonts w:ascii="inherit" w:hAnsi="inherit"/>
          <w:strike w:val="false"/>
          <w:dstrike w:val="false"/>
          <w:color w:val="000000"/>
          <w:sz w:val="17"/>
          <w:u w:val="none"/>
          <w:effect w:val="none"/>
        </w:rPr>
        <w:t>$225 million</w:t>
      </w:r>
      <w:r>
        <w:rPr>
          <w:rFonts w:ascii="inherit" w:hAnsi="inherit"/>
          <w:sz w:val="17"/>
        </w:rPr>
        <w:t xml:space="preserve">. Upon entering the new credit agreement, we repaid and retired our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outstanding debt. On </w:t>
      </w:r>
      <w:r>
        <w:rPr>
          <w:rFonts w:ascii="inherit" w:hAnsi="inherit"/>
          <w:strike w:val="false"/>
          <w:dstrike w:val="false"/>
          <w:color w:val="000000"/>
          <w:sz w:val="17"/>
          <w:u w:val="none"/>
          <w:effect w:val="none"/>
        </w:rPr>
        <w:t>May 31, 2013</w:t>
      </w:r>
      <w:r>
        <w:rPr>
          <w:rFonts w:ascii="inherit" w:hAnsi="inherit"/>
          <w:sz w:val="17"/>
        </w:rPr>
        <w:t xml:space="preserve">, we amended the senior secured credit agreement to increase our revolving credit facility from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$200 million</w:t>
      </w:r>
      <w:r>
        <w:rPr>
          <w:rFonts w:ascii="inherit" w:hAnsi="inherit"/>
          <w:sz w:val="17"/>
        </w:rPr>
        <w:t xml:space="preserve">. The new credit facility increases our available credit and provides greater flexibility to make investments and acquisitions both domestically and internationally. No other terms of our senior secured credit agreement were modified. Terms of the credit agreement require, among other things, that we meet certain financial covenants. We were in compliance with all covenants at </w:t>
      </w:r>
      <w:r>
        <w:rPr>
          <w:rFonts w:ascii="inherit" w:hAnsi="inherit"/>
          <w:strike w:val="false"/>
          <w:dstrike w:val="false"/>
          <w:color w:val="000000"/>
          <w:sz w:val="17"/>
          <w:u w:val="none"/>
          <w:effect w:val="none"/>
        </w:rPr>
        <w:t>September 30, 2013</w:t>
      </w:r>
      <w:r>
        <w:rPr>
          <w:sz w:val="17"/>
        </w:rPr>
        <w:t xml:space="preserve"> </w:t>
      </w:r>
      <w:r>
        <w:rPr>
          <w:rFonts w:ascii="inherit" w:hAnsi="inherit"/>
          <w:sz w:val="17"/>
        </w:rPr>
        <w:t xml:space="preserve">and expect to remain in compliance based on our expected future performance. At </w:t>
      </w:r>
      <w:r>
        <w:rPr>
          <w:rFonts w:ascii="inherit" w:hAnsi="inherit"/>
          <w:strike w:val="false"/>
          <w:dstrike w:val="false"/>
          <w:color w:val="000000"/>
          <w:sz w:val="17"/>
          <w:u w:val="none"/>
          <w:effect w:val="none"/>
        </w:rPr>
        <w:t>September 30, 2013</w:t>
      </w:r>
      <w:r>
        <w:rPr>
          <w:rFonts w:ascii="inherit" w:hAnsi="inherit"/>
          <w:sz w:val="17"/>
        </w:rPr>
        <w:t>, we had borrowed $140.9 million</w:t>
      </w:r>
      <w:r>
        <w:rPr>
          <w:sz w:val="17"/>
        </w:rPr>
        <w:t xml:space="preserve"> </w:t>
      </w:r>
      <w:r>
        <w:rPr>
          <w:rFonts w:ascii="inherit" w:hAnsi="inherit"/>
          <w:sz w:val="17"/>
        </w:rPr>
        <w:t xml:space="preserve">and issued a </w:t>
      </w:r>
      <w:r>
        <w:rPr>
          <w:rFonts w:ascii="inherit" w:hAnsi="inherit"/>
          <w:strike w:val="false"/>
          <w:dstrike w:val="false"/>
          <w:color w:val="000000"/>
          <w:sz w:val="17"/>
          <w:u w:val="none"/>
          <w:effect w:val="none"/>
        </w:rPr>
        <w:t>$1.8 million</w:t>
      </w:r>
      <w:r>
        <w:rPr>
          <w:sz w:val="17"/>
        </w:rPr>
        <w:t xml:space="preserve"> </w:t>
      </w:r>
      <w:r>
        <w:rPr>
          <w:rFonts w:ascii="inherit" w:hAnsi="inherit"/>
          <w:sz w:val="17"/>
        </w:rPr>
        <w:t xml:space="preserve">letter of credit, leaving </w:t>
      </w:r>
      <w:r>
        <w:rPr>
          <w:rFonts w:ascii="inherit" w:hAnsi="inherit"/>
          <w:strike w:val="false"/>
          <w:dstrike w:val="false"/>
          <w:color w:val="000000"/>
          <w:sz w:val="17"/>
          <w:u w:val="none"/>
          <w:effect w:val="none"/>
        </w:rPr>
        <w:t>$57.3 million</w:t>
      </w:r>
      <w:r>
        <w:rPr>
          <w:sz w:val="17"/>
        </w:rPr>
        <w:t xml:space="preserve"> </w:t>
      </w:r>
      <w:r>
        <w:rPr>
          <w:rFonts w:ascii="inherit" w:hAnsi="inherit"/>
          <w:sz w:val="17"/>
        </w:rPr>
        <w:t>available on our revolving credit facility.</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50</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At September 30, 2013, Grupo Finmart's third party debt (nonrecourse to EZCORP) was $105.5 million, with a weighted average interest rate of 11%.  Since the acquisition of Grupo Finmart in January 2012, Grupo Finmart's debt has decreased $4.2 million, and its weighted average interest rate has decreased 8.0 percentage points, due to debt refinancing. This refinancing effort was a key assumption in our investment analysis and will result in significantly reduced interest expenses going forward. In July 2012 Grupo Finmart transferred certain consumer loans to a bankruptcy remote trust in a securitization transaction.  The securitization borrowing facility has a maximum capacity of approximately </w:t>
      </w:r>
      <w:r>
        <w:rPr>
          <w:rFonts w:ascii="inherit" w:hAnsi="inherit"/>
          <w:strike w:val="false"/>
          <w:dstrike w:val="false"/>
          <w:color w:val="000000"/>
          <w:sz w:val="17"/>
          <w:u w:val="none"/>
          <w:effect w:val="none"/>
        </w:rPr>
        <w:t>$115.2 million</w:t>
      </w:r>
      <w:r>
        <w:rPr>
          <w:rFonts w:ascii="inherit" w:hAnsi="inherit"/>
          <w:sz w:val="17"/>
        </w:rPr>
        <w:t>.  At September 30, 2013 $32.0 million</w:t>
      </w:r>
      <w:r>
        <w:rPr>
          <w:sz w:val="17"/>
        </w:rPr>
        <w:t xml:space="preserve"> </w:t>
      </w:r>
      <w:r>
        <w:rPr>
          <w:rFonts w:ascii="inherit" w:hAnsi="inherit"/>
          <w:sz w:val="17"/>
        </w:rPr>
        <w:t>was outstanding under the securitization borrowing facility.  We expect Grupo Finmart to continue its use of the borrowing facility and utilize proceeds to fund loan originations, operations and contractual obligations.</w:t>
      </w:r>
    </w:p>
    <w:p>
      <w:pPr>
        <w:pStyle w:val="TextBody"/>
        <w:spacing w:lineRule="auto" w:line="288" w:before="0" w:after="0"/>
        <w:rPr>
          <w:rFonts w:ascii="inherit" w:hAnsi="inherit"/>
          <w:sz w:val="17"/>
        </w:rPr>
      </w:pPr>
      <w:r>
        <w:rPr>
          <w:rFonts w:ascii="inherit" w:hAnsi="inherit"/>
          <w:sz w:val="17"/>
        </w:rPr>
        <w:t>We anticipate that cash flow from operations, cash on hand and availability under our revolving credit facility will be adequate to fund our contractual obligations, planned store growth, capital expenditures and working capital requirements during the coming year.</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At the beginning of the current fiscal year, we had an effective “shelf” Registration Statement on Form S-4 covering an aggregate of 2.0 million shares of our Class A Common Stock that we may offer from time to time in connection with future acquisitions of businesses, assets or securities, with 1.2 million shares remaining for issuance. During the current year, we issued all the remaining shares in connection with the acquisition of 12 pawn stores in Arizona, and as of September 30, 2013, have no remaining shares covered by the registration statement. We terminated the registration statement in October 2013.</w:t>
      </w:r>
    </w:p>
    <w:p>
      <w:pPr>
        <w:pStyle w:val="TextBody"/>
        <w:spacing w:lineRule="auto" w:line="288" w:before="0" w:after="0"/>
        <w:rPr>
          <w:sz w:val="17"/>
        </w:rPr>
      </w:pPr>
      <w:r>
        <w:rPr>
          <w:rFonts w:ascii="inherit" w:hAnsi="inherit"/>
          <w:sz w:val="17"/>
        </w:rPr>
        <w:t xml:space="preserve">On February 3, 2012, we filed a “shelf” registration statement on Form S-3 registering the offer and sale of an indeterminate amount of a variety of securities, including debt securities (and related guarantees), equity securities, warrants to purchase debt or equity securities, stock purchase contracts and stock purchase units. The proceeds of any offering and sale under that registration statement were to be used for general corporate purposes, including debt reduction or refinancing, acquisitions, capital expenditures and working capital. Unless otherwise indicated in connection with a particular offering of debt securities, each of our domestic subsidiaries was to have fully and unconditionally guaranteed on a joint and several basis our payment obligations under such debt securities. As of </w:t>
      </w:r>
      <w:r>
        <w:rPr>
          <w:rFonts w:ascii="inherit" w:hAnsi="inherit"/>
          <w:strike w:val="false"/>
          <w:dstrike w:val="false"/>
          <w:color w:val="000000"/>
          <w:sz w:val="17"/>
          <w:u w:val="none"/>
          <w:effect w:val="none"/>
        </w:rPr>
        <w:t>September 30, 2013</w:t>
      </w:r>
      <w:r>
        <w:rPr>
          <w:rFonts w:ascii="inherit" w:hAnsi="inherit"/>
          <w:sz w:val="17"/>
        </w:rPr>
        <w:t>, we had not issued any securities under this registration statement. We terminated the registration statement in October 2013.</w:t>
      </w:r>
    </w:p>
    <w:p>
      <w:pPr>
        <w:pStyle w:val="TextBody"/>
        <w:spacing w:lineRule="auto" w:line="288" w:before="0" w:after="0"/>
        <w:jc w:val="left"/>
        <w:rPr>
          <w:rFonts w:ascii="inherit" w:hAnsi="inherit"/>
          <w:b/>
          <w:sz w:val="17"/>
        </w:rPr>
      </w:pPr>
      <w:bookmarkStart w:id="47" w:name="sE84743AC5E83F10B1A9D83E2C2078599"/>
      <w:bookmarkEnd w:id="47"/>
      <w:r>
        <w:rPr>
          <w:rFonts w:ascii="inherit" w:hAnsi="inherit"/>
          <w:b/>
          <w:sz w:val="17"/>
        </w:rPr>
        <w:t>Off-Balance Sheet Arrangements</w:t>
      </w:r>
    </w:p>
    <w:p>
      <w:pPr>
        <w:pStyle w:val="TextBody"/>
        <w:spacing w:lineRule="auto" w:line="288" w:before="0" w:after="0"/>
        <w:jc w:val="left"/>
        <w:rPr>
          <w:rFonts w:ascii="inherit" w:hAnsi="inherit"/>
          <w:sz w:val="17"/>
        </w:rPr>
      </w:pPr>
      <w:r>
        <w:rPr>
          <w:rFonts w:ascii="inherit" w:hAnsi="inherit"/>
          <w:sz w:val="17"/>
        </w:rPr>
        <w:t>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plus any insufficient funds fee.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pStyle w:val="TextBody"/>
        <w:spacing w:lineRule="auto" w:line="288" w:before="0" w:after="0"/>
        <w:jc w:val="left"/>
        <w:rPr>
          <w:sz w:val="17"/>
        </w:rPr>
      </w:pPr>
      <w:r>
        <w:rPr>
          <w:rFonts w:ascii="inherit" w:hAnsi="inherit"/>
          <w:sz w:val="17"/>
        </w:rPr>
        <w:t xml:space="preserve">We include an allowance for Expected LOC Losses in “Accounts payable and other accrued expenses” on our balance sheet. At </w:t>
      </w:r>
      <w:r>
        <w:rPr>
          <w:rFonts w:ascii="inherit" w:hAnsi="inherit"/>
          <w:strike w:val="false"/>
          <w:dstrike w:val="false"/>
          <w:color w:val="000000"/>
          <w:sz w:val="17"/>
          <w:u w:val="none"/>
          <w:effect w:val="none"/>
        </w:rPr>
        <w:t>September 30, 2013</w:t>
      </w:r>
      <w:r>
        <w:rPr>
          <w:rFonts w:ascii="inherit" w:hAnsi="inherit"/>
          <w:sz w:val="17"/>
        </w:rPr>
        <w:t xml:space="preserve">, the allowance for Expected LOC Losses was </w:t>
      </w:r>
      <w:r>
        <w:rPr>
          <w:rFonts w:ascii="inherit" w:hAnsi="inherit"/>
          <w:strike w:val="false"/>
          <w:dstrike w:val="false"/>
          <w:color w:val="000000"/>
          <w:sz w:val="17"/>
          <w:u w:val="none"/>
          <w:effect w:val="none"/>
        </w:rPr>
        <w:t>$2.2 million</w:t>
      </w:r>
      <w:r>
        <w:rPr>
          <w:rFonts w:ascii="inherit" w:hAnsi="inherit"/>
          <w:sz w:val="17"/>
        </w:rPr>
        <w:t xml:space="preserve">. At that date, our maximum exposure for losses on letters of credit, if all brokered loans defaulted and none was collected, was </w:t>
      </w:r>
      <w:r>
        <w:rPr>
          <w:rFonts w:ascii="inherit" w:hAnsi="inherit"/>
          <w:strike w:val="false"/>
          <w:dstrike w:val="false"/>
          <w:color w:val="000000"/>
          <w:sz w:val="17"/>
          <w:u w:val="none"/>
          <w:effect w:val="none"/>
        </w:rPr>
        <w:t>$28.8 million</w:t>
      </w:r>
      <w:r>
        <w:rPr>
          <w:rFonts w:ascii="inherit" w:hAnsi="inherit"/>
          <w:sz w:val="17"/>
        </w:rPr>
        <w:t>. This amount includes principal, interest and insufficient funds fees.</w:t>
      </w:r>
    </w:p>
    <w:p>
      <w:pPr>
        <w:pStyle w:val="TextBody"/>
        <w:spacing w:lineRule="auto" w:line="288" w:before="0" w:after="0"/>
        <w:jc w:val="left"/>
        <w:rPr>
          <w:rFonts w:ascii="inherit" w:hAnsi="inherit"/>
          <w:sz w:val="17"/>
        </w:rPr>
      </w:pPr>
      <w:r>
        <w:rPr>
          <w:rFonts w:ascii="inherit" w:hAnsi="inherit"/>
          <w:sz w:val="17"/>
        </w:rPr>
        <w:t>We have no other off-balance sheet arrangements.</w:t>
      </w:r>
    </w:p>
    <w:p>
      <w:pPr>
        <w:pStyle w:val="TextBody"/>
        <w:spacing w:lineRule="auto" w:line="288" w:before="0" w:after="0"/>
        <w:jc w:val="left"/>
        <w:rPr>
          <w:rFonts w:ascii="inherit" w:hAnsi="inherit"/>
          <w:b/>
          <w:sz w:val="17"/>
        </w:rPr>
      </w:pPr>
      <w:bookmarkStart w:id="48" w:name="s0E65A1C81016DFF02C6083E2C20FC051"/>
      <w:bookmarkEnd w:id="48"/>
      <w:r>
        <w:rPr>
          <w:rFonts w:ascii="inherit" w:hAnsi="inherit"/>
          <w:b/>
          <w:sz w:val="17"/>
        </w:rPr>
        <w:t>Seasonality</w:t>
      </w:r>
    </w:p>
    <w:p>
      <w:pPr>
        <w:pStyle w:val="TextBody"/>
        <w:spacing w:lineRule="auto" w:line="288" w:before="0" w:after="0"/>
        <w:jc w:val="left"/>
        <w:rPr>
          <w:rFonts w:ascii="inherit" w:hAnsi="inherit"/>
          <w:sz w:val="17"/>
        </w:rPr>
      </w:pPr>
      <w:r>
        <w:rPr>
          <w:rFonts w:ascii="inherit" w:hAnsi="inherit"/>
          <w:sz w:val="17"/>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w:t>
      </w:r>
    </w:p>
    <w:p>
      <w:pPr>
        <w:pStyle w:val="TextBody"/>
        <w:spacing w:lineRule="auto" w:line="288" w:before="0" w:after="0"/>
        <w:jc w:val="left"/>
        <w:rPr>
          <w:rFonts w:ascii="inherit" w:hAnsi="inherit"/>
          <w:sz w:val="17"/>
        </w:rPr>
      </w:pPr>
      <w:r>
        <w:rPr>
          <w:rFonts w:ascii="inherit" w:hAnsi="inherit"/>
          <w:sz w:val="17"/>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pStyle w:val="TextBody"/>
        <w:spacing w:lineRule="auto" w:line="288" w:before="0" w:after="0"/>
        <w:jc w:val="left"/>
        <w:rPr>
          <w:rFonts w:ascii="inherit" w:hAnsi="inherit"/>
          <w:sz w:val="17"/>
        </w:rPr>
      </w:pPr>
      <w:r>
        <w:rPr>
          <w:rFonts w:ascii="inherit" w:hAnsi="inherit"/>
          <w:sz w:val="17"/>
        </w:rPr>
        <w:t xml:space="preserve">The payroll withholding lending business is less impacted by seasonality, with the exception of the summer months when new loan originations tend to moderate. </w:t>
      </w:r>
    </w:p>
    <w:p>
      <w:pPr>
        <w:pStyle w:val="TextBody"/>
        <w:spacing w:lineRule="auto" w:line="288" w:before="0" w:after="0"/>
        <w:jc w:val="left"/>
        <w:rPr>
          <w:rFonts w:ascii="inherit" w:hAnsi="inherit"/>
          <w:sz w:val="17"/>
        </w:rPr>
      </w:pPr>
      <w:r>
        <w:rPr>
          <w:rFonts w:ascii="inherit" w:hAnsi="inherit"/>
          <w:sz w:val="17"/>
        </w:rPr>
        <w:t xml:space="preserve">The net effect of these factors is that net revenues and net income typically are strongest in the fourth fiscal quarter and weakest in the third fiscal quarter.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51</w:t>
      </w:r>
      <w:r>
        <w:br w:type="page"/>
      </w:r>
    </w:p>
    <w:p>
      <w:pPr>
        <w:pStyle w:val="TextBody"/>
        <w:spacing w:lineRule="auto" w:line="288" w:before="0" w:after="0"/>
        <w:rPr/>
      </w:pPr>
      <w:hyperlink w:anchor="sA13583D437E20DC41B4583E2BD74AA47">
        <w:bookmarkStart w:id="49" w:name="s26CECB99E43A6BF9597C83E2C2236A10"/>
        <w:bookmarkEnd w:id="49"/>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Cautionary Statement Regarding Risks and Uncertainties That May Affect Future Results</w:t>
      </w:r>
    </w:p>
    <w:p>
      <w:pPr>
        <w:pStyle w:val="TextBody"/>
        <w:spacing w:lineRule="auto" w:line="288" w:before="0" w:after="0"/>
        <w:jc w:val="left"/>
        <w:rPr>
          <w:rFonts w:ascii="inherit" w:hAnsi="inherit"/>
          <w:sz w:val="17"/>
        </w:rPr>
      </w:pPr>
      <w:r>
        <w:rPr>
          <w:rFonts w:ascii="inherit" w:hAnsi="inherit"/>
          <w:sz w:val="17"/>
        </w:rPr>
        <w:t>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When considering forward-looking statements, you should keep in mind the risk factors and other cautionary statements in this report. Such risks and uncertainties include, among other things: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laws and regulations, including regulation of our financial services business by the Consumer Financial Protection Bureau;</w:t>
            </w:r>
          </w:p>
        </w:tc>
      </w:tr>
    </w:tbl>
    <w:tbl>
      <w:tblPr>
        <w:tblW w:w="3460" w:type="dxa"/>
        <w:jc w:val="left"/>
        <w:tblInd w:w="0" w:type="dxa"/>
        <w:tblCellMar>
          <w:top w:w="0" w:type="dxa"/>
          <w:left w:w="0" w:type="dxa"/>
          <w:bottom w:w="0" w:type="dxa"/>
          <w:right w:w="0" w:type="dxa"/>
        </w:tblCellMar>
      </w:tblPr>
      <w:tblGrid>
        <w:gridCol w:w="485"/>
        <w:gridCol w:w="2975"/>
      </w:tblGrid>
      <w:tr>
        <w:trPr/>
        <w:tc>
          <w:tcPr>
            <w:tcW w:w="485"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9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gold prices or volumes;</w:t>
            </w:r>
          </w:p>
        </w:tc>
      </w:tr>
    </w:tbl>
    <w:tbl>
      <w:tblPr>
        <w:tblW w:w="3505" w:type="dxa"/>
        <w:jc w:val="left"/>
        <w:tblInd w:w="0" w:type="dxa"/>
        <w:tblCellMar>
          <w:top w:w="0" w:type="dxa"/>
          <w:left w:w="0" w:type="dxa"/>
          <w:bottom w:w="0" w:type="dxa"/>
          <w:right w:w="0" w:type="dxa"/>
        </w:tblCellMar>
      </w:tblPr>
      <w:tblGrid>
        <w:gridCol w:w="485"/>
        <w:gridCol w:w="3020"/>
      </w:tblGrid>
      <w:tr>
        <w:trPr/>
        <w:tc>
          <w:tcPr>
            <w:tcW w:w="485" w:type="dxa"/>
            <w:tcBorders/>
            <w:shd w:fill="auto" w:val="clear"/>
            <w:vAlign w:val="center"/>
          </w:tcPr>
          <w:p>
            <w:pPr>
              <w:pStyle w:val="TableContents"/>
              <w:spacing w:before="0" w:after="283"/>
              <w:rPr>
                <w:sz w:val="4"/>
                <w:szCs w:val="4"/>
              </w:rPr>
            </w:pPr>
            <w:r>
              <w:rPr>
                <w:sz w:val="4"/>
                <w:szCs w:val="4"/>
              </w:rPr>
            </w:r>
          </w:p>
        </w:tc>
        <w:tc>
          <w:tcPr>
            <w:tcW w:w="30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0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Concentration of business in Texas;</w:t>
            </w:r>
          </w:p>
        </w:tc>
      </w:tr>
    </w:tbl>
    <w:tbl>
      <w:tblPr>
        <w:tblW w:w="4300" w:type="dxa"/>
        <w:jc w:val="left"/>
        <w:tblInd w:w="0" w:type="dxa"/>
        <w:tblCellMar>
          <w:top w:w="0" w:type="dxa"/>
          <w:left w:w="0" w:type="dxa"/>
          <w:bottom w:w="0" w:type="dxa"/>
          <w:right w:w="0" w:type="dxa"/>
        </w:tblCellMar>
      </w:tblPr>
      <w:tblGrid>
        <w:gridCol w:w="485"/>
        <w:gridCol w:w="3815"/>
      </w:tblGrid>
      <w:tr>
        <w:trPr/>
        <w:tc>
          <w:tcPr>
            <w:tcW w:w="485"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8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foreign currency exchange rates;</w:t>
            </w:r>
          </w:p>
        </w:tc>
      </w:tr>
    </w:tbl>
    <w:tbl>
      <w:tblPr>
        <w:tblW w:w="3010" w:type="dxa"/>
        <w:jc w:val="left"/>
        <w:tblInd w:w="0" w:type="dxa"/>
        <w:tblCellMar>
          <w:top w:w="0" w:type="dxa"/>
          <w:left w:w="0" w:type="dxa"/>
          <w:bottom w:w="0" w:type="dxa"/>
          <w:right w:w="0" w:type="dxa"/>
        </w:tblCellMar>
      </w:tblPr>
      <w:tblGrid>
        <w:gridCol w:w="485"/>
        <w:gridCol w:w="2525"/>
      </w:tblGrid>
      <w:tr>
        <w:trPr/>
        <w:tc>
          <w:tcPr>
            <w:tcW w:w="485" w:type="dxa"/>
            <w:tcBorders/>
            <w:shd w:fill="auto" w:val="clear"/>
            <w:vAlign w:val="center"/>
          </w:tcPr>
          <w:p>
            <w:pPr>
              <w:pStyle w:val="TableContents"/>
              <w:spacing w:before="0" w:after="283"/>
              <w:rPr>
                <w:sz w:val="4"/>
                <w:szCs w:val="4"/>
              </w:rPr>
            </w:pPr>
            <w:r>
              <w:rPr>
                <w:sz w:val="4"/>
                <w:szCs w:val="4"/>
              </w:rPr>
            </w:r>
          </w:p>
        </w:tc>
        <w:tc>
          <w:tcPr>
            <w:tcW w:w="252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5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General economic conditions;</w:t>
            </w:r>
          </w:p>
        </w:tc>
      </w:tr>
    </w:tbl>
    <w:tbl>
      <w:tblPr>
        <w:tblW w:w="5020" w:type="dxa"/>
        <w:jc w:val="left"/>
        <w:tblInd w:w="0" w:type="dxa"/>
        <w:tblCellMar>
          <w:top w:w="0" w:type="dxa"/>
          <w:left w:w="0" w:type="dxa"/>
          <w:bottom w:w="0" w:type="dxa"/>
          <w:right w:w="0" w:type="dxa"/>
        </w:tblCellMar>
      </w:tblPr>
      <w:tblGrid>
        <w:gridCol w:w="485"/>
        <w:gridCol w:w="4535"/>
      </w:tblGrid>
      <w:tr>
        <w:trPr/>
        <w:tc>
          <w:tcPr>
            <w:tcW w:w="485" w:type="dxa"/>
            <w:tcBorders/>
            <w:shd w:fill="auto" w:val="clear"/>
            <w:vAlign w:val="center"/>
          </w:tcPr>
          <w:p>
            <w:pPr>
              <w:pStyle w:val="TableContents"/>
              <w:spacing w:before="0" w:after="283"/>
              <w:rPr>
                <w:sz w:val="4"/>
                <w:szCs w:val="4"/>
              </w:rPr>
            </w:pPr>
            <w:r>
              <w:rPr>
                <w:sz w:val="4"/>
                <w:szCs w:val="4"/>
              </w:rPr>
            </w:r>
          </w:p>
        </w:tc>
        <w:tc>
          <w:tcPr>
            <w:tcW w:w="45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53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our relationships with unaffiliated lenders;</w:t>
            </w:r>
          </w:p>
        </w:tc>
      </w:tr>
    </w:tbl>
    <w:tbl>
      <w:tblPr>
        <w:tblW w:w="8095" w:type="dxa"/>
        <w:jc w:val="left"/>
        <w:tblInd w:w="0" w:type="dxa"/>
        <w:tblCellMar>
          <w:top w:w="0" w:type="dxa"/>
          <w:left w:w="0" w:type="dxa"/>
          <w:bottom w:w="0" w:type="dxa"/>
          <w:right w:w="0" w:type="dxa"/>
        </w:tblCellMar>
      </w:tblPr>
      <w:tblGrid>
        <w:gridCol w:w="485"/>
        <w:gridCol w:w="7610"/>
      </w:tblGrid>
      <w:tr>
        <w:trPr/>
        <w:tc>
          <w:tcPr>
            <w:tcW w:w="485" w:type="dxa"/>
            <w:tcBorders/>
            <w:shd w:fill="auto" w:val="clear"/>
            <w:vAlign w:val="center"/>
          </w:tcPr>
          <w:p>
            <w:pPr>
              <w:pStyle w:val="TableContents"/>
              <w:spacing w:before="0" w:after="283"/>
              <w:rPr>
                <w:sz w:val="4"/>
                <w:szCs w:val="4"/>
              </w:rPr>
            </w:pPr>
            <w:r>
              <w:rPr>
                <w:sz w:val="4"/>
                <w:szCs w:val="4"/>
              </w:rPr>
            </w:r>
          </w:p>
        </w:tc>
        <w:tc>
          <w:tcPr>
            <w:tcW w:w="761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6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ability to continue growing our store count through acquisitions and de novo openings;</w:t>
            </w:r>
          </w:p>
        </w:tc>
      </w:tr>
    </w:tbl>
    <w:tbl>
      <w:tblPr>
        <w:tblW w:w="5980" w:type="dxa"/>
        <w:jc w:val="left"/>
        <w:tblInd w:w="0" w:type="dxa"/>
        <w:tblCellMar>
          <w:top w:w="0" w:type="dxa"/>
          <w:left w:w="0" w:type="dxa"/>
          <w:bottom w:w="0" w:type="dxa"/>
          <w:right w:w="0" w:type="dxa"/>
        </w:tblCellMar>
      </w:tblPr>
      <w:tblGrid>
        <w:gridCol w:w="485"/>
        <w:gridCol w:w="5495"/>
      </w:tblGrid>
      <w:tr>
        <w:trPr/>
        <w:tc>
          <w:tcPr>
            <w:tcW w:w="485" w:type="dxa"/>
            <w:tcBorders/>
            <w:shd w:fill="auto" w:val="clear"/>
            <w:vAlign w:val="center"/>
          </w:tcPr>
          <w:p>
            <w:pPr>
              <w:pStyle w:val="TableContents"/>
              <w:spacing w:before="0" w:after="283"/>
              <w:rPr>
                <w:sz w:val="4"/>
                <w:szCs w:val="4"/>
              </w:rPr>
            </w:pPr>
            <w:r>
              <w:rPr>
                <w:sz w:val="4"/>
                <w:szCs w:val="4"/>
              </w:rPr>
            </w:r>
          </w:p>
        </w:tc>
        <w:tc>
          <w:tcPr>
            <w:tcW w:w="54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4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the business, regulatory or political climate in Mexico;</w:t>
            </w:r>
          </w:p>
        </w:tc>
      </w:tr>
    </w:tbl>
    <w:tbl>
      <w:tblPr>
        <w:tblW w:w="9385" w:type="dxa"/>
        <w:jc w:val="left"/>
        <w:tblInd w:w="0" w:type="dxa"/>
        <w:tblCellMar>
          <w:top w:w="0" w:type="dxa"/>
          <w:left w:w="0" w:type="dxa"/>
          <w:bottom w:w="0" w:type="dxa"/>
          <w:right w:w="0" w:type="dxa"/>
        </w:tblCellMar>
      </w:tblPr>
      <w:tblGrid>
        <w:gridCol w:w="485"/>
        <w:gridCol w:w="8900"/>
      </w:tblGrid>
      <w:tr>
        <w:trPr/>
        <w:tc>
          <w:tcPr>
            <w:tcW w:w="485" w:type="dxa"/>
            <w:tcBorders/>
            <w:shd w:fill="auto" w:val="clear"/>
            <w:vAlign w:val="center"/>
          </w:tcPr>
          <w:p>
            <w:pPr>
              <w:pStyle w:val="TableContents"/>
              <w:spacing w:before="0" w:after="283"/>
              <w:rPr>
                <w:sz w:val="4"/>
                <w:szCs w:val="4"/>
              </w:rPr>
            </w:pPr>
            <w:r>
              <w:rPr>
                <w:sz w:val="4"/>
                <w:szCs w:val="4"/>
              </w:rPr>
            </w:r>
          </w:p>
        </w:tc>
        <w:tc>
          <w:tcPr>
            <w:tcW w:w="89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pawn redemption rates, loan default and collection rates or other important operating metrics;</w:t>
            </w:r>
          </w:p>
        </w:tc>
      </w:tr>
    </w:tbl>
    <w:tbl>
      <w:tblPr>
        <w:tblW w:w="7210" w:type="dxa"/>
        <w:jc w:val="left"/>
        <w:tblInd w:w="0" w:type="dxa"/>
        <w:tblCellMar>
          <w:top w:w="0" w:type="dxa"/>
          <w:left w:w="0" w:type="dxa"/>
          <w:bottom w:w="0" w:type="dxa"/>
          <w:right w:w="0" w:type="dxa"/>
        </w:tblCellMar>
      </w:tblPr>
      <w:tblGrid>
        <w:gridCol w:w="485"/>
        <w:gridCol w:w="6725"/>
      </w:tblGrid>
      <w:tr>
        <w:trPr/>
        <w:tc>
          <w:tcPr>
            <w:tcW w:w="485" w:type="dxa"/>
            <w:tcBorders/>
            <w:shd w:fill="auto" w:val="clear"/>
            <w:vAlign w:val="center"/>
          </w:tcPr>
          <w:p>
            <w:pPr>
              <w:pStyle w:val="TableContents"/>
              <w:spacing w:before="0" w:after="283"/>
              <w:rPr>
                <w:sz w:val="4"/>
                <w:szCs w:val="4"/>
              </w:rPr>
            </w:pPr>
            <w:r>
              <w:rPr>
                <w:sz w:val="4"/>
                <w:szCs w:val="4"/>
              </w:rPr>
            </w:r>
          </w:p>
        </w:tc>
        <w:tc>
          <w:tcPr>
            <w:tcW w:w="672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7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liquidity, capital requirements or access to debt and capital markets;</w:t>
            </w:r>
          </w:p>
        </w:tc>
      </w:tr>
    </w:tbl>
    <w:tbl>
      <w:tblPr>
        <w:tblW w:w="3760" w:type="dxa"/>
        <w:jc w:val="left"/>
        <w:tblInd w:w="0" w:type="dxa"/>
        <w:tblCellMar>
          <w:top w:w="0" w:type="dxa"/>
          <w:left w:w="0" w:type="dxa"/>
          <w:bottom w:w="0" w:type="dxa"/>
          <w:right w:w="0" w:type="dxa"/>
        </w:tblCellMar>
      </w:tblPr>
      <w:tblGrid>
        <w:gridCol w:w="485"/>
        <w:gridCol w:w="3275"/>
      </w:tblGrid>
      <w:tr>
        <w:trPr/>
        <w:tc>
          <w:tcPr>
            <w:tcW w:w="485"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2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the competitive landscape;</w:t>
            </w:r>
          </w:p>
        </w:tc>
      </w:tr>
    </w:tbl>
    <w:tbl>
      <w:tblPr>
        <w:tblW w:w="3505" w:type="dxa"/>
        <w:jc w:val="left"/>
        <w:tblInd w:w="0" w:type="dxa"/>
        <w:tblCellMar>
          <w:top w:w="0" w:type="dxa"/>
          <w:left w:w="0" w:type="dxa"/>
          <w:bottom w:w="0" w:type="dxa"/>
          <w:right w:w="0" w:type="dxa"/>
        </w:tblCellMar>
      </w:tblPr>
      <w:tblGrid>
        <w:gridCol w:w="485"/>
        <w:gridCol w:w="3020"/>
      </w:tblGrid>
      <w:tr>
        <w:trPr/>
        <w:tc>
          <w:tcPr>
            <w:tcW w:w="485" w:type="dxa"/>
            <w:tcBorders/>
            <w:shd w:fill="auto" w:val="clear"/>
            <w:vAlign w:val="center"/>
          </w:tcPr>
          <w:p>
            <w:pPr>
              <w:pStyle w:val="TableContents"/>
              <w:spacing w:before="0" w:after="283"/>
              <w:rPr>
                <w:sz w:val="4"/>
                <w:szCs w:val="4"/>
              </w:rPr>
            </w:pPr>
            <w:r>
              <w:rPr>
                <w:sz w:val="4"/>
                <w:szCs w:val="4"/>
              </w:rPr>
            </w:r>
          </w:p>
        </w:tc>
        <w:tc>
          <w:tcPr>
            <w:tcW w:w="30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0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controlled ownership structure;</w:t>
            </w:r>
          </w:p>
        </w:tc>
      </w:tr>
    </w:tbl>
    <w:tbl>
      <w:tblPr>
        <w:tblW w:w="5380" w:type="dxa"/>
        <w:jc w:val="left"/>
        <w:tblInd w:w="0" w:type="dxa"/>
        <w:tblCellMar>
          <w:top w:w="0" w:type="dxa"/>
          <w:left w:w="0" w:type="dxa"/>
          <w:bottom w:w="0" w:type="dxa"/>
          <w:right w:w="0" w:type="dxa"/>
        </w:tblCellMar>
      </w:tblPr>
      <w:tblGrid>
        <w:gridCol w:w="485"/>
        <w:gridCol w:w="4895"/>
      </w:tblGrid>
      <w:tr>
        <w:trPr/>
        <w:tc>
          <w:tcPr>
            <w:tcW w:w="485" w:type="dxa"/>
            <w:tcBorders/>
            <w:shd w:fill="auto" w:val="clear"/>
            <w:vAlign w:val="center"/>
          </w:tcPr>
          <w:p>
            <w:pPr>
              <w:pStyle w:val="TableContents"/>
              <w:spacing w:before="0" w:after="283"/>
              <w:rPr>
                <w:sz w:val="4"/>
                <w:szCs w:val="4"/>
              </w:rPr>
            </w:pPr>
            <w:r>
              <w:rPr>
                <w:sz w:val="4"/>
                <w:szCs w:val="4"/>
              </w:rPr>
            </w:r>
          </w:p>
        </w:tc>
        <w:tc>
          <w:tcPr>
            <w:tcW w:w="48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8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infrastructure failures or data security breaches;</w:t>
            </w:r>
          </w:p>
        </w:tc>
      </w:tr>
    </w:tbl>
    <w:tbl>
      <w:tblPr>
        <w:tblW w:w="4675" w:type="dxa"/>
        <w:jc w:val="left"/>
        <w:tblInd w:w="0" w:type="dxa"/>
        <w:tblCellMar>
          <w:top w:w="0" w:type="dxa"/>
          <w:left w:w="0" w:type="dxa"/>
          <w:bottom w:w="0" w:type="dxa"/>
          <w:right w:w="0" w:type="dxa"/>
        </w:tblCellMar>
      </w:tblPr>
      <w:tblGrid>
        <w:gridCol w:w="485"/>
        <w:gridCol w:w="4190"/>
      </w:tblGrid>
      <w:tr>
        <w:trPr/>
        <w:tc>
          <w:tcPr>
            <w:tcW w:w="485"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1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Risks associated with our online lending business;</w:t>
            </w:r>
          </w:p>
        </w:tc>
      </w:tr>
    </w:tbl>
    <w:tbl>
      <w:tblPr>
        <w:tblW w:w="2080" w:type="dxa"/>
        <w:jc w:val="left"/>
        <w:tblInd w:w="0" w:type="dxa"/>
        <w:tblCellMar>
          <w:top w:w="0" w:type="dxa"/>
          <w:left w:w="0" w:type="dxa"/>
          <w:bottom w:w="0" w:type="dxa"/>
          <w:right w:w="0" w:type="dxa"/>
        </w:tblCellMar>
      </w:tblPr>
      <w:tblGrid>
        <w:gridCol w:w="485"/>
        <w:gridCol w:w="1595"/>
      </w:tblGrid>
      <w:tr>
        <w:trPr/>
        <w:tc>
          <w:tcPr>
            <w:tcW w:w="485"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15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litigation;</w:t>
            </w:r>
          </w:p>
        </w:tc>
      </w:tr>
    </w:tbl>
    <w:tbl>
      <w:tblPr>
        <w:tblW w:w="5920" w:type="dxa"/>
        <w:jc w:val="left"/>
        <w:tblInd w:w="0" w:type="dxa"/>
        <w:tblCellMar>
          <w:top w:w="0" w:type="dxa"/>
          <w:left w:w="0" w:type="dxa"/>
          <w:bottom w:w="0" w:type="dxa"/>
          <w:right w:w="0" w:type="dxa"/>
        </w:tblCellMar>
      </w:tblPr>
      <w:tblGrid>
        <w:gridCol w:w="485"/>
        <w:gridCol w:w="5435"/>
      </w:tblGrid>
      <w:tr>
        <w:trPr/>
        <w:tc>
          <w:tcPr>
            <w:tcW w:w="485" w:type="dxa"/>
            <w:tcBorders/>
            <w:shd w:fill="auto" w:val="clear"/>
            <w:vAlign w:val="center"/>
          </w:tcPr>
          <w:p>
            <w:pPr>
              <w:pStyle w:val="TableContents"/>
              <w:spacing w:before="0" w:after="283"/>
              <w:rPr>
                <w:sz w:val="4"/>
                <w:szCs w:val="4"/>
              </w:rPr>
            </w:pPr>
            <w:r>
              <w:rPr>
                <w:sz w:val="4"/>
                <w:szCs w:val="4"/>
              </w:rPr>
            </w:r>
          </w:p>
        </w:tc>
        <w:tc>
          <w:tcPr>
            <w:tcW w:w="54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43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Failure to achieve adequate return on our strategic investments;</w:t>
            </w:r>
          </w:p>
        </w:tc>
      </w:tr>
    </w:tbl>
    <w:tbl>
      <w:tblPr>
        <w:tblW w:w="5065" w:type="dxa"/>
        <w:jc w:val="left"/>
        <w:tblInd w:w="0" w:type="dxa"/>
        <w:tblCellMar>
          <w:top w:w="0" w:type="dxa"/>
          <w:left w:w="0" w:type="dxa"/>
          <w:bottom w:w="0" w:type="dxa"/>
          <w:right w:w="0" w:type="dxa"/>
        </w:tblCellMar>
      </w:tblPr>
      <w:tblGrid>
        <w:gridCol w:w="485"/>
        <w:gridCol w:w="4580"/>
      </w:tblGrid>
      <w:tr>
        <w:trPr/>
        <w:tc>
          <w:tcPr>
            <w:tcW w:w="485" w:type="dxa"/>
            <w:tcBorders/>
            <w:shd w:fill="auto" w:val="clear"/>
            <w:vAlign w:val="center"/>
          </w:tcPr>
          <w:p>
            <w:pPr>
              <w:pStyle w:val="TableContents"/>
              <w:spacing w:before="0" w:after="283"/>
              <w:rPr>
                <w:sz w:val="4"/>
                <w:szCs w:val="4"/>
              </w:rPr>
            </w:pPr>
            <w:r>
              <w:rPr>
                <w:sz w:val="4"/>
                <w:szCs w:val="4"/>
              </w:rPr>
            </w:r>
          </w:p>
        </w:tc>
        <w:tc>
          <w:tcPr>
            <w:tcW w:w="458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5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uninsured property, casualty or other losses;</w:t>
            </w:r>
          </w:p>
        </w:tc>
      </w:tr>
    </w:tbl>
    <w:tbl>
      <w:tblPr>
        <w:tblW w:w="6820" w:type="dxa"/>
        <w:jc w:val="left"/>
        <w:tblInd w:w="0" w:type="dxa"/>
        <w:tblCellMar>
          <w:top w:w="0" w:type="dxa"/>
          <w:left w:w="0" w:type="dxa"/>
          <w:bottom w:w="0" w:type="dxa"/>
          <w:right w:w="0" w:type="dxa"/>
        </w:tblCellMar>
      </w:tblPr>
      <w:tblGrid>
        <w:gridCol w:w="485"/>
        <w:gridCol w:w="6335"/>
      </w:tblGrid>
      <w:tr>
        <w:trPr/>
        <w:tc>
          <w:tcPr>
            <w:tcW w:w="485" w:type="dxa"/>
            <w:tcBorders/>
            <w:shd w:fill="auto" w:val="clear"/>
            <w:vAlign w:val="center"/>
          </w:tcPr>
          <w:p>
            <w:pPr>
              <w:pStyle w:val="TableContents"/>
              <w:spacing w:before="0" w:after="283"/>
              <w:rPr>
                <w:sz w:val="4"/>
                <w:szCs w:val="4"/>
              </w:rPr>
            </w:pPr>
            <w:r>
              <w:rPr>
                <w:sz w:val="4"/>
                <w:szCs w:val="4"/>
              </w:rPr>
            </w:r>
          </w:p>
        </w:tc>
        <w:tc>
          <w:tcPr>
            <w:tcW w:w="63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33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disruptive effect of acquisitions, investments and new businesses;</w:t>
            </w:r>
          </w:p>
        </w:tc>
      </w:tr>
    </w:tbl>
    <w:tbl>
      <w:tblPr>
        <w:tblW w:w="3940" w:type="dxa"/>
        <w:jc w:val="left"/>
        <w:tblInd w:w="0" w:type="dxa"/>
        <w:tblCellMar>
          <w:top w:w="0" w:type="dxa"/>
          <w:left w:w="0" w:type="dxa"/>
          <w:bottom w:w="0" w:type="dxa"/>
          <w:right w:w="0" w:type="dxa"/>
        </w:tblCellMar>
      </w:tblPr>
      <w:tblGrid>
        <w:gridCol w:w="485"/>
        <w:gridCol w:w="3455"/>
      </w:tblGrid>
      <w:tr>
        <w:trPr/>
        <w:tc>
          <w:tcPr>
            <w:tcW w:w="485" w:type="dxa"/>
            <w:tcBorders/>
            <w:shd w:fill="auto" w:val="clear"/>
            <w:vAlign w:val="center"/>
          </w:tcPr>
          <w:p>
            <w:pPr>
              <w:pStyle w:val="TableContents"/>
              <w:spacing w:before="0" w:after="283"/>
              <w:rPr>
                <w:sz w:val="4"/>
                <w:szCs w:val="4"/>
              </w:rPr>
            </w:pPr>
            <w:r>
              <w:rPr>
                <w:sz w:val="4"/>
                <w:szCs w:val="4"/>
              </w:rPr>
            </w:r>
          </w:p>
        </w:tc>
        <w:tc>
          <w:tcPr>
            <w:tcW w:w="345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4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U.S. or international tax laws;</w:t>
            </w:r>
          </w:p>
        </w:tc>
      </w:tr>
    </w:tbl>
    <w:tbl>
      <w:tblPr>
        <w:tblW w:w="2785" w:type="dxa"/>
        <w:jc w:val="left"/>
        <w:tblInd w:w="0" w:type="dxa"/>
        <w:tblCellMar>
          <w:top w:w="0" w:type="dxa"/>
          <w:left w:w="0" w:type="dxa"/>
          <w:bottom w:w="0" w:type="dxa"/>
          <w:right w:w="0" w:type="dxa"/>
        </w:tblCellMar>
      </w:tblPr>
      <w:tblGrid>
        <w:gridCol w:w="485"/>
        <w:gridCol w:w="2300"/>
      </w:tblGrid>
      <w:tr>
        <w:trPr/>
        <w:tc>
          <w:tcPr>
            <w:tcW w:w="485" w:type="dxa"/>
            <w:tcBorders/>
            <w:shd w:fill="auto" w:val="clear"/>
            <w:vAlign w:val="center"/>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3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Events beyond our control;</w:t>
            </w:r>
          </w:p>
        </w:tc>
      </w:tr>
    </w:tbl>
    <w:tbl>
      <w:tblPr>
        <w:tblW w:w="6715" w:type="dxa"/>
        <w:jc w:val="left"/>
        <w:tblInd w:w="0" w:type="dxa"/>
        <w:tblCellMar>
          <w:top w:w="0" w:type="dxa"/>
          <w:left w:w="0" w:type="dxa"/>
          <w:bottom w:w="0" w:type="dxa"/>
          <w:right w:w="0" w:type="dxa"/>
        </w:tblCellMar>
      </w:tblPr>
      <w:tblGrid>
        <w:gridCol w:w="485"/>
        <w:gridCol w:w="6230"/>
      </w:tblGrid>
      <w:tr>
        <w:trPr/>
        <w:tc>
          <w:tcPr>
            <w:tcW w:w="485" w:type="dxa"/>
            <w:tcBorders/>
            <w:shd w:fill="auto" w:val="clear"/>
            <w:vAlign w:val="center"/>
          </w:tcPr>
          <w:p>
            <w:pPr>
              <w:pStyle w:val="TableContents"/>
              <w:spacing w:before="0" w:after="283"/>
              <w:rPr>
                <w:sz w:val="4"/>
                <w:szCs w:val="4"/>
              </w:rPr>
            </w:pPr>
            <w:r>
              <w:rPr>
                <w:sz w:val="4"/>
                <w:szCs w:val="4"/>
              </w:rPr>
            </w:r>
          </w:p>
        </w:tc>
        <w:tc>
          <w:tcPr>
            <w:tcW w:w="623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2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Failure to adapt to any decrease in demand for our products and services;</w:t>
            </w:r>
          </w:p>
        </w:tc>
      </w:tr>
    </w:tbl>
    <w:tbl>
      <w:tblPr>
        <w:tblW w:w="5785" w:type="dxa"/>
        <w:jc w:val="left"/>
        <w:tblInd w:w="0" w:type="dxa"/>
        <w:tblCellMar>
          <w:top w:w="0" w:type="dxa"/>
          <w:left w:w="0" w:type="dxa"/>
          <w:bottom w:w="0" w:type="dxa"/>
          <w:right w:w="0" w:type="dxa"/>
        </w:tblCellMar>
      </w:tblPr>
      <w:tblGrid>
        <w:gridCol w:w="485"/>
        <w:gridCol w:w="5300"/>
      </w:tblGrid>
      <w:tr>
        <w:trPr/>
        <w:tc>
          <w:tcPr>
            <w:tcW w:w="485" w:type="dxa"/>
            <w:tcBorders/>
            <w:shd w:fill="auto" w:val="clear"/>
            <w:vAlign w:val="center"/>
          </w:tcPr>
          <w:p>
            <w:pPr>
              <w:pStyle w:val="TableContents"/>
              <w:spacing w:before="0" w:after="283"/>
              <w:rPr>
                <w:sz w:val="4"/>
                <w:szCs w:val="4"/>
              </w:rPr>
            </w:pPr>
            <w:r>
              <w:rPr>
                <w:sz w:val="4"/>
                <w:szCs w:val="4"/>
              </w:rPr>
            </w:r>
          </w:p>
        </w:tc>
        <w:tc>
          <w:tcPr>
            <w:tcW w:w="53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3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Financial statement impact of potential impairment of goodwill;</w:t>
            </w:r>
          </w:p>
        </w:tc>
      </w:tr>
    </w:tbl>
    <w:tbl>
      <w:tblPr>
        <w:tblW w:w="3520" w:type="dxa"/>
        <w:jc w:val="left"/>
        <w:tblInd w:w="0" w:type="dxa"/>
        <w:tblCellMar>
          <w:top w:w="0" w:type="dxa"/>
          <w:left w:w="0" w:type="dxa"/>
          <w:bottom w:w="0" w:type="dxa"/>
          <w:right w:w="0" w:type="dxa"/>
        </w:tblCellMar>
      </w:tblPr>
      <w:tblGrid>
        <w:gridCol w:w="485"/>
        <w:gridCol w:w="3035"/>
      </w:tblGrid>
      <w:tr>
        <w:trPr/>
        <w:tc>
          <w:tcPr>
            <w:tcW w:w="485" w:type="dxa"/>
            <w:tcBorders/>
            <w:shd w:fill="auto" w:val="clear"/>
            <w:vAlign w:val="center"/>
          </w:tcPr>
          <w:p>
            <w:pPr>
              <w:pStyle w:val="TableContents"/>
              <w:spacing w:before="0" w:after="283"/>
              <w:rPr>
                <w:sz w:val="4"/>
                <w:szCs w:val="4"/>
              </w:rPr>
            </w:pPr>
            <w:r>
              <w:rPr>
                <w:sz w:val="4"/>
                <w:szCs w:val="4"/>
              </w:rPr>
            </w:r>
          </w:p>
        </w:tc>
        <w:tc>
          <w:tcPr>
            <w:tcW w:w="30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03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Inadequacy of loan loss allowances;</w:t>
            </w:r>
          </w:p>
        </w:tc>
      </w:tr>
    </w:tbl>
    <w:tbl>
      <w:tblPr>
        <w:tblW w:w="8425" w:type="dxa"/>
        <w:jc w:val="left"/>
        <w:tblInd w:w="0" w:type="dxa"/>
        <w:tblCellMar>
          <w:top w:w="0" w:type="dxa"/>
          <w:left w:w="0" w:type="dxa"/>
          <w:bottom w:w="0" w:type="dxa"/>
          <w:right w:w="0" w:type="dxa"/>
        </w:tblCellMar>
      </w:tblPr>
      <w:tblGrid>
        <w:gridCol w:w="485"/>
        <w:gridCol w:w="7940"/>
      </w:tblGrid>
      <w:tr>
        <w:trPr/>
        <w:tc>
          <w:tcPr>
            <w:tcW w:w="485" w:type="dxa"/>
            <w:tcBorders/>
            <w:shd w:fill="auto" w:val="clear"/>
            <w:vAlign w:val="center"/>
          </w:tcPr>
          <w:p>
            <w:pPr>
              <w:pStyle w:val="TableContents"/>
              <w:spacing w:before="0" w:after="283"/>
              <w:rPr>
                <w:sz w:val="4"/>
                <w:szCs w:val="4"/>
              </w:rPr>
            </w:pPr>
            <w:r>
              <w:rPr>
                <w:sz w:val="4"/>
                <w:szCs w:val="4"/>
              </w:rPr>
            </w:r>
          </w:p>
        </w:tc>
        <w:tc>
          <w:tcPr>
            <w:tcW w:w="794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9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Judicial decisions or changes in law that render our arbitration agreements unenforceable; and</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52</w:t>
      </w:r>
      <w:r>
        <w:br w:type="page"/>
      </w:r>
    </w:p>
    <w:p>
      <w:pPr>
        <w:pStyle w:val="TextBody"/>
        <w:spacing w:lineRule="auto" w:line="288" w:before="0" w:after="0"/>
        <w:rPr/>
      </w:pPr>
      <w:hyperlink w:anchor="sA13583D437E20DC41B4583E2BD74AA47">
        <w:bookmarkStart w:id="50" w:name="s26CECB99E43A6BF9597C83E2C2236A101"/>
        <w:bookmarkEnd w:id="50"/>
        <w:r>
          <w:rPr>
            <w:rStyle w:val="InternetLink"/>
            <w:rFonts w:ascii="inherit" w:hAnsi="inherit"/>
            <w:color w:val="0000FF"/>
            <w:sz w:val="17"/>
            <w:u w:val="single"/>
          </w:rPr>
          <w:t>Table of Contents</w:t>
        </w:r>
      </w:hyperlink>
    </w:p>
    <w:p>
      <w:pPr>
        <w:pStyle w:val="TextBody"/>
        <w:spacing w:before="0" w:after="0"/>
        <w:rPr/>
      </w:pPr>
      <w:r>
        <w:rPr/>
      </w:r>
    </w:p>
    <w:tbl>
      <w:tblPr>
        <w:tblW w:w="4390" w:type="dxa"/>
        <w:jc w:val="left"/>
        <w:tblInd w:w="0" w:type="dxa"/>
        <w:tblCellMar>
          <w:top w:w="0" w:type="dxa"/>
          <w:left w:w="0" w:type="dxa"/>
          <w:bottom w:w="0" w:type="dxa"/>
          <w:right w:w="0" w:type="dxa"/>
        </w:tblCellMar>
      </w:tblPr>
      <w:tblGrid>
        <w:gridCol w:w="485"/>
        <w:gridCol w:w="3905"/>
      </w:tblGrid>
      <w:tr>
        <w:trPr/>
        <w:tc>
          <w:tcPr>
            <w:tcW w:w="485" w:type="dxa"/>
            <w:tcBorders/>
            <w:shd w:fill="auto" w:val="clear"/>
            <w:vAlign w:val="center"/>
          </w:tcPr>
          <w:p>
            <w:pPr>
              <w:pStyle w:val="TableContents"/>
              <w:spacing w:before="0" w:after="283"/>
              <w:rPr>
                <w:sz w:val="4"/>
                <w:szCs w:val="4"/>
              </w:rPr>
            </w:pPr>
            <w:r>
              <w:rPr>
                <w:sz w:val="4"/>
                <w:szCs w:val="4"/>
              </w:rPr>
            </w:r>
          </w:p>
        </w:tc>
        <w:tc>
          <w:tcPr>
            <w:tcW w:w="39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9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exposure under anti-corruption laws.</w:t>
            </w:r>
          </w:p>
        </w:tc>
      </w:tr>
    </w:tbl>
    <w:p>
      <w:pPr>
        <w:pStyle w:val="TextBody"/>
        <w:spacing w:lineRule="auto" w:line="288" w:before="0" w:after="0"/>
        <w:jc w:val="left"/>
        <w:rPr>
          <w:rFonts w:ascii="inherit" w:hAnsi="inherit"/>
          <w:sz w:val="17"/>
        </w:rPr>
      </w:pPr>
      <w:r>
        <w:rPr>
          <w:rFonts w:ascii="inherit" w:hAnsi="inherit"/>
          <w:sz w:val="17"/>
        </w:rPr>
        <w:t>For a discussion of these important risk factors, see "Part I — Item 1A — Risk Factors."</w:t>
      </w:r>
    </w:p>
    <w:p>
      <w:pPr>
        <w:pStyle w:val="TextBody"/>
        <w:spacing w:lineRule="auto" w:line="288" w:before="0" w:after="0"/>
        <w:jc w:val="left"/>
        <w:rPr>
          <w:rFonts w:ascii="inherit" w:hAnsi="inherit"/>
          <w:sz w:val="17"/>
        </w:rPr>
      </w:pPr>
      <w:r>
        <w:rPr>
          <w:rFonts w:ascii="inherit" w:hAnsi="inherit"/>
          <w:sz w:val="17"/>
        </w:rPr>
        <w:t>In addition, we cannot predict all of the risks and uncertainties that could cause our actual results to differ from those expressed in the forward-looking statements. You should not place undue reliance on our forward-looking statements. Although forward-looking statements reflect our good faith beliefs,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Accordingly, you should not regard any forward-looking statements as a representation that the expected results will be achieved.</w:t>
      </w:r>
    </w:p>
    <w:p>
      <w:pPr>
        <w:pStyle w:val="TextBody"/>
        <w:spacing w:lineRule="auto" w:line="288" w:before="0" w:after="0"/>
        <w:jc w:val="left"/>
        <w:rPr>
          <w:rFonts w:ascii="inherit" w:hAnsi="inherit"/>
          <w:sz w:val="17"/>
        </w:rPr>
      </w:pPr>
      <w:r>
        <w:rPr>
          <w:rFonts w:ascii="inherit" w:hAnsi="inherit"/>
          <w:sz w:val="17"/>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pStyle w:val="TextBody"/>
        <w:spacing w:lineRule="auto" w:line="288" w:before="0" w:after="0"/>
        <w:jc w:val="left"/>
        <w:rPr>
          <w:rFonts w:ascii="inherit" w:hAnsi="inherit"/>
          <w:b/>
          <w:sz w:val="17"/>
        </w:rPr>
      </w:pPr>
      <w:bookmarkStart w:id="51" w:name="s59EDCDBF3D88674EEBA883E2C255835E"/>
      <w:bookmarkEnd w:id="51"/>
      <w:r>
        <w:rPr>
          <w:rFonts w:ascii="inherit" w:hAnsi="inherit"/>
          <w:b/>
          <w:sz w:val="17"/>
        </w:rPr>
        <w:t>ITEM 7A. QUANTITATIVE AND QUALITATIVE DISCLOSURES ABOUT MARKET RISK</w:t>
      </w:r>
    </w:p>
    <w:p>
      <w:pPr>
        <w:pStyle w:val="TextBody"/>
        <w:spacing w:lineRule="auto" w:line="288" w:before="0" w:after="0"/>
        <w:jc w:val="left"/>
        <w:rPr>
          <w:rFonts w:ascii="inherit" w:hAnsi="inherit"/>
          <w:b/>
          <w:sz w:val="17"/>
        </w:rPr>
      </w:pPr>
      <w:r>
        <w:rPr>
          <w:rFonts w:ascii="inherit" w:hAnsi="inherit"/>
          <w:b/>
          <w:sz w:val="17"/>
        </w:rPr>
        <w:t>Market Risk Disclosures</w:t>
      </w:r>
    </w:p>
    <w:p>
      <w:pPr>
        <w:pStyle w:val="TextBody"/>
        <w:spacing w:lineRule="auto" w:line="288" w:before="0" w:after="0"/>
        <w:jc w:val="left"/>
        <w:rPr>
          <w:rFonts w:ascii="inherit" w:hAnsi="inherit"/>
          <w:sz w:val="17"/>
        </w:rPr>
      </w:pPr>
      <w:r>
        <w:rPr>
          <w:rFonts w:ascii="inherit" w:hAnsi="inherit"/>
          <w:sz w:val="17"/>
        </w:rPr>
        <w:t xml:space="preserve">We are exposed to market risk related to interest rates, gold values and changes in foreign currency exchange rates. </w:t>
      </w:r>
    </w:p>
    <w:p>
      <w:pPr>
        <w:pStyle w:val="TextBody"/>
        <w:spacing w:lineRule="auto" w:line="288" w:before="0" w:after="0"/>
        <w:jc w:val="left"/>
        <w:rPr>
          <w:sz w:val="17"/>
        </w:rPr>
      </w:pPr>
      <w:r>
        <w:rPr>
          <w:rFonts w:ascii="inherit" w:hAnsi="inherit"/>
          <w:sz w:val="17"/>
        </w:rPr>
        <w:t xml:space="preserve">Our earnings are affected by changes in interest rates as our debt has a variable rate. If interest rates average 50 basis points more than our current rate in the fiscal year ending September 30, 2014, our interest expense during the year would increase by approximately $1.3 million. This amount is determined by considering the impact of the hypothetical interest rate change on our variable-rate debt at </w:t>
      </w:r>
      <w:r>
        <w:rPr>
          <w:rFonts w:ascii="inherit" w:hAnsi="inherit"/>
          <w:strike w:val="false"/>
          <w:dstrike w:val="false"/>
          <w:color w:val="000000"/>
          <w:sz w:val="17"/>
          <w:u w:val="none"/>
          <w:effect w:val="none"/>
        </w:rPr>
        <w:t>September 30, 2013</w:t>
      </w:r>
      <w:r>
        <w:rPr>
          <w:rFonts w:ascii="inherit" w:hAnsi="inherit"/>
          <w:sz w:val="17"/>
        </w:rPr>
        <w:t>.</w:t>
      </w:r>
    </w:p>
    <w:p>
      <w:pPr>
        <w:pStyle w:val="TextBody"/>
        <w:spacing w:lineRule="auto" w:line="288" w:before="0" w:after="0"/>
        <w:rPr>
          <w:rFonts w:ascii="inherit" w:hAnsi="inherit"/>
          <w:sz w:val="17"/>
        </w:rPr>
      </w:pPr>
      <w:r>
        <w:rPr>
          <w:rFonts w:ascii="inherit" w:hAnsi="inherit"/>
          <w:sz w:val="17"/>
        </w:rPr>
        <w:t>Our earnings and financial position are affected by changes in gold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In the first quarter of fiscal 2012, we began using derivative financial instruments, in order to manage our commodity price risk associated with the forecasted sales of gold scrap. These derivatives are not designated as hedges as they do not meet the hedge accounting requirements of the Derivatives and Hedging topic of the FASB codification, and changes in their fair value are recorded directly in earnings.</w:t>
      </w:r>
    </w:p>
    <w:p>
      <w:pPr>
        <w:pStyle w:val="TextBody"/>
        <w:spacing w:lineRule="auto" w:line="288" w:before="0" w:after="0"/>
        <w:rPr>
          <w:rFonts w:ascii="inherit" w:hAnsi="inherit"/>
          <w:sz w:val="17"/>
        </w:rPr>
      </w:pPr>
      <w:r>
        <w:rPr>
          <w:rFonts w:ascii="inherit" w:hAnsi="inherit"/>
          <w:sz w:val="17"/>
        </w:rPr>
        <w:t>Our earnings and financial position are affected by foreign exchange rate fluctuations related to our equity investments and our foreign operations. Albemarle &amp; Bond and Cash Genie's functional currency is the British pound, Cash Converters International’s functional currency is the Australian dollar, Empeño Fácil’s and Grupo Finmart’s functional currency is the Mexican peso and our Canada operations’ functional currency is the Canadian dollar. The impact on our results of operations and financial position of hypothetical changes in foreign currency exchange rates cannot be reasonably estimated due to the interrelationship of operating results and exchange rates.</w:t>
      </w:r>
    </w:p>
    <w:p>
      <w:pPr>
        <w:pStyle w:val="TextBody"/>
        <w:spacing w:lineRule="auto" w:line="288" w:before="0" w:after="0"/>
        <w:jc w:val="left"/>
        <w:rPr>
          <w:sz w:val="17"/>
        </w:rPr>
      </w:pPr>
      <w:r>
        <w:rPr>
          <w:rFonts w:ascii="inherit" w:hAnsi="inherit"/>
          <w:sz w:val="17"/>
        </w:rPr>
        <w:t xml:space="preserve">The translation adjustment from Albemarle &amp; Bond representing the weakening in the British pound during the year ended June 30, 2013 (included in our </w:t>
      </w:r>
      <w:r>
        <w:rPr>
          <w:rFonts w:ascii="inherit" w:hAnsi="inherit"/>
          <w:strike w:val="false"/>
          <w:dstrike w:val="false"/>
          <w:color w:val="000000"/>
          <w:sz w:val="17"/>
          <w:u w:val="none"/>
          <w:effect w:val="none"/>
        </w:rPr>
        <w:t>September 30, 2013</w:t>
      </w:r>
      <w:r>
        <w:rPr>
          <w:sz w:val="17"/>
        </w:rPr>
        <w:t xml:space="preserve"> </w:t>
      </w:r>
      <w:r>
        <w:rPr>
          <w:rFonts w:ascii="inherit" w:hAnsi="inherit"/>
          <w:sz w:val="17"/>
        </w:rPr>
        <w:t xml:space="preserve">results on a three-month lag) was reclassified to income as part of the impairment of our investment in Albemarle &amp; Bond. The translation adjustment from Cash Genie, representing the weakening in the British pound, was a $0.1 million decrease to stockholders' equity. On </w:t>
      </w:r>
      <w:r>
        <w:rPr>
          <w:rFonts w:ascii="inherit" w:hAnsi="inherit"/>
          <w:strike w:val="false"/>
          <w:dstrike w:val="false"/>
          <w:color w:val="000000"/>
          <w:sz w:val="17"/>
          <w:u w:val="none"/>
          <w:effect w:val="none"/>
        </w:rPr>
        <w:t>September 30, 2013</w:t>
      </w:r>
      <w:r>
        <w:rPr>
          <w:rFonts w:ascii="inherit" w:hAnsi="inherit"/>
          <w:sz w:val="17"/>
        </w:rPr>
        <w:t xml:space="preserve">, the British pound weakened to £1.00 to $1.6136 U.S. from $1.6164 at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jc w:val="left"/>
        <w:rPr>
          <w:sz w:val="17"/>
        </w:rPr>
      </w:pPr>
      <w:r>
        <w:rPr>
          <w:rFonts w:ascii="inherit" w:hAnsi="inherit"/>
          <w:sz w:val="17"/>
        </w:rPr>
        <w:t xml:space="preserve">The translation adjustment from Cash Converters International representing the weakening in the Australian dollar from our investment dates to June 30, 2013 (included in our </w:t>
      </w:r>
      <w:r>
        <w:rPr>
          <w:rFonts w:ascii="inherit" w:hAnsi="inherit"/>
          <w:strike w:val="false"/>
          <w:dstrike w:val="false"/>
          <w:color w:val="000000"/>
          <w:sz w:val="17"/>
          <w:u w:val="none"/>
          <w:effect w:val="none"/>
        </w:rPr>
        <w:t>September 30, 2013</w:t>
      </w:r>
      <w:r>
        <w:rPr>
          <w:sz w:val="17"/>
        </w:rPr>
        <w:t xml:space="preserve"> </w:t>
      </w:r>
      <w:r>
        <w:rPr>
          <w:rFonts w:ascii="inherit" w:hAnsi="inherit"/>
          <w:sz w:val="17"/>
        </w:rPr>
        <w:t xml:space="preserve">results on a three-month lag) was an $2.1 million decrease to stockholders’ equity. On </w:t>
      </w:r>
      <w:r>
        <w:rPr>
          <w:rFonts w:ascii="inherit" w:hAnsi="inherit"/>
          <w:strike w:val="false"/>
          <w:dstrike w:val="false"/>
          <w:color w:val="000000"/>
          <w:sz w:val="17"/>
          <w:u w:val="none"/>
          <w:effect w:val="none"/>
        </w:rPr>
        <w:t>September 30, 2013</w:t>
      </w:r>
      <w:r>
        <w:rPr>
          <w:rFonts w:ascii="inherit" w:hAnsi="inherit"/>
          <w:sz w:val="17"/>
        </w:rPr>
        <w:t xml:space="preserve">, the Australian dollar weakened to $1.00 Australian dollar to $0.9312 U.S. from $1.0377 at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jc w:val="left"/>
        <w:rPr>
          <w:sz w:val="17"/>
        </w:rPr>
      </w:pPr>
      <w:r>
        <w:rPr>
          <w:rFonts w:ascii="inherit" w:hAnsi="inherit"/>
          <w:sz w:val="17"/>
        </w:rPr>
        <w:t xml:space="preserve">The translation adjustment from Latin America representing the weakening of the Mexican peso during the year ended </w:t>
      </w:r>
      <w:r>
        <w:rPr>
          <w:rFonts w:ascii="inherit" w:hAnsi="inherit"/>
          <w:strike w:val="false"/>
          <w:dstrike w:val="false"/>
          <w:color w:val="000000"/>
          <w:sz w:val="17"/>
          <w:u w:val="none"/>
          <w:effect w:val="none"/>
        </w:rPr>
        <w:t>September 30, 2013</w:t>
      </w:r>
      <w:r>
        <w:rPr>
          <w:sz w:val="17"/>
        </w:rPr>
        <w:t xml:space="preserve"> </w:t>
      </w:r>
      <w:r>
        <w:rPr>
          <w:rFonts w:ascii="inherit" w:hAnsi="inherit"/>
          <w:sz w:val="17"/>
        </w:rPr>
        <w:t xml:space="preserve">was a $6.8 million decrease to stockholders’ equity. We have currently assumed permanent reinvestment of earnings and capital in Mexico. Accumulated translation gains or losses related to any future repatriation of earnings or capital would impact our earnings in the period of repatriation. On </w:t>
      </w:r>
      <w:r>
        <w:rPr>
          <w:rFonts w:ascii="inherit" w:hAnsi="inherit"/>
          <w:strike w:val="false"/>
          <w:dstrike w:val="false"/>
          <w:color w:val="000000"/>
          <w:sz w:val="17"/>
          <w:u w:val="none"/>
          <w:effect w:val="none"/>
        </w:rPr>
        <w:t>September 30, 2013</w:t>
      </w:r>
      <w:r>
        <w:rPr>
          <w:rFonts w:ascii="inherit" w:hAnsi="inherit"/>
          <w:sz w:val="17"/>
        </w:rPr>
        <w:t xml:space="preserve">, the peso further weakened to $1.00 Mexican peso to $0.07605 U.S. from $0.0778 at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jc w:val="left"/>
        <w:rPr>
          <w:sz w:val="17"/>
        </w:rPr>
      </w:pPr>
      <w:r>
        <w:rPr>
          <w:rFonts w:ascii="inherit" w:hAnsi="inherit"/>
          <w:sz w:val="17"/>
        </w:rPr>
        <w:t xml:space="preserve">The translation adjustment from our Canadian operations representing the weakening of the Canadian dollar during the year ended </w:t>
      </w:r>
      <w:r>
        <w:rPr>
          <w:rFonts w:ascii="inherit" w:hAnsi="inherit"/>
          <w:strike w:val="false"/>
          <w:dstrike w:val="false"/>
          <w:color w:val="000000"/>
          <w:sz w:val="17"/>
          <w:u w:val="none"/>
          <w:effect w:val="none"/>
        </w:rPr>
        <w:t>September 30, 2013</w:t>
      </w:r>
      <w:r>
        <w:rPr>
          <w:sz w:val="17"/>
        </w:rPr>
        <w:t xml:space="preserve"> </w:t>
      </w:r>
      <w:r>
        <w:rPr>
          <w:rFonts w:ascii="inherit" w:hAnsi="inherit"/>
          <w:sz w:val="17"/>
        </w:rPr>
        <w:t xml:space="preserve">was a $0.7 million decrease to stockholders’ equity. On </w:t>
      </w:r>
      <w:r>
        <w:rPr>
          <w:rFonts w:ascii="inherit" w:hAnsi="inherit"/>
          <w:strike w:val="false"/>
          <w:dstrike w:val="false"/>
          <w:color w:val="000000"/>
          <w:sz w:val="17"/>
          <w:u w:val="none"/>
          <w:effect w:val="none"/>
        </w:rPr>
        <w:t>September 30, 2013</w:t>
      </w:r>
      <w:r>
        <w:rPr>
          <w:rFonts w:ascii="inherit" w:hAnsi="inherit"/>
          <w:sz w:val="17"/>
        </w:rPr>
        <w:t xml:space="preserve">, the Canadian dollar weakened to $1.00 Canadian dollar to $0.9698 U.S. from $1.0164 at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53</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We cannot predict the future valuation of foreign currencies or how further movements in exchange rates could affect our future earnings or financial position.</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54</w:t>
      </w:r>
      <w:r>
        <w:br w:type="page"/>
      </w:r>
    </w:p>
    <w:p>
      <w:pPr>
        <w:pStyle w:val="TextBody"/>
        <w:spacing w:lineRule="auto" w:line="288" w:before="0" w:after="0"/>
        <w:rPr/>
      </w:pPr>
      <w:hyperlink w:anchor="sA13583D437E20DC41B4583E2BD74AA47">
        <w:bookmarkStart w:id="52" w:name="s77D908E9857EBACC5F9E83E2C279A125"/>
        <w:bookmarkEnd w:id="52"/>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8. FINANCIAL STATEMENTS AND SUPPLEMENTARY DATA</w:t>
      </w:r>
    </w:p>
    <w:p>
      <w:pPr>
        <w:pStyle w:val="TextBody"/>
        <w:spacing w:lineRule="auto" w:line="288" w:before="0" w:after="0"/>
        <w:jc w:val="center"/>
        <w:rPr>
          <w:rFonts w:ascii="inherit" w:hAnsi="inherit"/>
          <w:b/>
          <w:sz w:val="17"/>
        </w:rPr>
      </w:pPr>
      <w:r>
        <w:rPr>
          <w:rFonts w:ascii="inherit" w:hAnsi="inherit"/>
          <w:b/>
          <w:sz w:val="17"/>
        </w:rPr>
        <w:t>Index to Consolidated Financial Statements</w:t>
      </w:r>
    </w:p>
    <w:tbl>
      <w:tblPr>
        <w:tblW w:w="9962" w:type="dxa"/>
        <w:jc w:val="left"/>
        <w:tblInd w:w="0" w:type="dxa"/>
        <w:tblCellMar>
          <w:top w:w="0" w:type="dxa"/>
          <w:left w:w="0" w:type="dxa"/>
          <w:bottom w:w="0" w:type="dxa"/>
          <w:right w:w="0" w:type="dxa"/>
        </w:tblCellMar>
      </w:tblPr>
      <w:tblGrid>
        <w:gridCol w:w="9066"/>
        <w:gridCol w:w="896"/>
      </w:tblGrid>
      <w:tr>
        <w:trPr/>
        <w:tc>
          <w:tcPr>
            <w:tcW w:w="9962" w:type="dxa"/>
            <w:gridSpan w:val="2"/>
            <w:tcBorders/>
            <w:shd w:fill="auto" w:val="clear"/>
            <w:vAlign w:val="center"/>
          </w:tcPr>
          <w:p>
            <w:pPr>
              <w:pStyle w:val="TableContents"/>
              <w:spacing w:before="0" w:after="283"/>
              <w:rPr>
                <w:sz w:val="4"/>
                <w:szCs w:val="4"/>
              </w:rPr>
            </w:pPr>
            <w:r>
              <w:rPr>
                <w:sz w:val="4"/>
                <w:szCs w:val="4"/>
              </w:rPr>
            </w:r>
          </w:p>
        </w:tc>
      </w:tr>
      <w:tr>
        <w:trPr/>
        <w:tc>
          <w:tcPr>
            <w:tcW w:w="9066"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66" w:type="dxa"/>
            <w:tcBorders/>
            <w:shd w:fill="auto" w:val="clear"/>
            <w:vAlign w:val="center"/>
          </w:tcPr>
          <w:p>
            <w:pPr>
              <w:pStyle w:val="TableContents"/>
              <w:spacing w:before="0" w:after="0"/>
              <w:ind w:left="0" w:right="0" w:firstLine="30"/>
              <w:jc w:val="left"/>
              <w:rPr/>
            </w:pPr>
            <w:r>
              <w:rPr/>
              <w:t> </w:t>
            </w:r>
          </w:p>
        </w:tc>
        <w:tc>
          <w:tcPr>
            <w:tcW w:w="896"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3"/>
              </w:rPr>
            </w:pPr>
            <w:r>
              <w:rPr>
                <w:rFonts w:ascii="inherit" w:hAnsi="inherit"/>
                <w:sz w:val="13"/>
              </w:rPr>
              <w:t>Page</w:t>
            </w:r>
          </w:p>
        </w:tc>
      </w:tr>
      <w:tr>
        <w:trPr/>
        <w:tc>
          <w:tcPr>
            <w:tcW w:w="9066" w:type="dxa"/>
            <w:tcBorders/>
            <w:shd w:fill="auto" w:val="clear"/>
            <w:vAlign w:val="center"/>
          </w:tcPr>
          <w:p>
            <w:pPr>
              <w:pStyle w:val="TableContents"/>
              <w:spacing w:before="0" w:after="0"/>
              <w:ind w:left="0" w:right="0" w:firstLine="30"/>
              <w:rPr/>
            </w:pPr>
            <w:hyperlink w:anchor="sCED81EFF1322B817FC8E83E2C2AC9CE9">
              <w:r>
                <w:rPr>
                  <w:rStyle w:val="InternetLink"/>
                  <w:rFonts w:ascii="inherit" w:hAnsi="inherit"/>
                  <w:color w:val="0000FF"/>
                  <w:sz w:val="17"/>
                  <w:u w:val="single"/>
                </w:rPr>
                <w:t>Report of Independent Registered Public Accounting Firm</w:t>
              </w:r>
            </w:hyperlink>
          </w:p>
        </w:tc>
        <w:tc>
          <w:tcPr>
            <w:tcW w:w="896" w:type="dxa"/>
            <w:tcBorders/>
            <w:shd w:fill="auto" w:val="clear"/>
            <w:vAlign w:val="center"/>
          </w:tcPr>
          <w:p>
            <w:pPr>
              <w:pStyle w:val="TableContents"/>
              <w:spacing w:before="0" w:after="0"/>
              <w:ind w:left="0" w:right="0" w:firstLine="30"/>
              <w:jc w:val="right"/>
              <w:rPr/>
            </w:pPr>
            <w:hyperlink w:anchor="s1f5eef4a70c242e68e4df6175c7ddae0">
              <w:r>
                <w:rPr>
                  <w:rStyle w:val="InternetLink"/>
                  <w:color w:val="0000FF"/>
                  <w:sz w:val="17"/>
                  <w:u w:val="single"/>
                </w:rPr>
                <w:t>56</w:t>
              </w:r>
            </w:hyperlink>
          </w:p>
        </w:tc>
      </w:tr>
      <w:tr>
        <w:trPr/>
        <w:tc>
          <w:tcPr>
            <w:tcW w:w="9066" w:type="dxa"/>
            <w:tcBorders/>
            <w:shd w:fill="auto" w:val="clear"/>
            <w:vAlign w:val="center"/>
          </w:tcPr>
          <w:p>
            <w:pPr>
              <w:pStyle w:val="TableContents"/>
              <w:spacing w:before="0" w:after="0"/>
              <w:ind w:left="0" w:right="0" w:firstLine="30"/>
              <w:rPr/>
            </w:pPr>
            <w:hyperlink w:anchor="sBF106D25D3544C7E516B83E26B3DD259">
              <w:r>
                <w:rPr>
                  <w:rStyle w:val="InternetLink"/>
                  <w:rFonts w:ascii="inherit" w:hAnsi="inherit"/>
                  <w:color w:val="0000FF"/>
                  <w:sz w:val="17"/>
                  <w:u w:val="single"/>
                </w:rPr>
                <w:t>Consolidated Financial Statements:</w:t>
              </w:r>
            </w:hyperlink>
          </w:p>
        </w:tc>
        <w:tc>
          <w:tcPr>
            <w:tcW w:w="896" w:type="dxa"/>
            <w:tcBorders/>
            <w:shd w:fill="auto" w:val="clear"/>
            <w:vAlign w:val="center"/>
          </w:tcPr>
          <w:p>
            <w:pPr>
              <w:pStyle w:val="TableContents"/>
              <w:spacing w:before="0" w:after="0"/>
              <w:ind w:left="0" w:right="0" w:firstLine="300"/>
              <w:jc w:val="left"/>
              <w:rPr/>
            </w:pPr>
            <w:r>
              <w:rPr/>
              <w:t> </w:t>
            </w:r>
          </w:p>
        </w:tc>
      </w:tr>
      <w:tr>
        <w:trPr/>
        <w:tc>
          <w:tcPr>
            <w:tcW w:w="9066" w:type="dxa"/>
            <w:tcBorders/>
            <w:shd w:fill="auto" w:val="clear"/>
            <w:vAlign w:val="center"/>
          </w:tcPr>
          <w:p>
            <w:pPr>
              <w:pStyle w:val="TableContents"/>
              <w:spacing w:before="0" w:after="0"/>
              <w:ind w:left="0" w:right="0" w:firstLine="30"/>
              <w:rPr/>
            </w:pPr>
            <w:hyperlink w:anchor="sBF106D25D3544C7E516B83E26B3DD259">
              <w:r>
                <w:rPr>
                  <w:rStyle w:val="InternetLink"/>
                </w:rPr>
                <w:t>Consolidated Balance Sheets as of September 30, 2013 and 201</w:t>
              </w:r>
            </w:hyperlink>
            <w:r>
              <w:rPr>
                <w:rFonts w:ascii="inherit" w:hAnsi="inherit"/>
                <w:color w:val="0000FF"/>
                <w:sz w:val="17"/>
                <w:u w:val="single"/>
              </w:rPr>
              <w:t>2</w:t>
            </w:r>
          </w:p>
        </w:tc>
        <w:tc>
          <w:tcPr>
            <w:tcW w:w="896" w:type="dxa"/>
            <w:tcBorders/>
            <w:shd w:fill="auto" w:val="clear"/>
            <w:vAlign w:val="center"/>
          </w:tcPr>
          <w:p>
            <w:pPr>
              <w:pStyle w:val="TableContents"/>
              <w:spacing w:before="0" w:after="0"/>
              <w:ind w:left="0" w:right="0" w:firstLine="300"/>
              <w:jc w:val="right"/>
              <w:rPr/>
            </w:pPr>
            <w:hyperlink w:anchor="sBF106D25D3544C7E516B83E26B3DD259">
              <w:r>
                <w:rPr>
                  <w:rStyle w:val="InternetLink"/>
                  <w:rFonts w:ascii="Times New Roman" w:hAnsi="Times New Roman"/>
                  <w:color w:val="0000FF"/>
                  <w:sz w:val="17"/>
                  <w:u w:val="single"/>
                </w:rPr>
                <w:t>58</w:t>
              </w:r>
            </w:hyperlink>
          </w:p>
        </w:tc>
      </w:tr>
      <w:tr>
        <w:trPr/>
        <w:tc>
          <w:tcPr>
            <w:tcW w:w="9066" w:type="dxa"/>
            <w:tcBorders/>
            <w:shd w:fill="auto" w:val="clear"/>
            <w:vAlign w:val="center"/>
          </w:tcPr>
          <w:p>
            <w:pPr>
              <w:pStyle w:val="TableContents"/>
              <w:spacing w:before="0" w:after="0"/>
              <w:ind w:left="0" w:right="0" w:firstLine="30"/>
              <w:rPr/>
            </w:pPr>
            <w:hyperlink w:anchor="s74894DD5AE14530663B383E26B58AF95">
              <w:r>
                <w:rPr>
                  <w:rStyle w:val="InternetLink"/>
                </w:rPr>
                <w:t>Consolidated Statements of Operations for each of the Three Years Ended September 30, 201</w:t>
              </w:r>
            </w:hyperlink>
            <w:r>
              <w:rPr>
                <w:rFonts w:ascii="inherit" w:hAnsi="inherit"/>
                <w:color w:val="0000FF"/>
                <w:sz w:val="17"/>
                <w:u w:val="single"/>
              </w:rPr>
              <w:t>3</w:t>
            </w:r>
          </w:p>
        </w:tc>
        <w:tc>
          <w:tcPr>
            <w:tcW w:w="896" w:type="dxa"/>
            <w:tcBorders/>
            <w:shd w:fill="auto" w:val="clear"/>
            <w:vAlign w:val="center"/>
          </w:tcPr>
          <w:p>
            <w:pPr>
              <w:pStyle w:val="TableContents"/>
              <w:spacing w:before="0" w:after="0"/>
              <w:ind w:left="0" w:right="0" w:firstLine="300"/>
              <w:jc w:val="right"/>
              <w:rPr/>
            </w:pPr>
            <w:hyperlink w:anchor="s74894DD5AE14530663B383E26B58AF95">
              <w:r>
                <w:rPr>
                  <w:rStyle w:val="InternetLink"/>
                  <w:rFonts w:ascii="Times New Roman" w:hAnsi="Times New Roman"/>
                  <w:color w:val="0000FF"/>
                  <w:sz w:val="17"/>
                  <w:u w:val="single"/>
                </w:rPr>
                <w:t>59</w:t>
              </w:r>
            </w:hyperlink>
          </w:p>
        </w:tc>
      </w:tr>
      <w:tr>
        <w:trPr/>
        <w:tc>
          <w:tcPr>
            <w:tcW w:w="9066" w:type="dxa"/>
            <w:tcBorders/>
            <w:shd w:fill="auto" w:val="clear"/>
            <w:vAlign w:val="center"/>
          </w:tcPr>
          <w:p>
            <w:pPr>
              <w:pStyle w:val="TableContents"/>
              <w:spacing w:before="0" w:after="0"/>
              <w:ind w:left="0" w:right="0" w:firstLine="30"/>
              <w:rPr/>
            </w:pPr>
            <w:hyperlink w:anchor="s0F40722DC466C3D7D12783E26B6E913D">
              <w:r>
                <w:rPr>
                  <w:rStyle w:val="InternetLink"/>
                </w:rPr>
                <w:t>Consolidated Statements of Comprehensive Income for each of the Three Years Ended September 30, 201</w:t>
              </w:r>
            </w:hyperlink>
            <w:r>
              <w:rPr>
                <w:rFonts w:ascii="inherit" w:hAnsi="inherit"/>
                <w:color w:val="0000FF"/>
                <w:sz w:val="17"/>
                <w:u w:val="single"/>
              </w:rPr>
              <w:t>3</w:t>
            </w:r>
          </w:p>
        </w:tc>
        <w:tc>
          <w:tcPr>
            <w:tcW w:w="896" w:type="dxa"/>
            <w:tcBorders/>
            <w:shd w:fill="auto" w:val="clear"/>
            <w:vAlign w:val="center"/>
          </w:tcPr>
          <w:p>
            <w:pPr>
              <w:pStyle w:val="TableContents"/>
              <w:spacing w:before="0" w:after="0"/>
              <w:ind w:left="0" w:right="0" w:firstLine="300"/>
              <w:jc w:val="right"/>
              <w:rPr/>
            </w:pPr>
            <w:hyperlink w:anchor="s0F40722DC466C3D7D12783E26B6E913D">
              <w:r>
                <w:rPr>
                  <w:rStyle w:val="InternetLink"/>
                  <w:rFonts w:ascii="Times New Roman" w:hAnsi="Times New Roman"/>
                  <w:color w:val="0000FF"/>
                  <w:sz w:val="17"/>
                  <w:u w:val="single"/>
                </w:rPr>
                <w:t>60</w:t>
              </w:r>
            </w:hyperlink>
          </w:p>
        </w:tc>
      </w:tr>
      <w:tr>
        <w:trPr/>
        <w:tc>
          <w:tcPr>
            <w:tcW w:w="9066" w:type="dxa"/>
            <w:tcBorders/>
            <w:shd w:fill="auto" w:val="clear"/>
            <w:vAlign w:val="center"/>
          </w:tcPr>
          <w:p>
            <w:pPr>
              <w:pStyle w:val="TableContents"/>
              <w:spacing w:before="0" w:after="0"/>
              <w:ind w:left="0" w:right="0" w:firstLine="30"/>
              <w:rPr/>
            </w:pPr>
            <w:hyperlink w:anchor="s6D481676E238F0FE331C83E26B7743F4">
              <w:r>
                <w:rPr>
                  <w:rStyle w:val="InternetLink"/>
                </w:rPr>
                <w:t>Consolidated Statements of Cash Flows for each of the Three Years Ended September 30, 201</w:t>
              </w:r>
            </w:hyperlink>
            <w:r>
              <w:rPr>
                <w:rFonts w:ascii="inherit" w:hAnsi="inherit"/>
                <w:color w:val="0000FF"/>
                <w:sz w:val="17"/>
                <w:u w:val="single"/>
              </w:rPr>
              <w:t>3</w:t>
            </w:r>
          </w:p>
        </w:tc>
        <w:tc>
          <w:tcPr>
            <w:tcW w:w="896" w:type="dxa"/>
            <w:tcBorders/>
            <w:shd w:fill="auto" w:val="clear"/>
            <w:vAlign w:val="center"/>
          </w:tcPr>
          <w:p>
            <w:pPr>
              <w:pStyle w:val="TableContents"/>
              <w:spacing w:before="0" w:after="0"/>
              <w:ind w:left="0" w:right="0" w:firstLine="300"/>
              <w:jc w:val="right"/>
              <w:rPr/>
            </w:pPr>
            <w:hyperlink w:anchor="s6D481676E238F0FE331C83E26B7743F4">
              <w:r>
                <w:rPr>
                  <w:rStyle w:val="InternetLink"/>
                  <w:rFonts w:ascii="Times New Roman" w:hAnsi="Times New Roman"/>
                  <w:color w:val="0000FF"/>
                  <w:sz w:val="17"/>
                  <w:u w:val="single"/>
                </w:rPr>
                <w:t>61</w:t>
              </w:r>
            </w:hyperlink>
          </w:p>
        </w:tc>
      </w:tr>
      <w:tr>
        <w:trPr/>
        <w:tc>
          <w:tcPr>
            <w:tcW w:w="9066" w:type="dxa"/>
            <w:tcBorders/>
            <w:shd w:fill="auto" w:val="clear"/>
            <w:vAlign w:val="center"/>
          </w:tcPr>
          <w:p>
            <w:pPr>
              <w:pStyle w:val="TableContents"/>
              <w:spacing w:before="0" w:after="0"/>
              <w:ind w:left="0" w:right="0" w:firstLine="30"/>
              <w:rPr/>
            </w:pPr>
            <w:hyperlink w:anchor="s4AC8265BFBC463A4F93A83E26C9CF83D">
              <w:r>
                <w:rPr>
                  <w:rStyle w:val="InternetLink"/>
                </w:rPr>
                <w:t>Consolidated Statements of Stockholders’ Equity for each of the Three Years Ended September 30, 201</w:t>
              </w:r>
            </w:hyperlink>
            <w:r>
              <w:rPr>
                <w:rFonts w:ascii="inherit" w:hAnsi="inherit"/>
                <w:color w:val="0000FF"/>
                <w:sz w:val="17"/>
                <w:u w:val="single"/>
              </w:rPr>
              <w:t>3</w:t>
            </w:r>
          </w:p>
        </w:tc>
        <w:tc>
          <w:tcPr>
            <w:tcW w:w="896" w:type="dxa"/>
            <w:tcBorders/>
            <w:shd w:fill="auto" w:val="clear"/>
            <w:vAlign w:val="center"/>
          </w:tcPr>
          <w:p>
            <w:pPr>
              <w:pStyle w:val="TableContents"/>
              <w:spacing w:before="0" w:after="0"/>
              <w:ind w:left="0" w:right="0" w:firstLine="300"/>
              <w:jc w:val="right"/>
              <w:rPr/>
            </w:pPr>
            <w:hyperlink w:anchor="s4AC8265BFBC463A4F93A83E26C9CF83D">
              <w:r>
                <w:rPr>
                  <w:rStyle w:val="InternetLink"/>
                  <w:rFonts w:ascii="Times New Roman" w:hAnsi="Times New Roman"/>
                  <w:color w:val="0000FF"/>
                  <w:sz w:val="17"/>
                  <w:u w:val="single"/>
                </w:rPr>
                <w:t>62</w:t>
              </w:r>
            </w:hyperlink>
          </w:p>
        </w:tc>
      </w:tr>
      <w:tr>
        <w:trPr/>
        <w:tc>
          <w:tcPr>
            <w:tcW w:w="9066" w:type="dxa"/>
            <w:tcBorders/>
            <w:shd w:fill="auto" w:val="clear"/>
            <w:vAlign w:val="center"/>
          </w:tcPr>
          <w:p>
            <w:pPr>
              <w:pStyle w:val="TableContents"/>
              <w:spacing w:before="0" w:after="0"/>
              <w:ind w:left="0" w:right="0" w:firstLine="30"/>
              <w:jc w:val="left"/>
              <w:rPr/>
            </w:pPr>
            <w:hyperlink w:anchor="s1E5E6119702C3E453D7083E2C3C72578">
              <w:r>
                <w:rPr>
                  <w:rStyle w:val="InternetLink"/>
                  <w:rFonts w:ascii="inherit" w:hAnsi="inherit"/>
                  <w:color w:val="0000FF"/>
                  <w:sz w:val="17"/>
                  <w:u w:val="single"/>
                </w:rPr>
                <w:t>Notes to Consolidated Financial Statements</w:t>
              </w:r>
            </w:hyperlink>
          </w:p>
        </w:tc>
        <w:tc>
          <w:tcPr>
            <w:tcW w:w="896" w:type="dxa"/>
            <w:tcBorders/>
            <w:shd w:fill="auto" w:val="clear"/>
            <w:vAlign w:val="center"/>
          </w:tcPr>
          <w:p>
            <w:pPr>
              <w:pStyle w:val="TableContents"/>
              <w:spacing w:before="0" w:after="0"/>
              <w:jc w:val="right"/>
              <w:rPr/>
            </w:pPr>
            <w:hyperlink w:anchor="s1E5E6119702C3E453D7083E2C3C72578">
              <w:r>
                <w:rPr>
                  <w:rStyle w:val="InternetLink"/>
                  <w:rFonts w:ascii="Times New Roman" w:hAnsi="Times New Roman"/>
                  <w:color w:val="0000FF"/>
                  <w:sz w:val="17"/>
                  <w:u w:val="single"/>
                </w:rPr>
                <w:t>63</w:t>
              </w:r>
            </w:hyperlink>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55</w:t>
      </w:r>
      <w:r>
        <w:br w:type="page"/>
      </w:r>
    </w:p>
    <w:p>
      <w:pPr>
        <w:pStyle w:val="TextBody"/>
        <w:spacing w:lineRule="auto" w:line="288" w:before="0" w:after="0"/>
        <w:rPr/>
      </w:pPr>
      <w:hyperlink w:anchor="sA13583D437E20DC41B4583E2BD74AA47">
        <w:bookmarkStart w:id="53" w:name="s1f5eef4a70c242e68e4df6175c7ddae0"/>
        <w:bookmarkEnd w:id="53"/>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Report of Independent Registered Public Accounting Firm</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To the Board of Directors and Stockholders of </w:t>
      </w:r>
    </w:p>
    <w:p>
      <w:pPr>
        <w:pStyle w:val="TextBody"/>
        <w:spacing w:lineRule="auto" w:line="288" w:before="0" w:after="0"/>
        <w:jc w:val="left"/>
        <w:rPr>
          <w:rFonts w:ascii="inherit" w:hAnsi="inherit"/>
          <w:sz w:val="17"/>
        </w:rPr>
      </w:pPr>
      <w:r>
        <w:rPr>
          <w:rFonts w:ascii="inherit" w:hAnsi="inherit"/>
          <w:sz w:val="17"/>
        </w:rPr>
        <w:t>EZCORP, Inc.</w:t>
      </w:r>
    </w:p>
    <w:p>
      <w:pPr>
        <w:pStyle w:val="TextBody"/>
        <w:spacing w:lineRule="auto" w:line="288" w:before="0" w:after="0"/>
        <w:jc w:val="left"/>
        <w:rPr>
          <w:rFonts w:ascii="inherit" w:hAnsi="inherit"/>
          <w:sz w:val="17"/>
        </w:rPr>
      </w:pPr>
      <w:r>
        <w:rPr>
          <w:rFonts w:ascii="inherit" w:hAnsi="inherit"/>
          <w:sz w:val="17"/>
        </w:rPr>
        <w:t>Austin, Texas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We have audited the accompanying consolidated balance sheet of EZCORP, Inc. and subsidiaries (the "Company") as of September 30, 2013, and the related consolidated statements of operations, comprehensive income, stockholders' equity, and cash flows for the year ended September 30, 2013. These financial statements are the responsibility of the Company's management. Our responsibility is to express an opinion on the financial statements based on our audit.</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In our opinion, such consolidated financial statements present fairly, in all material respects, the financial position of EZCORP, Inc. and subsidiaries as of September 30, 2013, and the results of their operations and their cash flows for the year ended September 30, 2013, in conformity with accounting principles generally accepted in the United States of America.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We have also audited, in accordance with the standards of the Public Company Accounting Oversight Board (United States), the Company's internal control over financial reporting as of September 30, 2013, based on the criteria established in </w:t>
      </w:r>
      <w:r>
        <w:rPr>
          <w:rFonts w:ascii="inherit" w:hAnsi="inherit"/>
          <w:i/>
          <w:sz w:val="17"/>
        </w:rPr>
        <w:t xml:space="preserve">Internal Control - Integrated Framework (1992) </w:t>
      </w:r>
      <w:r>
        <w:rPr>
          <w:rFonts w:ascii="inherit" w:hAnsi="inherit"/>
          <w:sz w:val="17"/>
        </w:rPr>
        <w:t xml:space="preserve">issued by the Committee of Sponsoring Organizations of the Treadway Commission and our report dated </w:t>
      </w:r>
      <w:r>
        <w:rPr>
          <w:rFonts w:ascii="Times New Roman" w:hAnsi="Times New Roman"/>
          <w:strike w:val="false"/>
          <w:dstrike w:val="false"/>
          <w:color w:val="000000"/>
          <w:sz w:val="17"/>
          <w:u w:val="none"/>
          <w:effect w:val="none"/>
        </w:rPr>
        <w:t>November 26, 2013</w:t>
      </w:r>
      <w:r>
        <w:rPr>
          <w:sz w:val="17"/>
        </w:rPr>
        <w:t xml:space="preserve"> </w:t>
      </w:r>
      <w:r>
        <w:rPr>
          <w:rFonts w:ascii="inherit" w:hAnsi="inherit"/>
          <w:sz w:val="17"/>
        </w:rPr>
        <w:t xml:space="preserve">expressed an unqualified opinion on the Company's internal control over financial reporting.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i/>
          <w:sz w:val="17"/>
        </w:rPr>
        <w:t>/s/ DELOITTE &amp; TOUCHE LLP</w:t>
      </w:r>
      <w:r>
        <w:rPr>
          <w:sz w:val="17"/>
        </w:rPr>
        <w:t xml:space="preserve"> </w:t>
      </w:r>
    </w:p>
    <w:p>
      <w:pPr>
        <w:pStyle w:val="TextBody"/>
        <w:spacing w:lineRule="auto" w:line="288" w:before="0" w:after="0"/>
        <w:jc w:val="left"/>
        <w:rPr>
          <w:rFonts w:ascii="inherit" w:hAnsi="inherit"/>
          <w:sz w:val="17"/>
        </w:rPr>
      </w:pPr>
      <w:r>
        <w:rPr>
          <w:rFonts w:ascii="inherit" w:hAnsi="inherit"/>
          <w:sz w:val="17"/>
        </w:rPr>
        <w:t>Austin, Texas</w:t>
      </w:r>
    </w:p>
    <w:p>
      <w:pPr>
        <w:pStyle w:val="TextBody"/>
        <w:spacing w:lineRule="auto" w:line="288" w:before="0" w:after="0"/>
        <w:rPr>
          <w:rFonts w:ascii="Times New Roman" w:hAnsi="Times New Roman"/>
          <w:strike w:val="false"/>
          <w:dstrike w:val="false"/>
          <w:color w:val="000000"/>
          <w:sz w:val="17"/>
          <w:u w:val="none"/>
          <w:effect w:val="none"/>
        </w:rPr>
      </w:pPr>
      <w:r>
        <w:rPr>
          <w:rFonts w:ascii="Times New Roman" w:hAnsi="Times New Roman"/>
          <w:strike w:val="false"/>
          <w:dstrike w:val="false"/>
          <w:color w:val="000000"/>
          <w:sz w:val="17"/>
          <w:u w:val="none"/>
          <w:effect w:val="none"/>
        </w:rPr>
        <w:t>November 26, 2013</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56</w:t>
      </w:r>
      <w:r>
        <w:br w:type="page"/>
      </w:r>
    </w:p>
    <w:p>
      <w:pPr>
        <w:pStyle w:val="TextBody"/>
        <w:spacing w:lineRule="auto" w:line="288" w:before="0" w:after="0"/>
        <w:rPr/>
      </w:pPr>
      <w:hyperlink w:anchor="sA13583D437E20DC41B4583E2BD74AA47">
        <w:bookmarkStart w:id="54" w:name="sCED81EFF1322B817FC8E83E2C2AC9CE9"/>
        <w:bookmarkEnd w:id="54"/>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Report of Independent Registered Public Accounting Firm</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Board of Directors and Stockholders</w:t>
      </w:r>
    </w:p>
    <w:p>
      <w:pPr>
        <w:pStyle w:val="TextBody"/>
        <w:spacing w:lineRule="auto" w:line="288" w:before="0" w:after="0"/>
        <w:jc w:val="left"/>
        <w:rPr>
          <w:rFonts w:ascii="inherit" w:hAnsi="inherit"/>
          <w:sz w:val="17"/>
        </w:rPr>
      </w:pPr>
      <w:r>
        <w:rPr>
          <w:rFonts w:ascii="inherit" w:hAnsi="inherit"/>
          <w:sz w:val="17"/>
        </w:rPr>
        <w:t>EZCORP, Inc.</w:t>
      </w:r>
    </w:p>
    <w:p>
      <w:pPr>
        <w:pStyle w:val="TextBody"/>
        <w:spacing w:lineRule="auto" w:line="288" w:before="0" w:after="0"/>
        <w:jc w:val="left"/>
        <w:rPr>
          <w:rFonts w:ascii="inherit" w:hAnsi="inherit"/>
          <w:sz w:val="17"/>
        </w:rPr>
      </w:pPr>
      <w:r>
        <w:rPr>
          <w:rFonts w:ascii="inherit" w:hAnsi="inherit"/>
          <w:sz w:val="17"/>
        </w:rPr>
        <w:t>Austin, Texas</w:t>
      </w:r>
    </w:p>
    <w:p>
      <w:pPr>
        <w:pStyle w:val="TextBody"/>
        <w:spacing w:lineRule="auto" w:line="288" w:before="0" w:after="0"/>
        <w:jc w:val="both"/>
        <w:rPr>
          <w:rFonts w:ascii="inherit" w:hAnsi="inherit"/>
          <w:sz w:val="17"/>
        </w:rPr>
      </w:pPr>
      <w:r>
        <w:rPr>
          <w:rFonts w:ascii="inherit" w:hAnsi="inherit"/>
          <w:sz w:val="17"/>
        </w:rPr>
        <w:t>We have audited the accompanying consolidated balance sheets of EZCORP, Inc. (the Company) as of September 30, 2012 and the related consolidated statements of operations and comprehensive income, stockholders’ equity, and cash flows for each of the two years in the period ended September 30, 2012. These financial statements are the responsibility of the Company’s management. Our responsibility is to express an opinion on these financial statements based on our audits.</w:t>
      </w:r>
    </w:p>
    <w:p>
      <w:pPr>
        <w:pStyle w:val="TextBody"/>
        <w:spacing w:lineRule="auto" w:line="288" w:before="0" w:after="0"/>
        <w:jc w:val="both"/>
        <w:rPr>
          <w:rFonts w:ascii="inherit" w:hAnsi="inherit"/>
          <w:sz w:val="17"/>
        </w:rPr>
      </w:pPr>
      <w:r>
        <w:rPr>
          <w:rFonts w:ascii="inherit" w:hAnsi="inherit"/>
          <w:sz w:val="17"/>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pStyle w:val="TextBody"/>
        <w:spacing w:lineRule="auto" w:line="288" w:before="0" w:after="0"/>
        <w:jc w:val="both"/>
        <w:rPr>
          <w:sz w:val="17"/>
        </w:rPr>
      </w:pPr>
      <w:r>
        <w:rPr>
          <w:rFonts w:ascii="inherit" w:hAnsi="inherit"/>
          <w:sz w:val="17"/>
        </w:rPr>
        <w:t>In our opinion, the consolidated financial statements referred to above present fairly, in all material respects, the financial position of EZCORP, Inc. at September 30, 2012, and the results of its operations and its cash flows for each of the two years in the period ended September 30, 2012</w:t>
      </w:r>
      <w:r>
        <w:rPr>
          <w:rFonts w:ascii="inherit" w:hAnsi="inherit"/>
          <w:b/>
          <w:sz w:val="17"/>
        </w:rPr>
        <w:t>,</w:t>
      </w:r>
      <w:r>
        <w:rPr>
          <w:sz w:val="17"/>
        </w:rPr>
        <w:t xml:space="preserve"> </w:t>
      </w:r>
      <w:r>
        <w:rPr>
          <w:rFonts w:ascii="inherit" w:hAnsi="inherit"/>
          <w:sz w:val="17"/>
        </w:rPr>
        <w:t>in conformity with accounting principles generally accepted in the United States of America.</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i/>
          <w:sz w:val="17"/>
        </w:rPr>
      </w:pPr>
      <w:r>
        <w:rPr>
          <w:rFonts w:ascii="inherit" w:hAnsi="inherit"/>
          <w:i/>
          <w:sz w:val="17"/>
        </w:rPr>
        <w:t>/s/ BDO USA, LLP</w:t>
      </w:r>
    </w:p>
    <w:p>
      <w:pPr>
        <w:pStyle w:val="TextBody"/>
        <w:spacing w:lineRule="auto" w:line="288" w:before="0" w:after="0"/>
        <w:jc w:val="both"/>
        <w:rPr>
          <w:rFonts w:ascii="inherit" w:hAnsi="inherit"/>
          <w:sz w:val="17"/>
        </w:rPr>
      </w:pPr>
      <w:r>
        <w:rPr>
          <w:rFonts w:ascii="inherit" w:hAnsi="inherit"/>
          <w:sz w:val="17"/>
        </w:rPr>
        <w:t>Dallas, Texas</w:t>
      </w:r>
    </w:p>
    <w:p>
      <w:pPr>
        <w:pStyle w:val="TextBody"/>
        <w:spacing w:lineRule="auto" w:line="288" w:before="0" w:after="0"/>
        <w:jc w:val="both"/>
        <w:rPr>
          <w:rFonts w:ascii="inherit" w:hAnsi="inherit"/>
          <w:sz w:val="17"/>
        </w:rPr>
      </w:pPr>
      <w:r>
        <w:rPr>
          <w:rFonts w:ascii="inherit" w:hAnsi="inherit"/>
          <w:sz w:val="17"/>
        </w:rPr>
        <w:t>November 20, 2012, except for Notes 1, 2, 4, 6, 7, 12, 14, 18, and 19, which are as of October 3, 2013</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57</w:t>
      </w:r>
      <w:r>
        <w:br w:type="page"/>
      </w:r>
    </w:p>
    <w:p>
      <w:pPr>
        <w:pStyle w:val="TextBody"/>
        <w:spacing w:lineRule="auto" w:line="288" w:before="0" w:after="0"/>
        <w:rPr/>
      </w:pPr>
      <w:hyperlink w:anchor="sA13583D437E20DC41B4583E2BD74AA47">
        <w:bookmarkStart w:id="55" w:name="sBF106D25D3544C7E516B83E26B3DD259"/>
        <w:bookmarkEnd w:id="55"/>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6004"/>
        <w:gridCol w:w="154"/>
        <w:gridCol w:w="1120"/>
        <w:gridCol w:w="154"/>
        <w:gridCol w:w="150"/>
        <w:gridCol w:w="154"/>
        <w:gridCol w:w="1120"/>
        <w:gridCol w:w="1349"/>
      </w:tblGrid>
      <w:tr>
        <w:trPr/>
        <w:tc>
          <w:tcPr>
            <w:tcW w:w="10205" w:type="dxa"/>
            <w:gridSpan w:val="8"/>
            <w:tcBorders/>
            <w:shd w:fill="auto" w:val="clear"/>
            <w:vAlign w:val="center"/>
          </w:tcPr>
          <w:p>
            <w:pPr>
              <w:pStyle w:val="TableContents"/>
              <w:spacing w:lineRule="auto" w:line="288" w:before="0" w:after="0"/>
              <w:jc w:val="center"/>
              <w:rPr>
                <w:rFonts w:ascii="inherit" w:hAnsi="inherit"/>
                <w:b/>
                <w:sz w:val="17"/>
              </w:rPr>
            </w:pPr>
            <w:r>
              <w:rPr>
                <w:rFonts w:ascii="inherit" w:hAnsi="inherit"/>
                <w:b/>
                <w:sz w:val="17"/>
              </w:rPr>
              <w:t>EZCORP, Inc.</w:t>
            </w:r>
          </w:p>
          <w:p>
            <w:pPr>
              <w:pStyle w:val="TableContents"/>
              <w:spacing w:lineRule="auto" w:line="288" w:before="0" w:after="0"/>
              <w:jc w:val="center"/>
              <w:rPr>
                <w:rFonts w:ascii="inherit" w:hAnsi="inherit"/>
                <w:b/>
                <w:sz w:val="17"/>
              </w:rPr>
            </w:pPr>
            <w:r>
              <w:rPr>
                <w:rFonts w:ascii="inherit" w:hAnsi="inherit"/>
                <w:b/>
                <w:sz w:val="17"/>
              </w:rPr>
              <w:t>CONSOLIDATED BALANCE SHEETS</w:t>
            </w:r>
          </w:p>
        </w:tc>
      </w:tr>
      <w:tr>
        <w:trPr/>
        <w:tc>
          <w:tcPr>
            <w:tcW w:w="600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04" w:type="dxa"/>
            <w:tcBorders/>
            <w:shd w:fill="auto" w:val="clear"/>
            <w:vAlign w:val="center"/>
          </w:tcPr>
          <w:p>
            <w:pPr>
              <w:pStyle w:val="TableContents"/>
              <w:spacing w:before="0" w:after="0"/>
              <w:ind w:left="0" w:right="0" w:firstLine="30"/>
              <w:rPr/>
            </w:pPr>
            <w:r>
              <w:rPr/>
              <w:t> </w:t>
            </w:r>
          </w:p>
        </w:tc>
        <w:tc>
          <w:tcPr>
            <w:tcW w:w="420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6004" w:type="dxa"/>
            <w:tcBorders/>
            <w:shd w:fill="auto" w:val="clear"/>
            <w:vAlign w:val="center"/>
          </w:tcPr>
          <w:p>
            <w:pPr>
              <w:pStyle w:val="TableContents"/>
              <w:spacing w:before="0" w:after="0"/>
              <w:ind w:left="0" w:right="0" w:firstLine="30"/>
              <w:rPr/>
            </w:pPr>
            <w:r>
              <w:rPr/>
              <w:t> </w:t>
            </w:r>
          </w:p>
        </w:tc>
        <w:tc>
          <w:tcPr>
            <w:tcW w:w="14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0" w:type="dxa"/>
            <w:tcBorders/>
            <w:shd w:fill="auto" w:val="clear"/>
            <w:vAlign w:val="center"/>
          </w:tcPr>
          <w:p>
            <w:pPr>
              <w:pStyle w:val="TableContents"/>
              <w:spacing w:before="0" w:after="0"/>
              <w:ind w:left="0" w:right="0" w:firstLine="30"/>
              <w:rPr/>
            </w:pPr>
            <w:r>
              <w:rPr/>
              <w:t> </w:t>
            </w:r>
          </w:p>
        </w:tc>
        <w:tc>
          <w:tcPr>
            <w:tcW w:w="26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004" w:type="dxa"/>
            <w:tcBorders/>
            <w:shd w:fill="auto" w:val="clear"/>
            <w:vAlign w:val="center"/>
          </w:tcPr>
          <w:p>
            <w:pPr>
              <w:pStyle w:val="TableContents"/>
              <w:spacing w:before="0" w:after="0"/>
              <w:ind w:left="0" w:right="0" w:firstLine="30"/>
              <w:rPr/>
            </w:pPr>
            <w:r>
              <w:rPr/>
              <w:t> </w:t>
            </w:r>
          </w:p>
        </w:tc>
        <w:tc>
          <w:tcPr>
            <w:tcW w:w="4201"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Assets:</w:t>
            </w:r>
          </w:p>
        </w:tc>
        <w:tc>
          <w:tcPr>
            <w:tcW w:w="1428" w:type="dxa"/>
            <w:gridSpan w:val="3"/>
            <w:tcBorders/>
            <w:shd w:fill="CCEEFF" w:val="clear"/>
            <w:vAlign w:val="center"/>
          </w:tcPr>
          <w:p>
            <w:pPr>
              <w:pStyle w:val="TableContents"/>
              <w:spacing w:before="0" w:after="0"/>
              <w:ind w:left="0" w:right="0" w:firstLine="30"/>
              <w:jc w:val="left"/>
              <w:rPr/>
            </w:pPr>
            <w:r>
              <w:rPr/>
              <w:t> </w:t>
            </w:r>
          </w:p>
        </w:tc>
        <w:tc>
          <w:tcPr>
            <w:tcW w:w="150" w:type="dxa"/>
            <w:tcBorders/>
            <w:shd w:fill="CCEEFF" w:val="clear"/>
            <w:vAlign w:val="center"/>
          </w:tcPr>
          <w:p>
            <w:pPr>
              <w:pStyle w:val="TableContents"/>
              <w:spacing w:before="0" w:after="0"/>
              <w:ind w:left="0" w:right="0" w:firstLine="30"/>
              <w:rPr/>
            </w:pPr>
            <w:r>
              <w:rPr/>
              <w:t> </w:t>
            </w:r>
          </w:p>
        </w:tc>
        <w:tc>
          <w:tcPr>
            <w:tcW w:w="2623" w:type="dxa"/>
            <w:gridSpan w:val="3"/>
            <w:tcBorders/>
            <w:shd w:fill="CCEEFF" w:val="clear"/>
            <w:vAlign w:val="center"/>
          </w:tcPr>
          <w:p>
            <w:pPr>
              <w:pStyle w:val="TableContents"/>
              <w:spacing w:before="0" w:after="0"/>
              <w:ind w:left="0" w:right="0" w:firstLine="420"/>
              <w:jc w:val="left"/>
              <w:rPr/>
            </w:pPr>
            <w:r>
              <w:rPr/>
              <w:t> </w:t>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assets:</w:t>
            </w:r>
          </w:p>
        </w:tc>
        <w:tc>
          <w:tcPr>
            <w:tcW w:w="1428" w:type="dxa"/>
            <w:gridSpan w:val="3"/>
            <w:tcBorders/>
            <w:shd w:fill="auto" w:val="clear"/>
            <w:vAlign w:val="center"/>
          </w:tcPr>
          <w:p>
            <w:pPr>
              <w:pStyle w:val="TableContents"/>
              <w:spacing w:before="0" w:after="0"/>
              <w:ind w:left="0" w:right="0" w:firstLine="30"/>
              <w:jc w:val="left"/>
              <w:rPr/>
            </w:pPr>
            <w:r>
              <w:rPr/>
              <w:t> </w:t>
            </w:r>
          </w:p>
        </w:tc>
        <w:tc>
          <w:tcPr>
            <w:tcW w:w="150" w:type="dxa"/>
            <w:tcBorders/>
            <w:shd w:fill="auto" w:val="clear"/>
            <w:vAlign w:val="center"/>
          </w:tcPr>
          <w:p>
            <w:pPr>
              <w:pStyle w:val="TableContents"/>
              <w:spacing w:before="0" w:after="0"/>
              <w:ind w:left="0" w:right="0" w:firstLine="30"/>
              <w:rPr/>
            </w:pPr>
            <w:r>
              <w:rPr/>
              <w:t> </w:t>
            </w:r>
          </w:p>
        </w:tc>
        <w:tc>
          <w:tcPr>
            <w:tcW w:w="2623" w:type="dxa"/>
            <w:gridSpan w:val="3"/>
            <w:tcBorders/>
            <w:shd w:fill="auto" w:val="clear"/>
            <w:vAlign w:val="center"/>
          </w:tcPr>
          <w:p>
            <w:pPr>
              <w:pStyle w:val="TableContents"/>
              <w:spacing w:before="0" w:after="0"/>
              <w:ind w:left="0" w:right="0" w:firstLine="780"/>
              <w:jc w:val="left"/>
              <w:rPr/>
            </w:pPr>
            <w:r>
              <w:rPr/>
              <w:t> </w:t>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w:t>
            </w:r>
          </w:p>
        </w:tc>
        <w:tc>
          <w:tcPr>
            <w:tcW w:w="154"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20" w:type="dxa"/>
            <w:tcBorders/>
            <w:shd w:fill="CCEEFF" w:val="clear"/>
            <w:vAlign w:val="center"/>
          </w:tcPr>
          <w:p>
            <w:pPr>
              <w:pStyle w:val="TableContents"/>
              <w:spacing w:before="0" w:after="0"/>
              <w:jc w:val="right"/>
              <w:rPr>
                <w:rFonts w:ascii="inherit" w:hAnsi="inherit"/>
                <w:sz w:val="13"/>
              </w:rPr>
            </w:pPr>
            <w:r>
              <w:rPr>
                <w:rFonts w:ascii="inherit" w:hAnsi="inherit"/>
                <w:sz w:val="13"/>
              </w:rPr>
              <w:t>36,317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20" w:type="dxa"/>
            <w:tcBorders/>
            <w:shd w:fill="CCEEFF" w:val="clear"/>
            <w:vAlign w:val="center"/>
          </w:tcPr>
          <w:p>
            <w:pPr>
              <w:pStyle w:val="TableContents"/>
              <w:spacing w:before="0" w:after="0"/>
              <w:jc w:val="right"/>
              <w:rPr>
                <w:rFonts w:ascii="inherit" w:hAnsi="inherit"/>
                <w:sz w:val="13"/>
              </w:rPr>
            </w:pPr>
            <w:r>
              <w:rPr>
                <w:rFonts w:ascii="inherit" w:hAnsi="inherit"/>
                <w:sz w:val="13"/>
              </w:rPr>
              <w:t>48,477</w:t>
            </w:r>
          </w:p>
        </w:tc>
        <w:tc>
          <w:tcPr>
            <w:tcW w:w="1349"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Restricted cash</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3,312</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1,145</w:t>
            </w:r>
          </w:p>
        </w:tc>
        <w:tc>
          <w:tcPr>
            <w:tcW w:w="1349"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loans</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156,637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157,648</w:t>
            </w:r>
          </w:p>
        </w:tc>
        <w:tc>
          <w:tcPr>
            <w:tcW w:w="1349"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loans, net</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64,515</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34,152</w:t>
            </w:r>
          </w:p>
        </w:tc>
        <w:tc>
          <w:tcPr>
            <w:tcW w:w="1349"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service charges receivable, net</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30,362</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29,401</w:t>
            </w:r>
          </w:p>
        </w:tc>
        <w:tc>
          <w:tcPr>
            <w:tcW w:w="1349"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fees and interest receivable, net</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36,588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30,416</w:t>
            </w:r>
          </w:p>
        </w:tc>
        <w:tc>
          <w:tcPr>
            <w:tcW w:w="1349"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Inventory, net</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145,200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109,214</w:t>
            </w:r>
          </w:p>
        </w:tc>
        <w:tc>
          <w:tcPr>
            <w:tcW w:w="1349"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tax asset</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13,825</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14,984</w:t>
            </w:r>
          </w:p>
        </w:tc>
        <w:tc>
          <w:tcPr>
            <w:tcW w:w="1349"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tax receivable</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16,105</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10,511</w:t>
            </w:r>
          </w:p>
        </w:tc>
        <w:tc>
          <w:tcPr>
            <w:tcW w:w="1349"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Prepaid expenses and other assets</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34,217</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45,451</w:t>
            </w:r>
          </w:p>
        </w:tc>
        <w:tc>
          <w:tcPr>
            <w:tcW w:w="1349"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assets</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537,078</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481,399</w:t>
            </w:r>
          </w:p>
        </w:tc>
        <w:tc>
          <w:tcPr>
            <w:tcW w:w="1349" w:type="dxa"/>
            <w:tcBorders>
              <w:top w:val="single" w:sz="2" w:space="0" w:color="000000"/>
            </w:tcBorders>
            <w:shd w:fill="CCEEFF" w:val="clear"/>
            <w:tcMar>
              <w:top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Investments in unconsolidated affiliates</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97,085</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126,066</w:t>
            </w:r>
          </w:p>
        </w:tc>
        <w:tc>
          <w:tcPr>
            <w:tcW w:w="134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Property and equipment, net</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116,281</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108,131</w:t>
            </w:r>
          </w:p>
        </w:tc>
        <w:tc>
          <w:tcPr>
            <w:tcW w:w="134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Restricted cash, non-current</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2,156</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4,337</w:t>
            </w:r>
          </w:p>
        </w:tc>
        <w:tc>
          <w:tcPr>
            <w:tcW w:w="134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Goodwill</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428,508</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374,663</w:t>
            </w:r>
          </w:p>
        </w:tc>
        <w:tc>
          <w:tcPr>
            <w:tcW w:w="134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Intangible assets, net</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61,872</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45,185</w:t>
            </w:r>
          </w:p>
        </w:tc>
        <w:tc>
          <w:tcPr>
            <w:tcW w:w="134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Non-current consumer loans, net</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69,991</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61,997</w:t>
            </w:r>
          </w:p>
        </w:tc>
        <w:tc>
          <w:tcPr>
            <w:tcW w:w="134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tax asset</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8,214</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pPr>
            <w:r>
              <w:rPr/>
              <w:t>—</w:t>
            </w:r>
          </w:p>
        </w:tc>
        <w:tc>
          <w:tcPr>
            <w:tcW w:w="134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assets, net</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24,105</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16,229</w:t>
            </w:r>
          </w:p>
        </w:tc>
        <w:tc>
          <w:tcPr>
            <w:tcW w:w="1349"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assets (1)</w:t>
            </w:r>
          </w:p>
        </w:tc>
        <w:tc>
          <w:tcPr>
            <w:tcW w:w="1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2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1,345,290</w:t>
            </w:r>
          </w:p>
        </w:tc>
        <w:tc>
          <w:tcPr>
            <w:tcW w:w="15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2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1,218,007</w:t>
            </w:r>
          </w:p>
        </w:tc>
        <w:tc>
          <w:tcPr>
            <w:tcW w:w="134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Liabilities and stockholders’ equity:</w:t>
            </w:r>
          </w:p>
        </w:tc>
        <w:tc>
          <w:tcPr>
            <w:tcW w:w="1428"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2623" w:type="dxa"/>
            <w:gridSpan w:val="3"/>
            <w:tcBorders/>
            <w:shd w:fill="CCEEFF" w:val="clear"/>
            <w:vAlign w:val="center"/>
          </w:tcPr>
          <w:p>
            <w:pPr>
              <w:pStyle w:val="TableContents"/>
              <w:spacing w:before="0" w:after="0"/>
              <w:ind w:left="0" w:right="0" w:firstLine="420"/>
              <w:rPr/>
            </w:pPr>
            <w:r>
              <w:rPr/>
              <w:t> </w:t>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liabilities:</w:t>
            </w:r>
          </w:p>
        </w:tc>
        <w:tc>
          <w:tcPr>
            <w:tcW w:w="1428" w:type="dxa"/>
            <w:gridSpan w:val="3"/>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2623" w:type="dxa"/>
            <w:gridSpan w:val="3"/>
            <w:tcBorders/>
            <w:shd w:fill="auto" w:val="clear"/>
            <w:vAlign w:val="center"/>
          </w:tcPr>
          <w:p>
            <w:pPr>
              <w:pStyle w:val="TableContents"/>
              <w:spacing w:before="0" w:after="0"/>
              <w:ind w:left="0" w:right="0" w:firstLine="780"/>
              <w:rPr/>
            </w:pPr>
            <w:r>
              <w:rPr/>
              <w:t> </w:t>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Current maturities of long-term debt</w:t>
            </w:r>
          </w:p>
        </w:tc>
        <w:tc>
          <w:tcPr>
            <w:tcW w:w="154"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20" w:type="dxa"/>
            <w:tcBorders/>
            <w:shd w:fill="CCEEFF" w:val="clear"/>
            <w:vAlign w:val="center"/>
          </w:tcPr>
          <w:p>
            <w:pPr>
              <w:pStyle w:val="TableContents"/>
              <w:spacing w:before="0" w:after="0"/>
              <w:jc w:val="right"/>
              <w:rPr>
                <w:rFonts w:ascii="inherit" w:hAnsi="inherit"/>
                <w:sz w:val="13"/>
              </w:rPr>
            </w:pPr>
            <w:r>
              <w:rPr>
                <w:rFonts w:ascii="inherit" w:hAnsi="inherit"/>
                <w:sz w:val="13"/>
              </w:rPr>
              <w:t>30,436</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20" w:type="dxa"/>
            <w:tcBorders/>
            <w:shd w:fill="CCEEFF" w:val="clear"/>
            <w:vAlign w:val="center"/>
          </w:tcPr>
          <w:p>
            <w:pPr>
              <w:pStyle w:val="TableContents"/>
              <w:spacing w:before="0" w:after="0"/>
              <w:jc w:val="right"/>
              <w:rPr>
                <w:rFonts w:ascii="inherit" w:hAnsi="inherit"/>
                <w:sz w:val="13"/>
              </w:rPr>
            </w:pPr>
            <w:r>
              <w:rPr>
                <w:rFonts w:ascii="inherit" w:hAnsi="inherit"/>
                <w:sz w:val="13"/>
              </w:rPr>
              <w:t>21,085</w:t>
            </w:r>
          </w:p>
        </w:tc>
        <w:tc>
          <w:tcPr>
            <w:tcW w:w="1349"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capital lease obligations</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533</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594</w:t>
            </w:r>
          </w:p>
        </w:tc>
        <w:tc>
          <w:tcPr>
            <w:tcW w:w="1349"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Accounts payable and other accrued expenses</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79,967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64,104</w:t>
            </w:r>
          </w:p>
        </w:tc>
        <w:tc>
          <w:tcPr>
            <w:tcW w:w="1349"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current liabilities</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22,337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14,821</w:t>
            </w:r>
          </w:p>
        </w:tc>
        <w:tc>
          <w:tcPr>
            <w:tcW w:w="1349"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Customer layaway deposits</w:t>
            </w:r>
          </w:p>
        </w:tc>
        <w:tc>
          <w:tcPr>
            <w:tcW w:w="127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8,628</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7,238</w:t>
            </w:r>
          </w:p>
        </w:tc>
        <w:tc>
          <w:tcPr>
            <w:tcW w:w="1349"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liabilities</w:t>
            </w:r>
          </w:p>
        </w:tc>
        <w:tc>
          <w:tcPr>
            <w:tcW w:w="127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141,901</w:t>
            </w:r>
          </w:p>
        </w:tc>
        <w:tc>
          <w:tcPr>
            <w:tcW w:w="15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107,842</w:t>
            </w:r>
          </w:p>
        </w:tc>
        <w:tc>
          <w:tcPr>
            <w:tcW w:w="134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Long-term debt, less current maturities</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215,939</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198,836</w:t>
            </w:r>
          </w:p>
        </w:tc>
        <w:tc>
          <w:tcPr>
            <w:tcW w:w="134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Long-term capital lease obligations</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391</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995</w:t>
            </w:r>
          </w:p>
        </w:tc>
        <w:tc>
          <w:tcPr>
            <w:tcW w:w="134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tax liability</w:t>
            </w:r>
          </w:p>
        </w:tc>
        <w:tc>
          <w:tcPr>
            <w:tcW w:w="1274"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7,922</w:t>
            </w:r>
          </w:p>
        </w:tc>
        <w:tc>
          <w:tcPr>
            <w:tcW w:w="134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gains and other long-term liabilities</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17,140</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13,903</w:t>
            </w:r>
          </w:p>
        </w:tc>
        <w:tc>
          <w:tcPr>
            <w:tcW w:w="1349"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liabilities (2)</w:t>
            </w:r>
          </w:p>
        </w:tc>
        <w:tc>
          <w:tcPr>
            <w:tcW w:w="127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375,371</w:t>
            </w:r>
          </w:p>
        </w:tc>
        <w:tc>
          <w:tcPr>
            <w:tcW w:w="15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329,498</w:t>
            </w:r>
          </w:p>
        </w:tc>
        <w:tc>
          <w:tcPr>
            <w:tcW w:w="134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Commitments and contingencies</w:t>
            </w:r>
          </w:p>
        </w:tc>
        <w:tc>
          <w:tcPr>
            <w:tcW w:w="1428" w:type="dxa"/>
            <w:gridSpan w:val="3"/>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150" w:type="dxa"/>
            <w:tcBorders/>
            <w:shd w:fill="auto" w:val="clear"/>
            <w:vAlign w:val="center"/>
          </w:tcPr>
          <w:p>
            <w:pPr>
              <w:pStyle w:val="TableContents"/>
              <w:spacing w:before="0" w:after="0"/>
              <w:ind w:left="0" w:right="0" w:firstLine="30"/>
              <w:rPr/>
            </w:pPr>
            <w:r>
              <w:rPr/>
              <w:t> </w:t>
            </w:r>
          </w:p>
        </w:tc>
        <w:tc>
          <w:tcPr>
            <w:tcW w:w="2623" w:type="dxa"/>
            <w:gridSpan w:val="3"/>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Temporary equity:</w:t>
            </w:r>
          </w:p>
        </w:tc>
        <w:tc>
          <w:tcPr>
            <w:tcW w:w="1428"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2623" w:type="dxa"/>
            <w:gridSpan w:val="3"/>
            <w:tcBorders/>
            <w:shd w:fill="CCEEFF" w:val="clear"/>
            <w:vAlign w:val="center"/>
          </w:tcPr>
          <w:p>
            <w:pPr>
              <w:pStyle w:val="TableContents"/>
              <w:spacing w:before="0" w:after="0"/>
              <w:ind w:left="0" w:right="0" w:firstLine="780"/>
              <w:rPr/>
            </w:pPr>
            <w:r>
              <w:rPr/>
              <w:t> </w:t>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Redeemable noncontrolling interest</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55,393</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53,681</w:t>
            </w:r>
          </w:p>
        </w:tc>
        <w:tc>
          <w:tcPr>
            <w:tcW w:w="134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Stockholders’ equity:</w:t>
            </w:r>
          </w:p>
        </w:tc>
        <w:tc>
          <w:tcPr>
            <w:tcW w:w="1428"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2623" w:type="dxa"/>
            <w:gridSpan w:val="3"/>
            <w:tcBorders/>
            <w:shd w:fill="CCEEFF" w:val="clear"/>
            <w:vAlign w:val="center"/>
          </w:tcPr>
          <w:p>
            <w:pPr>
              <w:pStyle w:val="TableContents"/>
              <w:spacing w:before="0" w:after="0"/>
              <w:ind w:left="0" w:right="0" w:firstLine="780"/>
              <w:rPr/>
            </w:pPr>
            <w:r>
              <w:rPr/>
              <w:t> </w:t>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Class A Non-voting Common Stock, par value $.01 per share; 56 million shares authorized; issued and outstanding: 51,269,434 at September 30, 2013; 48,255,536 at September 30, 2012</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513</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482</w:t>
            </w:r>
          </w:p>
        </w:tc>
        <w:tc>
          <w:tcPr>
            <w:tcW w:w="1349"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Class B Voting Common Stock, convertible, par value $.01 per share; 3 million shares authorized; issued and outstanding: 2,970,171</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w:t>
            </w:r>
          </w:p>
        </w:tc>
        <w:tc>
          <w:tcPr>
            <w:tcW w:w="1349"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Additional paid-in capital</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320,777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268,626</w:t>
            </w:r>
          </w:p>
        </w:tc>
        <w:tc>
          <w:tcPr>
            <w:tcW w:w="1349"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Retained earnings</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599,880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565,803</w:t>
            </w:r>
          </w:p>
        </w:tc>
        <w:tc>
          <w:tcPr>
            <w:tcW w:w="1349"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Accumulated other comprehensive loss</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(6,674</w:t>
            </w:r>
          </w:p>
        </w:tc>
        <w:tc>
          <w:tcPr>
            <w:tcW w:w="15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50" w:type="dxa"/>
            <w:tcBorders/>
            <w:shd w:fill="auto" w:val="clear"/>
            <w:vAlign w:val="center"/>
          </w:tcPr>
          <w:p>
            <w:pPr>
              <w:pStyle w:val="TableContents"/>
              <w:spacing w:before="0" w:after="0"/>
              <w:ind w:left="0" w:right="0" w:firstLine="30"/>
              <w:rPr/>
            </w:pPr>
            <w:r>
              <w:rPr/>
              <w:t> </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(113</w:t>
            </w:r>
          </w:p>
        </w:tc>
        <w:tc>
          <w:tcPr>
            <w:tcW w:w="1349" w:type="dxa"/>
            <w:tcBorders>
              <w:bottom w:val="single" w:sz="2" w:space="0" w:color="000000"/>
            </w:tcBorders>
            <w:shd w:fill="auto" w:val="clear"/>
            <w:tcMar>
              <w:bottom w:w="30" w:type="dxa"/>
            </w:tcMar>
            <w:vAlign w:val="center"/>
          </w:tcPr>
          <w:p>
            <w:pPr>
              <w:pStyle w:val="TableContents"/>
              <w:spacing w:before="0" w:after="0"/>
              <w:ind w:left="0" w:right="0" w:firstLine="1260"/>
              <w:jc w:val="left"/>
              <w:rPr>
                <w:rFonts w:ascii="inherit" w:hAnsi="inherit"/>
                <w:sz w:val="13"/>
              </w:rPr>
            </w:pPr>
            <w:r>
              <w:rPr>
                <w:rFonts w:ascii="inherit" w:hAnsi="inherit"/>
                <w:sz w:val="13"/>
              </w:rPr>
              <w:t>)</w:t>
            </w:r>
          </w:p>
        </w:tc>
      </w:tr>
      <w:tr>
        <w:trPr/>
        <w:tc>
          <w:tcPr>
            <w:tcW w:w="600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EZCORP, Inc. stockholders’ equity</w:t>
            </w:r>
          </w:p>
        </w:tc>
        <w:tc>
          <w:tcPr>
            <w:tcW w:w="1274"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914,526</w:t>
            </w:r>
          </w:p>
        </w:tc>
        <w:tc>
          <w:tcPr>
            <w:tcW w:w="15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27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834,828</w:t>
            </w:r>
          </w:p>
        </w:tc>
        <w:tc>
          <w:tcPr>
            <w:tcW w:w="1349"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600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liabilities and stockholders’ equity</w:t>
            </w:r>
          </w:p>
        </w:tc>
        <w:tc>
          <w:tcPr>
            <w:tcW w:w="15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2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1,345,290</w:t>
            </w:r>
          </w:p>
        </w:tc>
        <w:tc>
          <w:tcPr>
            <w:tcW w:w="15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5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2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1,218,007</w:t>
            </w:r>
          </w:p>
        </w:tc>
        <w:tc>
          <w:tcPr>
            <w:tcW w:w="1349"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3"/>
          <w:u w:val="single"/>
        </w:rPr>
      </w:pPr>
      <w:r>
        <w:rPr>
          <w:rFonts w:ascii="inherit" w:hAnsi="inherit"/>
          <w:b/>
          <w:sz w:val="13"/>
          <w:u w:val="single"/>
        </w:rPr>
        <w:t>Assets and Liabilities of Grupo Finmart Securitization Trust</w:t>
      </w:r>
    </w:p>
    <w:p>
      <w:pPr>
        <w:pStyle w:val="TextBody"/>
        <w:spacing w:lineRule="auto" w:line="288" w:before="0" w:after="0"/>
        <w:jc w:val="left"/>
        <w:rPr>
          <w:sz w:val="13"/>
        </w:rPr>
      </w:pPr>
      <w:r>
        <w:rPr>
          <w:rFonts w:ascii="inherit" w:hAnsi="inherit"/>
          <w:sz w:val="13"/>
        </w:rPr>
        <w:t xml:space="preserve">(1) Our consolidated assets as of </w:t>
      </w:r>
      <w:r>
        <w:rPr>
          <w:rFonts w:ascii="inherit" w:hAnsi="inherit"/>
          <w:strike w:val="false"/>
          <w:dstrike w:val="false"/>
          <w:color w:val="000000"/>
          <w:sz w:val="13"/>
          <w:u w:val="none"/>
          <w:effect w:val="none"/>
        </w:rPr>
        <w:t>September 30, 2013</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September 30, 2012</w:t>
      </w:r>
      <w:r>
        <w:rPr>
          <w:sz w:val="13"/>
        </w:rPr>
        <w:t xml:space="preserve"> </w:t>
      </w:r>
      <w:r>
        <w:rPr>
          <w:rFonts w:ascii="inherit" w:hAnsi="inherit"/>
          <w:sz w:val="13"/>
        </w:rPr>
        <w:t xml:space="preserve">include the following assets of Grupo Finmart's securitization trust that can only be used to settle its liabilities: Restricted cash, non-current, </w:t>
      </w:r>
      <w:r>
        <w:rPr>
          <w:rFonts w:ascii="inherit" w:hAnsi="inherit"/>
          <w:strike w:val="false"/>
          <w:dstrike w:val="false"/>
          <w:color w:val="000000"/>
          <w:sz w:val="13"/>
          <w:u w:val="none"/>
          <w:effect w:val="none"/>
        </w:rPr>
        <w:t>$2.2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September 30, 2013</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$4.3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September 30, 2012</w:t>
      </w:r>
      <w:r>
        <w:rPr>
          <w:rFonts w:ascii="inherit" w:hAnsi="inherit"/>
          <w:sz w:val="13"/>
        </w:rPr>
        <w:t>; Consumer loans, net, $33.9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September 30, 2013</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$33.6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September 30, 2012</w:t>
      </w:r>
      <w:r>
        <w:rPr>
          <w:rFonts w:ascii="inherit" w:hAnsi="inherit"/>
          <w:sz w:val="13"/>
        </w:rPr>
        <w:t>; Consumer loan fees receivable, net, $7.3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September 30, 2013</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$7.7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September 30, 2012</w:t>
      </w:r>
      <w:r>
        <w:rPr>
          <w:rFonts w:ascii="inherit" w:hAnsi="inherit"/>
          <w:sz w:val="13"/>
        </w:rPr>
        <w:t xml:space="preserve">; Intangible assets, net, </w:t>
      </w:r>
      <w:r>
        <w:rPr>
          <w:rFonts w:ascii="inherit" w:hAnsi="inherit"/>
          <w:strike w:val="false"/>
          <w:dstrike w:val="false"/>
          <w:color w:val="000000"/>
          <w:sz w:val="13"/>
          <w:u w:val="none"/>
          <w:effect w:val="none"/>
        </w:rPr>
        <w:t>$2.1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September 30, 2013</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$2.6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September 30, 2012</w:t>
      </w:r>
      <w:r>
        <w:rPr>
          <w:rFonts w:ascii="inherit" w:hAnsi="inherit"/>
          <w:sz w:val="13"/>
        </w:rPr>
        <w:t>; and total assets, $45.5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September 30, 2013</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$48.2 million</w:t>
      </w:r>
      <w:r>
        <w:rPr>
          <w:sz w:val="13"/>
        </w:rPr>
        <w:t xml:space="preserve"> </w:t>
      </w:r>
      <w:r>
        <w:rPr>
          <w:rFonts w:ascii="inherit" w:hAnsi="inherit"/>
          <w:sz w:val="13"/>
        </w:rPr>
        <w:t xml:space="preserve">as of </w:t>
      </w:r>
      <w:r>
        <w:rPr>
          <w:rFonts w:ascii="inherit" w:hAnsi="inherit"/>
          <w:strike w:val="false"/>
          <w:dstrike w:val="false"/>
          <w:color w:val="000000"/>
          <w:sz w:val="13"/>
          <w:u w:val="none"/>
          <w:effect w:val="none"/>
        </w:rPr>
        <w:t>September 30, 2012</w:t>
      </w:r>
      <w:r>
        <w:rPr>
          <w:rFonts w:ascii="inherit" w:hAnsi="inherit"/>
          <w:sz w:val="13"/>
        </w:rPr>
        <w:t>.</w:t>
      </w:r>
    </w:p>
    <w:p>
      <w:pPr>
        <w:pStyle w:val="TextBody"/>
        <w:spacing w:lineRule="auto" w:line="240" w:before="0" w:after="0"/>
        <w:jc w:val="left"/>
        <w:rPr>
          <w:sz w:val="13"/>
        </w:rPr>
      </w:pPr>
      <w:r>
        <w:rPr>
          <w:rFonts w:ascii="inherit" w:hAnsi="inherit"/>
          <w:sz w:val="13"/>
        </w:rPr>
        <w:t xml:space="preserve">(2) Our consolidated liabilities as of September 30, 2013 and </w:t>
      </w:r>
      <w:r>
        <w:rPr>
          <w:rFonts w:ascii="inherit" w:hAnsi="inherit"/>
          <w:strike w:val="false"/>
          <w:dstrike w:val="false"/>
          <w:color w:val="000000"/>
          <w:sz w:val="13"/>
          <w:u w:val="none"/>
          <w:effect w:val="none"/>
        </w:rPr>
        <w:t>September 30, 2012</w:t>
      </w:r>
      <w:r>
        <w:rPr>
          <w:sz w:val="13"/>
        </w:rPr>
        <w:t xml:space="preserve"> </w:t>
      </w:r>
      <w:r>
        <w:rPr>
          <w:rFonts w:ascii="inherit" w:hAnsi="inherit"/>
          <w:sz w:val="13"/>
        </w:rPr>
        <w:t xml:space="preserve">include </w:t>
      </w:r>
      <w:r>
        <w:rPr>
          <w:rFonts w:ascii="inherit" w:hAnsi="inherit"/>
          <w:strike w:val="false"/>
          <w:dstrike w:val="false"/>
          <w:color w:val="000000"/>
          <w:sz w:val="13"/>
          <w:u w:val="none"/>
          <w:effect w:val="none"/>
        </w:rPr>
        <w:t>$32.0 million</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$32.7 million</w:t>
      </w:r>
      <w:r>
        <w:rPr>
          <w:rFonts w:ascii="inherit" w:hAnsi="inherit"/>
          <w:sz w:val="13"/>
        </w:rPr>
        <w:t>, respectively, of long-term debt for which the creditors of Grupo Finmart's securitization trust do not have recourse to EZCORP, Inc.</w:t>
      </w:r>
    </w:p>
    <w:p>
      <w:pPr>
        <w:pStyle w:val="TextBody"/>
        <w:spacing w:lineRule="auto" w:line="288" w:before="0" w:after="0"/>
        <w:jc w:val="left"/>
        <w:rPr>
          <w:rFonts w:ascii="inherit" w:hAnsi="inherit"/>
          <w:i/>
          <w:sz w:val="17"/>
        </w:rPr>
      </w:pPr>
      <w:r>
        <w:rPr>
          <w:rFonts w:ascii="inherit" w:hAnsi="inherit"/>
          <w:i/>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58</w:t>
      </w:r>
      <w:r>
        <w:br w:type="page"/>
      </w:r>
    </w:p>
    <w:p>
      <w:pPr>
        <w:pStyle w:val="TextBody"/>
        <w:spacing w:before="0" w:after="0"/>
        <w:rPr/>
      </w:pPr>
      <w:r>
        <w:rPr/>
      </w:r>
      <w:bookmarkStart w:id="56" w:name="s74894DD5AE14530663B383E26B58AF95"/>
      <w:bookmarkStart w:id="57" w:name="s74894DD5AE14530663B383E26B58AF95"/>
      <w:bookmarkEnd w:id="57"/>
    </w:p>
    <w:tbl>
      <w:tblPr>
        <w:tblW w:w="10205" w:type="dxa"/>
        <w:jc w:val="left"/>
        <w:tblInd w:w="0" w:type="dxa"/>
        <w:tblCellMar>
          <w:top w:w="0" w:type="dxa"/>
          <w:left w:w="0" w:type="dxa"/>
          <w:bottom w:w="0" w:type="dxa"/>
          <w:right w:w="0" w:type="dxa"/>
        </w:tblCellMar>
      </w:tblPr>
      <w:tblGrid>
        <w:gridCol w:w="5639"/>
        <w:gridCol w:w="164"/>
        <w:gridCol w:w="942"/>
        <w:gridCol w:w="162"/>
        <w:gridCol w:w="143"/>
        <w:gridCol w:w="162"/>
        <w:gridCol w:w="922"/>
        <w:gridCol w:w="162"/>
        <w:gridCol w:w="143"/>
        <w:gridCol w:w="162"/>
        <w:gridCol w:w="922"/>
        <w:gridCol w:w="682"/>
      </w:tblGrid>
      <w:tr>
        <w:trPr/>
        <w:tc>
          <w:tcPr>
            <w:tcW w:w="10205" w:type="dxa"/>
            <w:gridSpan w:val="12"/>
            <w:tcBorders/>
            <w:shd w:fill="auto" w:val="clear"/>
            <w:vAlign w:val="center"/>
          </w:tcPr>
          <w:p>
            <w:pPr>
              <w:pStyle w:val="TableContents"/>
              <w:spacing w:lineRule="auto" w:line="288" w:before="0" w:after="0"/>
              <w:jc w:val="center"/>
              <w:rPr>
                <w:rFonts w:ascii="inherit" w:hAnsi="inherit"/>
                <w:b/>
                <w:sz w:val="17"/>
              </w:rPr>
            </w:pPr>
            <w:r>
              <w:rPr>
                <w:rFonts w:ascii="inherit" w:hAnsi="inherit"/>
                <w:b/>
                <w:sz w:val="17"/>
              </w:rPr>
              <w:t>EZCORP, Inc.</w:t>
            </w:r>
          </w:p>
          <w:p>
            <w:pPr>
              <w:pStyle w:val="TableContents"/>
              <w:spacing w:lineRule="auto" w:line="288" w:before="0" w:after="0"/>
              <w:jc w:val="center"/>
              <w:rPr>
                <w:rFonts w:ascii="inherit" w:hAnsi="inherit"/>
                <w:b/>
                <w:sz w:val="17"/>
              </w:rPr>
            </w:pPr>
            <w:r>
              <w:rPr>
                <w:rFonts w:ascii="inherit" w:hAnsi="inherit"/>
                <w:b/>
                <w:sz w:val="17"/>
              </w:rPr>
              <w:t>CONSOLIDATED STATEMENTS OF OPERATIONS</w:t>
            </w:r>
          </w:p>
        </w:tc>
      </w:tr>
      <w:tr>
        <w:trPr/>
        <w:tc>
          <w:tcPr>
            <w:tcW w:w="563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639" w:type="dxa"/>
            <w:tcBorders/>
            <w:shd w:fill="auto" w:val="clear"/>
            <w:vAlign w:val="center"/>
          </w:tcPr>
          <w:p>
            <w:pPr>
              <w:pStyle w:val="TableContents"/>
              <w:spacing w:before="0" w:after="0"/>
              <w:ind w:left="0" w:right="0" w:firstLine="30"/>
              <w:jc w:val="left"/>
              <w:rPr/>
            </w:pPr>
            <w:r>
              <w:rPr/>
              <w:t> </w:t>
            </w:r>
          </w:p>
        </w:tc>
        <w:tc>
          <w:tcPr>
            <w:tcW w:w="456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639" w:type="dxa"/>
            <w:tcBorders/>
            <w:shd w:fill="auto" w:val="clear"/>
            <w:vAlign w:val="center"/>
          </w:tcPr>
          <w:p>
            <w:pPr>
              <w:pStyle w:val="TableContents"/>
              <w:spacing w:before="0" w:after="0"/>
              <w:ind w:left="0" w:right="0" w:firstLine="30"/>
              <w:jc w:val="left"/>
              <w:rPr/>
            </w:pPr>
            <w:r>
              <w:rPr/>
              <w:t> </w:t>
            </w:r>
          </w:p>
        </w:tc>
        <w:tc>
          <w:tcPr>
            <w:tcW w:w="12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3" w:type="dxa"/>
            <w:tcBorders/>
            <w:shd w:fill="auto" w:val="clear"/>
            <w:vAlign w:val="center"/>
          </w:tcPr>
          <w:p>
            <w:pPr>
              <w:pStyle w:val="TableContents"/>
              <w:spacing w:before="0" w:after="0"/>
              <w:ind w:left="0" w:right="0" w:firstLine="30"/>
              <w:rPr/>
            </w:pPr>
            <w:r>
              <w:rPr/>
              <w:t> </w:t>
            </w:r>
          </w:p>
        </w:tc>
        <w:tc>
          <w:tcPr>
            <w:tcW w:w="124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3" w:type="dxa"/>
            <w:tcBorders/>
            <w:shd w:fill="auto" w:val="clear"/>
            <w:vAlign w:val="center"/>
          </w:tcPr>
          <w:p>
            <w:pPr>
              <w:pStyle w:val="TableContents"/>
              <w:spacing w:before="0" w:after="0"/>
              <w:ind w:left="0" w:right="0" w:firstLine="30"/>
              <w:rPr/>
            </w:pPr>
            <w:r>
              <w:rPr/>
              <w:t> </w:t>
            </w:r>
          </w:p>
        </w:tc>
        <w:tc>
          <w:tcPr>
            <w:tcW w:w="17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639" w:type="dxa"/>
            <w:tcBorders/>
            <w:shd w:fill="auto" w:val="clear"/>
            <w:vAlign w:val="center"/>
          </w:tcPr>
          <w:p>
            <w:pPr>
              <w:pStyle w:val="TableContents"/>
              <w:spacing w:before="0" w:after="0"/>
              <w:ind w:left="0" w:right="0" w:firstLine="30"/>
              <w:jc w:val="left"/>
              <w:rPr/>
            </w:pPr>
            <w:r>
              <w:rPr/>
              <w:t> </w:t>
            </w:r>
          </w:p>
        </w:tc>
        <w:tc>
          <w:tcPr>
            <w:tcW w:w="4566"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Revenues:</w:t>
            </w:r>
          </w:p>
        </w:tc>
        <w:tc>
          <w:tcPr>
            <w:tcW w:w="1268"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246" w:type="dxa"/>
            <w:gridSpan w:val="3"/>
            <w:tcBorders/>
            <w:shd w:fill="CCEEFF" w:val="clear"/>
            <w:vAlign w:val="center"/>
          </w:tcPr>
          <w:p>
            <w:pPr>
              <w:pStyle w:val="TableContents"/>
              <w:spacing w:before="0" w:after="0"/>
              <w:ind w:left="0" w:right="0" w:firstLine="30"/>
              <w:jc w:val="left"/>
              <w:rPr/>
            </w:pPr>
            <w:r>
              <w:rPr/>
              <w:t> </w:t>
            </w:r>
          </w:p>
        </w:tc>
        <w:tc>
          <w:tcPr>
            <w:tcW w:w="143" w:type="dxa"/>
            <w:tcBorders/>
            <w:shd w:fill="CCEEFF" w:val="clear"/>
            <w:vAlign w:val="center"/>
          </w:tcPr>
          <w:p>
            <w:pPr>
              <w:pStyle w:val="TableContents"/>
              <w:spacing w:before="0" w:after="0"/>
              <w:ind w:left="0" w:right="0" w:firstLine="30"/>
              <w:rPr/>
            </w:pPr>
            <w:r>
              <w:rPr/>
              <w:t> </w:t>
            </w:r>
          </w:p>
        </w:tc>
        <w:tc>
          <w:tcPr>
            <w:tcW w:w="1766" w:type="dxa"/>
            <w:gridSpan w:val="3"/>
            <w:tcBorders/>
            <w:shd w:fill="CCEEFF" w:val="clear"/>
            <w:vAlign w:val="center"/>
          </w:tcPr>
          <w:p>
            <w:pPr>
              <w:pStyle w:val="TableContents"/>
              <w:spacing w:before="0" w:after="0"/>
              <w:ind w:left="0" w:right="0" w:firstLine="180"/>
              <w:jc w:val="left"/>
              <w:rPr/>
            </w:pPr>
            <w:r>
              <w:rPr/>
              <w:t> </w:t>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Merchandise sales</w:t>
            </w:r>
          </w:p>
        </w:tc>
        <w:tc>
          <w:tcPr>
            <w:tcW w:w="164"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42" w:type="dxa"/>
            <w:tcBorders/>
            <w:shd w:fill="auto" w:val="clear"/>
            <w:vAlign w:val="center"/>
          </w:tcPr>
          <w:p>
            <w:pPr>
              <w:pStyle w:val="TableContents"/>
              <w:spacing w:before="0" w:after="0"/>
              <w:jc w:val="right"/>
              <w:rPr>
                <w:rFonts w:ascii="inherit" w:hAnsi="inherit"/>
                <w:sz w:val="13"/>
              </w:rPr>
            </w:pPr>
            <w:r>
              <w:rPr>
                <w:rFonts w:ascii="inherit" w:hAnsi="inherit"/>
                <w:sz w:val="13"/>
              </w:rPr>
              <w:t>368,766</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shd w:fill="auto" w:val="clear"/>
            <w:vAlign w:val="center"/>
          </w:tcPr>
          <w:p>
            <w:pPr>
              <w:pStyle w:val="TableContents"/>
              <w:spacing w:before="0" w:after="0"/>
              <w:jc w:val="right"/>
              <w:rPr>
                <w:rFonts w:ascii="inherit" w:hAnsi="inherit"/>
                <w:sz w:val="13"/>
              </w:rPr>
            </w:pPr>
            <w:r>
              <w:rPr>
                <w:rFonts w:ascii="inherit" w:hAnsi="inherit"/>
                <w:sz w:val="13"/>
              </w:rPr>
              <w:t>333,064</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shd w:fill="auto" w:val="clear"/>
            <w:vAlign w:val="center"/>
          </w:tcPr>
          <w:p>
            <w:pPr>
              <w:pStyle w:val="TableContents"/>
              <w:spacing w:before="0" w:after="0"/>
              <w:jc w:val="right"/>
              <w:rPr>
                <w:rFonts w:ascii="inherit" w:hAnsi="inherit"/>
                <w:sz w:val="13"/>
              </w:rPr>
            </w:pPr>
            <w:r>
              <w:rPr>
                <w:rFonts w:ascii="inherit" w:hAnsi="inherit"/>
                <w:sz w:val="13"/>
              </w:rPr>
              <w:t>281,716</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Jewelry scrapping sales</w:t>
            </w:r>
          </w:p>
        </w:tc>
        <w:tc>
          <w:tcPr>
            <w:tcW w:w="1106"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131,702</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202,481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204,858</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Pawn service charges</w:t>
            </w:r>
          </w:p>
        </w:tc>
        <w:tc>
          <w:tcPr>
            <w:tcW w:w="110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251,354</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233,538</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199,746</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fees and interest</w:t>
            </w:r>
          </w:p>
        </w:tc>
        <w:tc>
          <w:tcPr>
            <w:tcW w:w="1106"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248,304</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200,681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164,895</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revenues</w:t>
            </w:r>
          </w:p>
        </w:tc>
        <w:tc>
          <w:tcPr>
            <w:tcW w:w="110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10,181</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5,359</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1,583</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revenues</w:t>
            </w:r>
          </w:p>
        </w:tc>
        <w:tc>
          <w:tcPr>
            <w:tcW w:w="1106"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1,010,307</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975,123</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852,798</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Merchandise cost of goods sold</w:t>
            </w:r>
          </w:p>
        </w:tc>
        <w:tc>
          <w:tcPr>
            <w:tcW w:w="110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218,617</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190,637</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161,834</w:t>
            </w:r>
          </w:p>
        </w:tc>
        <w:tc>
          <w:tcPr>
            <w:tcW w:w="6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Jewelry scrapping cost of goods sold</w:t>
            </w:r>
          </w:p>
        </w:tc>
        <w:tc>
          <w:tcPr>
            <w:tcW w:w="1106"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96,133</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130,715</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127,870</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bad debt</w:t>
            </w:r>
          </w:p>
        </w:tc>
        <w:tc>
          <w:tcPr>
            <w:tcW w:w="110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54,873</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39,370</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36,791</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revenues</w:t>
            </w:r>
          </w:p>
        </w:tc>
        <w:tc>
          <w:tcPr>
            <w:tcW w:w="1106"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640,684</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614,401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526,303</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Operating expenses:</w:t>
            </w:r>
          </w:p>
        </w:tc>
        <w:tc>
          <w:tcPr>
            <w:tcW w:w="1268"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246"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766" w:type="dxa"/>
            <w:gridSpan w:val="3"/>
            <w:tcBorders/>
            <w:shd w:fill="auto" w:val="clear"/>
            <w:vAlign w:val="center"/>
          </w:tcPr>
          <w:p>
            <w:pPr>
              <w:pStyle w:val="TableContents"/>
              <w:spacing w:before="0" w:after="0"/>
              <w:ind w:left="0" w:right="0" w:firstLine="180"/>
              <w:rPr/>
            </w:pPr>
            <w:r>
              <w:rPr/>
              <w:t> </w:t>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Operations</w:t>
            </w:r>
          </w:p>
        </w:tc>
        <w:tc>
          <w:tcPr>
            <w:tcW w:w="1106"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414,225</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336,348</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282,395</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Administrative</w:t>
            </w:r>
          </w:p>
        </w:tc>
        <w:tc>
          <w:tcPr>
            <w:tcW w:w="110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52,474</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47,912</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50,584</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Depreciation</w:t>
            </w:r>
          </w:p>
        </w:tc>
        <w:tc>
          <w:tcPr>
            <w:tcW w:w="1106"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28,327</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22,011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16,756</w:t>
            </w:r>
          </w:p>
        </w:tc>
        <w:tc>
          <w:tcPr>
            <w:tcW w:w="6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Amortization</w:t>
            </w:r>
          </w:p>
        </w:tc>
        <w:tc>
          <w:tcPr>
            <w:tcW w:w="110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5,233</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1,956</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834</w:t>
            </w:r>
          </w:p>
        </w:tc>
        <w:tc>
          <w:tcPr>
            <w:tcW w:w="6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Loss (gain) on sale or disposal of assets</w:t>
            </w:r>
          </w:p>
        </w:tc>
        <w:tc>
          <w:tcPr>
            <w:tcW w:w="110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1,434</w:t>
            </w:r>
          </w:p>
        </w:tc>
        <w:tc>
          <w:tcPr>
            <w:tcW w:w="16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(27</w:t>
            </w:r>
          </w:p>
        </w:tc>
        <w:tc>
          <w:tcPr>
            <w:tcW w:w="16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293</w:t>
            </w:r>
          </w:p>
        </w:tc>
        <w:tc>
          <w:tcPr>
            <w:tcW w:w="682"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operating expenses</w:t>
            </w:r>
          </w:p>
        </w:tc>
        <w:tc>
          <w:tcPr>
            <w:tcW w:w="110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501,693</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408,200</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350,862</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Operating income</w:t>
            </w:r>
          </w:p>
        </w:tc>
        <w:tc>
          <w:tcPr>
            <w:tcW w:w="1106"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138,991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206,201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175,441</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Interest expense (income)</w:t>
            </w:r>
          </w:p>
        </w:tc>
        <w:tc>
          <w:tcPr>
            <w:tcW w:w="110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15,166</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(1,550</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1,653</w:t>
            </w:r>
          </w:p>
        </w:tc>
        <w:tc>
          <w:tcPr>
            <w:tcW w:w="6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Equity in net income of unconsolidated affiliates</w:t>
            </w:r>
          </w:p>
        </w:tc>
        <w:tc>
          <w:tcPr>
            <w:tcW w:w="1106"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(11,878</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(17,400</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(16,237</w:t>
            </w:r>
          </w:p>
        </w:tc>
        <w:tc>
          <w:tcPr>
            <w:tcW w:w="68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Impairment of investments</w:t>
            </w:r>
          </w:p>
        </w:tc>
        <w:tc>
          <w:tcPr>
            <w:tcW w:w="110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44,598</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pPr>
            <w:r>
              <w:rPr/>
              <w:t>—</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pPr>
            <w:r>
              <w:rPr/>
              <w:t>—</w:t>
            </w:r>
          </w:p>
        </w:tc>
        <w:tc>
          <w:tcPr>
            <w:tcW w:w="6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income</w:t>
            </w:r>
          </w:p>
        </w:tc>
        <w:tc>
          <w:tcPr>
            <w:tcW w:w="110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(205</w:t>
            </w:r>
          </w:p>
        </w:tc>
        <w:tc>
          <w:tcPr>
            <w:tcW w:w="16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(1,211</w:t>
            </w:r>
          </w:p>
        </w:tc>
        <w:tc>
          <w:tcPr>
            <w:tcW w:w="16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(164</w:t>
            </w:r>
          </w:p>
        </w:tc>
        <w:tc>
          <w:tcPr>
            <w:tcW w:w="68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from continuing operations before income taxes</w:t>
            </w:r>
          </w:p>
        </w:tc>
        <w:tc>
          <w:tcPr>
            <w:tcW w:w="110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91,310</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226,362</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190,189</w:t>
            </w:r>
          </w:p>
        </w:tc>
        <w:tc>
          <w:tcPr>
            <w:tcW w:w="6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tax expense</w:t>
            </w:r>
          </w:p>
        </w:tc>
        <w:tc>
          <w:tcPr>
            <w:tcW w:w="110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29,575</w:t>
            </w:r>
          </w:p>
        </w:tc>
        <w:tc>
          <w:tcPr>
            <w:tcW w:w="16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71,252</w:t>
            </w:r>
          </w:p>
        </w:tc>
        <w:tc>
          <w:tcPr>
            <w:tcW w:w="16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66,472</w:t>
            </w:r>
          </w:p>
        </w:tc>
        <w:tc>
          <w:tcPr>
            <w:tcW w:w="68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from continuing operations, net of tax</w:t>
            </w:r>
          </w:p>
        </w:tc>
        <w:tc>
          <w:tcPr>
            <w:tcW w:w="110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61,735</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155,110</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123,717</w:t>
            </w:r>
          </w:p>
        </w:tc>
        <w:tc>
          <w:tcPr>
            <w:tcW w:w="6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Loss from discontinued operations, net of tax</w:t>
            </w:r>
          </w:p>
        </w:tc>
        <w:tc>
          <w:tcPr>
            <w:tcW w:w="110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(23,310</w:t>
            </w:r>
          </w:p>
        </w:tc>
        <w:tc>
          <w:tcPr>
            <w:tcW w:w="16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(4,533</w:t>
            </w:r>
          </w:p>
        </w:tc>
        <w:tc>
          <w:tcPr>
            <w:tcW w:w="16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(1,558</w:t>
            </w:r>
          </w:p>
        </w:tc>
        <w:tc>
          <w:tcPr>
            <w:tcW w:w="68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10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38,425</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150,577</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122,159</w:t>
            </w:r>
          </w:p>
        </w:tc>
        <w:tc>
          <w:tcPr>
            <w:tcW w:w="6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 from continuing operations attributable to redeemable noncontrolling interest</w:t>
            </w:r>
          </w:p>
        </w:tc>
        <w:tc>
          <w:tcPr>
            <w:tcW w:w="1106"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4,348</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6,869</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pPr>
            <w:r>
              <w:rPr/>
              <w:t>—</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attributable to EZCORP, Inc.</w:t>
            </w:r>
          </w:p>
        </w:tc>
        <w:tc>
          <w:tcPr>
            <w:tcW w:w="16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34,077</w:t>
            </w:r>
          </w:p>
        </w:tc>
        <w:tc>
          <w:tcPr>
            <w:tcW w:w="16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143,708</w:t>
            </w:r>
          </w:p>
        </w:tc>
        <w:tc>
          <w:tcPr>
            <w:tcW w:w="16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122,159</w:t>
            </w:r>
          </w:p>
        </w:tc>
        <w:tc>
          <w:tcPr>
            <w:tcW w:w="68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rPr/>
            </w:pPr>
            <w:r>
              <w:rPr/>
              <w:t> </w:t>
            </w:r>
          </w:p>
        </w:tc>
        <w:tc>
          <w:tcPr>
            <w:tcW w:w="1268"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246"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766" w:type="dxa"/>
            <w:gridSpan w:val="3"/>
            <w:tcBorders/>
            <w:shd w:fill="CCEEFF" w:val="clear"/>
            <w:vAlign w:val="center"/>
          </w:tcPr>
          <w:p>
            <w:pPr>
              <w:pStyle w:val="TableContents"/>
              <w:spacing w:before="0" w:after="0"/>
              <w:ind w:left="0" w:right="0" w:firstLine="30"/>
              <w:rPr/>
            </w:pPr>
            <w:r>
              <w:rPr/>
              <w:t> </w:t>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Basic earnings (loss) per share attributable to EZCORP, Inc.:</w:t>
            </w:r>
          </w:p>
        </w:tc>
        <w:tc>
          <w:tcPr>
            <w:tcW w:w="1268"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246"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766" w:type="dxa"/>
            <w:gridSpan w:val="3"/>
            <w:tcBorders/>
            <w:shd w:fill="auto" w:val="clear"/>
            <w:vAlign w:val="center"/>
          </w:tcPr>
          <w:p>
            <w:pPr>
              <w:pStyle w:val="TableContents"/>
              <w:spacing w:before="0" w:after="0"/>
              <w:ind w:left="0" w:right="0" w:firstLine="420"/>
              <w:rPr/>
            </w:pPr>
            <w:r>
              <w:rPr/>
              <w:t> </w:t>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 xml:space="preserve">Continuing operations </w:t>
            </w:r>
          </w:p>
        </w:tc>
        <w:tc>
          <w:tcPr>
            <w:tcW w:w="164"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942" w:type="dxa"/>
            <w:tcBorders/>
            <w:shd w:fill="CCEEFF" w:val="clear"/>
            <w:vAlign w:val="center"/>
          </w:tcPr>
          <w:p>
            <w:pPr>
              <w:pStyle w:val="TableContents"/>
              <w:spacing w:before="0" w:after="0"/>
              <w:jc w:val="right"/>
              <w:rPr>
                <w:rFonts w:ascii="inherit" w:hAnsi="inherit"/>
                <w:sz w:val="13"/>
              </w:rPr>
            </w:pPr>
            <w:r>
              <w:rPr>
                <w:rFonts w:ascii="inherit" w:hAnsi="inherit"/>
                <w:sz w:val="13"/>
              </w:rPr>
              <w:t>1.07</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shd w:fill="CCEEFF" w:val="clear"/>
            <w:vAlign w:val="center"/>
          </w:tcPr>
          <w:p>
            <w:pPr>
              <w:pStyle w:val="TableContents"/>
              <w:spacing w:before="0" w:after="0"/>
              <w:jc w:val="right"/>
              <w:rPr>
                <w:rFonts w:ascii="inherit" w:hAnsi="inherit"/>
                <w:sz w:val="13"/>
              </w:rPr>
            </w:pPr>
            <w:r>
              <w:rPr>
                <w:rFonts w:ascii="inherit" w:hAnsi="inherit"/>
                <w:sz w:val="13"/>
              </w:rPr>
              <w:t>2.91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shd w:fill="CCEEFF" w:val="clear"/>
            <w:vAlign w:val="center"/>
          </w:tcPr>
          <w:p>
            <w:pPr>
              <w:pStyle w:val="TableContents"/>
              <w:spacing w:before="0" w:after="0"/>
              <w:jc w:val="right"/>
              <w:rPr>
                <w:rFonts w:ascii="inherit" w:hAnsi="inherit"/>
                <w:sz w:val="13"/>
              </w:rPr>
            </w:pPr>
            <w:r>
              <w:rPr>
                <w:rFonts w:ascii="inherit" w:hAnsi="inherit"/>
                <w:sz w:val="13"/>
              </w:rPr>
              <w:t>2.48</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Discontinued operations</w:t>
            </w:r>
          </w:p>
        </w:tc>
        <w:tc>
          <w:tcPr>
            <w:tcW w:w="110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(0.43</w:t>
            </w:r>
          </w:p>
        </w:tc>
        <w:tc>
          <w:tcPr>
            <w:tcW w:w="16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(0.09</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(0.03</w:t>
            </w:r>
          </w:p>
        </w:tc>
        <w:tc>
          <w:tcPr>
            <w:tcW w:w="682"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Basic earnings per share</w:t>
            </w:r>
          </w:p>
        </w:tc>
        <w:tc>
          <w:tcPr>
            <w:tcW w:w="16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0.64</w:t>
            </w:r>
          </w:p>
        </w:tc>
        <w:tc>
          <w:tcPr>
            <w:tcW w:w="16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2.82</w:t>
            </w:r>
          </w:p>
        </w:tc>
        <w:tc>
          <w:tcPr>
            <w:tcW w:w="16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2.45</w:t>
            </w:r>
          </w:p>
        </w:tc>
        <w:tc>
          <w:tcPr>
            <w:tcW w:w="68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auto" w:val="clear"/>
            <w:vAlign w:val="center"/>
          </w:tcPr>
          <w:p>
            <w:pPr>
              <w:pStyle w:val="TableContents"/>
              <w:spacing w:before="0" w:after="0"/>
              <w:ind w:left="0" w:right="0" w:firstLine="30"/>
              <w:rPr/>
            </w:pPr>
            <w:r>
              <w:rPr/>
              <w:t> </w:t>
            </w:r>
          </w:p>
        </w:tc>
        <w:tc>
          <w:tcPr>
            <w:tcW w:w="1268"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246"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766" w:type="dxa"/>
            <w:gridSpan w:val="3"/>
            <w:tcBorders/>
            <w:shd w:fill="auto" w:val="clear"/>
            <w:vAlign w:val="center"/>
          </w:tcPr>
          <w:p>
            <w:pPr>
              <w:pStyle w:val="TableContents"/>
              <w:spacing w:before="0" w:after="0"/>
              <w:ind w:left="0" w:right="0" w:firstLine="30"/>
              <w:rPr/>
            </w:pPr>
            <w:r>
              <w:rPr/>
              <w:t> </w:t>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Diluted earnings (loss) per share attributable to EZCORP, Inc.:</w:t>
            </w:r>
          </w:p>
        </w:tc>
        <w:tc>
          <w:tcPr>
            <w:tcW w:w="1268"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246"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766" w:type="dxa"/>
            <w:gridSpan w:val="3"/>
            <w:tcBorders/>
            <w:shd w:fill="CCEEFF" w:val="clear"/>
            <w:vAlign w:val="center"/>
          </w:tcPr>
          <w:p>
            <w:pPr>
              <w:pStyle w:val="TableContents"/>
              <w:spacing w:before="0" w:after="0"/>
              <w:ind w:left="0" w:right="0" w:firstLine="420"/>
              <w:rPr/>
            </w:pPr>
            <w:r>
              <w:rPr/>
              <w:t> </w:t>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Continuing operations</w:t>
            </w:r>
          </w:p>
        </w:tc>
        <w:tc>
          <w:tcPr>
            <w:tcW w:w="164"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42" w:type="dxa"/>
            <w:tcBorders/>
            <w:shd w:fill="auto" w:val="clear"/>
            <w:vAlign w:val="center"/>
          </w:tcPr>
          <w:p>
            <w:pPr>
              <w:pStyle w:val="TableContents"/>
              <w:spacing w:before="0" w:after="0"/>
              <w:jc w:val="right"/>
              <w:rPr>
                <w:rFonts w:ascii="inherit" w:hAnsi="inherit"/>
                <w:sz w:val="13"/>
              </w:rPr>
            </w:pPr>
            <w:r>
              <w:rPr>
                <w:rFonts w:ascii="inherit" w:hAnsi="inherit"/>
                <w:sz w:val="13"/>
              </w:rPr>
              <w:t>1.06</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shd w:fill="auto" w:val="clear"/>
            <w:vAlign w:val="center"/>
          </w:tcPr>
          <w:p>
            <w:pPr>
              <w:pStyle w:val="TableContents"/>
              <w:spacing w:before="0" w:after="0"/>
              <w:jc w:val="right"/>
              <w:rPr>
                <w:rFonts w:ascii="inherit" w:hAnsi="inherit"/>
                <w:sz w:val="13"/>
              </w:rPr>
            </w:pPr>
            <w:r>
              <w:rPr>
                <w:rFonts w:ascii="inherit" w:hAnsi="inherit"/>
                <w:sz w:val="13"/>
              </w:rPr>
              <w:t>2.90</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shd w:fill="auto" w:val="clear"/>
            <w:vAlign w:val="center"/>
          </w:tcPr>
          <w:p>
            <w:pPr>
              <w:pStyle w:val="TableContents"/>
              <w:spacing w:before="0" w:after="0"/>
              <w:jc w:val="right"/>
              <w:rPr>
                <w:rFonts w:ascii="inherit" w:hAnsi="inherit"/>
                <w:sz w:val="13"/>
              </w:rPr>
            </w:pPr>
            <w:r>
              <w:rPr>
                <w:rFonts w:ascii="inherit" w:hAnsi="inherit"/>
                <w:sz w:val="13"/>
              </w:rPr>
              <w:t>2.46</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Discontinued operations</w:t>
            </w:r>
          </w:p>
        </w:tc>
        <w:tc>
          <w:tcPr>
            <w:tcW w:w="110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(0.43</w:t>
            </w:r>
          </w:p>
        </w:tc>
        <w:tc>
          <w:tcPr>
            <w:tcW w:w="16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(0.09</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(0.03</w:t>
            </w:r>
          </w:p>
        </w:tc>
        <w:tc>
          <w:tcPr>
            <w:tcW w:w="682"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Diluted earnings per share</w:t>
            </w:r>
          </w:p>
        </w:tc>
        <w:tc>
          <w:tcPr>
            <w:tcW w:w="16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0.63</w:t>
            </w:r>
          </w:p>
        </w:tc>
        <w:tc>
          <w:tcPr>
            <w:tcW w:w="16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2.81</w:t>
            </w:r>
          </w:p>
        </w:tc>
        <w:tc>
          <w:tcPr>
            <w:tcW w:w="16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2.43</w:t>
            </w:r>
          </w:p>
        </w:tc>
        <w:tc>
          <w:tcPr>
            <w:tcW w:w="68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rPr/>
            </w:pPr>
            <w:r>
              <w:rPr/>
              <w:t> </w:t>
            </w:r>
          </w:p>
        </w:tc>
        <w:tc>
          <w:tcPr>
            <w:tcW w:w="1268"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246"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766" w:type="dxa"/>
            <w:gridSpan w:val="3"/>
            <w:tcBorders/>
            <w:shd w:fill="CCEEFF" w:val="clear"/>
            <w:vAlign w:val="center"/>
          </w:tcPr>
          <w:p>
            <w:pPr>
              <w:pStyle w:val="TableContents"/>
              <w:spacing w:before="0" w:after="0"/>
              <w:ind w:left="0" w:right="0" w:firstLine="30"/>
              <w:rPr/>
            </w:pPr>
            <w:r>
              <w:rPr/>
              <w:t> </w:t>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Weighted average shares outstanding:</w:t>
            </w:r>
          </w:p>
        </w:tc>
        <w:tc>
          <w:tcPr>
            <w:tcW w:w="1268"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246" w:type="dxa"/>
            <w:gridSpan w:val="3"/>
            <w:tcBorders/>
            <w:shd w:fill="auto" w:val="clear"/>
            <w:vAlign w:val="center"/>
          </w:tcPr>
          <w:p>
            <w:pPr>
              <w:pStyle w:val="TableContents"/>
              <w:spacing w:before="0" w:after="0"/>
              <w:ind w:left="0" w:right="0" w:firstLine="30"/>
              <w:jc w:val="left"/>
              <w:rPr/>
            </w:pPr>
            <w:r>
              <w:rPr/>
              <w:t> </w:t>
            </w:r>
          </w:p>
        </w:tc>
        <w:tc>
          <w:tcPr>
            <w:tcW w:w="143" w:type="dxa"/>
            <w:tcBorders/>
            <w:shd w:fill="auto" w:val="clear"/>
            <w:vAlign w:val="center"/>
          </w:tcPr>
          <w:p>
            <w:pPr>
              <w:pStyle w:val="TableContents"/>
              <w:spacing w:before="0" w:after="0"/>
              <w:ind w:left="0" w:right="0" w:firstLine="30"/>
              <w:rPr/>
            </w:pPr>
            <w:r>
              <w:rPr/>
              <w:t> </w:t>
            </w:r>
          </w:p>
        </w:tc>
        <w:tc>
          <w:tcPr>
            <w:tcW w:w="1766" w:type="dxa"/>
            <w:gridSpan w:val="3"/>
            <w:tcBorders/>
            <w:shd w:fill="auto" w:val="clear"/>
            <w:vAlign w:val="center"/>
          </w:tcPr>
          <w:p>
            <w:pPr>
              <w:pStyle w:val="TableContents"/>
              <w:spacing w:before="0" w:after="0"/>
              <w:ind w:left="0" w:right="0" w:firstLine="420"/>
              <w:jc w:val="left"/>
              <w:rPr/>
            </w:pPr>
            <w:r>
              <w:rPr/>
              <w:t> </w:t>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Basic</w:t>
            </w:r>
          </w:p>
        </w:tc>
        <w:tc>
          <w:tcPr>
            <w:tcW w:w="1106"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53,657</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50,877</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49,917</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Diluted</w:t>
            </w:r>
          </w:p>
        </w:tc>
        <w:tc>
          <w:tcPr>
            <w:tcW w:w="110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53,737</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51,133</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50,369</w:t>
            </w:r>
          </w:p>
        </w:tc>
        <w:tc>
          <w:tcPr>
            <w:tcW w:w="6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rPr/>
            </w:pPr>
            <w:r>
              <w:rPr/>
              <w:t> </w:t>
            </w:r>
          </w:p>
        </w:tc>
        <w:tc>
          <w:tcPr>
            <w:tcW w:w="1268"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246"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766" w:type="dxa"/>
            <w:gridSpan w:val="3"/>
            <w:tcBorders/>
            <w:shd w:fill="CCEEFF" w:val="clear"/>
            <w:vAlign w:val="center"/>
          </w:tcPr>
          <w:p>
            <w:pPr>
              <w:pStyle w:val="TableContents"/>
              <w:spacing w:before="0" w:after="0"/>
              <w:ind w:left="0" w:right="0" w:firstLine="30"/>
              <w:rPr/>
            </w:pPr>
            <w:r>
              <w:rPr/>
              <w:t> </w:t>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from continuing operations attributable to EZCORP, Inc.</w:t>
            </w:r>
          </w:p>
        </w:tc>
        <w:tc>
          <w:tcPr>
            <w:tcW w:w="164"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42" w:type="dxa"/>
            <w:tcBorders/>
            <w:shd w:fill="auto" w:val="clear"/>
            <w:vAlign w:val="center"/>
          </w:tcPr>
          <w:p>
            <w:pPr>
              <w:pStyle w:val="TableContents"/>
              <w:spacing w:before="0" w:after="0"/>
              <w:jc w:val="right"/>
              <w:rPr>
                <w:rFonts w:ascii="inherit" w:hAnsi="inherit"/>
                <w:sz w:val="13"/>
              </w:rPr>
            </w:pPr>
            <w:r>
              <w:rPr>
                <w:rFonts w:ascii="inherit" w:hAnsi="inherit"/>
                <w:sz w:val="13"/>
              </w:rPr>
              <w:t>57,387</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shd w:fill="auto" w:val="clear"/>
            <w:vAlign w:val="center"/>
          </w:tcPr>
          <w:p>
            <w:pPr>
              <w:pStyle w:val="TableContents"/>
              <w:spacing w:before="0" w:after="0"/>
              <w:jc w:val="right"/>
              <w:rPr>
                <w:rFonts w:ascii="inherit" w:hAnsi="inherit"/>
                <w:sz w:val="13"/>
              </w:rPr>
            </w:pPr>
            <w:r>
              <w:rPr>
                <w:rFonts w:ascii="inherit" w:hAnsi="inherit"/>
                <w:sz w:val="13"/>
              </w:rPr>
              <w:t>148,241</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shd w:fill="auto" w:val="clear"/>
            <w:vAlign w:val="center"/>
          </w:tcPr>
          <w:p>
            <w:pPr>
              <w:pStyle w:val="TableContents"/>
              <w:spacing w:before="0" w:after="0"/>
              <w:jc w:val="right"/>
              <w:rPr>
                <w:rFonts w:ascii="inherit" w:hAnsi="inherit"/>
                <w:sz w:val="13"/>
              </w:rPr>
            </w:pPr>
            <w:r>
              <w:rPr>
                <w:rFonts w:ascii="inherit" w:hAnsi="inherit"/>
                <w:sz w:val="13"/>
              </w:rPr>
              <w:t>123,717</w:t>
            </w:r>
          </w:p>
        </w:tc>
        <w:tc>
          <w:tcPr>
            <w:tcW w:w="6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3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Loss from discontinued operations attributable to EZCORP, Inc.</w:t>
            </w:r>
          </w:p>
        </w:tc>
        <w:tc>
          <w:tcPr>
            <w:tcW w:w="1106"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(23,310</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(4,533</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(1,558</w:t>
            </w:r>
          </w:p>
        </w:tc>
        <w:tc>
          <w:tcPr>
            <w:tcW w:w="68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563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attributable to EZCORP, Inc.</w:t>
            </w:r>
          </w:p>
        </w:tc>
        <w:tc>
          <w:tcPr>
            <w:tcW w:w="16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34,077</w:t>
            </w:r>
          </w:p>
        </w:tc>
        <w:tc>
          <w:tcPr>
            <w:tcW w:w="16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143,708</w:t>
            </w:r>
          </w:p>
        </w:tc>
        <w:tc>
          <w:tcPr>
            <w:tcW w:w="16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122,159</w:t>
            </w:r>
          </w:p>
        </w:tc>
        <w:tc>
          <w:tcPr>
            <w:tcW w:w="68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7"/>
        </w:rPr>
      </w:pPr>
      <w:r>
        <w:rPr>
          <w:rFonts w:ascii="inherit" w:hAnsi="inherit"/>
          <w:i/>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59</w:t>
      </w:r>
      <w:r>
        <w:br w:type="page"/>
      </w:r>
    </w:p>
    <w:p>
      <w:pPr>
        <w:pStyle w:val="TextBody"/>
        <w:spacing w:lineRule="auto" w:line="288" w:before="0" w:after="0"/>
        <w:rPr/>
      </w:pPr>
      <w:hyperlink w:anchor="sA13583D437E20DC41B4583E2BD74AA47">
        <w:bookmarkStart w:id="58" w:name="s0F40722DC466C3D7D12783E26B6E913D"/>
        <w:bookmarkEnd w:id="58"/>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942"/>
        <w:gridCol w:w="172"/>
        <w:gridCol w:w="1134"/>
        <w:gridCol w:w="158"/>
        <w:gridCol w:w="141"/>
        <w:gridCol w:w="172"/>
        <w:gridCol w:w="1228"/>
        <w:gridCol w:w="158"/>
        <w:gridCol w:w="141"/>
        <w:gridCol w:w="172"/>
        <w:gridCol w:w="1228"/>
        <w:gridCol w:w="559"/>
      </w:tblGrid>
      <w:tr>
        <w:trPr/>
        <w:tc>
          <w:tcPr>
            <w:tcW w:w="10205" w:type="dxa"/>
            <w:gridSpan w:val="12"/>
            <w:tcBorders/>
            <w:shd w:fill="auto" w:val="clear"/>
            <w:vAlign w:val="center"/>
          </w:tcPr>
          <w:p>
            <w:pPr>
              <w:pStyle w:val="TableContents"/>
              <w:spacing w:lineRule="auto" w:line="288" w:before="0" w:after="0"/>
              <w:jc w:val="center"/>
              <w:rPr>
                <w:rFonts w:ascii="inherit" w:hAnsi="inherit"/>
                <w:b/>
                <w:sz w:val="17"/>
              </w:rPr>
            </w:pPr>
            <w:r>
              <w:rPr>
                <w:rFonts w:ascii="inherit" w:hAnsi="inherit"/>
                <w:b/>
                <w:sz w:val="17"/>
              </w:rPr>
              <w:t>EZCORP, Inc.</w:t>
            </w:r>
          </w:p>
          <w:p>
            <w:pPr>
              <w:pStyle w:val="TableContents"/>
              <w:spacing w:lineRule="auto" w:line="288" w:before="0" w:after="0"/>
              <w:jc w:val="center"/>
              <w:rPr>
                <w:rFonts w:ascii="inherit" w:hAnsi="inherit"/>
                <w:b/>
                <w:sz w:val="17"/>
              </w:rPr>
            </w:pPr>
            <w:r>
              <w:rPr>
                <w:rFonts w:ascii="inherit" w:hAnsi="inherit"/>
                <w:b/>
                <w:sz w:val="17"/>
              </w:rPr>
              <w:t>CONSOLIDATED STATEMENTS OF COMPREHENSIVE INCOME</w:t>
            </w:r>
          </w:p>
        </w:tc>
      </w:tr>
      <w:tr>
        <w:trPr/>
        <w:tc>
          <w:tcPr>
            <w:tcW w:w="494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42" w:type="dxa"/>
            <w:tcBorders/>
            <w:shd w:fill="auto" w:val="clear"/>
            <w:vAlign w:val="center"/>
          </w:tcPr>
          <w:p>
            <w:pPr>
              <w:pStyle w:val="TableContents"/>
              <w:spacing w:before="0" w:after="0"/>
              <w:ind w:left="0" w:right="0" w:firstLine="30"/>
              <w:jc w:val="left"/>
              <w:rPr/>
            </w:pPr>
            <w:r>
              <w:rPr/>
              <w:t> </w:t>
            </w:r>
          </w:p>
        </w:tc>
        <w:tc>
          <w:tcPr>
            <w:tcW w:w="526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4942" w:type="dxa"/>
            <w:tcBorders/>
            <w:shd w:fill="auto" w:val="clear"/>
            <w:vAlign w:val="center"/>
          </w:tcPr>
          <w:p>
            <w:pPr>
              <w:pStyle w:val="TableContents"/>
              <w:spacing w:before="0" w:after="0"/>
              <w:ind w:left="0" w:right="0" w:firstLine="30"/>
              <w:jc w:val="left"/>
              <w:rPr/>
            </w:pPr>
            <w:r>
              <w:rPr/>
              <w:t> </w:t>
            </w:r>
          </w:p>
        </w:tc>
        <w:tc>
          <w:tcPr>
            <w:tcW w:w="14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1" w:type="dxa"/>
            <w:tcBorders/>
            <w:shd w:fill="auto" w:val="clear"/>
            <w:vAlign w:val="center"/>
          </w:tcPr>
          <w:p>
            <w:pPr>
              <w:pStyle w:val="TableContents"/>
              <w:spacing w:before="0" w:after="0"/>
              <w:ind w:left="0" w:right="0" w:firstLine="30"/>
              <w:rPr/>
            </w:pPr>
            <w:r>
              <w:rPr/>
              <w:t> </w:t>
            </w:r>
          </w:p>
        </w:tc>
        <w:tc>
          <w:tcPr>
            <w:tcW w:w="155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1" w:type="dxa"/>
            <w:tcBorders/>
            <w:shd w:fill="auto" w:val="clear"/>
            <w:vAlign w:val="center"/>
          </w:tcPr>
          <w:p>
            <w:pPr>
              <w:pStyle w:val="TableContents"/>
              <w:spacing w:before="0" w:after="0"/>
              <w:ind w:left="0" w:right="0" w:firstLine="30"/>
              <w:rPr/>
            </w:pPr>
            <w:r>
              <w:rPr/>
              <w:t> </w:t>
            </w:r>
          </w:p>
        </w:tc>
        <w:tc>
          <w:tcPr>
            <w:tcW w:w="195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4942" w:type="dxa"/>
            <w:tcBorders/>
            <w:shd w:fill="auto" w:val="clear"/>
            <w:vAlign w:val="center"/>
          </w:tcPr>
          <w:p>
            <w:pPr>
              <w:pStyle w:val="TableContents"/>
              <w:spacing w:before="0" w:after="0"/>
              <w:ind w:left="0" w:right="0" w:firstLine="30"/>
              <w:jc w:val="left"/>
              <w:rPr/>
            </w:pPr>
            <w:r>
              <w:rPr/>
              <w:t> </w:t>
            </w:r>
          </w:p>
        </w:tc>
        <w:tc>
          <w:tcPr>
            <w:tcW w:w="1464" w:type="dxa"/>
            <w:gridSpan w:val="3"/>
            <w:tcBorders/>
            <w:shd w:fill="auto" w:val="clear"/>
            <w:vAlign w:val="center"/>
          </w:tcPr>
          <w:p>
            <w:pPr>
              <w:pStyle w:val="TableContents"/>
              <w:spacing w:before="0" w:after="0"/>
              <w:ind w:left="0" w:right="0" w:firstLine="30"/>
              <w:jc w:val="left"/>
              <w:rPr/>
            </w:pPr>
            <w:r>
              <w:rPr/>
              <w:t> </w:t>
            </w:r>
          </w:p>
        </w:tc>
        <w:tc>
          <w:tcPr>
            <w:tcW w:w="141" w:type="dxa"/>
            <w:tcBorders/>
            <w:shd w:fill="auto" w:val="clear"/>
            <w:vAlign w:val="center"/>
          </w:tcPr>
          <w:p>
            <w:pPr>
              <w:pStyle w:val="TableContents"/>
              <w:spacing w:before="0" w:after="0"/>
              <w:ind w:left="0" w:right="0" w:firstLine="30"/>
              <w:rPr/>
            </w:pPr>
            <w:r>
              <w:rPr/>
              <w:t> </w:t>
            </w:r>
          </w:p>
        </w:tc>
        <w:tc>
          <w:tcPr>
            <w:tcW w:w="1558"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41" w:type="dxa"/>
            <w:tcBorders/>
            <w:shd w:fill="auto" w:val="clear"/>
            <w:vAlign w:val="center"/>
          </w:tcPr>
          <w:p>
            <w:pPr>
              <w:pStyle w:val="TableContents"/>
              <w:spacing w:before="0" w:after="0"/>
              <w:ind w:left="0" w:right="0" w:firstLine="30"/>
              <w:rPr/>
            </w:pPr>
            <w:r>
              <w:rPr/>
              <w:t> </w:t>
            </w:r>
          </w:p>
        </w:tc>
        <w:tc>
          <w:tcPr>
            <w:tcW w:w="1959" w:type="dxa"/>
            <w:gridSpan w:val="3"/>
            <w:tcBorders/>
            <w:shd w:fill="auto" w:val="clear"/>
            <w:vAlign w:val="center"/>
          </w:tcPr>
          <w:p>
            <w:pPr>
              <w:pStyle w:val="TableContents"/>
              <w:spacing w:before="0" w:after="0"/>
              <w:ind w:left="0" w:right="0" w:firstLine="30"/>
              <w:jc w:val="left"/>
              <w:rPr/>
            </w:pPr>
            <w:r>
              <w:rPr/>
              <w:t> </w:t>
            </w:r>
          </w:p>
        </w:tc>
      </w:tr>
      <w:tr>
        <w:trPr/>
        <w:tc>
          <w:tcPr>
            <w:tcW w:w="494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7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4" w:type="dxa"/>
            <w:tcBorders/>
            <w:shd w:fill="CCEEFF" w:val="clear"/>
            <w:vAlign w:val="center"/>
          </w:tcPr>
          <w:p>
            <w:pPr>
              <w:pStyle w:val="TableContents"/>
              <w:spacing w:before="0" w:after="0"/>
              <w:jc w:val="right"/>
              <w:rPr>
                <w:rFonts w:ascii="inherit" w:hAnsi="inherit"/>
                <w:sz w:val="17"/>
              </w:rPr>
            </w:pPr>
            <w:r>
              <w:rPr>
                <w:rFonts w:ascii="inherit" w:hAnsi="inherit"/>
                <w:sz w:val="17"/>
              </w:rPr>
              <w:t>38,425</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8" w:type="dxa"/>
            <w:tcBorders/>
            <w:shd w:fill="CCEEFF" w:val="clear"/>
            <w:vAlign w:val="center"/>
          </w:tcPr>
          <w:p>
            <w:pPr>
              <w:pStyle w:val="TableContents"/>
              <w:spacing w:before="0" w:after="0"/>
              <w:jc w:val="right"/>
              <w:rPr>
                <w:rFonts w:ascii="inherit" w:hAnsi="inherit"/>
                <w:sz w:val="17"/>
              </w:rPr>
            </w:pPr>
            <w:r>
              <w:rPr>
                <w:rFonts w:ascii="inherit" w:hAnsi="inherit"/>
                <w:sz w:val="17"/>
              </w:rPr>
              <w:t>150,577</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8" w:type="dxa"/>
            <w:tcBorders/>
            <w:shd w:fill="CCEEFF" w:val="clear"/>
            <w:vAlign w:val="center"/>
          </w:tcPr>
          <w:p>
            <w:pPr>
              <w:pStyle w:val="TableContents"/>
              <w:spacing w:before="0" w:after="0"/>
              <w:jc w:val="right"/>
              <w:rPr>
                <w:rFonts w:ascii="inherit" w:hAnsi="inherit"/>
                <w:sz w:val="17"/>
              </w:rPr>
            </w:pPr>
            <w:r>
              <w:rPr>
                <w:rFonts w:ascii="inherit" w:hAnsi="inherit"/>
                <w:sz w:val="17"/>
              </w:rPr>
              <w:t>122,159</w:t>
            </w:r>
          </w:p>
        </w:tc>
        <w:tc>
          <w:tcPr>
            <w:tcW w:w="5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w:t>
            </w:r>
          </w:p>
        </w:tc>
        <w:tc>
          <w:tcPr>
            <w:tcW w:w="1464"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558"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959" w:type="dxa"/>
            <w:gridSpan w:val="3"/>
            <w:tcBorders/>
            <w:shd w:fill="auto" w:val="clear"/>
            <w:vAlign w:val="center"/>
          </w:tcPr>
          <w:p>
            <w:pPr>
              <w:pStyle w:val="TableContents"/>
              <w:spacing w:before="0" w:after="0"/>
              <w:ind w:left="0" w:right="0" w:firstLine="420"/>
              <w:rPr/>
            </w:pPr>
            <w:r>
              <w:rPr/>
              <w:t> </w:t>
            </w:r>
          </w:p>
        </w:tc>
      </w:tr>
      <w:tr>
        <w:trPr/>
        <w:tc>
          <w:tcPr>
            <w:tcW w:w="494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(loss) gain</w:t>
            </w:r>
          </w:p>
        </w:tc>
        <w:tc>
          <w:tcPr>
            <w:tcW w:w="130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(11,614</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1" w:type="dxa"/>
            <w:tcBorders/>
            <w:shd w:fill="CCEEFF" w:val="clear"/>
            <w:vAlign w:val="center"/>
          </w:tcPr>
          <w:p>
            <w:pPr>
              <w:pStyle w:val="TableContents"/>
              <w:spacing w:before="0" w:after="0"/>
              <w:ind w:left="0" w:right="0" w:firstLine="30"/>
              <w:rPr/>
            </w:pPr>
            <w:r>
              <w:rPr/>
              <w:t> </w:t>
            </w:r>
          </w:p>
        </w:tc>
        <w:tc>
          <w:tcPr>
            <w:tcW w:w="14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1" w:type="dxa"/>
            <w:tcBorders/>
            <w:shd w:fill="CCEEFF" w:val="clear"/>
            <w:vAlign w:val="center"/>
          </w:tcPr>
          <w:p>
            <w:pPr>
              <w:pStyle w:val="TableContents"/>
              <w:spacing w:before="0" w:after="0"/>
              <w:ind w:left="0" w:right="0" w:firstLine="30"/>
              <w:rPr/>
            </w:pPr>
            <w:r>
              <w:rPr/>
              <w:t> </w:t>
            </w:r>
          </w:p>
        </w:tc>
        <w:tc>
          <w:tcPr>
            <w:tcW w:w="14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10,393</w:t>
            </w:r>
          </w:p>
        </w:tc>
        <w:tc>
          <w:tcPr>
            <w:tcW w:w="55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94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reclassification adjustment realized upon impairment</w:t>
            </w:r>
          </w:p>
        </w:tc>
        <w:tc>
          <w:tcPr>
            <w:tcW w:w="130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400" w:type="dxa"/>
            <w:gridSpan w:val="2"/>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400" w:type="dxa"/>
            <w:gridSpan w:val="2"/>
            <w:tcBorders/>
            <w:shd w:fill="auto" w:val="clear"/>
            <w:vAlign w:val="center"/>
          </w:tcPr>
          <w:p>
            <w:pPr>
              <w:pStyle w:val="TableContents"/>
              <w:spacing w:before="0" w:after="0"/>
              <w:jc w:val="right"/>
              <w:rPr/>
            </w:pPr>
            <w:r>
              <w:rPr/>
              <w:t>—</w:t>
            </w:r>
          </w:p>
        </w:tc>
        <w:tc>
          <w:tcPr>
            <w:tcW w:w="55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94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Effective portion of cash flow hedge</w:t>
            </w:r>
          </w:p>
        </w:tc>
        <w:tc>
          <w:tcPr>
            <w:tcW w:w="130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(148</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1" w:type="dxa"/>
            <w:tcBorders/>
            <w:shd w:fill="CCEEFF" w:val="clear"/>
            <w:vAlign w:val="center"/>
          </w:tcPr>
          <w:p>
            <w:pPr>
              <w:pStyle w:val="TableContents"/>
              <w:spacing w:before="0" w:after="0"/>
              <w:ind w:left="0" w:right="0" w:firstLine="30"/>
              <w:rPr/>
            </w:pPr>
            <w:r>
              <w:rPr/>
              <w:t> </w:t>
            </w:r>
          </w:p>
        </w:tc>
        <w:tc>
          <w:tcPr>
            <w:tcW w:w="1400" w:type="dxa"/>
            <w:gridSpan w:val="2"/>
            <w:tcBorders/>
            <w:shd w:fill="CCEEFF" w:val="clear"/>
            <w:vAlign w:val="center"/>
          </w:tcPr>
          <w:p>
            <w:pPr>
              <w:pStyle w:val="TableContents"/>
              <w:spacing w:before="0" w:after="0"/>
              <w:jc w:val="right"/>
              <w:rPr/>
            </w:pPr>
            <w:r>
              <w:rPr/>
              <w:t>—</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400" w:type="dxa"/>
            <w:gridSpan w:val="2"/>
            <w:tcBorders/>
            <w:shd w:fill="CCEEFF" w:val="clear"/>
            <w:vAlign w:val="center"/>
          </w:tcPr>
          <w:p>
            <w:pPr>
              <w:pStyle w:val="TableContents"/>
              <w:spacing w:before="0" w:after="0"/>
              <w:jc w:val="right"/>
              <w:rPr/>
            </w:pPr>
            <w:r>
              <w:rPr/>
              <w:t>—</w:t>
            </w:r>
          </w:p>
        </w:tc>
        <w:tc>
          <w:tcPr>
            <w:tcW w:w="55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94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change in unrealized investment (loss) gain:</w:t>
            </w:r>
          </w:p>
        </w:tc>
        <w:tc>
          <w:tcPr>
            <w:tcW w:w="1464"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558"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959" w:type="dxa"/>
            <w:gridSpan w:val="3"/>
            <w:tcBorders/>
            <w:shd w:fill="auto" w:val="clear"/>
            <w:vAlign w:val="center"/>
          </w:tcPr>
          <w:p>
            <w:pPr>
              <w:pStyle w:val="TableContents"/>
              <w:spacing w:before="0" w:after="0"/>
              <w:ind w:left="0" w:right="0" w:firstLine="540"/>
              <w:rPr/>
            </w:pPr>
            <w:r>
              <w:rPr/>
              <w:t> </w:t>
            </w:r>
          </w:p>
        </w:tc>
      </w:tr>
      <w:tr>
        <w:trPr/>
        <w:tc>
          <w:tcPr>
            <w:tcW w:w="494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Unrealized holding (loss) gain arising during period</w:t>
            </w:r>
          </w:p>
        </w:tc>
        <w:tc>
          <w:tcPr>
            <w:tcW w:w="130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(1,721</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1" w:type="dxa"/>
            <w:tcBorders/>
            <w:shd w:fill="CCEEFF" w:val="clear"/>
            <w:vAlign w:val="center"/>
          </w:tcPr>
          <w:p>
            <w:pPr>
              <w:pStyle w:val="TableContents"/>
              <w:spacing w:before="0" w:after="0"/>
              <w:ind w:left="0" w:right="0" w:firstLine="30"/>
              <w:rPr/>
            </w:pPr>
            <w:r>
              <w:rPr/>
              <w:t> </w:t>
            </w:r>
          </w:p>
        </w:tc>
        <w:tc>
          <w:tcPr>
            <w:tcW w:w="14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(735</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1" w:type="dxa"/>
            <w:tcBorders/>
            <w:shd w:fill="CCEEFF" w:val="clear"/>
            <w:vAlign w:val="center"/>
          </w:tcPr>
          <w:p>
            <w:pPr>
              <w:pStyle w:val="TableContents"/>
              <w:spacing w:before="0" w:after="0"/>
              <w:ind w:left="0" w:right="0" w:firstLine="30"/>
              <w:rPr/>
            </w:pPr>
            <w:r>
              <w:rPr/>
              <w:t> </w:t>
            </w:r>
          </w:p>
        </w:tc>
        <w:tc>
          <w:tcPr>
            <w:tcW w:w="14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930</w:t>
            </w:r>
          </w:p>
        </w:tc>
        <w:tc>
          <w:tcPr>
            <w:tcW w:w="559"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494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Reclassification adjustment for loss on available-for-sale securities included in net income</w:t>
            </w:r>
          </w:p>
        </w:tc>
        <w:tc>
          <w:tcPr>
            <w:tcW w:w="130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992</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400" w:type="dxa"/>
            <w:gridSpan w:val="2"/>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400" w:type="dxa"/>
            <w:gridSpan w:val="2"/>
            <w:tcBorders/>
            <w:shd w:fill="auto" w:val="clear"/>
            <w:vAlign w:val="center"/>
          </w:tcPr>
          <w:p>
            <w:pPr>
              <w:pStyle w:val="TableContents"/>
              <w:spacing w:before="0" w:after="0"/>
              <w:jc w:val="right"/>
              <w:rPr/>
            </w:pPr>
            <w:r>
              <w:rPr/>
              <w:t>—</w:t>
            </w:r>
          </w:p>
        </w:tc>
        <w:tc>
          <w:tcPr>
            <w:tcW w:w="55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94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tax benefit (expense)</w:t>
            </w:r>
          </w:p>
        </w:tc>
        <w:tc>
          <w:tcPr>
            <w:tcW w:w="130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3,633</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4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2,330</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4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(5,694</w:t>
            </w:r>
          </w:p>
        </w:tc>
        <w:tc>
          <w:tcPr>
            <w:tcW w:w="559" w:type="dxa"/>
            <w:tcBorders>
              <w:bottom w:val="single" w:sz="2" w:space="0" w:color="000000"/>
            </w:tcBorders>
            <w:shd w:fill="CCEEFF"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94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(loss) income, net of tax</w:t>
            </w:r>
          </w:p>
        </w:tc>
        <w:tc>
          <w:tcPr>
            <w:tcW w:w="130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(8,637</w:t>
            </w:r>
          </w:p>
        </w:tc>
        <w:tc>
          <w:tcPr>
            <w:tcW w:w="15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1" w:type="dxa"/>
            <w:tcBorders/>
            <w:shd w:fill="auto" w:val="clear"/>
            <w:vAlign w:val="center"/>
          </w:tcPr>
          <w:p>
            <w:pPr>
              <w:pStyle w:val="TableContents"/>
              <w:spacing w:before="0" w:after="0"/>
              <w:ind w:left="0" w:right="0" w:firstLine="30"/>
              <w:rPr/>
            </w:pPr>
            <w:r>
              <w:rPr/>
              <w:t> </w:t>
            </w:r>
          </w:p>
        </w:tc>
        <w:tc>
          <w:tcPr>
            <w:tcW w:w="14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1,588</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4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5,629</w:t>
            </w:r>
          </w:p>
        </w:tc>
        <w:tc>
          <w:tcPr>
            <w:tcW w:w="55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w:t>
            </w:r>
          </w:p>
        </w:tc>
        <w:tc>
          <w:tcPr>
            <w:tcW w:w="17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29,788</w:t>
            </w:r>
          </w:p>
        </w:tc>
        <w:tc>
          <w:tcPr>
            <w:tcW w:w="1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152,165</w:t>
            </w:r>
          </w:p>
        </w:tc>
        <w:tc>
          <w:tcPr>
            <w:tcW w:w="1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127,788</w:t>
            </w:r>
          </w:p>
        </w:tc>
        <w:tc>
          <w:tcPr>
            <w:tcW w:w="5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Attributable to redeemable noncontrolling interest:</w:t>
            </w:r>
          </w:p>
        </w:tc>
        <w:tc>
          <w:tcPr>
            <w:tcW w:w="1464"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558"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959" w:type="dxa"/>
            <w:gridSpan w:val="3"/>
            <w:tcBorders/>
            <w:shd w:fill="auto" w:val="clear"/>
            <w:vAlign w:val="center"/>
          </w:tcPr>
          <w:p>
            <w:pPr>
              <w:pStyle w:val="TableContents"/>
              <w:spacing w:before="0" w:after="0"/>
              <w:ind w:left="0" w:right="0" w:firstLine="420"/>
              <w:rPr/>
            </w:pPr>
            <w:r>
              <w:rPr/>
              <w:t> </w:t>
            </w:r>
          </w:p>
        </w:tc>
      </w:tr>
      <w:tr>
        <w:trPr/>
        <w:tc>
          <w:tcPr>
            <w:tcW w:w="494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7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4" w:type="dxa"/>
            <w:tcBorders/>
            <w:shd w:fill="CCEEFF" w:val="clear"/>
            <w:vAlign w:val="center"/>
          </w:tcPr>
          <w:p>
            <w:pPr>
              <w:pStyle w:val="TableContents"/>
              <w:spacing w:before="0" w:after="0"/>
              <w:jc w:val="right"/>
              <w:rPr>
                <w:rFonts w:ascii="inherit" w:hAnsi="inherit"/>
                <w:sz w:val="17"/>
              </w:rPr>
            </w:pPr>
            <w:r>
              <w:rPr>
                <w:rFonts w:ascii="inherit" w:hAnsi="inherit"/>
                <w:sz w:val="17"/>
              </w:rPr>
              <w:t>4,348</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8" w:type="dxa"/>
            <w:tcBorders/>
            <w:shd w:fill="CCEEFF" w:val="clear"/>
            <w:vAlign w:val="center"/>
          </w:tcPr>
          <w:p>
            <w:pPr>
              <w:pStyle w:val="TableContents"/>
              <w:spacing w:before="0" w:after="0"/>
              <w:jc w:val="right"/>
              <w:rPr>
                <w:rFonts w:ascii="inherit" w:hAnsi="inherit"/>
                <w:sz w:val="17"/>
              </w:rPr>
            </w:pPr>
            <w:r>
              <w:rPr>
                <w:rFonts w:ascii="inherit" w:hAnsi="inherit"/>
                <w:sz w:val="17"/>
              </w:rPr>
              <w:t>6,869</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8" w:type="dxa"/>
            <w:tcBorders/>
            <w:shd w:fill="CCEEFF" w:val="clear"/>
            <w:vAlign w:val="center"/>
          </w:tcPr>
          <w:p>
            <w:pPr>
              <w:pStyle w:val="TableContents"/>
              <w:spacing w:before="0" w:after="0"/>
              <w:jc w:val="right"/>
              <w:rPr/>
            </w:pPr>
            <w:r>
              <w:rPr/>
              <w:t>—</w:t>
            </w:r>
          </w:p>
        </w:tc>
        <w:tc>
          <w:tcPr>
            <w:tcW w:w="55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94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(loss) gain</w:t>
            </w:r>
          </w:p>
        </w:tc>
        <w:tc>
          <w:tcPr>
            <w:tcW w:w="130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(2,017</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1" w:type="dxa"/>
            <w:tcBorders/>
            <w:shd w:fill="auto" w:val="clear"/>
            <w:vAlign w:val="center"/>
          </w:tcPr>
          <w:p>
            <w:pPr>
              <w:pStyle w:val="TableContents"/>
              <w:spacing w:before="0" w:after="0"/>
              <w:ind w:left="0" w:right="0" w:firstLine="30"/>
              <w:rPr/>
            </w:pPr>
            <w:r>
              <w:rPr/>
              <w:t> </w:t>
            </w:r>
          </w:p>
        </w:tc>
        <w:tc>
          <w:tcPr>
            <w:tcW w:w="14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955</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400" w:type="dxa"/>
            <w:gridSpan w:val="2"/>
            <w:tcBorders/>
            <w:shd w:fill="auto" w:val="clear"/>
            <w:vAlign w:val="center"/>
          </w:tcPr>
          <w:p>
            <w:pPr>
              <w:pStyle w:val="TableContents"/>
              <w:spacing w:before="0" w:after="0"/>
              <w:jc w:val="right"/>
              <w:rPr/>
            </w:pPr>
            <w:r>
              <w:rPr/>
              <w:t>—</w:t>
            </w:r>
          </w:p>
        </w:tc>
        <w:tc>
          <w:tcPr>
            <w:tcW w:w="55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94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Effective portion of cash flow hedge</w:t>
            </w:r>
          </w:p>
        </w:tc>
        <w:tc>
          <w:tcPr>
            <w:tcW w:w="130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(59</w:t>
            </w:r>
          </w:p>
        </w:tc>
        <w:tc>
          <w:tcPr>
            <w:tcW w:w="15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1" w:type="dxa"/>
            <w:tcBorders/>
            <w:shd w:fill="CCEEFF" w:val="clear"/>
            <w:vAlign w:val="center"/>
          </w:tcPr>
          <w:p>
            <w:pPr>
              <w:pStyle w:val="TableContents"/>
              <w:spacing w:before="0" w:after="0"/>
              <w:ind w:left="0" w:right="0" w:firstLine="30"/>
              <w:rPr/>
            </w:pPr>
            <w:r>
              <w:rPr/>
              <w:t> </w:t>
            </w:r>
          </w:p>
        </w:tc>
        <w:tc>
          <w:tcPr>
            <w:tcW w:w="140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40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55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 attributable to redeemable noncontrolling interest</w:t>
            </w:r>
          </w:p>
        </w:tc>
        <w:tc>
          <w:tcPr>
            <w:tcW w:w="130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2,272</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4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7,824</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400" w:type="dxa"/>
            <w:gridSpan w:val="2"/>
            <w:tcBorders/>
            <w:shd w:fill="auto" w:val="clear"/>
            <w:vAlign w:val="center"/>
          </w:tcPr>
          <w:p>
            <w:pPr>
              <w:pStyle w:val="TableContents"/>
              <w:spacing w:before="0" w:after="0"/>
              <w:jc w:val="right"/>
              <w:rPr/>
            </w:pPr>
            <w:r>
              <w:rPr/>
              <w:t>—</w:t>
            </w:r>
          </w:p>
        </w:tc>
        <w:tc>
          <w:tcPr>
            <w:tcW w:w="5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 attributable to EZCORP, Inc.</w:t>
            </w:r>
          </w:p>
        </w:tc>
        <w:tc>
          <w:tcPr>
            <w:tcW w:w="1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27,516</w:t>
            </w:r>
          </w:p>
        </w:tc>
        <w:tc>
          <w:tcPr>
            <w:tcW w:w="15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144,341</w:t>
            </w:r>
          </w:p>
        </w:tc>
        <w:tc>
          <w:tcPr>
            <w:tcW w:w="15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127,788</w:t>
            </w:r>
          </w:p>
        </w:tc>
        <w:tc>
          <w:tcPr>
            <w:tcW w:w="55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7"/>
        </w:rPr>
      </w:pPr>
      <w:r>
        <w:rPr>
          <w:rFonts w:ascii="inherit" w:hAnsi="inherit"/>
          <w:i/>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60</w:t>
      </w:r>
      <w:r>
        <w:br w:type="page"/>
      </w:r>
    </w:p>
    <w:p>
      <w:pPr>
        <w:pStyle w:val="TextBody"/>
        <w:spacing w:lineRule="auto" w:line="288" w:before="0" w:after="0"/>
        <w:rPr/>
      </w:pPr>
      <w:hyperlink w:anchor="sA13583D437E20DC41B4583E2BD74AA47">
        <w:bookmarkStart w:id="59" w:name="s6D481676E238F0FE331C83E26B7743F4"/>
        <w:bookmarkEnd w:id="59"/>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853"/>
        <w:gridCol w:w="162"/>
        <w:gridCol w:w="1165"/>
        <w:gridCol w:w="162"/>
        <w:gridCol w:w="143"/>
        <w:gridCol w:w="162"/>
        <w:gridCol w:w="1165"/>
        <w:gridCol w:w="162"/>
        <w:gridCol w:w="143"/>
        <w:gridCol w:w="162"/>
        <w:gridCol w:w="1165"/>
        <w:gridCol w:w="761"/>
      </w:tblGrid>
      <w:tr>
        <w:trPr/>
        <w:tc>
          <w:tcPr>
            <w:tcW w:w="10205" w:type="dxa"/>
            <w:gridSpan w:val="12"/>
            <w:tcBorders/>
            <w:shd w:fill="auto" w:val="clear"/>
            <w:vAlign w:val="center"/>
          </w:tcPr>
          <w:p>
            <w:pPr>
              <w:pStyle w:val="TableContents"/>
              <w:spacing w:lineRule="auto" w:line="288" w:before="0" w:after="0"/>
              <w:jc w:val="center"/>
              <w:rPr>
                <w:rFonts w:ascii="inherit" w:hAnsi="inherit"/>
                <w:b/>
                <w:sz w:val="17"/>
              </w:rPr>
            </w:pPr>
            <w:r>
              <w:rPr>
                <w:rFonts w:ascii="inherit" w:hAnsi="inherit"/>
                <w:b/>
                <w:sz w:val="17"/>
              </w:rPr>
              <w:t>EZCORP, Inc.</w:t>
            </w:r>
          </w:p>
          <w:p>
            <w:pPr>
              <w:pStyle w:val="TableContents"/>
              <w:spacing w:lineRule="auto" w:line="288" w:before="0" w:after="0"/>
              <w:jc w:val="center"/>
              <w:rPr>
                <w:rFonts w:ascii="inherit" w:hAnsi="inherit"/>
                <w:b/>
                <w:sz w:val="17"/>
              </w:rPr>
            </w:pPr>
            <w:r>
              <w:rPr>
                <w:rFonts w:ascii="inherit" w:hAnsi="inherit"/>
                <w:b/>
                <w:sz w:val="17"/>
              </w:rPr>
              <w:t>CONSOLIDATED STATEMENTS OF CASH FLOWS</w:t>
            </w:r>
          </w:p>
        </w:tc>
      </w:tr>
      <w:tr>
        <w:trPr/>
        <w:tc>
          <w:tcPr>
            <w:tcW w:w="485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53" w:type="dxa"/>
            <w:tcBorders/>
            <w:shd w:fill="auto" w:val="clear"/>
            <w:vAlign w:val="center"/>
          </w:tcPr>
          <w:p>
            <w:pPr>
              <w:pStyle w:val="TableContents"/>
              <w:spacing w:before="0" w:after="0"/>
              <w:ind w:left="0" w:right="0" w:firstLine="30"/>
              <w:jc w:val="left"/>
              <w:rPr/>
            </w:pPr>
            <w:r>
              <w:rPr/>
              <w:t> </w:t>
            </w:r>
          </w:p>
        </w:tc>
        <w:tc>
          <w:tcPr>
            <w:tcW w:w="535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4853" w:type="dxa"/>
            <w:tcBorders/>
            <w:shd w:fill="auto" w:val="clear"/>
            <w:vAlign w:val="center"/>
          </w:tcPr>
          <w:p>
            <w:pPr>
              <w:pStyle w:val="TableContents"/>
              <w:spacing w:before="0" w:after="0"/>
              <w:ind w:left="0" w:right="0" w:firstLine="30"/>
              <w:jc w:val="left"/>
              <w:rPr/>
            </w:pPr>
            <w:r>
              <w:rPr/>
              <w:t> </w:t>
            </w:r>
          </w:p>
        </w:tc>
        <w:tc>
          <w:tcPr>
            <w:tcW w:w="148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3" w:type="dxa"/>
            <w:tcBorders/>
            <w:shd w:fill="auto" w:val="clear"/>
            <w:vAlign w:val="center"/>
          </w:tcPr>
          <w:p>
            <w:pPr>
              <w:pStyle w:val="TableContents"/>
              <w:spacing w:before="0" w:after="0"/>
              <w:ind w:left="0" w:right="0" w:firstLine="30"/>
              <w:rPr/>
            </w:pPr>
            <w:r>
              <w:rPr/>
              <w:t> </w:t>
            </w:r>
          </w:p>
        </w:tc>
        <w:tc>
          <w:tcPr>
            <w:tcW w:w="148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3" w:type="dxa"/>
            <w:tcBorders/>
            <w:shd w:fill="auto" w:val="clear"/>
            <w:vAlign w:val="center"/>
          </w:tcPr>
          <w:p>
            <w:pPr>
              <w:pStyle w:val="TableContents"/>
              <w:spacing w:before="0" w:after="0"/>
              <w:ind w:left="0" w:right="0" w:firstLine="30"/>
              <w:rPr/>
            </w:pPr>
            <w:r>
              <w:rPr/>
              <w:t> </w:t>
            </w:r>
          </w:p>
        </w:tc>
        <w:tc>
          <w:tcPr>
            <w:tcW w:w="208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4853" w:type="dxa"/>
            <w:tcBorders/>
            <w:shd w:fill="auto" w:val="clear"/>
            <w:vAlign w:val="center"/>
          </w:tcPr>
          <w:p>
            <w:pPr>
              <w:pStyle w:val="TableContents"/>
              <w:spacing w:before="0" w:after="0"/>
              <w:ind w:left="0" w:right="0" w:firstLine="30"/>
              <w:jc w:val="left"/>
              <w:rPr/>
            </w:pPr>
            <w:r>
              <w:rPr/>
              <w:t> </w:t>
            </w:r>
          </w:p>
        </w:tc>
        <w:tc>
          <w:tcPr>
            <w:tcW w:w="5352"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Operating Activities:</w:t>
            </w:r>
          </w:p>
        </w:tc>
        <w:tc>
          <w:tcPr>
            <w:tcW w:w="1489" w:type="dxa"/>
            <w:gridSpan w:val="3"/>
            <w:tcBorders/>
            <w:shd w:fill="CCEEFF" w:val="clear"/>
            <w:vAlign w:val="center"/>
          </w:tcPr>
          <w:p>
            <w:pPr>
              <w:pStyle w:val="TableContents"/>
              <w:spacing w:before="0" w:after="0"/>
              <w:ind w:left="0" w:right="0" w:firstLine="30"/>
              <w:jc w:val="left"/>
              <w:rPr/>
            </w:pPr>
            <w:r>
              <w:rPr/>
              <w:t> </w:t>
            </w:r>
          </w:p>
        </w:tc>
        <w:tc>
          <w:tcPr>
            <w:tcW w:w="143" w:type="dxa"/>
            <w:tcBorders/>
            <w:shd w:fill="CCEEFF" w:val="clear"/>
            <w:vAlign w:val="center"/>
          </w:tcPr>
          <w:p>
            <w:pPr>
              <w:pStyle w:val="TableContents"/>
              <w:spacing w:before="0" w:after="0"/>
              <w:ind w:left="0" w:right="0" w:firstLine="30"/>
              <w:rPr/>
            </w:pPr>
            <w:r>
              <w:rPr/>
              <w:t> </w:t>
            </w:r>
          </w:p>
        </w:tc>
        <w:tc>
          <w:tcPr>
            <w:tcW w:w="1489" w:type="dxa"/>
            <w:gridSpan w:val="3"/>
            <w:tcBorders/>
            <w:shd w:fill="CCEEFF" w:val="clear"/>
            <w:vAlign w:val="center"/>
          </w:tcPr>
          <w:p>
            <w:pPr>
              <w:pStyle w:val="TableContents"/>
              <w:spacing w:before="0" w:after="0"/>
              <w:ind w:left="0" w:right="0" w:firstLine="30"/>
              <w:jc w:val="left"/>
              <w:rPr/>
            </w:pPr>
            <w:r>
              <w:rPr/>
              <w:t> </w:t>
            </w:r>
          </w:p>
        </w:tc>
        <w:tc>
          <w:tcPr>
            <w:tcW w:w="143" w:type="dxa"/>
            <w:tcBorders/>
            <w:shd w:fill="CCEEFF" w:val="clear"/>
            <w:vAlign w:val="center"/>
          </w:tcPr>
          <w:p>
            <w:pPr>
              <w:pStyle w:val="TableContents"/>
              <w:spacing w:before="0" w:after="0"/>
              <w:ind w:left="0" w:right="0" w:firstLine="30"/>
              <w:rPr/>
            </w:pPr>
            <w:r>
              <w:rPr/>
              <w:t> </w:t>
            </w:r>
          </w:p>
        </w:tc>
        <w:tc>
          <w:tcPr>
            <w:tcW w:w="2088" w:type="dxa"/>
            <w:gridSpan w:val="3"/>
            <w:tcBorders/>
            <w:shd w:fill="CCEEFF" w:val="clear"/>
            <w:vAlign w:val="center"/>
          </w:tcPr>
          <w:p>
            <w:pPr>
              <w:pStyle w:val="TableContents"/>
              <w:spacing w:before="0" w:after="0"/>
              <w:ind w:left="0" w:right="0" w:firstLine="180"/>
              <w:jc w:val="left"/>
              <w:rPr/>
            </w:pPr>
            <w:r>
              <w:rPr/>
              <w:t> </w:t>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65" w:type="dxa"/>
            <w:tcBorders/>
            <w:shd w:fill="auto" w:val="clear"/>
            <w:vAlign w:val="center"/>
          </w:tcPr>
          <w:p>
            <w:pPr>
              <w:pStyle w:val="TableContents"/>
              <w:spacing w:before="0" w:after="0"/>
              <w:jc w:val="right"/>
              <w:rPr>
                <w:rFonts w:ascii="inherit" w:hAnsi="inherit"/>
                <w:sz w:val="13"/>
              </w:rPr>
            </w:pPr>
            <w:r>
              <w:rPr>
                <w:rFonts w:ascii="inherit" w:hAnsi="inherit"/>
                <w:sz w:val="13"/>
              </w:rPr>
              <w:t>38,425</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65" w:type="dxa"/>
            <w:tcBorders/>
            <w:shd w:fill="auto" w:val="clear"/>
            <w:vAlign w:val="center"/>
          </w:tcPr>
          <w:p>
            <w:pPr>
              <w:pStyle w:val="TableContents"/>
              <w:spacing w:before="0" w:after="0"/>
              <w:jc w:val="right"/>
              <w:rPr>
                <w:rFonts w:ascii="inherit" w:hAnsi="inherit"/>
                <w:sz w:val="13"/>
              </w:rPr>
            </w:pPr>
            <w:r>
              <w:rPr>
                <w:rFonts w:ascii="inherit" w:hAnsi="inherit"/>
                <w:sz w:val="13"/>
              </w:rPr>
              <w:t>150,577</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65" w:type="dxa"/>
            <w:tcBorders/>
            <w:shd w:fill="auto" w:val="clear"/>
            <w:vAlign w:val="center"/>
          </w:tcPr>
          <w:p>
            <w:pPr>
              <w:pStyle w:val="TableContents"/>
              <w:spacing w:before="0" w:after="0"/>
              <w:jc w:val="right"/>
              <w:rPr>
                <w:rFonts w:ascii="inherit" w:hAnsi="inherit"/>
                <w:sz w:val="13"/>
              </w:rPr>
            </w:pPr>
            <w:r>
              <w:rPr>
                <w:rFonts w:ascii="inherit" w:hAnsi="inherit"/>
                <w:sz w:val="13"/>
              </w:rPr>
              <w:t>122,159</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Adjustments to reconcile net income to net cash provided by operating activities:</w:t>
            </w:r>
          </w:p>
        </w:tc>
        <w:tc>
          <w:tcPr>
            <w:tcW w:w="1489"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489" w:type="dxa"/>
            <w:gridSpan w:val="3"/>
            <w:tcBorders/>
            <w:shd w:fill="CCEEFF" w:val="clear"/>
            <w:vAlign w:val="center"/>
          </w:tcPr>
          <w:p>
            <w:pPr>
              <w:pStyle w:val="TableContents"/>
              <w:spacing w:before="0" w:after="0"/>
              <w:ind w:left="0" w:right="0" w:firstLine="30"/>
              <w:jc w:val="left"/>
              <w:rPr/>
            </w:pPr>
            <w:r>
              <w:rPr/>
              <w:t> </w:t>
            </w:r>
          </w:p>
        </w:tc>
        <w:tc>
          <w:tcPr>
            <w:tcW w:w="143" w:type="dxa"/>
            <w:tcBorders/>
            <w:shd w:fill="CCEEFF" w:val="clear"/>
            <w:vAlign w:val="center"/>
          </w:tcPr>
          <w:p>
            <w:pPr>
              <w:pStyle w:val="TableContents"/>
              <w:spacing w:before="0" w:after="0"/>
              <w:ind w:left="0" w:right="0" w:firstLine="30"/>
              <w:rPr/>
            </w:pPr>
            <w:r>
              <w:rPr/>
              <w:t> </w:t>
            </w:r>
          </w:p>
        </w:tc>
        <w:tc>
          <w:tcPr>
            <w:tcW w:w="2088" w:type="dxa"/>
            <w:gridSpan w:val="3"/>
            <w:tcBorders/>
            <w:shd w:fill="CCEEFF" w:val="clear"/>
            <w:vAlign w:val="center"/>
          </w:tcPr>
          <w:p>
            <w:pPr>
              <w:pStyle w:val="TableContents"/>
              <w:spacing w:before="0" w:after="0"/>
              <w:ind w:left="0" w:right="0" w:firstLine="660"/>
              <w:jc w:val="left"/>
              <w:rPr/>
            </w:pPr>
            <w:r>
              <w:rPr/>
              <w:t> </w:t>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Depreciation and amortization</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34,918</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25,268</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18,344</w:t>
            </w:r>
          </w:p>
        </w:tc>
        <w:tc>
          <w:tcPr>
            <w:tcW w:w="76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Amortization of debt premium and consumer loan discount</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(248</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(15,091</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w:t>
            </w:r>
          </w:p>
        </w:tc>
        <w:tc>
          <w:tcPr>
            <w:tcW w:w="76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loss provision</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30,740</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17,833</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15,087</w:t>
            </w:r>
          </w:p>
        </w:tc>
        <w:tc>
          <w:tcPr>
            <w:tcW w:w="76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income (benefit) taxes</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(14,854</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2,761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13,663</w:t>
            </w:r>
          </w:p>
        </w:tc>
        <w:tc>
          <w:tcPr>
            <w:tcW w:w="76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adjustments</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3,713</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76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Loss (gain) on sale or disposal of assets</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7,043</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309</w:t>
            </w:r>
          </w:p>
        </w:tc>
        <w:tc>
          <w:tcPr>
            <w:tcW w:w="76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Stock compensation</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7,314</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6,714</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13,208</w:t>
            </w:r>
          </w:p>
        </w:tc>
        <w:tc>
          <w:tcPr>
            <w:tcW w:w="76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from investments in unconsolidated affiliates</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(11,878</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(17,400</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(16,237</w:t>
            </w:r>
          </w:p>
        </w:tc>
        <w:tc>
          <w:tcPr>
            <w:tcW w:w="761" w:type="dxa"/>
            <w:tcBorders/>
            <w:shd w:fill="CCEEFF"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Impairment of investments</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44,598</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Changes in operating assets and liabilities, net of business acquisitions:</w:t>
            </w:r>
          </w:p>
        </w:tc>
        <w:tc>
          <w:tcPr>
            <w:tcW w:w="1489"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 </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 </w:t>
            </w:r>
          </w:p>
        </w:tc>
        <w:tc>
          <w:tcPr>
            <w:tcW w:w="76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Service charges and fees receivable, net</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(7,143</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(5,359</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(2,998</w:t>
            </w:r>
          </w:p>
        </w:tc>
        <w:tc>
          <w:tcPr>
            <w:tcW w:w="761" w:type="dxa"/>
            <w:tcBorders/>
            <w:shd w:fill="auto"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Inventory, net</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(9,722</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(4,017</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(6,815</w:t>
            </w:r>
          </w:p>
        </w:tc>
        <w:tc>
          <w:tcPr>
            <w:tcW w:w="761" w:type="dxa"/>
            <w:tcBorders/>
            <w:shd w:fill="CCEEFF"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Prepaid expenses, other current assets, and other assets, net</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(10,281</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(12,322</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(12,445</w:t>
            </w:r>
          </w:p>
        </w:tc>
        <w:tc>
          <w:tcPr>
            <w:tcW w:w="761" w:type="dxa"/>
            <w:tcBorders/>
            <w:shd w:fill="auto"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Accounts payable and accrued expenses</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16,766</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4,347</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5,411</w:t>
            </w:r>
          </w:p>
        </w:tc>
        <w:tc>
          <w:tcPr>
            <w:tcW w:w="76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Customer layaway deposits</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1,416</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218</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(95</w:t>
            </w:r>
          </w:p>
        </w:tc>
        <w:tc>
          <w:tcPr>
            <w:tcW w:w="761" w:type="dxa"/>
            <w:tcBorders/>
            <w:shd w:fill="auto"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gains and other long-term liabilities</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(8,898</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(8,782</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(412</w:t>
            </w:r>
          </w:p>
        </w:tc>
        <w:tc>
          <w:tcPr>
            <w:tcW w:w="761" w:type="dxa"/>
            <w:tcBorders/>
            <w:shd w:fill="CCEEFF"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(293</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(1,602</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(3,230</w:t>
            </w:r>
          </w:p>
        </w:tc>
        <w:tc>
          <w:tcPr>
            <w:tcW w:w="761" w:type="dxa"/>
            <w:tcBorders/>
            <w:shd w:fill="auto"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taxes receivable/payable</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(5,775</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(7,787</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44</w:t>
            </w:r>
          </w:p>
        </w:tc>
        <w:tc>
          <w:tcPr>
            <w:tcW w:w="76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Dividends from unconsolidated affiliates</w:t>
            </w:r>
          </w:p>
        </w:tc>
        <w:tc>
          <w:tcPr>
            <w:tcW w:w="13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10,632</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5,560</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7,274</w:t>
            </w:r>
          </w:p>
        </w:tc>
        <w:tc>
          <w:tcPr>
            <w:tcW w:w="761"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operating activities</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126,473</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140,917</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153,267</w:t>
            </w:r>
          </w:p>
        </w:tc>
        <w:tc>
          <w:tcPr>
            <w:tcW w:w="7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Investing Activities:</w:t>
            </w:r>
          </w:p>
        </w:tc>
        <w:tc>
          <w:tcPr>
            <w:tcW w:w="1489"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489"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2088" w:type="dxa"/>
            <w:gridSpan w:val="3"/>
            <w:tcBorders/>
            <w:shd w:fill="auto" w:val="clear"/>
            <w:vAlign w:val="center"/>
          </w:tcPr>
          <w:p>
            <w:pPr>
              <w:pStyle w:val="TableContents"/>
              <w:spacing w:before="0" w:after="0"/>
              <w:ind w:left="0" w:right="0" w:firstLine="660"/>
              <w:rPr/>
            </w:pPr>
            <w:r>
              <w:rPr/>
              <w:t> </w:t>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Loans made</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(923,103</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(802,896</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(649,249</w:t>
            </w:r>
          </w:p>
        </w:tc>
        <w:tc>
          <w:tcPr>
            <w:tcW w:w="761" w:type="dxa"/>
            <w:tcBorders/>
            <w:shd w:fill="CCEEFF"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Loans repaid</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597,528</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520,193</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404,392</w:t>
            </w:r>
          </w:p>
        </w:tc>
        <w:tc>
          <w:tcPr>
            <w:tcW w:w="76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Recovery of pawn loan principal through sale of forfeited collateral</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237,717</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240,381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205,662</w:t>
            </w:r>
          </w:p>
        </w:tc>
        <w:tc>
          <w:tcPr>
            <w:tcW w:w="76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Additions to property and equipment</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(46,698</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(45,796</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(34,122</w:t>
            </w:r>
          </w:p>
        </w:tc>
        <w:tc>
          <w:tcPr>
            <w:tcW w:w="761" w:type="dxa"/>
            <w:tcBorders/>
            <w:shd w:fill="auto"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Acquisitions, net of cash acquired</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(14,810</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(128,647</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(67,920</w:t>
            </w:r>
          </w:p>
        </w:tc>
        <w:tc>
          <w:tcPr>
            <w:tcW w:w="761" w:type="dxa"/>
            <w:tcBorders/>
            <w:shd w:fill="CCEEFF"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Investments in unconsolidated affiliates</w:t>
            </w:r>
          </w:p>
        </w:tc>
        <w:tc>
          <w:tcPr>
            <w:tcW w:w="13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(11,018</w:t>
            </w:r>
          </w:p>
        </w:tc>
        <w:tc>
          <w:tcPr>
            <w:tcW w:w="16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61"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cash used in investing activities</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(160,384</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(216,765</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(141,237</w:t>
            </w:r>
          </w:p>
        </w:tc>
        <w:tc>
          <w:tcPr>
            <w:tcW w:w="76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Financing Activities:</w:t>
            </w:r>
          </w:p>
        </w:tc>
        <w:tc>
          <w:tcPr>
            <w:tcW w:w="1489"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489"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2088" w:type="dxa"/>
            <w:gridSpan w:val="3"/>
            <w:tcBorders/>
            <w:shd w:fill="auto" w:val="clear"/>
            <w:vAlign w:val="center"/>
          </w:tcPr>
          <w:p>
            <w:pPr>
              <w:pStyle w:val="TableContents"/>
              <w:spacing w:before="0" w:after="0"/>
              <w:ind w:left="0" w:right="0" w:firstLine="660"/>
              <w:rPr/>
            </w:pPr>
            <w:r>
              <w:rPr/>
              <w:t> </w:t>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exercise of stock options</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45</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649</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397</w:t>
            </w:r>
          </w:p>
        </w:tc>
        <w:tc>
          <w:tcPr>
            <w:tcW w:w="76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293</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1,602</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3,230</w:t>
            </w:r>
          </w:p>
        </w:tc>
        <w:tc>
          <w:tcPr>
            <w:tcW w:w="76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Debt issuance costs</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(1,283</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(3,225</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(2,397</w:t>
            </w:r>
          </w:p>
        </w:tc>
        <w:tc>
          <w:tcPr>
            <w:tcW w:w="761" w:type="dxa"/>
            <w:tcBorders/>
            <w:shd w:fill="CCEEFF"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Taxes paid related to net share settlement of equity awards</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(3,640</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(1,184</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(7,484</w:t>
            </w:r>
          </w:p>
        </w:tc>
        <w:tc>
          <w:tcPr>
            <w:tcW w:w="761" w:type="dxa"/>
            <w:tcBorders/>
            <w:shd w:fill="auto"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Payout of deferred and contingent consideration</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(13,277</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w:t>
            </w:r>
          </w:p>
        </w:tc>
        <w:tc>
          <w:tcPr>
            <w:tcW w:w="76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Purchase of subsidiary shares from noncontrolling interest</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(627</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76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Contributions from noncontrolling interest</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5,839</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489"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2088" w:type="dxa"/>
            <w:gridSpan w:val="3"/>
            <w:tcBorders/>
            <w:shd w:fill="CCEEFF" w:val="clear"/>
            <w:vAlign w:val="center"/>
          </w:tcPr>
          <w:p>
            <w:pPr>
              <w:pStyle w:val="TableContents"/>
              <w:spacing w:before="0" w:after="0"/>
              <w:ind w:left="0" w:right="0" w:firstLine="660"/>
              <w:rPr/>
            </w:pPr>
            <w:r>
              <w:rPr/>
              <w:t> </w:t>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Change in restricted cash</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(110</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(5,482</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76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revolving line of credit</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510,680</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792,927</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164,500</w:t>
            </w:r>
          </w:p>
        </w:tc>
        <w:tc>
          <w:tcPr>
            <w:tcW w:w="76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Payments on revolving line of credit</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(470,000</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(679,986</w:t>
            </w:r>
          </w:p>
        </w:tc>
        <w:tc>
          <w:tcPr>
            <w:tcW w:w="16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(147,000</w:t>
            </w:r>
          </w:p>
        </w:tc>
        <w:tc>
          <w:tcPr>
            <w:tcW w:w="761" w:type="dxa"/>
            <w:tcBorders/>
            <w:shd w:fill="auto" w:val="clear"/>
            <w:vAlign w:val="center"/>
          </w:tcPr>
          <w:p>
            <w:pPr>
              <w:pStyle w:val="TableContents"/>
              <w:spacing w:before="0" w:after="0"/>
              <w:ind w:left="0" w:right="0" w:firstLine="660"/>
              <w:jc w:val="left"/>
              <w:rPr>
                <w:rFonts w:ascii="inherit" w:hAnsi="inherit"/>
                <w:sz w:val="13"/>
              </w:rPr>
            </w:pPr>
            <w:r>
              <w:rPr>
                <w:rFonts w:ascii="inherit" w:hAnsi="inherit"/>
                <w:sz w:val="13"/>
              </w:rPr>
              <w:t>)</w:t>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bank borrowings</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(15,432</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2,461</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w:t>
            </w:r>
          </w:p>
        </w:tc>
        <w:tc>
          <w:tcPr>
            <w:tcW w:w="76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Payments on bank borrowings and capital lease obligations</w:t>
            </w:r>
          </w:p>
        </w:tc>
        <w:tc>
          <w:tcPr>
            <w:tcW w:w="13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9,725</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(8,496</w:t>
            </w:r>
          </w:p>
        </w:tc>
        <w:tc>
          <w:tcPr>
            <w:tcW w:w="16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(25,004</w:t>
            </w:r>
          </w:p>
        </w:tc>
        <w:tc>
          <w:tcPr>
            <w:tcW w:w="761" w:type="dxa"/>
            <w:tcBorders>
              <w:bottom w:val="single" w:sz="2" w:space="0" w:color="000000"/>
            </w:tcBorders>
            <w:shd w:fill="auto" w:val="clear"/>
            <w:tcMar>
              <w:bottom w:w="30" w:type="dxa"/>
            </w:tcMar>
            <w:vAlign w:val="center"/>
          </w:tcPr>
          <w:p>
            <w:pPr>
              <w:pStyle w:val="TableContents"/>
              <w:spacing w:before="0" w:after="0"/>
              <w:ind w:left="0" w:right="0" w:firstLine="180"/>
              <w:jc w:val="left"/>
              <w:rPr>
                <w:rFonts w:ascii="inherit" w:hAnsi="inherit"/>
                <w:sz w:val="13"/>
              </w:rPr>
            </w:pPr>
            <w:r>
              <w:rPr>
                <w:rFonts w:ascii="inherit" w:hAnsi="inherit"/>
                <w:sz w:val="13"/>
              </w:rPr>
              <w:t>)</w:t>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(used in) financing activities</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22,213</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99,266</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(13,758</w:t>
            </w:r>
          </w:p>
        </w:tc>
        <w:tc>
          <w:tcPr>
            <w:tcW w:w="761" w:type="dxa"/>
            <w:tcBorders/>
            <w:shd w:fill="CCEEFF" w:val="clear"/>
            <w:vAlign w:val="center"/>
          </w:tcPr>
          <w:p>
            <w:pPr>
              <w:pStyle w:val="TableContents"/>
              <w:spacing w:before="0" w:after="0"/>
              <w:ind w:left="0" w:right="0" w:firstLine="180"/>
              <w:jc w:val="left"/>
              <w:rPr>
                <w:rFonts w:ascii="inherit" w:hAnsi="inherit"/>
                <w:sz w:val="13"/>
              </w:rPr>
            </w:pPr>
            <w:r>
              <w:rPr>
                <w:rFonts w:ascii="inherit" w:hAnsi="inherit"/>
                <w:sz w:val="13"/>
              </w:rPr>
              <w:t>)</w:t>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Effect of exchange rate changes on cash and cash equivalents</w:t>
            </w:r>
          </w:p>
        </w:tc>
        <w:tc>
          <w:tcPr>
            <w:tcW w:w="13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(462</w:t>
            </w:r>
          </w:p>
        </w:tc>
        <w:tc>
          <w:tcPr>
            <w:tcW w:w="16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1,090</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(157</w:t>
            </w:r>
          </w:p>
        </w:tc>
        <w:tc>
          <w:tcPr>
            <w:tcW w:w="761" w:type="dxa"/>
            <w:tcBorders>
              <w:bottom w:val="single" w:sz="2" w:space="0" w:color="000000"/>
            </w:tcBorders>
            <w:shd w:fill="auto" w:val="clear"/>
            <w:tcMar>
              <w:bottom w:w="30" w:type="dxa"/>
            </w:tcMar>
            <w:vAlign w:val="center"/>
          </w:tcPr>
          <w:p>
            <w:pPr>
              <w:pStyle w:val="TableContents"/>
              <w:spacing w:before="0" w:after="0"/>
              <w:ind w:left="0" w:right="0" w:firstLine="180"/>
              <w:jc w:val="left"/>
              <w:rPr>
                <w:rFonts w:ascii="inherit" w:hAnsi="inherit"/>
                <w:sz w:val="13"/>
              </w:rPr>
            </w:pPr>
            <w:r>
              <w:rPr>
                <w:rFonts w:ascii="inherit" w:hAnsi="inherit"/>
                <w:sz w:val="13"/>
              </w:rPr>
              <w:t>)</w:t>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(decrease) increase in cash and cash equivalents</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(12,160</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24,508</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(1,885</w:t>
            </w:r>
          </w:p>
        </w:tc>
        <w:tc>
          <w:tcPr>
            <w:tcW w:w="761" w:type="dxa"/>
            <w:tcBorders/>
            <w:shd w:fill="CCEEFF" w:val="clear"/>
            <w:vAlign w:val="center"/>
          </w:tcPr>
          <w:p>
            <w:pPr>
              <w:pStyle w:val="TableContents"/>
              <w:spacing w:before="0" w:after="0"/>
              <w:ind w:left="0" w:right="0" w:firstLine="180"/>
              <w:jc w:val="left"/>
              <w:rPr>
                <w:rFonts w:ascii="inherit" w:hAnsi="inherit"/>
                <w:sz w:val="13"/>
              </w:rPr>
            </w:pPr>
            <w:r>
              <w:rPr>
                <w:rFonts w:ascii="inherit" w:hAnsi="inherit"/>
                <w:sz w:val="13"/>
              </w:rPr>
              <w:t>)</w:t>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 at beginning of period</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48,477</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23,969</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25,854</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 at end of period</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6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36,317</w:t>
            </w:r>
          </w:p>
        </w:tc>
        <w:tc>
          <w:tcPr>
            <w:tcW w:w="16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6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48,477</w:t>
            </w:r>
          </w:p>
        </w:tc>
        <w:tc>
          <w:tcPr>
            <w:tcW w:w="16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6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23,969</w:t>
            </w:r>
          </w:p>
        </w:tc>
        <w:tc>
          <w:tcPr>
            <w:tcW w:w="76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1489"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489"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2088" w:type="dxa"/>
            <w:gridSpan w:val="3"/>
            <w:tcBorders/>
            <w:shd w:fill="auto" w:val="clear"/>
            <w:vAlign w:val="center"/>
          </w:tcPr>
          <w:p>
            <w:pPr>
              <w:pStyle w:val="TableContents"/>
              <w:spacing w:before="0" w:after="0"/>
              <w:ind w:left="0" w:right="0" w:firstLine="30"/>
              <w:rPr/>
            </w:pPr>
            <w:r>
              <w:rPr/>
              <w:t> </w:t>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Cash paid during the period for:</w:t>
            </w:r>
          </w:p>
        </w:tc>
        <w:tc>
          <w:tcPr>
            <w:tcW w:w="1489" w:type="dxa"/>
            <w:gridSpan w:val="3"/>
            <w:tcBorders/>
            <w:shd w:fill="CCEEFF" w:val="clear"/>
            <w:vAlign w:val="center"/>
          </w:tcPr>
          <w:p>
            <w:pPr>
              <w:pStyle w:val="TableContents"/>
              <w:spacing w:before="0" w:after="0"/>
              <w:ind w:left="0" w:right="0" w:firstLine="30"/>
              <w:jc w:val="left"/>
              <w:rPr>
                <w:color w:val="FF0000"/>
              </w:rPr>
            </w:pPr>
            <w:r>
              <w:rPr>
                <w:color w:val="FF0000"/>
              </w:rPr>
              <w:t> </w:t>
            </w:r>
          </w:p>
        </w:tc>
        <w:tc>
          <w:tcPr>
            <w:tcW w:w="143" w:type="dxa"/>
            <w:tcBorders/>
            <w:shd w:fill="CCEEFF" w:val="clear"/>
            <w:vAlign w:val="center"/>
          </w:tcPr>
          <w:p>
            <w:pPr>
              <w:pStyle w:val="TableContents"/>
              <w:spacing w:before="0" w:after="0"/>
              <w:ind w:left="0" w:right="0" w:firstLine="30"/>
              <w:rPr/>
            </w:pPr>
            <w:r>
              <w:rPr/>
              <w:t> </w:t>
            </w:r>
          </w:p>
        </w:tc>
        <w:tc>
          <w:tcPr>
            <w:tcW w:w="1489" w:type="dxa"/>
            <w:gridSpan w:val="3"/>
            <w:tcBorders/>
            <w:shd w:fill="CCEEFF" w:val="clear"/>
            <w:vAlign w:val="center"/>
          </w:tcPr>
          <w:p>
            <w:pPr>
              <w:pStyle w:val="TableContents"/>
              <w:spacing w:before="0" w:after="0"/>
              <w:ind w:left="0" w:right="0" w:firstLine="30"/>
              <w:jc w:val="left"/>
              <w:rPr>
                <w:color w:val="FF0000"/>
              </w:rPr>
            </w:pPr>
            <w:r>
              <w:rPr>
                <w:color w:val="FF0000"/>
              </w:rPr>
              <w:t> </w:t>
            </w:r>
          </w:p>
        </w:tc>
        <w:tc>
          <w:tcPr>
            <w:tcW w:w="143" w:type="dxa"/>
            <w:tcBorders/>
            <w:shd w:fill="CCEEFF" w:val="clear"/>
            <w:vAlign w:val="center"/>
          </w:tcPr>
          <w:p>
            <w:pPr>
              <w:pStyle w:val="TableContents"/>
              <w:spacing w:before="0" w:after="0"/>
              <w:ind w:left="0" w:right="0" w:firstLine="30"/>
              <w:rPr/>
            </w:pPr>
            <w:r>
              <w:rPr/>
              <w:t> </w:t>
            </w:r>
          </w:p>
        </w:tc>
        <w:tc>
          <w:tcPr>
            <w:tcW w:w="2088" w:type="dxa"/>
            <w:gridSpan w:val="3"/>
            <w:tcBorders/>
            <w:shd w:fill="CCEEFF" w:val="clear"/>
            <w:vAlign w:val="center"/>
          </w:tcPr>
          <w:p>
            <w:pPr>
              <w:pStyle w:val="TableContents"/>
              <w:spacing w:before="0" w:after="0"/>
              <w:ind w:left="0" w:right="0" w:firstLine="660"/>
              <w:jc w:val="left"/>
              <w:rPr>
                <w:color w:val="FF0000"/>
              </w:rPr>
            </w:pPr>
            <w:r>
              <w:rPr>
                <w:color w:val="FF0000"/>
              </w:rPr>
              <w:t> </w:t>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Interest</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65" w:type="dxa"/>
            <w:tcBorders/>
            <w:shd w:fill="auto" w:val="clear"/>
            <w:vAlign w:val="center"/>
          </w:tcPr>
          <w:p>
            <w:pPr>
              <w:pStyle w:val="TableContents"/>
              <w:spacing w:before="0" w:after="0"/>
              <w:jc w:val="right"/>
              <w:rPr>
                <w:rFonts w:ascii="inherit" w:hAnsi="inherit"/>
                <w:sz w:val="13"/>
              </w:rPr>
            </w:pPr>
            <w:r>
              <w:rPr>
                <w:rFonts w:ascii="inherit" w:hAnsi="inherit"/>
                <w:sz w:val="13"/>
              </w:rPr>
              <w:t>12,553</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65" w:type="dxa"/>
            <w:tcBorders/>
            <w:shd w:fill="auto" w:val="clear"/>
            <w:vAlign w:val="center"/>
          </w:tcPr>
          <w:p>
            <w:pPr>
              <w:pStyle w:val="TableContents"/>
              <w:spacing w:before="0" w:after="0"/>
              <w:jc w:val="right"/>
              <w:rPr>
                <w:rFonts w:ascii="inherit" w:hAnsi="inherit"/>
                <w:sz w:val="13"/>
              </w:rPr>
            </w:pPr>
            <w:r>
              <w:rPr>
                <w:rFonts w:ascii="inherit" w:hAnsi="inherit"/>
                <w:sz w:val="13"/>
              </w:rPr>
              <w:t>2,480</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65" w:type="dxa"/>
            <w:tcBorders/>
            <w:shd w:fill="auto" w:val="clear"/>
            <w:vAlign w:val="center"/>
          </w:tcPr>
          <w:p>
            <w:pPr>
              <w:pStyle w:val="TableContents"/>
              <w:spacing w:before="0" w:after="0"/>
              <w:jc w:val="right"/>
              <w:rPr>
                <w:rFonts w:ascii="inherit" w:hAnsi="inherit"/>
                <w:sz w:val="13"/>
              </w:rPr>
            </w:pPr>
            <w:r>
              <w:rPr>
                <w:rFonts w:ascii="inherit" w:hAnsi="inherit"/>
                <w:sz w:val="13"/>
              </w:rPr>
              <w:t>1,147</w:t>
            </w:r>
          </w:p>
        </w:tc>
        <w:tc>
          <w:tcPr>
            <w:tcW w:w="76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taxes</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47,108</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83,010</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55,124</w:t>
            </w:r>
          </w:p>
        </w:tc>
        <w:tc>
          <w:tcPr>
            <w:tcW w:w="7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Non-cash Investing and Financing Activities:</w:t>
            </w:r>
          </w:p>
        </w:tc>
        <w:tc>
          <w:tcPr>
            <w:tcW w:w="1489" w:type="dxa"/>
            <w:gridSpan w:val="3"/>
            <w:tcBorders/>
            <w:shd w:fill="auto" w:val="clear"/>
            <w:vAlign w:val="center"/>
          </w:tcPr>
          <w:p>
            <w:pPr>
              <w:pStyle w:val="TableContents"/>
              <w:spacing w:before="0" w:after="0"/>
              <w:ind w:left="0" w:right="0" w:firstLine="30"/>
              <w:jc w:val="left"/>
              <w:rPr/>
            </w:pPr>
            <w:r>
              <w:rPr/>
              <w:t> </w:t>
            </w:r>
          </w:p>
        </w:tc>
        <w:tc>
          <w:tcPr>
            <w:tcW w:w="143" w:type="dxa"/>
            <w:tcBorders/>
            <w:shd w:fill="auto" w:val="clear"/>
            <w:vAlign w:val="center"/>
          </w:tcPr>
          <w:p>
            <w:pPr>
              <w:pStyle w:val="TableContents"/>
              <w:spacing w:before="0" w:after="0"/>
              <w:ind w:left="0" w:right="0" w:firstLine="30"/>
              <w:rPr/>
            </w:pPr>
            <w:r>
              <w:rPr/>
              <w:t> </w:t>
            </w:r>
          </w:p>
        </w:tc>
        <w:tc>
          <w:tcPr>
            <w:tcW w:w="1489" w:type="dxa"/>
            <w:gridSpan w:val="3"/>
            <w:tcBorders/>
            <w:shd w:fill="auto" w:val="clear"/>
            <w:vAlign w:val="center"/>
          </w:tcPr>
          <w:p>
            <w:pPr>
              <w:pStyle w:val="TableContents"/>
              <w:spacing w:before="0" w:after="0"/>
              <w:ind w:left="0" w:right="0" w:firstLine="30"/>
              <w:jc w:val="left"/>
              <w:rPr/>
            </w:pPr>
            <w:r>
              <w:rPr/>
              <w:t> </w:t>
            </w:r>
          </w:p>
        </w:tc>
        <w:tc>
          <w:tcPr>
            <w:tcW w:w="143" w:type="dxa"/>
            <w:tcBorders/>
            <w:shd w:fill="auto" w:val="clear"/>
            <w:vAlign w:val="center"/>
          </w:tcPr>
          <w:p>
            <w:pPr>
              <w:pStyle w:val="TableContents"/>
              <w:spacing w:before="0" w:after="0"/>
              <w:ind w:left="0" w:right="0" w:firstLine="30"/>
              <w:rPr/>
            </w:pPr>
            <w:r>
              <w:rPr/>
              <w:t> </w:t>
            </w:r>
          </w:p>
        </w:tc>
        <w:tc>
          <w:tcPr>
            <w:tcW w:w="2088" w:type="dxa"/>
            <w:gridSpan w:val="3"/>
            <w:tcBorders/>
            <w:shd w:fill="auto" w:val="clear"/>
            <w:vAlign w:val="center"/>
          </w:tcPr>
          <w:p>
            <w:pPr>
              <w:pStyle w:val="TableContents"/>
              <w:spacing w:before="0" w:after="0"/>
              <w:ind w:left="0" w:right="0" w:firstLine="180"/>
              <w:jc w:val="left"/>
              <w:rPr/>
            </w:pPr>
            <w:r>
              <w:rPr/>
              <w:t> </w:t>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loans forfeited and transferred to inventory</w:t>
            </w:r>
          </w:p>
        </w:tc>
        <w:tc>
          <w:tcPr>
            <w:tcW w:w="162"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65" w:type="dxa"/>
            <w:tcBorders/>
            <w:shd w:fill="CCEEFF" w:val="clear"/>
            <w:vAlign w:val="center"/>
          </w:tcPr>
          <w:p>
            <w:pPr>
              <w:pStyle w:val="TableContents"/>
              <w:spacing w:before="0" w:after="0"/>
              <w:jc w:val="right"/>
              <w:rPr>
                <w:rFonts w:ascii="inherit" w:hAnsi="inherit"/>
                <w:sz w:val="13"/>
              </w:rPr>
            </w:pPr>
            <w:r>
              <w:rPr>
                <w:rFonts w:ascii="inherit" w:hAnsi="inherit"/>
                <w:sz w:val="13"/>
              </w:rPr>
              <w:t>261,837</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65" w:type="dxa"/>
            <w:tcBorders/>
            <w:shd w:fill="CCEEFF" w:val="clear"/>
            <w:vAlign w:val="center"/>
          </w:tcPr>
          <w:p>
            <w:pPr>
              <w:pStyle w:val="TableContents"/>
              <w:spacing w:before="0" w:after="0"/>
              <w:jc w:val="right"/>
              <w:rPr>
                <w:rFonts w:ascii="inherit" w:hAnsi="inherit"/>
                <w:sz w:val="13"/>
              </w:rPr>
            </w:pPr>
            <w:r>
              <w:rPr>
                <w:rFonts w:ascii="inherit" w:hAnsi="inherit"/>
                <w:sz w:val="13"/>
              </w:rPr>
              <w:t>248,090</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65" w:type="dxa"/>
            <w:tcBorders/>
            <w:shd w:fill="CCEEFF" w:val="clear"/>
            <w:vAlign w:val="center"/>
          </w:tcPr>
          <w:p>
            <w:pPr>
              <w:pStyle w:val="TableContents"/>
              <w:spacing w:before="0" w:after="0"/>
              <w:jc w:val="right"/>
              <w:rPr>
                <w:rFonts w:ascii="inherit" w:hAnsi="inherit"/>
                <w:sz w:val="13"/>
              </w:rPr>
            </w:pPr>
            <w:r>
              <w:rPr>
                <w:rFonts w:ascii="inherit" w:hAnsi="inherit"/>
                <w:sz w:val="13"/>
              </w:rPr>
              <w:t>215,188</w:t>
            </w:r>
          </w:p>
        </w:tc>
        <w:tc>
          <w:tcPr>
            <w:tcW w:w="76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Issuance of common stock due to acquisitions</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38,705</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17,984</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7,304</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consideration</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25,872</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938</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w:t>
            </w:r>
          </w:p>
        </w:tc>
        <w:tc>
          <w:tcPr>
            <w:tcW w:w="76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Contingent consideration</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248</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23,432</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Accrued additions to property and equipment</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492</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w:t>
            </w:r>
          </w:p>
        </w:tc>
        <w:tc>
          <w:tcPr>
            <w:tcW w:w="76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Issuance of common stock due to purchase of subsidiary shares from noncontrolling interest</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10,404</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pPr>
            <w:r>
              <w:rPr/>
              <w:t>—</w:t>
            </w:r>
          </w:p>
        </w:tc>
        <w:tc>
          <w:tcPr>
            <w:tcW w:w="76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5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Purchase of shares from noncontrolling interest</w:t>
            </w:r>
          </w:p>
        </w:tc>
        <w:tc>
          <w:tcPr>
            <w:tcW w:w="132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(788</w:t>
            </w:r>
          </w:p>
        </w:tc>
        <w:tc>
          <w:tcPr>
            <w:tcW w:w="16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327" w:type="dxa"/>
            <w:gridSpan w:val="2"/>
            <w:tcBorders/>
            <w:shd w:fill="CCEEFF" w:val="clear"/>
            <w:vAlign w:val="center"/>
          </w:tcPr>
          <w:p>
            <w:pPr>
              <w:pStyle w:val="TableContents"/>
              <w:spacing w:before="0" w:after="0"/>
              <w:jc w:val="right"/>
              <w:rPr/>
            </w:pPr>
            <w:r>
              <w:rPr/>
              <w:t>—</w:t>
            </w:r>
          </w:p>
        </w:tc>
        <w:tc>
          <w:tcPr>
            <w:tcW w:w="76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Issuance of common stock to 401(k) plan</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556</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459</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32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377</w:t>
            </w:r>
          </w:p>
        </w:tc>
        <w:tc>
          <w:tcPr>
            <w:tcW w:w="761"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5"/>
        </w:rPr>
      </w:pPr>
      <w:r>
        <w:rPr>
          <w:rFonts w:ascii="inherit" w:hAnsi="inherit"/>
          <w:i/>
          <w:sz w:val="15"/>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61</w:t>
      </w:r>
      <w:r>
        <w:br w:type="page"/>
      </w:r>
    </w:p>
    <w:p>
      <w:pPr>
        <w:pStyle w:val="TextBody"/>
        <w:spacing w:lineRule="auto" w:line="288" w:before="0" w:after="0"/>
        <w:rPr/>
      </w:pPr>
      <w:hyperlink w:anchor="sA13583D437E20DC41B4583E2BD74AA47">
        <w:bookmarkStart w:id="60" w:name="s4AC8265BFBC463A4F93A83E26C9CF83D"/>
        <w:bookmarkEnd w:id="60"/>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370"/>
        <w:gridCol w:w="916"/>
        <w:gridCol w:w="74"/>
        <w:gridCol w:w="130"/>
        <w:gridCol w:w="148"/>
        <w:gridCol w:w="679"/>
        <w:gridCol w:w="78"/>
        <w:gridCol w:w="130"/>
        <w:gridCol w:w="140"/>
        <w:gridCol w:w="932"/>
        <w:gridCol w:w="142"/>
        <w:gridCol w:w="130"/>
        <w:gridCol w:w="136"/>
        <w:gridCol w:w="905"/>
        <w:gridCol w:w="75"/>
        <w:gridCol w:w="130"/>
        <w:gridCol w:w="206"/>
        <w:gridCol w:w="1110"/>
        <w:gridCol w:w="208"/>
        <w:gridCol w:w="130"/>
        <w:gridCol w:w="146"/>
        <w:gridCol w:w="959"/>
        <w:gridCol w:w="331"/>
      </w:tblGrid>
      <w:tr>
        <w:trPr/>
        <w:tc>
          <w:tcPr>
            <w:tcW w:w="10205" w:type="dxa"/>
            <w:gridSpan w:val="23"/>
            <w:tcBorders/>
            <w:shd w:fill="auto" w:val="clear"/>
            <w:vAlign w:val="center"/>
          </w:tcPr>
          <w:p>
            <w:pPr>
              <w:pStyle w:val="TableContents"/>
              <w:spacing w:lineRule="auto" w:line="288" w:before="0" w:after="0"/>
              <w:jc w:val="center"/>
              <w:rPr>
                <w:rFonts w:ascii="inherit" w:hAnsi="inherit"/>
                <w:b/>
                <w:sz w:val="17"/>
              </w:rPr>
            </w:pPr>
            <w:r>
              <w:rPr>
                <w:rFonts w:ascii="inherit" w:hAnsi="inherit"/>
                <w:b/>
                <w:sz w:val="17"/>
              </w:rPr>
              <w:t>EZCORP, Inc.</w:t>
            </w:r>
          </w:p>
          <w:p>
            <w:pPr>
              <w:pStyle w:val="TableContents"/>
              <w:spacing w:lineRule="auto" w:line="288" w:before="0" w:after="0"/>
              <w:jc w:val="center"/>
              <w:rPr>
                <w:rFonts w:ascii="inherit" w:hAnsi="inherit"/>
                <w:b/>
                <w:sz w:val="17"/>
              </w:rPr>
            </w:pPr>
            <w:r>
              <w:rPr>
                <w:rFonts w:ascii="inherit" w:hAnsi="inherit"/>
                <w:b/>
                <w:sz w:val="17"/>
              </w:rPr>
              <w:t>CONSOLIDATED STATEMENTS OF STOCKHOLDERS' EQUITY</w:t>
            </w:r>
          </w:p>
        </w:tc>
      </w:tr>
      <w:tr>
        <w:trPr/>
        <w:tc>
          <w:tcPr>
            <w:tcW w:w="237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70" w:type="dxa"/>
            <w:tcBorders/>
            <w:shd w:fill="auto" w:val="clear"/>
            <w:vAlign w:val="center"/>
          </w:tcPr>
          <w:p>
            <w:pPr>
              <w:pStyle w:val="TableContents"/>
              <w:spacing w:before="0" w:after="0"/>
              <w:ind w:left="0" w:right="0" w:firstLine="30"/>
              <w:rPr/>
            </w:pPr>
            <w:r>
              <w:rPr/>
              <w:t> </w:t>
            </w:r>
          </w:p>
        </w:tc>
        <w:tc>
          <w:tcPr>
            <w:tcW w:w="990" w:type="dxa"/>
            <w:gridSpan w:val="2"/>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90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1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116"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rPr/>
            </w:pPr>
            <w:r>
              <w:rPr/>
              <w:t> </w:t>
            </w:r>
          </w:p>
        </w:tc>
        <w:tc>
          <w:tcPr>
            <w:tcW w:w="1524"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Accumulated Other Comprehensive Income (Loss)</w:t>
            </w:r>
          </w:p>
        </w:tc>
        <w:tc>
          <w:tcPr>
            <w:tcW w:w="130" w:type="dxa"/>
            <w:tcBorders/>
            <w:shd w:fill="auto" w:val="clear"/>
            <w:vAlign w:val="center"/>
          </w:tcPr>
          <w:p>
            <w:pPr>
              <w:pStyle w:val="TableContents"/>
              <w:spacing w:before="0" w:after="0"/>
              <w:ind w:left="0" w:right="0" w:firstLine="30"/>
              <w:rPr/>
            </w:pPr>
            <w:r>
              <w:rPr/>
              <w:t> </w:t>
            </w:r>
          </w:p>
        </w:tc>
        <w:tc>
          <w:tcPr>
            <w:tcW w:w="1436"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EZCORP, Inc. Stockholders' Equity</w:t>
            </w:r>
          </w:p>
        </w:tc>
      </w:tr>
      <w:tr>
        <w:trPr/>
        <w:tc>
          <w:tcPr>
            <w:tcW w:w="2370" w:type="dxa"/>
            <w:tcBorders/>
            <w:shd w:fill="auto" w:val="clear"/>
            <w:vAlign w:val="center"/>
          </w:tcPr>
          <w:p>
            <w:pPr>
              <w:pStyle w:val="TableContents"/>
              <w:spacing w:before="0" w:after="0"/>
              <w:ind w:left="0" w:right="0" w:firstLine="30"/>
              <w:jc w:val="left"/>
              <w:rPr/>
            </w:pPr>
            <w:r>
              <w:rPr/>
              <w:t> </w:t>
            </w:r>
          </w:p>
        </w:tc>
        <w:tc>
          <w:tcPr>
            <w:tcW w:w="202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Common Stock</w:t>
            </w:r>
          </w:p>
        </w:tc>
        <w:tc>
          <w:tcPr>
            <w:tcW w:w="130" w:type="dxa"/>
            <w:tcBorders/>
            <w:shd w:fill="auto" w:val="clear"/>
            <w:vAlign w:val="center"/>
          </w:tcPr>
          <w:p>
            <w:pPr>
              <w:pStyle w:val="TableContents"/>
              <w:spacing w:before="0" w:after="0"/>
              <w:ind w:left="0" w:right="0" w:firstLine="30"/>
              <w:rPr/>
            </w:pPr>
            <w:r>
              <w:rPr/>
              <w:t> </w:t>
            </w:r>
          </w:p>
        </w:tc>
        <w:tc>
          <w:tcPr>
            <w:tcW w:w="1214"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Additional Paid In Capital</w:t>
            </w:r>
          </w:p>
        </w:tc>
        <w:tc>
          <w:tcPr>
            <w:tcW w:w="130" w:type="dxa"/>
            <w:tcBorders/>
            <w:shd w:fill="auto" w:val="clear"/>
            <w:vAlign w:val="center"/>
          </w:tcPr>
          <w:p>
            <w:pPr>
              <w:pStyle w:val="TableContents"/>
              <w:spacing w:before="0" w:after="0"/>
              <w:ind w:left="0" w:right="0" w:firstLine="30"/>
              <w:rPr/>
            </w:pPr>
            <w:r>
              <w:rPr/>
              <w:t> </w:t>
            </w:r>
          </w:p>
        </w:tc>
        <w:tc>
          <w:tcPr>
            <w:tcW w:w="1116" w:type="dxa"/>
            <w:gridSpan w:val="3"/>
            <w:tcBorders/>
            <w:shd w:fill="auto" w:val="clear"/>
            <w:vAlign w:val="center"/>
          </w:tcPr>
          <w:p>
            <w:pPr>
              <w:pStyle w:val="TableContents"/>
              <w:spacing w:before="0" w:after="0"/>
              <w:ind w:left="0" w:right="0" w:firstLine="30"/>
              <w:jc w:val="left"/>
              <w:rPr/>
            </w:pPr>
            <w:r>
              <w:rPr/>
              <w:t> </w:t>
            </w:r>
          </w:p>
        </w:tc>
        <w:tc>
          <w:tcPr>
            <w:tcW w:w="130" w:type="dxa"/>
            <w:tcBorders/>
            <w:shd w:fill="auto" w:val="clear"/>
            <w:vAlign w:val="center"/>
          </w:tcPr>
          <w:p>
            <w:pPr>
              <w:pStyle w:val="TableContents"/>
              <w:spacing w:before="0" w:after="0"/>
              <w:ind w:left="0" w:right="0" w:firstLine="30"/>
              <w:rPr/>
            </w:pPr>
            <w:r>
              <w:rPr/>
              <w:t> </w:t>
            </w:r>
          </w:p>
        </w:tc>
        <w:tc>
          <w:tcPr>
            <w:tcW w:w="1524" w:type="dxa"/>
            <w:gridSpan w:val="3"/>
            <w:vMerge w:val="continue"/>
            <w:tcBorders>
              <w:bottom w:val="single" w:sz="2" w:space="0" w:color="000000"/>
            </w:tcBorders>
            <w:shd w:fill="auto" w:val="clear"/>
            <w:tcMar>
              <w:bottom w:w="30" w:type="dxa"/>
            </w:tcMar>
            <w:vAlign w:val="center"/>
          </w:tcPr>
          <w:p>
            <w:pPr>
              <w:pStyle w:val="Normal"/>
              <w:rPr/>
            </w:pPr>
            <w:r>
              <w:rPr/>
            </w:r>
          </w:p>
        </w:tc>
        <w:tc>
          <w:tcPr>
            <w:tcW w:w="130" w:type="dxa"/>
            <w:tcBorders/>
            <w:shd w:fill="auto" w:val="clear"/>
            <w:vAlign w:val="center"/>
          </w:tcPr>
          <w:p>
            <w:pPr>
              <w:pStyle w:val="TableContents"/>
              <w:spacing w:before="0" w:after="0"/>
              <w:ind w:left="0" w:right="0" w:firstLine="30"/>
              <w:rPr/>
            </w:pPr>
            <w:r>
              <w:rPr/>
              <w:t> </w:t>
            </w:r>
          </w:p>
        </w:tc>
        <w:tc>
          <w:tcPr>
            <w:tcW w:w="1436"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370" w:type="dxa"/>
            <w:tcBorders/>
            <w:shd w:fill="auto" w:val="clear"/>
            <w:vAlign w:val="center"/>
          </w:tcPr>
          <w:p>
            <w:pPr>
              <w:pStyle w:val="TableContents"/>
              <w:spacing w:before="0" w:after="0"/>
              <w:rPr/>
            </w:pPr>
            <w:r>
              <w:rPr/>
              <w:t> </w:t>
            </w:r>
          </w:p>
        </w:tc>
        <w:tc>
          <w:tcPr>
            <w:tcW w:w="99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Shares</w:t>
            </w:r>
          </w:p>
        </w:tc>
        <w:tc>
          <w:tcPr>
            <w:tcW w:w="130" w:type="dxa"/>
            <w:tcBorders/>
            <w:shd w:fill="auto" w:val="clear"/>
            <w:vAlign w:val="center"/>
          </w:tcPr>
          <w:p>
            <w:pPr>
              <w:pStyle w:val="TableContents"/>
              <w:spacing w:before="0" w:after="0"/>
              <w:ind w:left="0" w:right="0" w:firstLine="30"/>
              <w:rPr/>
            </w:pPr>
            <w:r>
              <w:rPr/>
              <w:t> </w:t>
            </w:r>
          </w:p>
        </w:tc>
        <w:tc>
          <w:tcPr>
            <w:tcW w:w="90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Par</w:t>
            </w:r>
          </w:p>
          <w:p>
            <w:pPr>
              <w:pStyle w:val="TableContents"/>
              <w:spacing w:before="0" w:after="0"/>
              <w:ind w:left="0" w:right="0" w:firstLine="30"/>
              <w:jc w:val="center"/>
              <w:rPr>
                <w:rFonts w:ascii="inherit" w:hAnsi="inherit"/>
                <w:b/>
                <w:sz w:val="12"/>
              </w:rPr>
            </w:pPr>
            <w:r>
              <w:rPr>
                <w:rFonts w:ascii="inherit" w:hAnsi="inherit"/>
                <w:b/>
                <w:sz w:val="12"/>
              </w:rPr>
              <w:t>Value</w:t>
            </w:r>
          </w:p>
        </w:tc>
        <w:tc>
          <w:tcPr>
            <w:tcW w:w="130" w:type="dxa"/>
            <w:tcBorders/>
            <w:shd w:fill="auto" w:val="clear"/>
            <w:vAlign w:val="center"/>
          </w:tcPr>
          <w:p>
            <w:pPr>
              <w:pStyle w:val="TableContents"/>
              <w:spacing w:before="0" w:after="0"/>
              <w:ind w:left="0" w:right="0" w:firstLine="30"/>
              <w:rPr/>
            </w:pPr>
            <w:r>
              <w:rPr/>
              <w:t> </w:t>
            </w:r>
          </w:p>
        </w:tc>
        <w:tc>
          <w:tcPr>
            <w:tcW w:w="1214" w:type="dxa"/>
            <w:gridSpan w:val="3"/>
            <w:vMerge w:val="continue"/>
            <w:tcBorders>
              <w:bottom w:val="single" w:sz="2" w:space="0" w:color="000000"/>
            </w:tcBorders>
            <w:shd w:fill="auto" w:val="clear"/>
            <w:tcMar>
              <w:bottom w:w="30" w:type="dxa"/>
            </w:tcMar>
            <w:vAlign w:val="center"/>
          </w:tcPr>
          <w:p>
            <w:pPr>
              <w:pStyle w:val="Normal"/>
              <w:rPr/>
            </w:pPr>
            <w:r>
              <w:rPr/>
            </w:r>
          </w:p>
        </w:tc>
        <w:tc>
          <w:tcPr>
            <w:tcW w:w="130" w:type="dxa"/>
            <w:tcBorders/>
            <w:shd w:fill="auto" w:val="clear"/>
            <w:vAlign w:val="center"/>
          </w:tcPr>
          <w:p>
            <w:pPr>
              <w:pStyle w:val="TableContents"/>
              <w:spacing w:before="0" w:after="0"/>
              <w:ind w:left="0" w:right="0" w:firstLine="30"/>
              <w:rPr/>
            </w:pPr>
            <w:r>
              <w:rPr/>
              <w:t> </w:t>
            </w:r>
          </w:p>
        </w:tc>
        <w:tc>
          <w:tcPr>
            <w:tcW w:w="111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Retained</w:t>
            </w:r>
          </w:p>
          <w:p>
            <w:pPr>
              <w:pStyle w:val="TableContents"/>
              <w:spacing w:before="0" w:after="0"/>
              <w:ind w:left="0" w:right="0" w:firstLine="30"/>
              <w:jc w:val="center"/>
              <w:rPr>
                <w:rFonts w:ascii="inherit" w:hAnsi="inherit"/>
                <w:b/>
                <w:sz w:val="12"/>
              </w:rPr>
            </w:pPr>
            <w:r>
              <w:rPr>
                <w:rFonts w:ascii="inherit" w:hAnsi="inherit"/>
                <w:b/>
                <w:sz w:val="12"/>
              </w:rPr>
              <w:t>Earnings</w:t>
            </w:r>
          </w:p>
        </w:tc>
        <w:tc>
          <w:tcPr>
            <w:tcW w:w="130" w:type="dxa"/>
            <w:tcBorders/>
            <w:shd w:fill="auto" w:val="clear"/>
            <w:vAlign w:val="center"/>
          </w:tcPr>
          <w:p>
            <w:pPr>
              <w:pStyle w:val="TableContents"/>
              <w:spacing w:before="0" w:after="0"/>
              <w:ind w:left="0" w:right="0" w:firstLine="30"/>
              <w:rPr/>
            </w:pPr>
            <w:r>
              <w:rPr/>
              <w:t> </w:t>
            </w:r>
          </w:p>
        </w:tc>
        <w:tc>
          <w:tcPr>
            <w:tcW w:w="1524" w:type="dxa"/>
            <w:gridSpan w:val="3"/>
            <w:vMerge w:val="continue"/>
            <w:tcBorders>
              <w:bottom w:val="single" w:sz="2" w:space="0" w:color="000000"/>
            </w:tcBorders>
            <w:shd w:fill="auto" w:val="clear"/>
            <w:tcMar>
              <w:bottom w:w="30" w:type="dxa"/>
            </w:tcMar>
            <w:vAlign w:val="center"/>
          </w:tcPr>
          <w:p>
            <w:pPr>
              <w:pStyle w:val="Normal"/>
              <w:rPr/>
            </w:pPr>
            <w:r>
              <w:rPr/>
            </w:r>
          </w:p>
        </w:tc>
        <w:tc>
          <w:tcPr>
            <w:tcW w:w="130" w:type="dxa"/>
            <w:tcBorders/>
            <w:shd w:fill="auto" w:val="clear"/>
            <w:vAlign w:val="center"/>
          </w:tcPr>
          <w:p>
            <w:pPr>
              <w:pStyle w:val="TableContents"/>
              <w:spacing w:before="0" w:after="0"/>
              <w:ind w:left="0" w:right="0" w:firstLine="30"/>
              <w:rPr/>
            </w:pPr>
            <w:r>
              <w:rPr/>
              <w:t> </w:t>
            </w:r>
          </w:p>
        </w:tc>
        <w:tc>
          <w:tcPr>
            <w:tcW w:w="1436"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370" w:type="dxa"/>
            <w:tcBorders/>
            <w:shd w:fill="auto" w:val="clear"/>
            <w:vAlign w:val="center"/>
          </w:tcPr>
          <w:p>
            <w:pPr>
              <w:pStyle w:val="TableContents"/>
              <w:spacing w:before="0" w:after="0"/>
              <w:ind w:left="0" w:right="0" w:firstLine="30"/>
              <w:jc w:val="left"/>
              <w:rPr/>
            </w:pPr>
            <w:r>
              <w:rPr/>
              <w:t> </w:t>
            </w:r>
          </w:p>
        </w:tc>
        <w:tc>
          <w:tcPr>
            <w:tcW w:w="7835" w:type="dxa"/>
            <w:gridSpan w:val="22"/>
            <w:tcBorders/>
            <w:shd w:fill="auto" w:val="clear"/>
            <w:vAlign w:val="center"/>
          </w:tcPr>
          <w:p>
            <w:pPr>
              <w:pStyle w:val="TableContents"/>
              <w:spacing w:before="0" w:after="0"/>
              <w:ind w:left="0" w:right="0" w:firstLine="30"/>
              <w:jc w:val="center"/>
              <w:rPr>
                <w:rFonts w:ascii="inherit" w:hAnsi="inherit"/>
                <w:i/>
                <w:sz w:val="12"/>
              </w:rPr>
            </w:pPr>
            <w:r>
              <w:rPr>
                <w:rFonts w:ascii="inherit" w:hAnsi="inherit"/>
                <w:i/>
                <w:sz w:val="12"/>
              </w:rPr>
              <w:t>(in thousands)</w:t>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Balances at September 30, 2010</w:t>
            </w:r>
          </w:p>
        </w:tc>
        <w:tc>
          <w:tcPr>
            <w:tcW w:w="916" w:type="dxa"/>
            <w:tcBorders/>
            <w:shd w:fill="CCEEFF" w:val="clear"/>
            <w:vAlign w:val="center"/>
          </w:tcPr>
          <w:p>
            <w:pPr>
              <w:pStyle w:val="TableContents"/>
              <w:spacing w:before="0" w:after="0"/>
              <w:jc w:val="right"/>
              <w:rPr>
                <w:rFonts w:ascii="inherit" w:hAnsi="inherit"/>
                <w:sz w:val="12"/>
              </w:rPr>
            </w:pPr>
            <w:r>
              <w:rPr>
                <w:rFonts w:ascii="inherit" w:hAnsi="inherit"/>
                <w:sz w:val="12"/>
              </w:rPr>
              <w:t>49,226</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jc w:val="left"/>
              <w:rPr>
                <w:rFonts w:ascii="inherit" w:hAnsi="inherit"/>
                <w:sz w:val="12"/>
              </w:rPr>
            </w:pPr>
            <w:r>
              <w:rPr>
                <w:rFonts w:ascii="inherit" w:hAnsi="inherit"/>
                <w:sz w:val="12"/>
              </w:rPr>
              <w:t>$</w:t>
            </w:r>
          </w:p>
        </w:tc>
        <w:tc>
          <w:tcPr>
            <w:tcW w:w="679" w:type="dxa"/>
            <w:tcBorders/>
            <w:shd w:fill="CCEEFF" w:val="clear"/>
            <w:vAlign w:val="center"/>
          </w:tcPr>
          <w:p>
            <w:pPr>
              <w:pStyle w:val="TableContents"/>
              <w:spacing w:before="0" w:after="0"/>
              <w:jc w:val="right"/>
              <w:rPr>
                <w:rFonts w:ascii="inherit" w:hAnsi="inherit"/>
                <w:sz w:val="12"/>
              </w:rPr>
            </w:pPr>
            <w:r>
              <w:rPr>
                <w:rFonts w:ascii="inherit" w:hAnsi="inherit"/>
                <w:sz w:val="12"/>
              </w:rPr>
              <w:t>493</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2"/>
              </w:rPr>
            </w:pPr>
            <w:r>
              <w:rPr>
                <w:rFonts w:ascii="inherit" w:hAnsi="inherit"/>
                <w:sz w:val="12"/>
              </w:rPr>
              <w:t>$</w:t>
            </w:r>
          </w:p>
        </w:tc>
        <w:tc>
          <w:tcPr>
            <w:tcW w:w="932" w:type="dxa"/>
            <w:tcBorders/>
            <w:shd w:fill="CCEEFF" w:val="clear"/>
            <w:vAlign w:val="center"/>
          </w:tcPr>
          <w:p>
            <w:pPr>
              <w:pStyle w:val="TableContents"/>
              <w:spacing w:before="0" w:after="0"/>
              <w:jc w:val="right"/>
              <w:rPr>
                <w:rFonts w:ascii="inherit" w:hAnsi="inherit"/>
                <w:sz w:val="12"/>
              </w:rPr>
            </w:pPr>
            <w:r>
              <w:rPr>
                <w:rFonts w:ascii="inherit" w:hAnsi="inherit"/>
                <w:sz w:val="12"/>
              </w:rPr>
              <w:t>225,374</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jc w:val="left"/>
              <w:rPr>
                <w:rFonts w:ascii="inherit" w:hAnsi="inherit"/>
                <w:sz w:val="12"/>
              </w:rPr>
            </w:pPr>
            <w:r>
              <w:rPr>
                <w:rFonts w:ascii="inherit" w:hAnsi="inherit"/>
                <w:sz w:val="12"/>
              </w:rPr>
              <w:t>$</w:t>
            </w:r>
          </w:p>
        </w:tc>
        <w:tc>
          <w:tcPr>
            <w:tcW w:w="905" w:type="dxa"/>
            <w:tcBorders/>
            <w:shd w:fill="CCEEFF" w:val="clear"/>
            <w:vAlign w:val="center"/>
          </w:tcPr>
          <w:p>
            <w:pPr>
              <w:pStyle w:val="TableContents"/>
              <w:spacing w:before="0" w:after="0"/>
              <w:jc w:val="right"/>
              <w:rPr>
                <w:rFonts w:ascii="inherit" w:hAnsi="inherit"/>
                <w:sz w:val="12"/>
              </w:rPr>
            </w:pPr>
            <w:r>
              <w:rPr>
                <w:rFonts w:ascii="inherit" w:hAnsi="inherit"/>
                <w:sz w:val="12"/>
              </w:rPr>
              <w:t>299,936</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06" w:type="dxa"/>
            <w:tcBorders/>
            <w:shd w:fill="CCEEFF" w:val="clear"/>
            <w:vAlign w:val="center"/>
          </w:tcPr>
          <w:p>
            <w:pPr>
              <w:pStyle w:val="TableContents"/>
              <w:spacing w:before="0" w:after="0"/>
              <w:jc w:val="left"/>
              <w:rPr>
                <w:rFonts w:ascii="inherit" w:hAnsi="inherit"/>
                <w:sz w:val="12"/>
              </w:rPr>
            </w:pPr>
            <w:r>
              <w:rPr>
                <w:rFonts w:ascii="inherit" w:hAnsi="inherit"/>
                <w:sz w:val="12"/>
              </w:rPr>
              <w:t>$</w:t>
            </w:r>
          </w:p>
        </w:tc>
        <w:tc>
          <w:tcPr>
            <w:tcW w:w="1110" w:type="dxa"/>
            <w:tcBorders/>
            <w:shd w:fill="CCEEFF" w:val="clear"/>
            <w:vAlign w:val="center"/>
          </w:tcPr>
          <w:p>
            <w:pPr>
              <w:pStyle w:val="TableContents"/>
              <w:spacing w:before="0" w:after="0"/>
              <w:jc w:val="right"/>
              <w:rPr>
                <w:rFonts w:ascii="inherit" w:hAnsi="inherit"/>
                <w:sz w:val="12"/>
              </w:rPr>
            </w:pPr>
            <w:r>
              <w:rPr>
                <w:rFonts w:ascii="inherit" w:hAnsi="inherit"/>
                <w:sz w:val="12"/>
              </w:rPr>
              <w:t>(6,375</w:t>
            </w:r>
          </w:p>
        </w:tc>
        <w:tc>
          <w:tcPr>
            <w:tcW w:w="20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2"/>
              </w:rPr>
            </w:pPr>
            <w:r>
              <w:rPr>
                <w:rFonts w:ascii="inherit" w:hAnsi="inherit"/>
                <w:sz w:val="12"/>
              </w:rPr>
              <w:t>$</w:t>
            </w:r>
          </w:p>
        </w:tc>
        <w:tc>
          <w:tcPr>
            <w:tcW w:w="959" w:type="dxa"/>
            <w:tcBorders/>
            <w:shd w:fill="CCEEFF" w:val="clear"/>
            <w:vAlign w:val="center"/>
          </w:tcPr>
          <w:p>
            <w:pPr>
              <w:pStyle w:val="TableContents"/>
              <w:spacing w:before="0" w:after="0"/>
              <w:jc w:val="right"/>
              <w:rPr>
                <w:rFonts w:ascii="inherit" w:hAnsi="inherit"/>
                <w:sz w:val="12"/>
              </w:rPr>
            </w:pPr>
            <w:r>
              <w:rPr>
                <w:rFonts w:ascii="inherit" w:hAnsi="inherit"/>
                <w:sz w:val="12"/>
              </w:rPr>
              <w:t>519,428</w:t>
            </w:r>
          </w:p>
        </w:tc>
        <w:tc>
          <w:tcPr>
            <w:tcW w:w="33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Issuance of Common Stock to 401(k) plan</w:t>
            </w:r>
          </w:p>
        </w:tc>
        <w:tc>
          <w:tcPr>
            <w:tcW w:w="916" w:type="dxa"/>
            <w:tcBorders/>
            <w:shd w:fill="auto" w:val="clear"/>
            <w:vAlign w:val="center"/>
          </w:tcPr>
          <w:p>
            <w:pPr>
              <w:pStyle w:val="TableContents"/>
              <w:spacing w:before="0" w:after="0"/>
              <w:jc w:val="right"/>
              <w:rPr>
                <w:rFonts w:ascii="inherit" w:hAnsi="inherit"/>
                <w:sz w:val="12"/>
              </w:rPr>
            </w:pPr>
            <w:r>
              <w:rPr>
                <w:rFonts w:ascii="inherit" w:hAnsi="inherit"/>
                <w:sz w:val="12"/>
              </w:rPr>
              <w:t>12</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377</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377</w:t>
            </w:r>
          </w:p>
        </w:tc>
        <w:tc>
          <w:tcPr>
            <w:tcW w:w="33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Stock compensation</w:t>
            </w:r>
          </w:p>
        </w:tc>
        <w:tc>
          <w:tcPr>
            <w:tcW w:w="916" w:type="dxa"/>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13,208</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13,208</w:t>
            </w:r>
          </w:p>
        </w:tc>
        <w:tc>
          <w:tcPr>
            <w:tcW w:w="33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Stock options exercised</w:t>
            </w:r>
          </w:p>
        </w:tc>
        <w:tc>
          <w:tcPr>
            <w:tcW w:w="916" w:type="dxa"/>
            <w:tcBorders/>
            <w:shd w:fill="auto" w:val="clear"/>
            <w:vAlign w:val="center"/>
          </w:tcPr>
          <w:p>
            <w:pPr>
              <w:pStyle w:val="TableContents"/>
              <w:spacing w:before="0" w:after="0"/>
              <w:jc w:val="right"/>
              <w:rPr>
                <w:rFonts w:ascii="inherit" w:hAnsi="inherit"/>
                <w:sz w:val="12"/>
              </w:rPr>
            </w:pPr>
            <w:r>
              <w:rPr>
                <w:rFonts w:ascii="inherit" w:hAnsi="inherit"/>
                <w:sz w:val="12"/>
              </w:rPr>
              <w:t>62</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396</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397</w:t>
            </w:r>
          </w:p>
        </w:tc>
        <w:tc>
          <w:tcPr>
            <w:tcW w:w="33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Issuance of Common Stock due to acquisitions</w:t>
            </w:r>
          </w:p>
        </w:tc>
        <w:tc>
          <w:tcPr>
            <w:tcW w:w="916" w:type="dxa"/>
            <w:tcBorders/>
            <w:shd w:fill="CCEEFF" w:val="clear"/>
            <w:vAlign w:val="center"/>
          </w:tcPr>
          <w:p>
            <w:pPr>
              <w:pStyle w:val="TableContents"/>
              <w:spacing w:before="0" w:after="0"/>
              <w:jc w:val="right"/>
              <w:rPr>
                <w:rFonts w:ascii="inherit" w:hAnsi="inherit"/>
                <w:sz w:val="12"/>
              </w:rPr>
            </w:pPr>
            <w:r>
              <w:rPr>
                <w:rFonts w:ascii="inherit" w:hAnsi="inherit"/>
                <w:sz w:val="12"/>
              </w:rPr>
              <w:t>209</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2</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7,302</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7,304</w:t>
            </w:r>
          </w:p>
        </w:tc>
        <w:tc>
          <w:tcPr>
            <w:tcW w:w="33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Release of restricted stock, net of net share settlement</w:t>
            </w:r>
          </w:p>
        </w:tc>
        <w:tc>
          <w:tcPr>
            <w:tcW w:w="916" w:type="dxa"/>
            <w:tcBorders/>
            <w:shd w:fill="auto" w:val="clear"/>
            <w:vAlign w:val="center"/>
          </w:tcPr>
          <w:p>
            <w:pPr>
              <w:pStyle w:val="TableContents"/>
              <w:spacing w:before="0" w:after="0"/>
              <w:jc w:val="right"/>
              <w:rPr>
                <w:rFonts w:ascii="inherit" w:hAnsi="inherit"/>
                <w:sz w:val="12"/>
              </w:rPr>
            </w:pPr>
            <w:r>
              <w:rPr>
                <w:rFonts w:ascii="inherit" w:hAnsi="inherit"/>
                <w:sz w:val="12"/>
              </w:rPr>
              <w:t>690</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pPr>
            <w:r>
              <w:rPr/>
              <w:t>—</w:t>
            </w:r>
          </w:p>
        </w:tc>
        <w:tc>
          <w:tcPr>
            <w:tcW w:w="33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Excess tax benefit from stock compensation</w:t>
            </w:r>
          </w:p>
        </w:tc>
        <w:tc>
          <w:tcPr>
            <w:tcW w:w="916" w:type="dxa"/>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5</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3,225</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3,230</w:t>
            </w:r>
          </w:p>
        </w:tc>
        <w:tc>
          <w:tcPr>
            <w:tcW w:w="33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Taxes paid related to net share settlement of equity awards</w:t>
            </w:r>
          </w:p>
        </w:tc>
        <w:tc>
          <w:tcPr>
            <w:tcW w:w="916" w:type="dxa"/>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(7,484</w:t>
            </w:r>
          </w:p>
        </w:tc>
        <w:tc>
          <w:tcPr>
            <w:tcW w:w="142"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(7,484</w:t>
            </w:r>
          </w:p>
        </w:tc>
        <w:tc>
          <w:tcPr>
            <w:tcW w:w="331" w:type="dxa"/>
            <w:tcBorders/>
            <w:shd w:fill="auto" w:val="clear"/>
            <w:vAlign w:val="center"/>
          </w:tcPr>
          <w:p>
            <w:pPr>
              <w:pStyle w:val="TableContents"/>
              <w:spacing w:before="0" w:after="0"/>
              <w:ind w:left="0" w:right="0" w:firstLine="180"/>
              <w:jc w:val="left"/>
              <w:rPr>
                <w:rFonts w:ascii="inherit" w:hAnsi="inherit"/>
                <w:sz w:val="12"/>
              </w:rPr>
            </w:pPr>
            <w:r>
              <w:rPr>
                <w:rFonts w:ascii="inherit" w:hAnsi="inherit"/>
                <w:sz w:val="12"/>
              </w:rPr>
              <w:t>)</w:t>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Unrealized gain on available-for-sale securities</w:t>
            </w:r>
          </w:p>
        </w:tc>
        <w:tc>
          <w:tcPr>
            <w:tcW w:w="916" w:type="dxa"/>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605</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605</w:t>
            </w:r>
          </w:p>
        </w:tc>
        <w:tc>
          <w:tcPr>
            <w:tcW w:w="33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Foreign currency translation adjustment</w:t>
            </w:r>
          </w:p>
        </w:tc>
        <w:tc>
          <w:tcPr>
            <w:tcW w:w="916" w:type="dxa"/>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5,024</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5,024</w:t>
            </w:r>
          </w:p>
        </w:tc>
        <w:tc>
          <w:tcPr>
            <w:tcW w:w="33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 xml:space="preserve">Net income attributable to EZCORP, Inc. </w:t>
            </w:r>
          </w:p>
        </w:tc>
        <w:tc>
          <w:tcPr>
            <w:tcW w:w="916" w:type="dxa"/>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2"/>
              </w:rPr>
            </w:pPr>
            <w:r>
              <w:rPr>
                <w:rFonts w:ascii="inherit" w:hAnsi="inherit"/>
                <w:sz w:val="12"/>
              </w:rPr>
              <w:t>122,159</w:t>
            </w:r>
          </w:p>
        </w:tc>
        <w:tc>
          <w:tcPr>
            <w:tcW w:w="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122,159</w:t>
            </w:r>
          </w:p>
        </w:tc>
        <w:tc>
          <w:tcPr>
            <w:tcW w:w="3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Balances at September 30, 2011</w:t>
            </w:r>
          </w:p>
        </w:tc>
        <w:tc>
          <w:tcPr>
            <w:tcW w:w="91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50,199</w:t>
            </w:r>
          </w:p>
        </w:tc>
        <w:tc>
          <w:tcPr>
            <w:tcW w:w="7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6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501</w:t>
            </w:r>
          </w:p>
        </w:tc>
        <w:tc>
          <w:tcPr>
            <w:tcW w:w="7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93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242,398</w:t>
            </w:r>
          </w:p>
        </w:tc>
        <w:tc>
          <w:tcPr>
            <w:tcW w:w="1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9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422,095</w:t>
            </w:r>
          </w:p>
        </w:tc>
        <w:tc>
          <w:tcPr>
            <w:tcW w:w="7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0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1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(746</w:t>
            </w:r>
          </w:p>
        </w:tc>
        <w:tc>
          <w:tcPr>
            <w:tcW w:w="20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9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664,248</w:t>
            </w:r>
          </w:p>
        </w:tc>
        <w:tc>
          <w:tcPr>
            <w:tcW w:w="33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Issuance of Common Stock to 401(k) plan</w:t>
            </w:r>
          </w:p>
        </w:tc>
        <w:tc>
          <w:tcPr>
            <w:tcW w:w="916" w:type="dxa"/>
            <w:tcBorders/>
            <w:shd w:fill="CCEEFF" w:val="clear"/>
            <w:vAlign w:val="center"/>
          </w:tcPr>
          <w:p>
            <w:pPr>
              <w:pStyle w:val="TableContents"/>
              <w:spacing w:before="0" w:after="0"/>
              <w:jc w:val="right"/>
              <w:rPr>
                <w:rFonts w:ascii="inherit" w:hAnsi="inherit"/>
                <w:sz w:val="12"/>
              </w:rPr>
            </w:pPr>
            <w:r>
              <w:rPr>
                <w:rFonts w:ascii="inherit" w:hAnsi="inherit"/>
                <w:sz w:val="12"/>
              </w:rPr>
              <w:t>19</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459</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459</w:t>
            </w:r>
          </w:p>
        </w:tc>
        <w:tc>
          <w:tcPr>
            <w:tcW w:w="33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Stock compensation</w:t>
            </w:r>
          </w:p>
        </w:tc>
        <w:tc>
          <w:tcPr>
            <w:tcW w:w="916" w:type="dxa"/>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6,714</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6,714</w:t>
            </w:r>
          </w:p>
        </w:tc>
        <w:tc>
          <w:tcPr>
            <w:tcW w:w="33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Stock options exercised</w:t>
            </w:r>
          </w:p>
        </w:tc>
        <w:tc>
          <w:tcPr>
            <w:tcW w:w="916" w:type="dxa"/>
            <w:tcBorders/>
            <w:shd w:fill="CCEEFF" w:val="clear"/>
            <w:vAlign w:val="center"/>
          </w:tcPr>
          <w:p>
            <w:pPr>
              <w:pStyle w:val="TableContents"/>
              <w:spacing w:before="0" w:after="0"/>
              <w:jc w:val="right"/>
              <w:rPr>
                <w:rFonts w:ascii="inherit" w:hAnsi="inherit"/>
                <w:sz w:val="12"/>
              </w:rPr>
            </w:pPr>
            <w:r>
              <w:rPr>
                <w:rFonts w:ascii="inherit" w:hAnsi="inherit"/>
                <w:sz w:val="12"/>
              </w:rPr>
              <w:t>201</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2</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647</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649</w:t>
            </w:r>
          </w:p>
        </w:tc>
        <w:tc>
          <w:tcPr>
            <w:tcW w:w="33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Issuance of Common Stock due to acquisitions</w:t>
            </w:r>
          </w:p>
        </w:tc>
        <w:tc>
          <w:tcPr>
            <w:tcW w:w="916" w:type="dxa"/>
            <w:tcBorders/>
            <w:shd w:fill="auto" w:val="clear"/>
            <w:vAlign w:val="center"/>
          </w:tcPr>
          <w:p>
            <w:pPr>
              <w:pStyle w:val="TableContents"/>
              <w:spacing w:before="0" w:after="0"/>
              <w:jc w:val="right"/>
              <w:rPr>
                <w:rFonts w:ascii="inherit" w:hAnsi="inherit"/>
                <w:sz w:val="12"/>
              </w:rPr>
            </w:pPr>
            <w:r>
              <w:rPr>
                <w:rFonts w:ascii="inherit" w:hAnsi="inherit"/>
                <w:sz w:val="12"/>
              </w:rPr>
              <w:t>635</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6</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17,992</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17,998</w:t>
            </w:r>
          </w:p>
        </w:tc>
        <w:tc>
          <w:tcPr>
            <w:tcW w:w="33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Release of restricted stock, net of net share settlement</w:t>
            </w:r>
          </w:p>
        </w:tc>
        <w:tc>
          <w:tcPr>
            <w:tcW w:w="916" w:type="dxa"/>
            <w:tcBorders/>
            <w:shd w:fill="CCEEFF" w:val="clear"/>
            <w:vAlign w:val="center"/>
          </w:tcPr>
          <w:p>
            <w:pPr>
              <w:pStyle w:val="TableContents"/>
              <w:spacing w:before="0" w:after="0"/>
              <w:jc w:val="right"/>
              <w:rPr>
                <w:rFonts w:ascii="inherit" w:hAnsi="inherit"/>
                <w:sz w:val="12"/>
              </w:rPr>
            </w:pPr>
            <w:r>
              <w:rPr>
                <w:rFonts w:ascii="inherit" w:hAnsi="inherit"/>
                <w:sz w:val="12"/>
              </w:rPr>
              <w:t>172</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w:t>
            </w:r>
          </w:p>
        </w:tc>
        <w:tc>
          <w:tcPr>
            <w:tcW w:w="33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Excess tax benefit from stock compensation</w:t>
            </w:r>
          </w:p>
        </w:tc>
        <w:tc>
          <w:tcPr>
            <w:tcW w:w="916" w:type="dxa"/>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2</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1,600</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1,602</w:t>
            </w:r>
          </w:p>
        </w:tc>
        <w:tc>
          <w:tcPr>
            <w:tcW w:w="33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Taxes paid related to net share settlement of equity awards</w:t>
            </w:r>
          </w:p>
        </w:tc>
        <w:tc>
          <w:tcPr>
            <w:tcW w:w="916" w:type="dxa"/>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(1,184</w:t>
            </w:r>
          </w:p>
        </w:tc>
        <w:tc>
          <w:tcPr>
            <w:tcW w:w="142"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(1,184</w:t>
            </w:r>
          </w:p>
        </w:tc>
        <w:tc>
          <w:tcPr>
            <w:tcW w:w="331" w:type="dxa"/>
            <w:tcBorders/>
            <w:shd w:fill="CCEEFF" w:val="clear"/>
            <w:vAlign w:val="center"/>
          </w:tcPr>
          <w:p>
            <w:pPr>
              <w:pStyle w:val="TableContents"/>
              <w:spacing w:before="0" w:after="0"/>
              <w:ind w:left="0" w:right="0" w:firstLine="180"/>
              <w:jc w:val="left"/>
              <w:rPr>
                <w:rFonts w:ascii="inherit" w:hAnsi="inherit"/>
                <w:sz w:val="12"/>
              </w:rPr>
            </w:pPr>
            <w:r>
              <w:rPr>
                <w:rFonts w:ascii="inherit" w:hAnsi="inherit"/>
                <w:sz w:val="12"/>
              </w:rPr>
              <w:t>)</w:t>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Unrealized loss on available-for-sale securities</w:t>
            </w:r>
          </w:p>
        </w:tc>
        <w:tc>
          <w:tcPr>
            <w:tcW w:w="916" w:type="dxa"/>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(478</w:t>
            </w:r>
          </w:p>
        </w:tc>
        <w:tc>
          <w:tcPr>
            <w:tcW w:w="20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(478</w:t>
            </w:r>
          </w:p>
        </w:tc>
        <w:tc>
          <w:tcPr>
            <w:tcW w:w="331" w:type="dxa"/>
            <w:tcBorders/>
            <w:shd w:fill="auto" w:val="clear"/>
            <w:vAlign w:val="center"/>
          </w:tcPr>
          <w:p>
            <w:pPr>
              <w:pStyle w:val="TableContents"/>
              <w:spacing w:before="0" w:after="0"/>
              <w:ind w:left="0" w:right="0" w:firstLine="180"/>
              <w:jc w:val="left"/>
              <w:rPr>
                <w:rFonts w:ascii="inherit" w:hAnsi="inherit"/>
                <w:sz w:val="12"/>
              </w:rPr>
            </w:pPr>
            <w:r>
              <w:rPr>
                <w:rFonts w:ascii="inherit" w:hAnsi="inherit"/>
                <w:sz w:val="12"/>
              </w:rPr>
              <w:t>)</w:t>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Foreign currency translation adjustment</w:t>
            </w:r>
          </w:p>
        </w:tc>
        <w:tc>
          <w:tcPr>
            <w:tcW w:w="916" w:type="dxa"/>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1,111</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1,111</w:t>
            </w:r>
          </w:p>
        </w:tc>
        <w:tc>
          <w:tcPr>
            <w:tcW w:w="33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 xml:space="preserve">Net income attributable to EZCORP, Inc. </w:t>
            </w:r>
          </w:p>
        </w:tc>
        <w:tc>
          <w:tcPr>
            <w:tcW w:w="916" w:type="dxa"/>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2"/>
              </w:rPr>
            </w:pPr>
            <w:r>
              <w:rPr>
                <w:rFonts w:ascii="inherit" w:hAnsi="inherit"/>
                <w:sz w:val="12"/>
              </w:rPr>
              <w:t>143,708</w:t>
            </w:r>
          </w:p>
        </w:tc>
        <w:tc>
          <w:tcPr>
            <w:tcW w:w="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143,708</w:t>
            </w:r>
          </w:p>
        </w:tc>
        <w:tc>
          <w:tcPr>
            <w:tcW w:w="3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Balances at September 30, 2012</w:t>
            </w:r>
          </w:p>
        </w:tc>
        <w:tc>
          <w:tcPr>
            <w:tcW w:w="91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51,226</w:t>
            </w:r>
          </w:p>
        </w:tc>
        <w:tc>
          <w:tcPr>
            <w:tcW w:w="7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67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512</w:t>
            </w:r>
          </w:p>
        </w:tc>
        <w:tc>
          <w:tcPr>
            <w:tcW w:w="7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93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268,626</w:t>
            </w:r>
          </w:p>
        </w:tc>
        <w:tc>
          <w:tcPr>
            <w:tcW w:w="14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90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2"/>
              </w:rPr>
            </w:pPr>
            <w:r>
              <w:rPr>
                <w:rFonts w:ascii="inherit" w:hAnsi="inherit"/>
                <w:sz w:val="12"/>
              </w:rPr>
              <w:t>565,803</w:t>
            </w:r>
          </w:p>
        </w:tc>
        <w:tc>
          <w:tcPr>
            <w:tcW w:w="7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0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1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(113</w:t>
            </w:r>
          </w:p>
        </w:tc>
        <w:tc>
          <w:tcPr>
            <w:tcW w:w="20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CCEEFF" w:val="clear"/>
            <w:vAlign w:val="center"/>
          </w:tcPr>
          <w:p>
            <w:pPr>
              <w:pStyle w:val="TableContents"/>
              <w:spacing w:before="0" w:after="0"/>
              <w:ind w:left="0" w:right="0" w:firstLine="30"/>
              <w:rPr/>
            </w:pPr>
            <w:r>
              <w:rPr/>
              <w:t> </w:t>
            </w:r>
          </w:p>
        </w:tc>
        <w:tc>
          <w:tcPr>
            <w:tcW w:w="14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95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834,828</w:t>
            </w:r>
          </w:p>
        </w:tc>
        <w:tc>
          <w:tcPr>
            <w:tcW w:w="33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Issuance of Common Stock to 401(k) plan</w:t>
            </w:r>
          </w:p>
        </w:tc>
        <w:tc>
          <w:tcPr>
            <w:tcW w:w="916" w:type="dxa"/>
            <w:tcBorders/>
            <w:shd w:fill="auto" w:val="clear"/>
            <w:vAlign w:val="center"/>
          </w:tcPr>
          <w:p>
            <w:pPr>
              <w:pStyle w:val="TableContents"/>
              <w:spacing w:before="0" w:after="0"/>
              <w:jc w:val="right"/>
              <w:rPr>
                <w:rFonts w:ascii="inherit" w:hAnsi="inherit"/>
                <w:sz w:val="12"/>
              </w:rPr>
            </w:pPr>
            <w:r>
              <w:rPr>
                <w:rFonts w:ascii="inherit" w:hAnsi="inherit"/>
                <w:sz w:val="12"/>
              </w:rPr>
              <w:t>30</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556</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557</w:t>
            </w:r>
          </w:p>
        </w:tc>
        <w:tc>
          <w:tcPr>
            <w:tcW w:w="33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Stock compensation</w:t>
            </w:r>
          </w:p>
        </w:tc>
        <w:tc>
          <w:tcPr>
            <w:tcW w:w="916" w:type="dxa"/>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7,314</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7,314</w:t>
            </w:r>
          </w:p>
        </w:tc>
        <w:tc>
          <w:tcPr>
            <w:tcW w:w="33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Stock options exercised</w:t>
            </w:r>
          </w:p>
        </w:tc>
        <w:tc>
          <w:tcPr>
            <w:tcW w:w="916" w:type="dxa"/>
            <w:tcBorders/>
            <w:shd w:fill="auto" w:val="clear"/>
            <w:vAlign w:val="center"/>
          </w:tcPr>
          <w:p>
            <w:pPr>
              <w:pStyle w:val="TableContents"/>
              <w:spacing w:before="0" w:after="0"/>
              <w:jc w:val="right"/>
              <w:rPr>
                <w:rFonts w:ascii="inherit" w:hAnsi="inherit"/>
                <w:sz w:val="12"/>
              </w:rPr>
            </w:pPr>
            <w:r>
              <w:rPr>
                <w:rFonts w:ascii="inherit" w:hAnsi="inherit"/>
                <w:sz w:val="12"/>
              </w:rPr>
              <w:t>18</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45</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45</w:t>
            </w:r>
          </w:p>
        </w:tc>
        <w:tc>
          <w:tcPr>
            <w:tcW w:w="33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Issuance of common stock due to acquisitions</w:t>
            </w:r>
          </w:p>
        </w:tc>
        <w:tc>
          <w:tcPr>
            <w:tcW w:w="916" w:type="dxa"/>
            <w:tcBorders/>
            <w:shd w:fill="CCEEFF" w:val="clear"/>
            <w:vAlign w:val="center"/>
          </w:tcPr>
          <w:p>
            <w:pPr>
              <w:pStyle w:val="TableContents"/>
              <w:spacing w:before="0" w:after="0"/>
              <w:jc w:val="right"/>
              <w:rPr>
                <w:rFonts w:ascii="inherit" w:hAnsi="inherit"/>
                <w:sz w:val="12"/>
              </w:rPr>
            </w:pPr>
            <w:r>
              <w:rPr>
                <w:rFonts w:ascii="inherit" w:hAnsi="inherit"/>
                <w:sz w:val="12"/>
              </w:rPr>
              <w:t>1,965</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20</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38,685</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38,705</w:t>
            </w:r>
          </w:p>
        </w:tc>
        <w:tc>
          <w:tcPr>
            <w:tcW w:w="33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Issuance of common stock due to purchase of subsidiary shares from noncontrolling interest</w:t>
            </w:r>
          </w:p>
        </w:tc>
        <w:tc>
          <w:tcPr>
            <w:tcW w:w="916" w:type="dxa"/>
            <w:tcBorders/>
            <w:shd w:fill="auto" w:val="clear"/>
            <w:vAlign w:val="center"/>
          </w:tcPr>
          <w:p>
            <w:pPr>
              <w:pStyle w:val="TableContents"/>
              <w:spacing w:before="0" w:after="0"/>
              <w:jc w:val="right"/>
              <w:rPr>
                <w:rFonts w:ascii="inherit" w:hAnsi="inherit"/>
                <w:sz w:val="12"/>
              </w:rPr>
            </w:pPr>
            <w:r>
              <w:rPr>
                <w:rFonts w:ascii="inherit" w:hAnsi="inherit"/>
                <w:sz w:val="12"/>
              </w:rPr>
              <w:t>592</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6</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10,398</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10,404</w:t>
            </w:r>
          </w:p>
        </w:tc>
        <w:tc>
          <w:tcPr>
            <w:tcW w:w="33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Purchase of subsidiary shares from noncontrolling interest</w:t>
            </w:r>
          </w:p>
        </w:tc>
        <w:tc>
          <w:tcPr>
            <w:tcW w:w="916" w:type="dxa"/>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(1,500</w:t>
            </w:r>
          </w:p>
        </w:tc>
        <w:tc>
          <w:tcPr>
            <w:tcW w:w="142"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85</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(1,415</w:t>
            </w:r>
          </w:p>
        </w:tc>
        <w:tc>
          <w:tcPr>
            <w:tcW w:w="331" w:type="dxa"/>
            <w:tcBorders/>
            <w:shd w:fill="CCEEFF" w:val="clear"/>
            <w:vAlign w:val="center"/>
          </w:tcPr>
          <w:p>
            <w:pPr>
              <w:pStyle w:val="TableContents"/>
              <w:spacing w:before="0" w:after="0"/>
              <w:ind w:left="0" w:right="0" w:firstLine="180"/>
              <w:jc w:val="left"/>
              <w:rPr>
                <w:rFonts w:ascii="inherit" w:hAnsi="inherit"/>
                <w:sz w:val="12"/>
              </w:rPr>
            </w:pPr>
            <w:r>
              <w:rPr>
                <w:rFonts w:ascii="inherit" w:hAnsi="inherit"/>
                <w:sz w:val="12"/>
              </w:rPr>
              <w:t>)</w:t>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Release of restricted stock, net of net share settlement</w:t>
            </w:r>
          </w:p>
        </w:tc>
        <w:tc>
          <w:tcPr>
            <w:tcW w:w="916" w:type="dxa"/>
            <w:tcBorders/>
            <w:shd w:fill="auto" w:val="clear"/>
            <w:vAlign w:val="center"/>
          </w:tcPr>
          <w:p>
            <w:pPr>
              <w:pStyle w:val="TableContents"/>
              <w:spacing w:before="0" w:after="0"/>
              <w:jc w:val="right"/>
              <w:rPr>
                <w:rFonts w:ascii="inherit" w:hAnsi="inherit"/>
                <w:sz w:val="12"/>
              </w:rPr>
            </w:pPr>
            <w:r>
              <w:rPr>
                <w:rFonts w:ascii="inherit" w:hAnsi="inherit"/>
                <w:sz w:val="12"/>
              </w:rPr>
              <w:t>409</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4</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4</w:t>
            </w:r>
          </w:p>
        </w:tc>
        <w:tc>
          <w:tcPr>
            <w:tcW w:w="33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Excess tax benefit from stock compensation</w:t>
            </w:r>
          </w:p>
        </w:tc>
        <w:tc>
          <w:tcPr>
            <w:tcW w:w="916" w:type="dxa"/>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293</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pPr>
            <w:r>
              <w:rPr/>
              <w:t>—</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293</w:t>
            </w:r>
          </w:p>
        </w:tc>
        <w:tc>
          <w:tcPr>
            <w:tcW w:w="33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Taxes paid related to net share settlement of equity awards</w:t>
            </w:r>
          </w:p>
        </w:tc>
        <w:tc>
          <w:tcPr>
            <w:tcW w:w="916" w:type="dxa"/>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(3,640</w:t>
            </w:r>
          </w:p>
        </w:tc>
        <w:tc>
          <w:tcPr>
            <w:tcW w:w="142"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pPr>
            <w:r>
              <w:rPr/>
              <w:t>—</w:t>
            </w:r>
          </w:p>
        </w:tc>
        <w:tc>
          <w:tcPr>
            <w:tcW w:w="2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(3,640</w:t>
            </w:r>
          </w:p>
        </w:tc>
        <w:tc>
          <w:tcPr>
            <w:tcW w:w="331" w:type="dxa"/>
            <w:tcBorders/>
            <w:shd w:fill="auto" w:val="clear"/>
            <w:vAlign w:val="center"/>
          </w:tcPr>
          <w:p>
            <w:pPr>
              <w:pStyle w:val="TableContents"/>
              <w:spacing w:before="0" w:after="0"/>
              <w:ind w:left="0" w:right="0" w:firstLine="180"/>
              <w:jc w:val="left"/>
              <w:rPr>
                <w:rFonts w:ascii="inherit" w:hAnsi="inherit"/>
                <w:sz w:val="12"/>
              </w:rPr>
            </w:pPr>
            <w:r>
              <w:rPr>
                <w:rFonts w:ascii="inherit" w:hAnsi="inherit"/>
                <w:sz w:val="12"/>
              </w:rPr>
              <w:t>)</w:t>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Effective portion of cash flow hedge</w:t>
            </w:r>
          </w:p>
        </w:tc>
        <w:tc>
          <w:tcPr>
            <w:tcW w:w="916" w:type="dxa"/>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(89</w:t>
            </w:r>
          </w:p>
        </w:tc>
        <w:tc>
          <w:tcPr>
            <w:tcW w:w="208"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(89</w:t>
            </w:r>
          </w:p>
        </w:tc>
        <w:tc>
          <w:tcPr>
            <w:tcW w:w="331" w:type="dxa"/>
            <w:tcBorders/>
            <w:shd w:fill="CCEEFF" w:val="clear"/>
            <w:vAlign w:val="center"/>
          </w:tcPr>
          <w:p>
            <w:pPr>
              <w:pStyle w:val="TableContents"/>
              <w:spacing w:before="0" w:after="0"/>
              <w:ind w:left="0" w:right="0" w:firstLine="180"/>
              <w:jc w:val="left"/>
              <w:rPr>
                <w:rFonts w:ascii="inherit" w:hAnsi="inherit"/>
                <w:sz w:val="12"/>
              </w:rPr>
            </w:pPr>
            <w:r>
              <w:rPr>
                <w:rFonts w:ascii="inherit" w:hAnsi="inherit"/>
                <w:sz w:val="12"/>
              </w:rPr>
              <w:t>)</w:t>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Unrealized loss on available-for-sale securities</w:t>
            </w:r>
          </w:p>
        </w:tc>
        <w:tc>
          <w:tcPr>
            <w:tcW w:w="916" w:type="dxa"/>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(1,119</w:t>
            </w:r>
          </w:p>
        </w:tc>
        <w:tc>
          <w:tcPr>
            <w:tcW w:w="20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(1,119</w:t>
            </w:r>
          </w:p>
        </w:tc>
        <w:tc>
          <w:tcPr>
            <w:tcW w:w="331" w:type="dxa"/>
            <w:tcBorders/>
            <w:shd w:fill="auto" w:val="clear"/>
            <w:vAlign w:val="center"/>
          </w:tcPr>
          <w:p>
            <w:pPr>
              <w:pStyle w:val="TableContents"/>
              <w:spacing w:before="0" w:after="0"/>
              <w:ind w:left="0" w:right="0" w:firstLine="180"/>
              <w:jc w:val="left"/>
              <w:rPr>
                <w:rFonts w:ascii="inherit" w:hAnsi="inherit"/>
                <w:sz w:val="12"/>
              </w:rPr>
            </w:pPr>
            <w:r>
              <w:rPr>
                <w:rFonts w:ascii="inherit" w:hAnsi="inherit"/>
                <w:sz w:val="12"/>
              </w:rPr>
              <w:t>)</w:t>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Reclassification adjustment for loss on available-for-sale securities included in net income</w:t>
            </w:r>
          </w:p>
        </w:tc>
        <w:tc>
          <w:tcPr>
            <w:tcW w:w="916" w:type="dxa"/>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992</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992</w:t>
            </w:r>
          </w:p>
        </w:tc>
        <w:tc>
          <w:tcPr>
            <w:tcW w:w="33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Foreign currency translation adjustment</w:t>
            </w:r>
          </w:p>
        </w:tc>
        <w:tc>
          <w:tcPr>
            <w:tcW w:w="916" w:type="dxa"/>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(6,651</w:t>
            </w:r>
          </w:p>
        </w:tc>
        <w:tc>
          <w:tcPr>
            <w:tcW w:w="208"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shd w:fill="auto" w:val="clear"/>
            <w:vAlign w:val="center"/>
          </w:tcPr>
          <w:p>
            <w:pPr>
              <w:pStyle w:val="TableContents"/>
              <w:spacing w:before="0" w:after="0"/>
              <w:jc w:val="right"/>
              <w:rPr>
                <w:rFonts w:ascii="inherit" w:hAnsi="inherit"/>
                <w:sz w:val="12"/>
              </w:rPr>
            </w:pPr>
            <w:r>
              <w:rPr>
                <w:rFonts w:ascii="inherit" w:hAnsi="inherit"/>
                <w:sz w:val="12"/>
              </w:rPr>
              <w:t>(6,651</w:t>
            </w:r>
          </w:p>
        </w:tc>
        <w:tc>
          <w:tcPr>
            <w:tcW w:w="331" w:type="dxa"/>
            <w:tcBorders/>
            <w:shd w:fill="auto" w:val="clear"/>
            <w:vAlign w:val="center"/>
          </w:tcPr>
          <w:p>
            <w:pPr>
              <w:pStyle w:val="TableContents"/>
              <w:spacing w:before="0" w:after="0"/>
              <w:ind w:left="0" w:right="0" w:firstLine="180"/>
              <w:jc w:val="left"/>
              <w:rPr>
                <w:rFonts w:ascii="inherit" w:hAnsi="inherit"/>
                <w:sz w:val="12"/>
              </w:rPr>
            </w:pPr>
            <w:r>
              <w:rPr>
                <w:rFonts w:ascii="inherit" w:hAnsi="inherit"/>
                <w:sz w:val="12"/>
              </w:rPr>
              <w:t>)</w:t>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Foreign currency translation reclassification adjustment realized upon impairment</w:t>
            </w:r>
          </w:p>
        </w:tc>
        <w:tc>
          <w:tcPr>
            <w:tcW w:w="916" w:type="dxa"/>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827"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72"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221</w:t>
            </w:r>
          </w:p>
        </w:tc>
        <w:tc>
          <w:tcPr>
            <w:tcW w:w="2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05" w:type="dxa"/>
            <w:gridSpan w:val="2"/>
            <w:tcBorders/>
            <w:shd w:fill="CCEEFF" w:val="clear"/>
            <w:vAlign w:val="center"/>
          </w:tcPr>
          <w:p>
            <w:pPr>
              <w:pStyle w:val="TableContents"/>
              <w:spacing w:before="0" w:after="0"/>
              <w:jc w:val="right"/>
              <w:rPr>
                <w:rFonts w:ascii="inherit" w:hAnsi="inherit"/>
                <w:sz w:val="12"/>
              </w:rPr>
            </w:pPr>
            <w:r>
              <w:rPr>
                <w:rFonts w:ascii="inherit" w:hAnsi="inherit"/>
                <w:sz w:val="12"/>
              </w:rPr>
              <w:t>221</w:t>
            </w:r>
          </w:p>
        </w:tc>
        <w:tc>
          <w:tcPr>
            <w:tcW w:w="33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0" w:type="dxa"/>
            <w:tcBorders/>
            <w:shd w:fill="auto" w:val="clear"/>
            <w:vAlign w:val="center"/>
          </w:tcPr>
          <w:p>
            <w:pPr>
              <w:pStyle w:val="TableContents"/>
              <w:spacing w:before="0" w:after="0"/>
              <w:ind w:left="0" w:right="0" w:firstLine="30"/>
              <w:jc w:val="left"/>
              <w:rPr>
                <w:rFonts w:ascii="inherit" w:hAnsi="inherit"/>
                <w:sz w:val="12"/>
              </w:rPr>
            </w:pPr>
            <w:r>
              <w:rPr>
                <w:rFonts w:ascii="inherit" w:hAnsi="inherit"/>
                <w:sz w:val="12"/>
              </w:rPr>
              <w:t xml:space="preserve">Net income attributable to EZCORP, Inc. </w:t>
            </w:r>
          </w:p>
        </w:tc>
        <w:tc>
          <w:tcPr>
            <w:tcW w:w="916"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7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82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7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0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2"/>
              </w:rPr>
            </w:pPr>
            <w:r>
              <w:rPr>
                <w:rFonts w:ascii="inherit" w:hAnsi="inherit"/>
                <w:sz w:val="12"/>
              </w:rPr>
              <w:t>34,077</w:t>
            </w:r>
          </w:p>
        </w:tc>
        <w:tc>
          <w:tcPr>
            <w:tcW w:w="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0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0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2"/>
              </w:rPr>
            </w:pPr>
            <w:r>
              <w:rPr>
                <w:rFonts w:ascii="inherit" w:hAnsi="inherit"/>
                <w:sz w:val="12"/>
              </w:rPr>
              <w:t>34,077</w:t>
            </w:r>
          </w:p>
        </w:tc>
        <w:tc>
          <w:tcPr>
            <w:tcW w:w="33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70" w:type="dxa"/>
            <w:tcBorders/>
            <w:shd w:fill="CCEEFF" w:val="clear"/>
            <w:vAlign w:val="center"/>
          </w:tcPr>
          <w:p>
            <w:pPr>
              <w:pStyle w:val="TableContents"/>
              <w:spacing w:before="0" w:after="0"/>
              <w:ind w:left="0" w:right="0" w:firstLine="30"/>
              <w:jc w:val="left"/>
              <w:rPr>
                <w:rFonts w:ascii="inherit" w:hAnsi="inherit"/>
                <w:sz w:val="12"/>
              </w:rPr>
            </w:pPr>
            <w:r>
              <w:rPr>
                <w:rFonts w:ascii="inherit" w:hAnsi="inherit"/>
                <w:sz w:val="12"/>
              </w:rPr>
              <w:t>Balances at September 30, 2013</w:t>
            </w:r>
          </w:p>
        </w:tc>
        <w:tc>
          <w:tcPr>
            <w:tcW w:w="91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2"/>
              </w:rPr>
            </w:pPr>
            <w:r>
              <w:rPr>
                <w:rFonts w:ascii="inherit" w:hAnsi="inherit"/>
                <w:sz w:val="12"/>
              </w:rPr>
              <w:t>54,240</w:t>
            </w:r>
          </w:p>
        </w:tc>
        <w:tc>
          <w:tcPr>
            <w:tcW w:w="7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67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2"/>
              </w:rPr>
            </w:pPr>
            <w:r>
              <w:rPr>
                <w:rFonts w:ascii="inherit" w:hAnsi="inherit"/>
                <w:sz w:val="12"/>
              </w:rPr>
              <w:t>543</w:t>
            </w:r>
          </w:p>
        </w:tc>
        <w:tc>
          <w:tcPr>
            <w:tcW w:w="7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93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2"/>
              </w:rPr>
            </w:pPr>
            <w:r>
              <w:rPr>
                <w:rFonts w:ascii="inherit" w:hAnsi="inherit"/>
                <w:sz w:val="12"/>
              </w:rPr>
              <w:t>320,777</w:t>
            </w:r>
          </w:p>
        </w:tc>
        <w:tc>
          <w:tcPr>
            <w:tcW w:w="14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90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2"/>
              </w:rPr>
            </w:pPr>
            <w:r>
              <w:rPr>
                <w:rFonts w:ascii="inherit" w:hAnsi="inherit"/>
                <w:sz w:val="12"/>
              </w:rPr>
              <w:t>599,880</w:t>
            </w:r>
          </w:p>
        </w:tc>
        <w:tc>
          <w:tcPr>
            <w:tcW w:w="7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0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11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2"/>
              </w:rPr>
            </w:pPr>
            <w:r>
              <w:rPr>
                <w:rFonts w:ascii="inherit" w:hAnsi="inherit"/>
                <w:sz w:val="12"/>
              </w:rPr>
              <w:t>(6,674</w:t>
            </w:r>
          </w:p>
        </w:tc>
        <w:tc>
          <w:tcPr>
            <w:tcW w:w="208"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2"/>
              </w:rPr>
            </w:pPr>
            <w:r>
              <w:rPr>
                <w:rFonts w:ascii="inherit" w:hAnsi="inherit"/>
                <w:sz w:val="12"/>
              </w:rPr>
              <w:t>)</w:t>
            </w:r>
          </w:p>
        </w:tc>
        <w:tc>
          <w:tcPr>
            <w:tcW w:w="130" w:type="dxa"/>
            <w:tcBorders/>
            <w:shd w:fill="CCEEFF" w:val="clear"/>
            <w:vAlign w:val="center"/>
          </w:tcPr>
          <w:p>
            <w:pPr>
              <w:pStyle w:val="TableContents"/>
              <w:spacing w:before="0" w:after="0"/>
              <w:ind w:left="0" w:right="0" w:firstLine="30"/>
              <w:rPr/>
            </w:pPr>
            <w:r>
              <w:rPr/>
              <w:t> </w:t>
            </w:r>
          </w:p>
        </w:tc>
        <w:tc>
          <w:tcPr>
            <w:tcW w:w="14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2"/>
              </w:rPr>
            </w:pPr>
            <w:r>
              <w:rPr>
                <w:rFonts w:ascii="inherit" w:hAnsi="inherit"/>
                <w:sz w:val="12"/>
              </w:rPr>
              <w:t>$</w:t>
            </w:r>
          </w:p>
        </w:tc>
        <w:tc>
          <w:tcPr>
            <w:tcW w:w="95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2"/>
              </w:rPr>
            </w:pPr>
            <w:r>
              <w:rPr>
                <w:rFonts w:ascii="inherit" w:hAnsi="inherit"/>
                <w:sz w:val="12"/>
              </w:rPr>
              <w:t>914,526</w:t>
            </w:r>
          </w:p>
        </w:tc>
        <w:tc>
          <w:tcPr>
            <w:tcW w:w="33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7"/>
        </w:rPr>
      </w:pPr>
      <w:r>
        <w:rPr>
          <w:rFonts w:ascii="inherit" w:hAnsi="inherit"/>
          <w:i/>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62</w:t>
      </w:r>
      <w:r>
        <w:br w:type="page"/>
      </w:r>
    </w:p>
    <w:p>
      <w:pPr>
        <w:pStyle w:val="TextBody"/>
        <w:spacing w:lineRule="auto" w:line="288" w:before="0" w:after="0"/>
        <w:rPr/>
      </w:pPr>
      <w:hyperlink w:anchor="sA13583D437E20DC41B4583E2BD74AA47">
        <w:bookmarkStart w:id="61" w:name="s1E5E6119702C3E453D7083E2C3C72578"/>
        <w:bookmarkEnd w:id="61"/>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Notes to Consolidated Financial Statements</w:t>
      </w:r>
    </w:p>
    <w:p>
      <w:pPr>
        <w:pStyle w:val="TextBody"/>
        <w:spacing w:lineRule="auto" w:line="288" w:before="0" w:after="0"/>
        <w:jc w:val="left"/>
        <w:rPr>
          <w:rFonts w:ascii="inherit" w:hAnsi="inherit"/>
          <w:b/>
          <w:sz w:val="17"/>
        </w:rPr>
      </w:pPr>
      <w:bookmarkStart w:id="62" w:name="s59061E8DD2D189BFE88983E26CB53D0F"/>
      <w:bookmarkEnd w:id="62"/>
      <w:r>
        <w:rPr>
          <w:rFonts w:ascii="inherit" w:hAnsi="inherit"/>
          <w:b/>
          <w:sz w:val="17"/>
        </w:rPr>
        <w:t>NOTE 1: ORGANIZATION AND SUMMARY OF SIGNIFICANT ACCOUNTING POLICIES</w:t>
      </w:r>
    </w:p>
    <w:p>
      <w:pPr>
        <w:pStyle w:val="TextBody"/>
        <w:spacing w:lineRule="auto" w:line="288" w:before="0" w:after="0"/>
        <w:jc w:val="left"/>
        <w:rPr>
          <w:rFonts w:ascii="inherit" w:hAnsi="inherit"/>
          <w:b/>
          <w:sz w:val="17"/>
        </w:rPr>
      </w:pPr>
      <w:r>
        <w:rPr>
          <w:rFonts w:ascii="inherit" w:hAnsi="inherit"/>
          <w:b/>
          <w:sz w:val="17"/>
        </w:rPr>
        <w:t>Organization</w:t>
      </w:r>
    </w:p>
    <w:p>
      <w:pPr>
        <w:pStyle w:val="TextBody"/>
        <w:spacing w:lineRule="auto" w:line="288" w:before="0" w:after="0"/>
        <w:jc w:val="left"/>
        <w:rPr>
          <w:rFonts w:ascii="inherit" w:hAnsi="inherit"/>
          <w:sz w:val="17"/>
        </w:rPr>
      </w:pPr>
      <w:r>
        <w:rPr>
          <w:rFonts w:ascii="inherit" w:hAnsi="inherit"/>
          <w:sz w:val="17"/>
        </w:rPr>
        <w:t>We are a leading provider of specialty consumer financial services. We provide collateralized, non-recourse loans, commonly known as pawn loans, and a variety of short-term consumer loans including single-payment and multiple-payment unsecured loans and single-payment and multiple-payment auto title loans, or fee-based credit services to customers seeking loans.</w:t>
      </w:r>
    </w:p>
    <w:p>
      <w:pPr>
        <w:pStyle w:val="TextBody"/>
        <w:spacing w:lineRule="auto" w:line="288" w:before="0" w:after="0"/>
        <w:jc w:val="left"/>
        <w:rPr>
          <w:sz w:val="17"/>
        </w:rPr>
      </w:pPr>
      <w:r>
        <w:rPr>
          <w:rFonts w:ascii="inherit" w:hAnsi="inherit"/>
          <w:sz w:val="17"/>
        </w:rPr>
        <w:t>At September 30, 2013, we operated a total of 1,342</w:t>
      </w:r>
      <w:r>
        <w:rPr>
          <w:sz w:val="17"/>
        </w:rPr>
        <w:t xml:space="preserve"> </w:t>
      </w:r>
      <w:r>
        <w:rPr>
          <w:rFonts w:ascii="inherit" w:hAnsi="inherit"/>
          <w:sz w:val="17"/>
        </w:rPr>
        <w:t>locations, consisting of 495</w:t>
      </w:r>
      <w:r>
        <w:rPr>
          <w:sz w:val="17"/>
        </w:rPr>
        <w:t xml:space="preserve"> </w:t>
      </w:r>
      <w:r>
        <w:rPr>
          <w:rFonts w:ascii="inherit" w:hAnsi="inherit"/>
          <w:sz w:val="17"/>
        </w:rPr>
        <w:t>U.S. pawn stores (operating as EZPAWN or Value Pawn), seven</w:t>
      </w:r>
      <w:r>
        <w:rPr>
          <w:sz w:val="17"/>
        </w:rPr>
        <w:t xml:space="preserve"> </w:t>
      </w:r>
      <w:r>
        <w:rPr>
          <w:rFonts w:ascii="inherit" w:hAnsi="inherit"/>
          <w:sz w:val="17"/>
        </w:rPr>
        <w:t>U.S. buy/sell stores (operating as Cash Converters), 239</w:t>
      </w:r>
      <w:r>
        <w:rPr>
          <w:sz w:val="17"/>
        </w:rPr>
        <w:t xml:space="preserve"> </w:t>
      </w:r>
      <w:r>
        <w:rPr>
          <w:rFonts w:ascii="inherit" w:hAnsi="inherit"/>
          <w:sz w:val="17"/>
        </w:rPr>
        <w:t>pawn stores in Mexico (operating as Empeño Fácil), 489</w:t>
      </w:r>
      <w:r>
        <w:rPr>
          <w:sz w:val="17"/>
        </w:rPr>
        <w:t xml:space="preserve"> </w:t>
      </w:r>
      <w:r>
        <w:rPr>
          <w:rFonts w:ascii="inherit" w:hAnsi="inherit"/>
          <w:sz w:val="17"/>
        </w:rPr>
        <w:t>U.S. financial services stores (operating primarily as EZMONEY), 24</w:t>
      </w:r>
      <w:r>
        <w:rPr>
          <w:sz w:val="17"/>
        </w:rPr>
        <w:t xml:space="preserve"> </w:t>
      </w:r>
      <w:r>
        <w:rPr>
          <w:rFonts w:ascii="inherit" w:hAnsi="inherit"/>
          <w:sz w:val="17"/>
        </w:rPr>
        <w:t>financial services stores in Canada (operating as CASHMAX), 15</w:t>
      </w:r>
      <w:r>
        <w:rPr>
          <w:sz w:val="17"/>
        </w:rPr>
        <w:t xml:space="preserve"> </w:t>
      </w:r>
      <w:r>
        <w:rPr>
          <w:rFonts w:ascii="inherit" w:hAnsi="inherit"/>
          <w:sz w:val="17"/>
        </w:rPr>
        <w:t>buy/sell and financial services stores in Canada (operating as Cash Converters), 19</w:t>
      </w:r>
      <w:r>
        <w:rPr>
          <w:sz w:val="17"/>
        </w:rPr>
        <w:t xml:space="preserve"> </w:t>
      </w:r>
      <w:r>
        <w:rPr>
          <w:rFonts w:ascii="inherit" w:hAnsi="inherit"/>
          <w:sz w:val="17"/>
        </w:rPr>
        <w:t>TUYO buy/sell stores in Mexico, and 54</w:t>
      </w:r>
      <w:r>
        <w:rPr>
          <w:sz w:val="17"/>
        </w:rPr>
        <w:t xml:space="preserve"> </w:t>
      </w:r>
      <w:r>
        <w:rPr>
          <w:rFonts w:ascii="inherit" w:hAnsi="inherit"/>
          <w:sz w:val="17"/>
        </w:rPr>
        <w:t>Grupo Finmart locations in Mexico. We are the franchisor for eight</w:t>
      </w:r>
      <w:r>
        <w:rPr>
          <w:sz w:val="17"/>
        </w:rPr>
        <w:t xml:space="preserve"> </w:t>
      </w:r>
      <w:r>
        <w:rPr>
          <w:rFonts w:ascii="inherit" w:hAnsi="inherit"/>
          <w:sz w:val="17"/>
        </w:rPr>
        <w:t xml:space="preserve">franchised stores in Canada pursuant to our acquisition of the Cash Converters master franchise in that country. In addition, we offer consumer loans online in the U.S. and the U.K. operating primarily as EZMONEY.com and CashGenie.com, respectively. We also own approximately </w:t>
      </w:r>
      <w:r>
        <w:rPr>
          <w:rFonts w:ascii="inherit" w:hAnsi="inherit"/>
          <w:strike w:val="false"/>
          <w:dstrike w:val="false"/>
          <w:color w:val="000000"/>
          <w:sz w:val="17"/>
          <w:u w:val="none"/>
          <w:effect w:val="none"/>
        </w:rPr>
        <w:t>30%</w:t>
      </w:r>
      <w:r>
        <w:rPr>
          <w:sz w:val="17"/>
        </w:rPr>
        <w:t xml:space="preserve"> </w:t>
      </w:r>
      <w:r>
        <w:rPr>
          <w:rFonts w:ascii="inherit" w:hAnsi="inherit"/>
          <w:sz w:val="17"/>
        </w:rPr>
        <w:t xml:space="preserve">of Albemarle &amp; Bond Holdings PLC ("Albemarle &amp; Bond"), one of the U.K.’s largest pawnbroking businesses with over </w:t>
      </w:r>
      <w:r>
        <w:rPr>
          <w:rFonts w:ascii="inherit" w:hAnsi="inherit"/>
          <w:strike w:val="false"/>
          <w:dstrike w:val="false"/>
          <w:color w:val="000000"/>
          <w:sz w:val="17"/>
          <w:u w:val="none"/>
          <w:effect w:val="none"/>
        </w:rPr>
        <w:t>230</w:t>
      </w:r>
      <w:r>
        <w:rPr>
          <w:sz w:val="17"/>
        </w:rPr>
        <w:t xml:space="preserve"> </w:t>
      </w:r>
      <w:r>
        <w:rPr>
          <w:rFonts w:ascii="inherit" w:hAnsi="inherit"/>
          <w:sz w:val="17"/>
        </w:rPr>
        <w:t xml:space="preserve">stores, and approximately </w:t>
      </w:r>
      <w:r>
        <w:rPr>
          <w:rFonts w:ascii="inherit" w:hAnsi="inherit"/>
          <w:strike w:val="false"/>
          <w:dstrike w:val="false"/>
          <w:color w:val="000000"/>
          <w:sz w:val="17"/>
          <w:u w:val="none"/>
          <w:effect w:val="none"/>
        </w:rPr>
        <w:t>33%</w:t>
      </w:r>
      <w:r>
        <w:rPr>
          <w:sz w:val="17"/>
        </w:rPr>
        <w:t xml:space="preserve"> </w:t>
      </w:r>
      <w:r>
        <w:rPr>
          <w:rFonts w:ascii="inherit" w:hAnsi="inherit"/>
          <w:sz w:val="17"/>
        </w:rPr>
        <w:t xml:space="preserve">of Cash Converters International Limited ("Cash Converters International"), which franchises and operates a worldwide network of over </w:t>
      </w:r>
      <w:r>
        <w:rPr>
          <w:rFonts w:ascii="inherit" w:hAnsi="inherit"/>
          <w:strike w:val="false"/>
          <w:dstrike w:val="false"/>
          <w:color w:val="000000"/>
          <w:sz w:val="17"/>
          <w:u w:val="none"/>
          <w:effect w:val="none"/>
        </w:rPr>
        <w:t>700</w:t>
      </w:r>
      <w:r>
        <w:rPr>
          <w:sz w:val="17"/>
        </w:rPr>
        <w:t xml:space="preserve"> </w:t>
      </w:r>
      <w:r>
        <w:rPr>
          <w:rFonts w:ascii="inherit" w:hAnsi="inherit"/>
          <w:sz w:val="17"/>
        </w:rPr>
        <w:t xml:space="preserve">financial services and second-hand retail stores. </w:t>
      </w:r>
    </w:p>
    <w:p>
      <w:pPr>
        <w:pStyle w:val="TextBody"/>
        <w:spacing w:lineRule="auto" w:line="288" w:before="0" w:after="0"/>
        <w:jc w:val="left"/>
        <w:rPr>
          <w:rFonts w:ascii="inherit" w:hAnsi="inherit"/>
          <w:b/>
          <w:sz w:val="17"/>
        </w:rPr>
      </w:pPr>
      <w:r>
        <w:rPr>
          <w:rFonts w:ascii="inherit" w:hAnsi="inherit"/>
          <w:b/>
          <w:sz w:val="17"/>
        </w:rPr>
        <w:t>Consolidation</w:t>
      </w:r>
    </w:p>
    <w:p>
      <w:pPr>
        <w:pStyle w:val="TextBody"/>
        <w:spacing w:lineRule="auto" w:line="288" w:before="0" w:after="0"/>
        <w:rPr>
          <w:sz w:val="17"/>
        </w:rPr>
      </w:pPr>
      <w:r>
        <w:rPr>
          <w:rFonts w:ascii="inherit" w:hAnsi="inherit"/>
          <w:sz w:val="17"/>
        </w:rPr>
        <w:t xml:space="preserve">The consolidated financial statements include the accounts of EZCORP, Inc. ("EZCORP") and its consolidated subsidiaries. All inter-company accounts and transactions have been eliminated in consolidation. As of </w:t>
      </w:r>
      <w:r>
        <w:rPr>
          <w:rFonts w:ascii="inherit" w:hAnsi="inherit"/>
          <w:strike w:val="false"/>
          <w:dstrike w:val="false"/>
          <w:color w:val="000000"/>
          <w:sz w:val="17"/>
          <w:u w:val="none"/>
          <w:effect w:val="none"/>
        </w:rPr>
        <w:t>September 30, 2013</w:t>
      </w:r>
      <w:r>
        <w:rPr>
          <w:rFonts w:ascii="inherit" w:hAnsi="inherit"/>
          <w:sz w:val="17"/>
        </w:rPr>
        <w:t>, we own 60%</w:t>
      </w:r>
      <w:r>
        <w:rPr>
          <w:sz w:val="17"/>
        </w:rPr>
        <w:t xml:space="preserve"> </w:t>
      </w:r>
      <w:r>
        <w:rPr>
          <w:rFonts w:ascii="inherit" w:hAnsi="inherit"/>
          <w:sz w:val="17"/>
        </w:rPr>
        <w:t>of the outstanding equity interests in Prestaciones Finmart, S.A. de C.V., SOFOM, E.N.R. (“Grupo Finmart") doing business under the brands "Crediamigo" and "Adex" and 51%</w:t>
      </w:r>
      <w:r>
        <w:rPr>
          <w:sz w:val="17"/>
        </w:rPr>
        <w:t xml:space="preserve"> </w:t>
      </w:r>
      <w:r>
        <w:rPr>
          <w:rFonts w:ascii="inherit" w:hAnsi="inherit"/>
          <w:sz w:val="17"/>
        </w:rPr>
        <w:t xml:space="preserve">of Renueva Comercial S.A. de C.V. ("TUYO"), and therefore, include their results in our consolidated financial statements. We account for our investments in Albemarle &amp; Bond and Cash Converters International using the equity method. Certain prior period balances have been reclassified to conform to the current presentation.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20"/>
        </w:rPr>
      </w:pPr>
      <w:r>
        <w:rPr>
          <w:rFonts w:ascii="inherit" w:hAnsi="inherit"/>
          <w:b/>
          <w:sz w:val="17"/>
        </w:rPr>
        <w:t>Prior Year Cash Flow Statement Correction of Error</w:t>
      </w:r>
      <w:r>
        <w:rPr>
          <w:sz w:val="20"/>
        </w:rPr>
        <w:t xml:space="preserve">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Subsequent to the issuance of the financial statements for the year ended September 30, 2012, management identified an error in the cash flow statement for the year ended September 30, 2012. The Company incorrectly presented a $15.1 million</w:t>
      </w:r>
      <w:r>
        <w:rPr>
          <w:sz w:val="17"/>
        </w:rPr>
        <w:t xml:space="preserve"> </w:t>
      </w:r>
      <w:r>
        <w:rPr>
          <w:rFonts w:ascii="inherit" w:hAnsi="inherit"/>
          <w:sz w:val="17"/>
        </w:rPr>
        <w:t>gain on refinancing resulting from the write-off of a debt premium on refinancing as a cash outflow from financing activities. The amount should have been shown as a non-cash reduction in operating activities to reconcile net income to cash flow from operating activities. The following reflects the effects of the correction on the statement of cash flows for the year ended September 30, 2012:</w:t>
      </w:r>
    </w:p>
    <w:tbl>
      <w:tblPr>
        <w:tblW w:w="10205" w:type="dxa"/>
        <w:jc w:val="left"/>
        <w:tblInd w:w="0" w:type="dxa"/>
        <w:tblCellMar>
          <w:top w:w="0" w:type="dxa"/>
          <w:left w:w="0" w:type="dxa"/>
          <w:bottom w:w="0" w:type="dxa"/>
          <w:right w:w="0" w:type="dxa"/>
        </w:tblCellMar>
      </w:tblPr>
      <w:tblGrid>
        <w:gridCol w:w="6745"/>
        <w:gridCol w:w="166"/>
        <w:gridCol w:w="1488"/>
        <w:gridCol w:w="106"/>
        <w:gridCol w:w="155"/>
        <w:gridCol w:w="1428"/>
        <w:gridCol w:w="117"/>
      </w:tblGrid>
      <w:tr>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674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745" w:type="dxa"/>
            <w:tcBorders/>
            <w:shd w:fill="auto" w:val="clear"/>
            <w:vAlign w:val="center"/>
          </w:tcPr>
          <w:p>
            <w:pPr>
              <w:pStyle w:val="TableContents"/>
              <w:spacing w:before="0" w:after="0"/>
              <w:ind w:left="0" w:right="0" w:firstLine="30"/>
              <w:rPr/>
            </w:pPr>
            <w:r>
              <w:rPr/>
              <w:t> </w:t>
            </w:r>
          </w:p>
        </w:tc>
        <w:tc>
          <w:tcPr>
            <w:tcW w:w="176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As Previously</w:t>
            </w:r>
          </w:p>
          <w:p>
            <w:pPr>
              <w:pStyle w:val="TableContents"/>
              <w:spacing w:before="0" w:after="0"/>
              <w:ind w:left="0" w:right="0" w:firstLine="30"/>
              <w:jc w:val="center"/>
              <w:rPr/>
            </w:pPr>
            <w:r>
              <w:rPr/>
              <w:t> </w:t>
            </w:r>
            <w:r>
              <w:rPr>
                <w:rFonts w:ascii="inherit" w:hAnsi="inherit"/>
                <w:b/>
                <w:sz w:val="17"/>
              </w:rPr>
              <w:t>Reported</w:t>
            </w:r>
          </w:p>
        </w:tc>
        <w:tc>
          <w:tcPr>
            <w:tcW w:w="17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As Restated</w:t>
            </w:r>
          </w:p>
        </w:tc>
      </w:tr>
      <w:tr>
        <w:trPr/>
        <w:tc>
          <w:tcPr>
            <w:tcW w:w="6745" w:type="dxa"/>
            <w:tcBorders/>
            <w:shd w:fill="auto" w:val="clear"/>
            <w:vAlign w:val="center"/>
          </w:tcPr>
          <w:p>
            <w:pPr>
              <w:pStyle w:val="TableContents"/>
              <w:spacing w:before="0" w:after="0"/>
              <w:ind w:left="0" w:right="0" w:firstLine="30"/>
              <w:rPr/>
            </w:pPr>
            <w:r>
              <w:rPr/>
              <w:t> </w:t>
            </w:r>
          </w:p>
        </w:tc>
        <w:tc>
          <w:tcPr>
            <w:tcW w:w="3460" w:type="dxa"/>
            <w:gridSpan w:val="6"/>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operating activities</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88" w:type="dxa"/>
            <w:tcBorders/>
            <w:shd w:fill="CCEEFF" w:val="clear"/>
            <w:vAlign w:val="center"/>
          </w:tcPr>
          <w:p>
            <w:pPr>
              <w:pStyle w:val="TableContents"/>
              <w:spacing w:before="0" w:after="0"/>
              <w:jc w:val="right"/>
              <w:rPr>
                <w:rFonts w:ascii="inherit" w:hAnsi="inherit"/>
                <w:sz w:val="17"/>
              </w:rPr>
            </w:pPr>
            <w:r>
              <w:rPr>
                <w:rFonts w:ascii="inherit" w:hAnsi="inherit"/>
                <w:sz w:val="17"/>
              </w:rPr>
              <w:t>156,008</w:t>
            </w:r>
          </w:p>
        </w:tc>
        <w:tc>
          <w:tcPr>
            <w:tcW w:w="1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28" w:type="dxa"/>
            <w:tcBorders/>
            <w:shd w:fill="CCEEFF" w:val="clear"/>
            <w:vAlign w:val="center"/>
          </w:tcPr>
          <w:p>
            <w:pPr>
              <w:pStyle w:val="TableContents"/>
              <w:spacing w:before="0" w:after="0"/>
              <w:jc w:val="right"/>
              <w:rPr>
                <w:rFonts w:ascii="inherit" w:hAnsi="inherit"/>
                <w:sz w:val="17"/>
              </w:rPr>
            </w:pPr>
            <w:r>
              <w:rPr>
                <w:rFonts w:ascii="inherit" w:hAnsi="inherit"/>
                <w:sz w:val="17"/>
              </w:rPr>
              <w:t>140,917</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financing activities</w:t>
            </w:r>
          </w:p>
        </w:tc>
        <w:tc>
          <w:tcPr>
            <w:tcW w:w="16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84,175</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99,266</w:t>
            </w:r>
          </w:p>
        </w:tc>
        <w:tc>
          <w:tcPr>
            <w:tcW w:w="117"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7"/>
        </w:rPr>
      </w:pPr>
      <w:r>
        <w:rPr>
          <w:rFonts w:ascii="inherit" w:hAnsi="inherit"/>
          <w:b/>
          <w:sz w:val="17"/>
        </w:rPr>
        <w:t>Pawn Loan and Sales Revenue Recognition</w:t>
      </w:r>
    </w:p>
    <w:p>
      <w:pPr>
        <w:pStyle w:val="TextBody"/>
        <w:spacing w:lineRule="auto" w:line="288" w:before="0" w:after="0"/>
        <w:jc w:val="left"/>
        <w:rPr>
          <w:rFonts w:ascii="inherit" w:hAnsi="inherit"/>
          <w:sz w:val="17"/>
        </w:rPr>
      </w:pPr>
      <w:r>
        <w:rPr>
          <w:rFonts w:ascii="inherit" w:hAnsi="inherit"/>
          <w:sz w:val="17"/>
        </w:rPr>
        <w:t>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property. We record sales revenue and the related cost when this inventory is sold, or when we receive the final payment on a layaway sale. Sales tax collected on the sale of inventory is excluded from the amount recognized as sales and instead recorded as a liability in “Accounts payable and other accrued expenses” on our balance sheets until remitted to the appropriate governmental authorities.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63</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Consumer Loans</w:t>
      </w:r>
    </w:p>
    <w:p>
      <w:pPr>
        <w:pStyle w:val="TextBody"/>
        <w:spacing w:lineRule="auto" w:line="288" w:before="0" w:after="0"/>
        <w:jc w:val="left"/>
        <w:rPr>
          <w:rFonts w:ascii="inherit" w:hAnsi="inherit"/>
          <w:sz w:val="17"/>
        </w:rPr>
      </w:pPr>
      <w:r>
        <w:rPr>
          <w:rFonts w:ascii="inherit" w:hAnsi="inherit"/>
          <w:sz w:val="17"/>
        </w:rPr>
        <w:t xml:space="preserve">We provide a variety of short-term consumer loans including single-payment and multiple-payment unsecured loans and single-payment and multiple-payment auto title loans. In Texas, we provide fee-based credit services to customers seeking loans. In Mexico, Grupo Finmart enters into agreements with employers that permit it to market consumer loans to employees. Payments are withheld by the employers through payroll deductions and remitted to Grupo Finmart. </w:t>
      </w:r>
    </w:p>
    <w:p>
      <w:pPr>
        <w:pStyle w:val="TextBody"/>
        <w:spacing w:lineRule="auto" w:line="288" w:before="0" w:after="0"/>
        <w:jc w:val="left"/>
        <w:rPr>
          <w:rFonts w:ascii="inherit" w:hAnsi="inherit"/>
          <w:i/>
          <w:sz w:val="17"/>
        </w:rPr>
      </w:pPr>
      <w:r>
        <w:rPr>
          <w:rFonts w:ascii="inherit" w:hAnsi="inherit"/>
          <w:i/>
          <w:sz w:val="17"/>
        </w:rPr>
        <w:t>Revenue Recognition</w:t>
      </w:r>
    </w:p>
    <w:p>
      <w:pPr>
        <w:pStyle w:val="TextBody"/>
        <w:spacing w:lineRule="auto" w:line="288" w:before="0" w:after="0"/>
        <w:ind w:left="0" w:right="0" w:firstLine="360"/>
        <w:jc w:val="left"/>
        <w:rPr>
          <w:sz w:val="17"/>
        </w:rPr>
      </w:pPr>
      <w:r>
        <w:rPr>
          <w:rFonts w:ascii="inherit" w:hAnsi="inherit"/>
          <w:i/>
          <w:sz w:val="17"/>
        </w:rPr>
        <w:t xml:space="preserve">Unsecured Consumer Loan Credit Service Fees — </w:t>
      </w:r>
      <w:r>
        <w:rPr>
          <w:rFonts w:ascii="inherit" w:hAnsi="inherit"/>
          <w:sz w:val="17"/>
        </w:rPr>
        <w:t>We earn credit service fees when we assist customers in obtaining unsecured loans from unaffiliated lenders. We 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Unsecured loan credit service fee revenue is included in “Consumer loan fees and interest” on our consolidated statements of operations.</w:t>
      </w:r>
    </w:p>
    <w:p>
      <w:pPr>
        <w:pStyle w:val="TextBody"/>
        <w:spacing w:lineRule="auto" w:line="288" w:before="0" w:after="0"/>
        <w:ind w:left="0" w:right="0" w:firstLine="360"/>
        <w:jc w:val="left"/>
        <w:rPr>
          <w:sz w:val="17"/>
        </w:rPr>
      </w:pPr>
      <w:r>
        <w:rPr>
          <w:rFonts w:ascii="inherit" w:hAnsi="inherit"/>
          <w:i/>
          <w:sz w:val="17"/>
        </w:rPr>
        <w:t xml:space="preserve">Unsecured Consumer Loan Revenue — </w:t>
      </w:r>
      <w:r>
        <w:rPr>
          <w:rFonts w:ascii="inherit" w:hAnsi="inherit"/>
          <w:sz w:val="17"/>
        </w:rPr>
        <w:t>We accrue fees and interest in accordance with state and provincial laws on the percentage of unsecured loans (single-payment and multiple-payment) we have made that we believe to be collectible. Accrued fees related to defaulted loans reduce fee revenue upon loan default and increase fee revenue upon collection. Unsecured loan revenue is included in “Consumer loan fees and interest” on our consolidated statements of operations.</w:t>
      </w:r>
    </w:p>
    <w:p>
      <w:pPr>
        <w:pStyle w:val="TextBody"/>
        <w:spacing w:lineRule="auto" w:line="288" w:before="0" w:after="0"/>
        <w:ind w:left="0" w:right="0" w:firstLine="360"/>
        <w:jc w:val="left"/>
        <w:rPr>
          <w:sz w:val="17"/>
        </w:rPr>
      </w:pPr>
      <w:r>
        <w:rPr>
          <w:rFonts w:ascii="inherit" w:hAnsi="inherit"/>
          <w:i/>
          <w:sz w:val="17"/>
        </w:rPr>
        <w:t xml:space="preserve">Long-term Unsecured Consumer Loan Revenue — </w:t>
      </w:r>
      <w:r>
        <w:rPr>
          <w:rFonts w:ascii="inherit" w:hAnsi="inherit"/>
          <w:sz w:val="17"/>
        </w:rPr>
        <w:t>Grupo Finmart customers obtain installment loans with a series of payments due over as long as a four-year period. We recognize consumer loan interest related to loans we originate based on the percentage of consumer loans made that we believe to be collectible. We recognize interest revenue ratably over the life of the related loans. We reserve the percentage of interest we expect not to collect. Accrued interest related to defaulted loans reduce consumer loan revenue upon loan default and increase consumer loan fee revenue upon collection. Long-term unsecured consumer loan revenue is included in “Consumer loan fees and interest” on our consolidated statements of operations.</w:t>
      </w:r>
    </w:p>
    <w:p>
      <w:pPr>
        <w:pStyle w:val="TextBody"/>
        <w:spacing w:lineRule="auto" w:line="288" w:before="0" w:after="0"/>
        <w:ind w:left="0" w:right="0" w:firstLine="360"/>
        <w:jc w:val="left"/>
        <w:rPr>
          <w:sz w:val="17"/>
        </w:rPr>
      </w:pPr>
      <w:r>
        <w:rPr>
          <w:rFonts w:ascii="inherit" w:hAnsi="inherit"/>
          <w:i/>
          <w:sz w:val="17"/>
        </w:rPr>
        <w:t xml:space="preserve">Auto Title Loan Credit Service Fee Revenue — </w:t>
      </w:r>
      <w:r>
        <w:rPr>
          <w:rFonts w:ascii="inherit" w:hAnsi="inherit"/>
          <w:sz w:val="17"/>
        </w:rPr>
        <w:t>We earn auto title credit service fees when we assist customers in obtaining auto title loans from unaffiliated lenders. We recognize the fee revenue ratably over the life of the loan, and reserve the percentage of fees we expect not to collect. Auto title loan credit service fee revenue is included in “Consumer loan fees and interest” on our consolidated statements of operations.</w:t>
      </w:r>
    </w:p>
    <w:p>
      <w:pPr>
        <w:pStyle w:val="TextBody"/>
        <w:spacing w:lineRule="auto" w:line="288" w:before="0" w:after="0"/>
        <w:ind w:left="0" w:right="0" w:firstLine="360"/>
        <w:jc w:val="left"/>
        <w:rPr>
          <w:sz w:val="17"/>
        </w:rPr>
      </w:pPr>
      <w:r>
        <w:rPr>
          <w:rFonts w:ascii="inherit" w:hAnsi="inherit"/>
          <w:i/>
          <w:sz w:val="17"/>
        </w:rPr>
        <w:t xml:space="preserve">Auto Title Loan Revenue — </w:t>
      </w:r>
      <w:r>
        <w:rPr>
          <w:rFonts w:ascii="inherit" w:hAnsi="inherit"/>
          <w:sz w:val="17"/>
        </w:rPr>
        <w:t>We accrue fees in accordance with state laws on the percentage of auto title loans we have made that we believe to be collectible. We recognize the fee revenue ratably over the life of the loan. Auto title loan revenue is included in “Consumer loan fees and interest” on our consolidated statements of operations.</w:t>
      </w:r>
    </w:p>
    <w:p>
      <w:pPr>
        <w:pStyle w:val="TextBody"/>
        <w:spacing w:lineRule="auto" w:line="288" w:before="0" w:after="0"/>
        <w:jc w:val="left"/>
        <w:rPr>
          <w:rFonts w:ascii="inherit" w:hAnsi="inherit"/>
          <w:i/>
          <w:sz w:val="17"/>
        </w:rPr>
      </w:pPr>
      <w:r>
        <w:rPr>
          <w:rFonts w:ascii="inherit" w:hAnsi="inherit"/>
          <w:i/>
          <w:sz w:val="17"/>
        </w:rPr>
        <w:t>Bad Debt and Allowance For Losses</w:t>
      </w:r>
    </w:p>
    <w:p>
      <w:pPr>
        <w:pStyle w:val="TextBody"/>
        <w:spacing w:lineRule="auto" w:line="288" w:before="0" w:after="0"/>
        <w:ind w:left="0" w:right="0" w:firstLine="360"/>
        <w:jc w:val="left"/>
        <w:rPr>
          <w:sz w:val="17"/>
        </w:rPr>
      </w:pPr>
      <w:r>
        <w:rPr>
          <w:rFonts w:ascii="inherit" w:hAnsi="inherit"/>
          <w:i/>
          <w:sz w:val="17"/>
        </w:rPr>
        <w:t xml:space="preserve">Unsecured Consumer Loan Credit Service Bad Debt — </w:t>
      </w:r>
      <w:r>
        <w:rPr>
          <w:rFonts w:ascii="inherit" w:hAnsi="inherit"/>
          <w:sz w:val="17"/>
        </w:rPr>
        <w:t xml:space="preserve">We issue letters of credit to enhance the creditworthiness of our customers seeking unsecured loans from unaffiliated lenders. The letters of credit assure the lenders that if borrowers default on the loans, we will pay the lenders, upon demand, the principal and accrued interest owed to the lenders by the borrowers plus any insufficient funds fees. Although amounts paid under letters of credit may be collected later, we charge those amounts to consumer loan bad debt upon default. We record recoveries under the letters of credit as a reduction of bad debt at the time of collection. After attempting collection of bad debts internally, we occasionally sell them to an unaffiliated company as another method of recovery. We record the proceeds from such sales as a reduction of bad debt at the time of the sale. Unsecured consumer loan credit service bad debt is included in "Consumer loan bad debt" on our consolidated statements of operations. </w:t>
      </w:r>
    </w:p>
    <w:p>
      <w:pPr>
        <w:pStyle w:val="TextBody"/>
        <w:spacing w:lineRule="auto" w:line="288" w:before="0" w:after="0"/>
        <w:ind w:left="0" w:right="0" w:firstLine="360"/>
        <w:jc w:val="left"/>
        <w:rPr>
          <w:sz w:val="17"/>
        </w:rPr>
      </w:pPr>
      <w:r>
        <w:rPr>
          <w:rFonts w:ascii="inherit" w:hAnsi="inherit"/>
          <w:sz w:val="17"/>
        </w:rPr>
        <w:t xml:space="preserve">The majority of our credit service customers obtain short-term unsecured loans with a single maturity date. These short-term loans, with terms averaging about </w:t>
      </w:r>
      <w:r>
        <w:rPr>
          <w:rFonts w:ascii="inherit" w:hAnsi="inherit"/>
          <w:strike w:val="false"/>
          <w:dstrike w:val="false"/>
          <w:color w:val="000000"/>
          <w:sz w:val="17"/>
          <w:u w:val="none"/>
          <w:effect w:val="none"/>
        </w:rPr>
        <w:t>16</w:t>
      </w:r>
      <w:r>
        <w:rPr>
          <w:sz w:val="17"/>
        </w:rPr>
        <w:t> </w:t>
      </w:r>
      <w:r>
        <w:rPr>
          <w:rFonts w:ascii="inherit" w:hAnsi="inherit"/>
          <w:sz w:val="17"/>
        </w:rPr>
        <w:t xml:space="preserve">days, are considered defaulted if they have not been repaid or renewed by the maturity date. Other credit service customers obtain multiple-payment loans with a series of payments due over as much as a </w:t>
      </w:r>
      <w:r>
        <w:rPr>
          <w:rFonts w:ascii="inherit" w:hAnsi="inherit"/>
          <w:strike w:val="false"/>
          <w:dstrike w:val="false"/>
          <w:color w:val="000000"/>
          <w:sz w:val="17"/>
          <w:u w:val="none"/>
          <w:effect w:val="none"/>
        </w:rPr>
        <w:t>seven</w:t>
      </w:r>
      <w:r>
        <w:rPr>
          <w:rFonts w:ascii="inherit" w:hAnsi="inherit"/>
          <w:sz w:val="17"/>
        </w:rPr>
        <w:t xml:space="preserve">-month period. If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payment of multiple-payment loan is delinquent, that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payment is considered defaulted. If more than </w:t>
      </w:r>
      <w:r>
        <w:rPr>
          <w:rFonts w:ascii="inherit" w:hAnsi="inherit"/>
          <w:strike w:val="false"/>
          <w:dstrike w:val="false"/>
          <w:color w:val="000000"/>
          <w:sz w:val="17"/>
          <w:u w:val="none"/>
          <w:effect w:val="none"/>
        </w:rPr>
        <w:t>one</w:t>
      </w:r>
      <w:r>
        <w:rPr>
          <w:sz w:val="17"/>
        </w:rPr>
        <w:t xml:space="preserve"> </w:t>
      </w:r>
      <w:r>
        <w:rPr>
          <w:rFonts w:ascii="inherit" w:hAnsi="inherit"/>
          <w:sz w:val="17"/>
        </w:rPr>
        <w:t>payment is delinquent at any time, the entire loan is considered defaulted.</w:t>
      </w:r>
    </w:p>
    <w:p>
      <w:pPr>
        <w:pStyle w:val="TextBody"/>
        <w:spacing w:lineRule="auto" w:line="288" w:before="0" w:after="0"/>
        <w:ind w:left="0" w:right="0" w:firstLine="360"/>
        <w:jc w:val="left"/>
        <w:rPr>
          <w:sz w:val="17"/>
        </w:rPr>
      </w:pPr>
      <w:r>
        <w:rPr>
          <w:rFonts w:ascii="inherit" w:hAnsi="inherit"/>
          <w:i/>
          <w:sz w:val="17"/>
        </w:rPr>
        <w:t xml:space="preserve">Allowance for Losses on Unsecured Consumer Loan Credit Services — </w:t>
      </w:r>
      <w:r>
        <w:rPr>
          <w:rFonts w:ascii="inherit" w:hAnsi="inherit"/>
          <w:sz w:val="17"/>
        </w:rPr>
        <w:t xml:space="preserve">We provide an allowance for losses we expect to incur under letters of credit for brokered unsecured loans that have not yet matured. The allowance is based on recent loan default experience adjusted for seasonal variations. It includes all amounts we expect to pay to the unaffiliated lenders upon loan default, including loan principal, accrued interest and insufficient funds fees, net of the amounts we expect to collect from borrowers (collectively, “Expected LOC Losses”). Changes in the allowance are charged to consumer loan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64</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ind w:left="0" w:right="0" w:firstLine="360"/>
        <w:jc w:val="left"/>
        <w:rPr>
          <w:rFonts w:ascii="inherit" w:hAnsi="inherit"/>
          <w:sz w:val="17"/>
        </w:rPr>
      </w:pPr>
      <w:r>
        <w:rPr>
          <w:rFonts w:ascii="inherit" w:hAnsi="inherit"/>
          <w:sz w:val="17"/>
        </w:rPr>
        <w:t>bad debt on our consolidated statements of operations. We include the balance of Expected LOC Losses in “Accounts payable and other accrued expenses” on our consolidated balance sheets. Based on the expected loss and collection percentages, we also provide an allowance for the unsecured loan credit service fees we expect not to collect, and charge changes in this allowance to consumer loan fee revenue, which is included in "Consumer loan fees and interest" on our consolidated statements of operations.</w:t>
      </w:r>
    </w:p>
    <w:p>
      <w:pPr>
        <w:pStyle w:val="TextBody"/>
        <w:spacing w:lineRule="auto" w:line="288" w:before="0" w:after="0"/>
        <w:ind w:left="0" w:right="0" w:firstLine="360"/>
        <w:jc w:val="left"/>
        <w:rPr>
          <w:sz w:val="17"/>
        </w:rPr>
      </w:pPr>
      <w:r>
        <w:rPr>
          <w:rFonts w:ascii="inherit" w:hAnsi="inherit"/>
          <w:i/>
          <w:sz w:val="17"/>
        </w:rPr>
        <w:t xml:space="preserve">Unsecured Consumer Loan Bad Debt — </w:t>
      </w:r>
      <w:r>
        <w:rPr>
          <w:rFonts w:ascii="inherit" w:hAnsi="inherit"/>
          <w:sz w:val="17"/>
        </w:rPr>
        <w:t xml:space="preserve">In general, we consider a single-payment loan defaulted if it has not been repaid or renewed by the maturity date. If one 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 reported balance. We record collections of principal as a reduction of consumer loan bad debt when collected. After attempting collection of bad debts internally, we occasionally sell them to an unaffiliated company as another method of recovery and record the proceeds from such sales as a reduction of bad debt at the time of sale. Unsecured consumer loan bad debt is included in "Consumer loan bad debt" on our consolidated statements of operations. </w:t>
      </w:r>
    </w:p>
    <w:p>
      <w:pPr>
        <w:pStyle w:val="TextBody"/>
        <w:spacing w:lineRule="auto" w:line="288" w:before="0" w:after="0"/>
        <w:ind w:left="0" w:right="0" w:firstLine="360"/>
        <w:jc w:val="left"/>
        <w:rPr>
          <w:rFonts w:ascii="inherit" w:hAnsi="inherit"/>
          <w:sz w:val="17"/>
        </w:rPr>
      </w:pPr>
      <w:r>
        <w:rPr>
          <w:rFonts w:ascii="inherit" w:hAnsi="inherit"/>
          <w:sz w:val="17"/>
        </w:rPr>
        <w:t xml:space="preserve">Consumer loans made by EZCORP Online are considered delinquent if they are not repaid or renewed by the maturity date. We do not accrue additional revenues on delinquent loans. All outstanding principal balances and related fee receivables greater than 60 days past due are considered defaulted. Upon default, we charge consumer loan principal to consumer loan bad debt and reverse accrued unsecured consumer loan fee revenue. </w:t>
      </w:r>
    </w:p>
    <w:p>
      <w:pPr>
        <w:pStyle w:val="TextBody"/>
        <w:spacing w:lineRule="auto" w:line="288" w:before="0" w:after="0"/>
        <w:ind w:left="0" w:right="0" w:firstLine="360"/>
        <w:jc w:val="left"/>
        <w:rPr>
          <w:sz w:val="17"/>
        </w:rPr>
      </w:pPr>
      <w:r>
        <w:rPr>
          <w:rFonts w:ascii="inherit" w:hAnsi="inherit"/>
          <w:i/>
          <w:sz w:val="17"/>
        </w:rPr>
        <w:t xml:space="preserve">Unsecured Consumer Loan Allowance for Losses — </w:t>
      </w:r>
      <w:r>
        <w:rPr>
          <w:rFonts w:ascii="inherit" w:hAnsi="inherit"/>
          <w:sz w:val="17"/>
        </w:rPr>
        <w:t>We provide an allowance for losses on unsecured loans that have not yet matured and related fees receivable, based on recent loan default experience adjusted for seasonal variations. We charge any changes in the principal valuation allowance to "Consumer loan bad debt" on our consolidated statements of operations. We record changes in the fee receivable valuation allowance to "Consumer loan fees and interest" on our consolidated statements of operations.</w:t>
      </w:r>
    </w:p>
    <w:p>
      <w:pPr>
        <w:pStyle w:val="TextBody"/>
        <w:spacing w:lineRule="auto" w:line="288" w:before="0" w:after="0"/>
        <w:ind w:left="0" w:right="0" w:firstLine="360"/>
        <w:jc w:val="left"/>
        <w:rPr>
          <w:sz w:val="17"/>
        </w:rPr>
      </w:pPr>
      <w:r>
        <w:rPr>
          <w:rFonts w:ascii="inherit" w:hAnsi="inherit"/>
          <w:i/>
          <w:sz w:val="17"/>
        </w:rPr>
        <w:t xml:space="preserve">Long-Term Unsecured Consumer Loan Bad Debt — </w:t>
      </w:r>
      <w:r>
        <w:rPr>
          <w:rFonts w:ascii="inherit" w:hAnsi="inherit"/>
          <w:sz w:val="17"/>
        </w:rPr>
        <w:t xml:space="preserve">Consumer loans made by Grupo Finmart are considered in current status as long as the customer is employed and Grupo Finmart receives payments via payroll withholdings. Loans made to customers no longer employed are considered current if payments are made by the due date. If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payment of a loan is delinquent, that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payment is considered defaulted. If </w:t>
      </w:r>
      <w:r>
        <w:rPr>
          <w:rFonts w:ascii="inherit" w:hAnsi="inherit"/>
          <w:strike w:val="false"/>
          <w:dstrike w:val="false"/>
          <w:color w:val="000000"/>
          <w:sz w:val="17"/>
          <w:u w:val="none"/>
          <w:effect w:val="none"/>
        </w:rPr>
        <w:t>two</w:t>
      </w:r>
      <w:r>
        <w:rPr>
          <w:sz w:val="17"/>
        </w:rPr>
        <w:t xml:space="preserve"> </w:t>
      </w:r>
      <w:r>
        <w:rPr>
          <w:rFonts w:ascii="inherit" w:hAnsi="inherit"/>
          <w:sz w:val="17"/>
        </w:rPr>
        <w:t xml:space="preserve">or more payments are delinquent at any time, the entire loan is considered defaulted. Although defaulted loans may be collected later, Grupo Finmart charges the loan principal to consumer loan bad debt upon default, leaving only active loans in the reported balance. Collections of principal are recorded as a reduction of consumer loan bad debt when collected. Long-term unsecured consumer loan bad debt is included in "Consumer loan bad debt" on our consolidated statements of operations. </w:t>
      </w:r>
    </w:p>
    <w:p>
      <w:pPr>
        <w:pStyle w:val="TextBody"/>
        <w:spacing w:lineRule="auto" w:line="288" w:before="0" w:after="0"/>
        <w:ind w:left="0" w:right="0" w:firstLine="360"/>
        <w:jc w:val="left"/>
        <w:rPr>
          <w:sz w:val="17"/>
        </w:rPr>
      </w:pPr>
      <w:r>
        <w:rPr>
          <w:rFonts w:ascii="inherit" w:hAnsi="inherit"/>
          <w:i/>
          <w:sz w:val="17"/>
        </w:rPr>
        <w:t xml:space="preserve">Long-Term Unsecured Consumer Loan Allowance for Losses — </w:t>
      </w:r>
      <w:r>
        <w:rPr>
          <w:rFonts w:ascii="inherit" w:hAnsi="inherit"/>
          <w:sz w:val="17"/>
        </w:rPr>
        <w:t>Grupo Finmart provides an allowance for losses on consumer loans that have not yet matured and related fees receivable based on recent loan default experience. Changes in the principal valuation allowance are charged to "Consumer loan bad debt" and changes in the interest receivable valuation allowance are charged to "Consumer loan fees and interest" on our consolidated statements of operations.</w:t>
      </w:r>
    </w:p>
    <w:p>
      <w:pPr>
        <w:pStyle w:val="TextBody"/>
        <w:spacing w:lineRule="auto" w:line="288" w:before="0" w:after="0"/>
        <w:ind w:left="0" w:right="0" w:firstLine="360"/>
        <w:jc w:val="left"/>
        <w:rPr>
          <w:sz w:val="17"/>
        </w:rPr>
      </w:pPr>
      <w:r>
        <w:rPr>
          <w:rFonts w:ascii="inherit" w:hAnsi="inherit"/>
          <w:i/>
          <w:sz w:val="17"/>
        </w:rPr>
        <w:t xml:space="preserve">Auto Title Loan Credit Services Bad Debt and Allowance for Losses — </w:t>
      </w:r>
      <w:r>
        <w:rPr>
          <w:rFonts w:ascii="inherit" w:hAnsi="inherit"/>
          <w:sz w:val="17"/>
        </w:rPr>
        <w:t>We issue letters of credit to enhance the creditworthiness of our customers seeking auto title loans from unaffiliated lenders. The letters of credit assure the lenders that if borrowers default on the loans, we will pay the lenders, upon demand, all amounts owed to the lenders by the borrowers plus any insufficient funds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and insufficient funds fees, net of the amounts we expect to collect from borrowers or through the sale of repossessed vehicles. We include the allowance for expected losses in “Accounts payable and other accrued expenses” on our consolidated balance sheets.</w:t>
      </w:r>
    </w:p>
    <w:p>
      <w:pPr>
        <w:pStyle w:val="TextBody"/>
        <w:spacing w:lineRule="auto" w:line="288" w:before="0" w:after="0"/>
        <w:ind w:left="0" w:right="0" w:firstLine="360"/>
        <w:jc w:val="left"/>
        <w:rPr>
          <w:sz w:val="17"/>
        </w:rPr>
      </w:pPr>
      <w:r>
        <w:rPr>
          <w:rFonts w:ascii="inherit" w:hAnsi="inherit"/>
          <w:i/>
          <w:sz w:val="17"/>
        </w:rPr>
        <w:t xml:space="preserve">Auto Title Loan Bad Debt and Allowance for Losses — </w:t>
      </w:r>
      <w:r>
        <w:rPr>
          <w:rFonts w:ascii="inherit" w:hAnsi="inherit"/>
          <w:sz w:val="17"/>
        </w:rPr>
        <w:t>Based on historical collection experience, the age of past-due loans and amounts we expect to receive through the sale of repossessed vehicles, we provide an allowance for losses on auto title loans and related fees receivable. We charge any increases in the principal valuation allowance to consumer loan bad debt and charge uncollectable loans against this allowance. We record changes in the fee receivable valuation allowance to "Consumer loan fees and interest" on our consolidated statements of operations.</w:t>
      </w:r>
    </w:p>
    <w:p>
      <w:pPr>
        <w:pStyle w:val="TextBody"/>
        <w:spacing w:lineRule="auto" w:line="288" w:before="0" w:after="0"/>
        <w:jc w:val="left"/>
        <w:rPr>
          <w:rFonts w:ascii="inherit" w:hAnsi="inherit"/>
          <w:b/>
          <w:sz w:val="17"/>
        </w:rPr>
      </w:pPr>
      <w:r>
        <w:rPr>
          <w:rFonts w:ascii="inherit" w:hAnsi="inherit"/>
          <w:b/>
          <w:sz w:val="17"/>
        </w:rPr>
        <w:t>Inventory and Cost of Goods Sold</w:t>
      </w:r>
    </w:p>
    <w:p>
      <w:pPr>
        <w:pStyle w:val="TextBody"/>
        <w:spacing w:lineRule="auto" w:line="288" w:before="0" w:after="0"/>
        <w:jc w:val="left"/>
        <w:rPr>
          <w:rFonts w:ascii="inherit" w:hAnsi="inherit"/>
          <w:sz w:val="17"/>
        </w:rPr>
      </w:pPr>
      <w:r>
        <w:rPr>
          <w:rFonts w:ascii="inherit" w:hAnsi="inherit"/>
          <w:sz w:val="17"/>
        </w:rPr>
        <w:t xml:space="preserve">If a pawn loan is not redeemed, we record the forfeited collateral at cost (the principal amount of the pawn loan) in "Inventory, net" on our consolidated balance sheets. We do not record loan loss allowances or charge-offs on the principal portion of pawn loans, as they are fully collateralized. We record our inventory using the specific identification method of accounting.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65</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In order to state inventory at the lower of cost or market value, we record an allowance for excess, obsolete or slow moving inventory based on the type and age of merchandise. We include in "Merchandise cost of goods sold" in our consolidated statements of operations the historical cost of inventory sold, inventory shrinkage and any change in the allowance for inventory shrinkage and valuation. We also include the cost of operating our central jewelry processing unit, as it relates directly to sales of precious metals to refiners.</w:t>
      </w:r>
    </w:p>
    <w:p>
      <w:pPr>
        <w:pStyle w:val="TextBody"/>
        <w:spacing w:lineRule="auto" w:line="288" w:before="0" w:after="0"/>
        <w:jc w:val="left"/>
        <w:rPr>
          <w:rFonts w:ascii="inherit" w:hAnsi="inherit"/>
          <w:b/>
          <w:sz w:val="17"/>
        </w:rPr>
      </w:pPr>
      <w:r>
        <w:rPr>
          <w:rFonts w:ascii="inherit" w:hAnsi="inherit"/>
          <w:b/>
          <w:sz w:val="17"/>
        </w:rPr>
        <w:t>Cash and Cash Equivalents and Cash Concentrations</w:t>
      </w:r>
    </w:p>
    <w:p>
      <w:pPr>
        <w:pStyle w:val="TextBody"/>
        <w:spacing w:lineRule="auto" w:line="288" w:before="0" w:after="0"/>
        <w:jc w:val="left"/>
        <w:rPr>
          <w:rFonts w:ascii="inherit" w:hAnsi="inherit"/>
          <w:sz w:val="17"/>
        </w:rPr>
      </w:pPr>
      <w:r>
        <w:rPr>
          <w:rFonts w:ascii="inherit" w:hAnsi="inherit"/>
          <w:sz w:val="17"/>
        </w:rPr>
        <w:t>Cash and cash equivalents consist primarily of cash on deposit, highly liquid investments, or mutual funds with original contractual maturities of three months or less. We hold cash at major financial institutions that often exceed FDIC insured limits. We manage our credit risk associated with cash and cash equivalents and cash concentrations by investing in high quality instruments or funds, concentrating our cash deposits in high quality financial institutions and by periodically evaluating the credit quality of the primary financial institutions issuing investments or holding such deposits. Historically, we have not experienced any losses due to such cash concentrations. Restricted cash amounts represent amounts that can only be used to settle liabilities of Grupo Finmart's securitization trust or for interest payments on Grupo Finmart's debt. See Note 9, “Long-Term Debt and Capital Lease Obligations.”</w:t>
      </w:r>
    </w:p>
    <w:p>
      <w:pPr>
        <w:pStyle w:val="TextBody"/>
        <w:spacing w:lineRule="auto" w:line="288" w:before="0" w:after="0"/>
        <w:jc w:val="left"/>
        <w:rPr>
          <w:rFonts w:ascii="inherit" w:hAnsi="inherit"/>
          <w:b/>
          <w:sz w:val="17"/>
        </w:rPr>
      </w:pPr>
      <w:r>
        <w:rPr>
          <w:rFonts w:ascii="inherit" w:hAnsi="inherit"/>
          <w:b/>
          <w:sz w:val="17"/>
        </w:rPr>
        <w:t>Software Development Costs</w:t>
      </w:r>
    </w:p>
    <w:p>
      <w:pPr>
        <w:pStyle w:val="TextBody"/>
        <w:spacing w:lineRule="auto" w:line="288" w:before="0" w:after="0"/>
        <w:jc w:val="left"/>
        <w:rPr>
          <w:sz w:val="17"/>
        </w:rPr>
      </w:pPr>
      <w:r>
        <w:rPr>
          <w:rFonts w:ascii="inherit" w:hAnsi="inherit"/>
          <w:sz w:val="17"/>
        </w:rPr>
        <w:t xml:space="preserve">We capitalize certain costs incurred in connection with developing or obtaining software for internal use and amortize the costs by the straight-line method over the estimated useful lives of each system, typically </w:t>
      </w:r>
      <w:r>
        <w:rPr>
          <w:rFonts w:ascii="inherit" w:hAnsi="inherit"/>
          <w:strike w:val="false"/>
          <w:dstrike w:val="false"/>
          <w:color w:val="000000"/>
          <w:sz w:val="17"/>
          <w:u w:val="none"/>
          <w:effect w:val="none"/>
        </w:rPr>
        <w:t>five</w:t>
      </w:r>
      <w:r>
        <w:rPr>
          <w:sz w:val="17"/>
        </w:rPr>
        <w:t xml:space="preserve"> </w:t>
      </w:r>
      <w:r>
        <w:rPr>
          <w:rFonts w:ascii="inherit" w:hAnsi="inherit"/>
          <w:sz w:val="17"/>
        </w:rPr>
        <w:t>years.</w:t>
      </w:r>
    </w:p>
    <w:p>
      <w:pPr>
        <w:pStyle w:val="TextBody"/>
        <w:spacing w:lineRule="auto" w:line="288" w:before="0" w:after="0"/>
        <w:jc w:val="left"/>
        <w:rPr>
          <w:rFonts w:ascii="inherit" w:hAnsi="inherit"/>
          <w:b/>
          <w:sz w:val="17"/>
        </w:rPr>
      </w:pPr>
      <w:r>
        <w:rPr>
          <w:rFonts w:ascii="inherit" w:hAnsi="inherit"/>
          <w:b/>
          <w:sz w:val="17"/>
        </w:rPr>
        <w:t>Customer Layaways</w:t>
      </w:r>
    </w:p>
    <w:p>
      <w:pPr>
        <w:pStyle w:val="TextBody"/>
        <w:spacing w:lineRule="auto" w:line="288" w:before="0" w:after="0"/>
        <w:jc w:val="left"/>
        <w:rPr>
          <w:rFonts w:ascii="inherit" w:hAnsi="inherit"/>
          <w:sz w:val="17"/>
        </w:rPr>
      </w:pPr>
      <w:r>
        <w:rPr>
          <w:rFonts w:ascii="inherit" w:hAnsi="inherit"/>
          <w:sz w:val="17"/>
        </w:rPr>
        <w:t xml:space="preserve">Customer layaway deposits are recorded as deferred revenue until we collect the entire related sales price and deliver the related merchandise to the customer. Customer layaway fees are recognized when collected. </w:t>
      </w:r>
    </w:p>
    <w:p>
      <w:pPr>
        <w:pStyle w:val="TextBody"/>
        <w:spacing w:lineRule="auto" w:line="288" w:before="0" w:after="0"/>
        <w:jc w:val="left"/>
        <w:rPr>
          <w:rFonts w:ascii="inherit" w:hAnsi="inherit"/>
          <w:b/>
          <w:sz w:val="17"/>
        </w:rPr>
      </w:pPr>
      <w:r>
        <w:rPr>
          <w:rFonts w:ascii="inherit" w:hAnsi="inherit"/>
          <w:b/>
          <w:sz w:val="17"/>
        </w:rPr>
        <w:t>Goodwill and Other Intangible Assets</w:t>
      </w:r>
    </w:p>
    <w:p>
      <w:pPr>
        <w:pStyle w:val="TextBody"/>
        <w:spacing w:lineRule="auto" w:line="288" w:before="0" w:after="0"/>
        <w:jc w:val="left"/>
        <w:rPr>
          <w:sz w:val="17"/>
        </w:rPr>
      </w:pPr>
      <w:r>
        <w:rPr>
          <w:rFonts w:ascii="inherit" w:hAnsi="inherit"/>
          <w:sz w:val="17"/>
        </w:rPr>
        <w:t>Goodwill and other intangible assets having indefinite lives are not subject to amortization. In accordance with Financial Accounting Standards Board ("FASB") Accounting Standards Codification ("ASC") ASC 350-20-35,</w:t>
      </w:r>
      <w:r>
        <w:rPr>
          <w:sz w:val="17"/>
        </w:rPr>
        <w:t xml:space="preserve"> </w:t>
      </w:r>
      <w:r>
        <w:rPr>
          <w:rFonts w:ascii="inherit" w:hAnsi="inherit"/>
          <w:i/>
          <w:sz w:val="17"/>
        </w:rPr>
        <w:t xml:space="preserve">Goodwill - Subsequent Measurement, </w:t>
      </w:r>
      <w:r>
        <w:rPr>
          <w:rFonts w:ascii="inherit" w:hAnsi="inherit"/>
          <w:sz w:val="17"/>
        </w:rPr>
        <w:t xml:space="preserve">we test goodwill and intangible assets with an indefinite useful life for potential impairment annually, or more frequently when there are events or circumstances that indicate a potential impairment. </w:t>
      </w:r>
    </w:p>
    <w:p>
      <w:pPr>
        <w:pStyle w:val="TextBody"/>
        <w:spacing w:lineRule="auto" w:line="288" w:before="0" w:after="0"/>
        <w:jc w:val="left"/>
        <w:rPr>
          <w:rFonts w:ascii="inherit" w:hAnsi="inherit"/>
          <w:sz w:val="17"/>
        </w:rPr>
      </w:pPr>
      <w:r>
        <w:rPr>
          <w:rFonts w:ascii="inherit" w:hAnsi="inherit"/>
          <w:sz w:val="17"/>
        </w:rPr>
        <w:t xml:space="preserve">We perform our impairment analysis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completed our annual assessment of goodwill and indefinite lived intangible assets as of September 30, 2013 and determined that no material impairment existed at that date. </w:t>
      </w:r>
    </w:p>
    <w:p>
      <w:pPr>
        <w:pStyle w:val="TextBody"/>
        <w:spacing w:lineRule="auto" w:line="288" w:before="0" w:after="0"/>
        <w:jc w:val="left"/>
        <w:rPr>
          <w:rFonts w:ascii="inherit" w:hAnsi="inherit"/>
          <w:b/>
          <w:sz w:val="17"/>
        </w:rPr>
      </w:pPr>
      <w:r>
        <w:rPr>
          <w:rFonts w:ascii="inherit" w:hAnsi="inherit"/>
          <w:b/>
          <w:sz w:val="17"/>
        </w:rPr>
        <w:t>Property and Equipment</w:t>
      </w:r>
    </w:p>
    <w:p>
      <w:pPr>
        <w:pStyle w:val="TextBody"/>
        <w:spacing w:lineRule="auto" w:line="288" w:before="0" w:after="0"/>
        <w:jc w:val="left"/>
        <w:rPr>
          <w:sz w:val="17"/>
        </w:rPr>
      </w:pPr>
      <w:r>
        <w:rPr>
          <w:rFonts w:ascii="inherit" w:hAnsi="inherit"/>
          <w:sz w:val="17"/>
        </w:rPr>
        <w:t xml:space="preserve">We record property and equipment at cost. We depreciate these assets on a straight-line basis using estimated useful lives of </w:t>
      </w:r>
      <w:r>
        <w:rPr>
          <w:rFonts w:ascii="inherit" w:hAnsi="inherit"/>
          <w:strike w:val="false"/>
          <w:dstrike w:val="false"/>
          <w:color w:val="000000"/>
          <w:sz w:val="17"/>
          <w:u w:val="none"/>
          <w:effect w:val="none"/>
        </w:rPr>
        <w:t>30</w:t>
      </w:r>
      <w:r>
        <w:rPr>
          <w:sz w:val="17"/>
        </w:rPr>
        <w:t> </w:t>
      </w:r>
      <w:r>
        <w:rPr>
          <w:rFonts w:ascii="inherit" w:hAnsi="inherit"/>
          <w:sz w:val="17"/>
        </w:rPr>
        <w:t xml:space="preserve">years for buildings and </w:t>
      </w:r>
      <w:r>
        <w:rPr>
          <w:rFonts w:ascii="inherit" w:hAnsi="inherit"/>
          <w:strike w:val="false"/>
          <w:dstrike w:val="false"/>
          <w:color w:val="000000"/>
          <w:sz w:val="17"/>
          <w:u w:val="none"/>
          <w:effect w:val="none"/>
        </w:rPr>
        <w:t>2</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7</w:t>
      </w:r>
      <w:r>
        <w:rPr>
          <w:sz w:val="17"/>
        </w:rPr>
        <w:t> </w:t>
      </w:r>
      <w:r>
        <w:rPr>
          <w:rFonts w:ascii="inherit" w:hAnsi="inherit"/>
          <w:sz w:val="17"/>
        </w:rPr>
        <w:t xml:space="preserve">years for furniture, equipment and software development costs. We depreciate leasehold improvements over the shorter of their estimated useful life (typically </w:t>
      </w:r>
      <w:r>
        <w:rPr>
          <w:rFonts w:ascii="inherit" w:hAnsi="inherit"/>
          <w:strike w:val="false"/>
          <w:dstrike w:val="false"/>
          <w:color w:val="000000"/>
          <w:sz w:val="17"/>
          <w:u w:val="none"/>
          <w:effect w:val="none"/>
        </w:rPr>
        <w:t>10</w:t>
      </w:r>
      <w:r>
        <w:rPr>
          <w:sz w:val="17"/>
        </w:rPr>
        <w:t> </w:t>
      </w:r>
      <w:r>
        <w:rPr>
          <w:rFonts w:ascii="inherit" w:hAnsi="inherit"/>
          <w:sz w:val="17"/>
        </w:rPr>
        <w:t>years) or the reasonably assured lease term at the inception of the lease.</w:t>
      </w:r>
    </w:p>
    <w:p>
      <w:pPr>
        <w:pStyle w:val="TextBody"/>
        <w:spacing w:lineRule="auto" w:line="288" w:before="0" w:after="0"/>
        <w:jc w:val="left"/>
        <w:rPr>
          <w:sz w:val="17"/>
        </w:rPr>
      </w:pPr>
      <w:r>
        <w:rPr>
          <w:rFonts w:ascii="inherit" w:hAnsi="inherit"/>
          <w:b/>
          <w:sz w:val="17"/>
        </w:rPr>
        <w:t>Valuation of Tangible Long-Lived Assets</w:t>
      </w:r>
      <w:r>
        <w:rPr>
          <w:sz w:val="17"/>
        </w:rPr>
        <w:t xml:space="preserve"> </w:t>
      </w:r>
    </w:p>
    <w:p>
      <w:pPr>
        <w:pStyle w:val="TextBody"/>
        <w:spacing w:lineRule="auto" w:line="288" w:before="0" w:after="0"/>
        <w:jc w:val="left"/>
        <w:rPr>
          <w:rFonts w:ascii="inherit" w:hAnsi="inherit"/>
          <w:sz w:val="17"/>
        </w:rPr>
      </w:pPr>
      <w:r>
        <w:rPr>
          <w:rFonts w:ascii="inherit" w:hAnsi="inherit"/>
          <w:sz w:val="17"/>
        </w:rPr>
        <w:t xml:space="preserve">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significant negative industry trends or legislative changes prohibiting us from offering our loan products. An impairment loss is recognized if the future undiscounted cash flows associated with the asset and the estimated fair value of the asset are less than the asset's carrying value. </w:t>
      </w:r>
    </w:p>
    <w:p>
      <w:pPr>
        <w:pStyle w:val="TextBody"/>
        <w:spacing w:lineRule="auto" w:line="288" w:before="0" w:after="0"/>
        <w:jc w:val="left"/>
        <w:rPr>
          <w:sz w:val="17"/>
        </w:rPr>
      </w:pPr>
      <w:r>
        <w:rPr>
          <w:rFonts w:ascii="inherit" w:hAnsi="inherit"/>
          <w:b/>
          <w:sz w:val="17"/>
        </w:rPr>
        <w:t>Fair Value of Financial Instruments</w:t>
      </w:r>
      <w:r>
        <w:rPr>
          <w:sz w:val="17"/>
        </w:rPr>
        <w:t xml:space="preserve"> </w:t>
      </w:r>
    </w:p>
    <w:p>
      <w:pPr>
        <w:pStyle w:val="TextBody"/>
        <w:spacing w:lineRule="auto" w:line="288" w:before="0" w:after="0"/>
        <w:jc w:val="left"/>
        <w:rPr>
          <w:rFonts w:ascii="inherit" w:hAnsi="inherit"/>
          <w:sz w:val="17"/>
        </w:rPr>
      </w:pPr>
      <w:r>
        <w:rPr>
          <w:rFonts w:ascii="inherit" w:hAnsi="inherit"/>
          <w:sz w:val="17"/>
        </w:rPr>
        <w:t xml:space="preserve">We have elected not to measure at fair value any eligible items for which fair value measurement is optional. We determine the fair value of financial instruments by reference to various market data and other valuation techniques, as appropriate. Unless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66</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otherwise disclosed, the fair values of financial instruments approximate their recorded values, due primarily to their short-term nature. The recorded value of our outstanding debt is assumed to estimate its fair value, as it has no prepayment penalty and a floating interest rate based on market rates.</w:t>
      </w:r>
    </w:p>
    <w:p>
      <w:pPr>
        <w:pStyle w:val="TextBody"/>
        <w:spacing w:lineRule="auto" w:line="288" w:before="0" w:after="0"/>
        <w:jc w:val="left"/>
        <w:rPr>
          <w:rFonts w:ascii="inherit" w:hAnsi="inherit"/>
          <w:b/>
          <w:sz w:val="17"/>
        </w:rPr>
      </w:pPr>
      <w:r>
        <w:rPr>
          <w:rFonts w:ascii="inherit" w:hAnsi="inherit"/>
          <w:b/>
          <w:sz w:val="17"/>
        </w:rPr>
        <w:t xml:space="preserve">Derivative Instruments and Hedging Activities </w:t>
      </w:r>
    </w:p>
    <w:p>
      <w:pPr>
        <w:pStyle w:val="TextBody"/>
        <w:spacing w:lineRule="auto" w:line="288" w:before="0" w:after="0"/>
        <w:jc w:val="left"/>
        <w:rPr>
          <w:rFonts w:ascii="inherit" w:hAnsi="inherit"/>
          <w:sz w:val="17"/>
        </w:rPr>
      </w:pPr>
      <w:r>
        <w:rPr>
          <w:rFonts w:ascii="inherit" w:hAnsi="inherit"/>
          <w:sz w:val="17"/>
        </w:rPr>
        <w:t>We recognize all derivative instruments as either assets or liabilities in our consolidated balance sheets at their respective fair values. For derivatives designated in hedging relationships, changes in the fair value are either offset through earnings against the change in fair value of the hedged item attributable to the risk being hedged or recognized in accumulated other comprehensive income, to the extent the derivative is effective at offsetting the changes in cash flows being hedged until the hedged item affects earnings.</w:t>
      </w:r>
    </w:p>
    <w:p>
      <w:pPr>
        <w:pStyle w:val="TextBody"/>
        <w:spacing w:lineRule="auto" w:line="288" w:before="0" w:after="0"/>
        <w:jc w:val="left"/>
        <w:rPr>
          <w:rFonts w:ascii="inherit" w:hAnsi="inherit"/>
          <w:sz w:val="17"/>
        </w:rPr>
      </w:pPr>
      <w:r>
        <w:rPr>
          <w:rFonts w:ascii="inherit" w:hAnsi="inherit"/>
          <w:sz w:val="17"/>
        </w:rPr>
        <w:t>We enter into derivative contracts that we intend to designate as a hedge of a forecasted transaction or the variability of cash flows to be received or paid related to a recognized asset or liability (cash flow hedge). For all hedging relationships, we formally document the hedging relationship and its risk</w:t>
        <w:noBreakHyphen/>
        <w:t>management objective and strategy for undertaking the hedge, the hedging instrument, the hedged transaction, the nature of the risk being hedged, how the hedging instrument's effectiveness in offsetting the hedged risk will be assessed prospectively and retrospectively, and a description of the method used to measure ineffectiveness. We also formally assess, both at the inception of the hedging relationship and on an ongoing basis, whether the derivatives that are used in hedging relationships are highly effective in offsetting changes in cash flows of hedged transactions. For derivative instruments that are designated and qualify as part of a cash flow hedging relationship,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pStyle w:val="TextBody"/>
        <w:spacing w:lineRule="auto" w:line="288" w:before="0" w:after="0"/>
        <w:jc w:val="left"/>
        <w:rPr>
          <w:rFonts w:ascii="inherit" w:hAnsi="inherit"/>
          <w:sz w:val="17"/>
        </w:rPr>
      </w:pPr>
      <w:r>
        <w:rPr>
          <w:rFonts w:ascii="inherit" w:hAnsi="inherit"/>
          <w:sz w:val="17"/>
        </w:rPr>
        <w:t>We discontinue hedge accounting prospectively when it is determined that the derivative is no longer effective in offsetting cash flows attributable to the hedged risk, the derivative expires or is sold, terminated, or exercised, the cash flow hedge is redesignated because a forecasted transaction is not probable of occurring, or management determines to remove the designation of the cash flow hedge.</w:t>
      </w:r>
    </w:p>
    <w:p>
      <w:pPr>
        <w:pStyle w:val="TextBody"/>
        <w:spacing w:lineRule="auto" w:line="288" w:before="0" w:after="0"/>
        <w:jc w:val="left"/>
        <w:rPr>
          <w:rFonts w:ascii="inherit" w:hAnsi="inherit"/>
          <w:sz w:val="17"/>
        </w:rPr>
      </w:pPr>
      <w:r>
        <w:rPr>
          <w:rFonts w:ascii="inherit" w:hAnsi="inherit"/>
          <w:sz w:val="17"/>
        </w:rPr>
        <w:t xml:space="preserve">In all situations in which hedge accounting is discontinued and the derivative remains outstanding, we continue to carry the derivative at its fair value on the balance sheet and recognize any subsequent changes in its fair value in earnings. When it is probable that a forecasted transaction will not occur, we discontinue hedge accounting and recognize immediately in earnings gains and losses that were accumulated in other comprehensive income related to the hedging relationship. </w:t>
      </w:r>
    </w:p>
    <w:p>
      <w:pPr>
        <w:pStyle w:val="TextBody"/>
        <w:spacing w:lineRule="auto" w:line="288" w:before="0" w:after="0"/>
        <w:jc w:val="left"/>
        <w:rPr>
          <w:rFonts w:ascii="inherit" w:hAnsi="inherit"/>
          <w:b/>
          <w:sz w:val="17"/>
        </w:rPr>
      </w:pPr>
      <w:r>
        <w:rPr>
          <w:rFonts w:ascii="inherit" w:hAnsi="inherit"/>
          <w:b/>
          <w:sz w:val="17"/>
        </w:rPr>
        <w:t>Acquisitions</w:t>
      </w:r>
    </w:p>
    <w:p>
      <w:pPr>
        <w:pStyle w:val="TextBody"/>
        <w:spacing w:lineRule="auto" w:line="288" w:before="0" w:after="0"/>
        <w:jc w:val="left"/>
        <w:rPr>
          <w:rFonts w:ascii="inherit" w:hAnsi="inherit"/>
          <w:sz w:val="17"/>
        </w:rPr>
      </w:pPr>
      <w:r>
        <w:rPr>
          <w:rFonts w:ascii="inherit" w:hAnsi="inherit"/>
          <w:sz w:val="17"/>
        </w:rPr>
        <w:t>We adopted FASB ASC 805-10-65 (Business Combinations — Revised) on October 1, 2009, and have applied it prospectively to all business acquisitions completed since that date. In accordance with FASB ASC 805-10-65, we allocate the total acquisition price to the fair value of assets and liabilities acquired and immediately expense transaction costs that would have been included in the purchase price allocation under previous accounting standards.</w:t>
      </w:r>
    </w:p>
    <w:p>
      <w:pPr>
        <w:pStyle w:val="TextBody"/>
        <w:spacing w:lineRule="auto" w:line="288" w:before="0" w:after="0"/>
        <w:jc w:val="left"/>
        <w:rPr>
          <w:rFonts w:ascii="inherit" w:hAnsi="inherit"/>
          <w:b/>
          <w:sz w:val="17"/>
        </w:rPr>
      </w:pPr>
      <w:r>
        <w:rPr>
          <w:rFonts w:ascii="inherit" w:hAnsi="inherit"/>
          <w:b/>
          <w:sz w:val="17"/>
        </w:rPr>
        <w:t>Foreign Currency Translation</w:t>
      </w:r>
    </w:p>
    <w:p>
      <w:pPr>
        <w:pStyle w:val="TextBody"/>
        <w:spacing w:lineRule="auto" w:line="288" w:before="0" w:after="0"/>
        <w:jc w:val="left"/>
        <w:rPr>
          <w:rFonts w:ascii="inherit" w:hAnsi="inherit"/>
          <w:sz w:val="17"/>
        </w:rPr>
      </w:pPr>
      <w:r>
        <w:rPr>
          <w:rFonts w:ascii="inherit" w:hAnsi="inherit"/>
          <w:sz w:val="17"/>
        </w:rPr>
        <w:t>Our equity investments in Albemarle &amp; Bond and Cash Converters International are translated from British pounds and Australian dollars, respectively, into U.S. dollars at the exchange rates as of the investees’ balance sheet date of June 30. The related interest in the investees’ net income is translated at the average exchange rates for each six-month period reported by the investees. The functional currency of Empeño Fácil, our wholly owned subsidiary, Grupo Finmart, our 60% owned subsidiary, and TUYO, our 51% owned subsidiary, is the Mexican peso. The functional currency of our wholly owned foreign subsidiary in Canada is the Canadian dollar, and the functional currency of Cash Genie, our wholly owned subsidiary in the U.K., is the British Pound. Our foreign subsidiaries' balance sheet accounts are translated from their respective functional currencies into U.S. dollars at the exchange rate at the end of each quarter, and their earnings are translated into U.S. dollars at the average exchange rate each quarter. We present resulting translation adjustments as a separate component of stockholders’ equity. Foreign currency transaction gains and losses have not been significant, and are reported as “Other” (income) or expense in our statements of operations.</w:t>
      </w:r>
    </w:p>
    <w:p>
      <w:pPr>
        <w:pStyle w:val="TextBody"/>
        <w:spacing w:lineRule="auto" w:line="288" w:before="0" w:after="0"/>
        <w:jc w:val="left"/>
        <w:rPr>
          <w:rFonts w:ascii="inherit" w:hAnsi="inherit"/>
          <w:b/>
          <w:sz w:val="17"/>
        </w:rPr>
      </w:pPr>
      <w:r>
        <w:rPr>
          <w:rFonts w:ascii="inherit" w:hAnsi="inherit"/>
          <w:b/>
          <w:sz w:val="17"/>
        </w:rPr>
        <w:t>Securitization of Consumer Loans</w:t>
      </w:r>
    </w:p>
    <w:p>
      <w:pPr>
        <w:pStyle w:val="TextBody"/>
        <w:spacing w:lineRule="auto" w:line="288" w:before="0" w:after="0"/>
        <w:jc w:val="left"/>
        <w:rPr>
          <w:rFonts w:ascii="inherit" w:hAnsi="inherit"/>
          <w:sz w:val="17"/>
        </w:rPr>
      </w:pPr>
      <w:r>
        <w:rPr>
          <w:rFonts w:ascii="inherit" w:hAnsi="inherit"/>
          <w:sz w:val="17"/>
        </w:rPr>
        <w:t xml:space="preserve">Our majority-owned subsidiary, Grupo Finmart, periodically transfers certain consumer loans to a bankruptcy remote trust in securitization transactions. These securitizations are accounted for as secured borrowings, and no gains or losses are recognized at the time of the transaction. Secured borrowings are transactions involving transfers of financial assets that are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67</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 xml:space="preserve">accounted for as financings with the assets pledged as collateral. We consolidate the assets and liabilities of the trust and disclose on our consolidated balance sheets the consolidated assets and liabilities of the trust that can only be used to settle its liabilities. </w:t>
      </w:r>
    </w:p>
    <w:p>
      <w:pPr>
        <w:pStyle w:val="TextBody"/>
        <w:spacing w:lineRule="auto" w:line="288" w:before="0" w:after="0"/>
        <w:jc w:val="left"/>
        <w:rPr>
          <w:rFonts w:ascii="inherit" w:hAnsi="inherit"/>
          <w:b/>
          <w:sz w:val="17"/>
        </w:rPr>
      </w:pPr>
      <w:r>
        <w:rPr>
          <w:rFonts w:ascii="inherit" w:hAnsi="inherit"/>
          <w:b/>
          <w:sz w:val="17"/>
        </w:rPr>
        <w:t>Operations Expense</w:t>
      </w:r>
    </w:p>
    <w:p>
      <w:pPr>
        <w:pStyle w:val="TextBody"/>
        <w:spacing w:lineRule="auto" w:line="288" w:before="0" w:after="0"/>
        <w:jc w:val="left"/>
        <w:rPr>
          <w:rFonts w:ascii="inherit" w:hAnsi="inherit"/>
          <w:sz w:val="17"/>
        </w:rPr>
      </w:pPr>
      <w:r>
        <w:rPr>
          <w:rFonts w:ascii="inherit" w:hAnsi="inherit"/>
          <w:sz w:val="17"/>
        </w:rPr>
        <w:t>Included in operations expense are costs related to operating our stores, online businesses and any direct costs of support offices. These costs include labor, other direct expenses such as utilities, supplies and banking fees, and indirect expenses such as store rent, building repairs and maintenance, advertising, store property taxes and insurance, regional and area management expenses, the costs of our bad debt collection center and allocations of certain corporate costs.</w:t>
      </w:r>
    </w:p>
    <w:p>
      <w:pPr>
        <w:pStyle w:val="TextBody"/>
        <w:spacing w:lineRule="auto" w:line="288" w:before="0" w:after="0"/>
        <w:jc w:val="left"/>
        <w:rPr>
          <w:rFonts w:ascii="inherit" w:hAnsi="inherit"/>
          <w:b/>
          <w:sz w:val="17"/>
        </w:rPr>
      </w:pPr>
      <w:r>
        <w:rPr>
          <w:rFonts w:ascii="inherit" w:hAnsi="inherit"/>
          <w:b/>
          <w:sz w:val="17"/>
        </w:rPr>
        <w:t>Administrative Expense</w:t>
      </w:r>
    </w:p>
    <w:p>
      <w:pPr>
        <w:pStyle w:val="TextBody"/>
        <w:spacing w:lineRule="auto" w:line="288" w:before="0" w:after="0"/>
        <w:jc w:val="left"/>
        <w:rPr>
          <w:rFonts w:ascii="inherit" w:hAnsi="inherit"/>
          <w:sz w:val="17"/>
        </w:rPr>
      </w:pPr>
      <w:r>
        <w:rPr>
          <w:rFonts w:ascii="inherit" w:hAnsi="inherit"/>
          <w:sz w:val="17"/>
        </w:rPr>
        <w:t>Included in administrative expense are costs related to our executive and administrative offices. This includes executive and administrative salaries, wages, stock and incentive compensation, professional fees, license fees and costs related to the operation of our administrative offices such as rent, property taxes, insurance and information technology.</w:t>
      </w:r>
    </w:p>
    <w:p>
      <w:pPr>
        <w:pStyle w:val="TextBody"/>
        <w:spacing w:lineRule="auto" w:line="288" w:before="0" w:after="0"/>
        <w:jc w:val="left"/>
        <w:rPr>
          <w:rFonts w:ascii="inherit" w:hAnsi="inherit"/>
          <w:b/>
          <w:sz w:val="17"/>
        </w:rPr>
      </w:pPr>
      <w:r>
        <w:rPr>
          <w:rFonts w:ascii="inherit" w:hAnsi="inherit"/>
          <w:b/>
          <w:sz w:val="17"/>
        </w:rPr>
        <w:t>Advertising</w:t>
      </w:r>
    </w:p>
    <w:p>
      <w:pPr>
        <w:pStyle w:val="TextBody"/>
        <w:spacing w:lineRule="auto" w:line="288" w:before="0" w:after="0"/>
        <w:jc w:val="left"/>
        <w:rPr>
          <w:rFonts w:ascii="inherit" w:hAnsi="inherit"/>
          <w:sz w:val="17"/>
        </w:rPr>
      </w:pPr>
      <w:r>
        <w:rPr>
          <w:rFonts w:ascii="inherit" w:hAnsi="inherit"/>
          <w:sz w:val="17"/>
        </w:rPr>
        <w:t>We expense advertising costs as incurred.</w:t>
      </w:r>
    </w:p>
    <w:p>
      <w:pPr>
        <w:pStyle w:val="TextBody"/>
        <w:spacing w:lineRule="auto" w:line="288" w:before="0" w:after="0"/>
        <w:jc w:val="left"/>
        <w:rPr>
          <w:rFonts w:ascii="inherit" w:hAnsi="inherit"/>
          <w:b/>
          <w:sz w:val="17"/>
        </w:rPr>
      </w:pPr>
      <w:r>
        <w:rPr>
          <w:rFonts w:ascii="inherit" w:hAnsi="inherit"/>
          <w:b/>
          <w:sz w:val="17"/>
        </w:rPr>
        <w:t>Income Taxes</w:t>
      </w:r>
    </w:p>
    <w:p>
      <w:pPr>
        <w:pStyle w:val="TextBody"/>
        <w:spacing w:lineRule="auto" w:line="288" w:before="0" w:after="0"/>
        <w:jc w:val="left"/>
        <w:rPr>
          <w:rFonts w:ascii="inherit" w:hAnsi="inherit"/>
          <w:sz w:val="17"/>
        </w:rPr>
      </w:pPr>
      <w:r>
        <w:rPr>
          <w:rFonts w:ascii="inherit" w:hAnsi="inherit"/>
          <w:sz w:val="17"/>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pStyle w:val="TextBody"/>
        <w:spacing w:lineRule="auto" w:line="288" w:before="0" w:after="0"/>
        <w:jc w:val="left"/>
        <w:rPr>
          <w:rFonts w:ascii="inherit" w:hAnsi="inherit"/>
          <w:sz w:val="17"/>
        </w:rPr>
      </w:pPr>
      <w:r>
        <w:rPr>
          <w:rFonts w:ascii="inherit" w:hAnsi="inherit"/>
          <w:sz w:val="17"/>
        </w:rPr>
        <w:t xml:space="preserve">Management believes that it is more likely than not that forecasted income, including income that may be generated as a result of certain tax planning strategies, together with future reversals of existing taxable temporary differences, will be sufficient to fully recover the deferred tax assets. In the event that we determine all or part of the net deferred tax assets are not realizable in the future, we will make an adjustment to the valuation allowance that would be charged to earnings in the period such determination is made. </w:t>
      </w:r>
    </w:p>
    <w:p>
      <w:pPr>
        <w:pStyle w:val="TextBody"/>
        <w:spacing w:lineRule="auto" w:line="288" w:before="0" w:after="0"/>
        <w:jc w:val="left"/>
        <w:rPr>
          <w:rFonts w:ascii="inherit" w:hAnsi="inherit"/>
          <w:b/>
          <w:sz w:val="17"/>
        </w:rPr>
      </w:pPr>
      <w:r>
        <w:rPr>
          <w:rFonts w:ascii="inherit" w:hAnsi="inherit"/>
          <w:b/>
          <w:sz w:val="17"/>
        </w:rPr>
        <w:t>Stock Compensation</w:t>
      </w:r>
    </w:p>
    <w:p>
      <w:pPr>
        <w:pStyle w:val="TextBody"/>
        <w:spacing w:lineRule="auto" w:line="288" w:before="0" w:after="0"/>
        <w:jc w:val="left"/>
        <w:rPr>
          <w:rFonts w:ascii="inherit" w:hAnsi="inherit"/>
          <w:sz w:val="17"/>
        </w:rPr>
      </w:pPr>
      <w:r>
        <w:rPr>
          <w:rFonts w:ascii="inherit" w:hAnsi="inherit"/>
          <w:sz w:val="17"/>
        </w:rPr>
        <w:t>We account for stock compensation in accordance with the fair value recognition provisions of FASB ASC 718-10-25 (Compensation — Stock Compensation). The fair value of restricted shares is measured as the closing market price of our stock on the date of grant, which is amortized over the vesting period for each grant. When we grant options, our policy is to estimate the grant-date fair value of the options using the Black-Scholes-Merton option-pricing model and amortize that fair value to compensation expense on a ratable basis over the options’ vesting periods.</w:t>
      </w:r>
    </w:p>
    <w:p>
      <w:pPr>
        <w:pStyle w:val="TextBody"/>
        <w:spacing w:lineRule="auto" w:line="288" w:before="0" w:after="0"/>
        <w:jc w:val="left"/>
        <w:rPr>
          <w:rFonts w:ascii="inherit" w:hAnsi="inherit"/>
          <w:b/>
          <w:sz w:val="17"/>
        </w:rPr>
      </w:pPr>
      <w:r>
        <w:rPr>
          <w:rFonts w:ascii="inherit" w:hAnsi="inherit"/>
          <w:b/>
          <w:sz w:val="17"/>
        </w:rPr>
        <w:t>Use of Estimates</w:t>
      </w:r>
    </w:p>
    <w:p>
      <w:pPr>
        <w:pStyle w:val="TextBody"/>
        <w:spacing w:lineRule="auto" w:line="288" w:before="0" w:after="0"/>
        <w:jc w:val="left"/>
        <w:rPr>
          <w:rFonts w:ascii="inherit" w:hAnsi="inherit"/>
          <w:sz w:val="17"/>
        </w:rPr>
      </w:pPr>
      <w:r>
        <w:rPr>
          <w:rFonts w:ascii="inherit" w:hAnsi="inherit"/>
          <w:sz w:val="17"/>
        </w:rPr>
        <w:t>Generally accepted accounting principles require us to make estimates and assumptions that affect the amounts reported in the consolidated financial statements and accompanying notes. Actual results could differ materially from those estimates.</w:t>
      </w:r>
    </w:p>
    <w:p>
      <w:pPr>
        <w:pStyle w:val="TextBody"/>
        <w:spacing w:lineRule="auto" w:line="288" w:before="0" w:after="0"/>
        <w:rPr>
          <w:rFonts w:ascii="inherit" w:hAnsi="inherit"/>
          <w:b/>
          <w:sz w:val="17"/>
        </w:rPr>
      </w:pPr>
      <w:r>
        <w:rPr>
          <w:rFonts w:ascii="inherit" w:hAnsi="inherit"/>
          <w:b/>
          <w:sz w:val="17"/>
        </w:rPr>
        <w:t>Recently Adopted Accounting Pronouncements</w:t>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December 2011</w:t>
      </w:r>
      <w:r>
        <w:rPr>
          <w:rFonts w:ascii="inherit" w:hAnsi="inherit"/>
          <w:sz w:val="17"/>
        </w:rPr>
        <w:t xml:space="preserve">, the FASB issued Accounting Standards Update ("ASU") 2011-11, </w:t>
      </w:r>
      <w:r>
        <w:rPr>
          <w:rFonts w:ascii="inherit" w:hAnsi="inherit"/>
          <w:i/>
          <w:sz w:val="17"/>
        </w:rPr>
        <w:t xml:space="preserve">Disclosures about Offsetting Assets and Liabilities. </w:t>
      </w:r>
      <w:r>
        <w:rPr>
          <w:rFonts w:ascii="inherit" w:hAnsi="inherit"/>
          <w:sz w:val="17"/>
        </w:rPr>
        <w:t>This update, which amends FASB ASC 210 (Balance Sheet), requires entities to disclose information about offsetting and related arrangements and the effect of those arrangements on its financial position. The amendments in ASU 2011-11 enhance disclosures required by FASB ASC 210 by requiring improved information about financial instruments and derivative instruments that are either offset in accordance with FASB ASC 210-20-45 or 815-10-45 or are subject to an enforceable master netting arrangement or similar agreement. ASU 2011-11 is effective for interim and annual periods beginning on or after January 1, 2013. Disclosures are required retrospectively for all comparative periods presented. Currently, we do not enter into any right of offset arrangements and the adoption of ASU 2011-11 did not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February 2013, the FASB issued ASU 2013-01, </w:t>
      </w:r>
      <w:r>
        <w:rPr>
          <w:rFonts w:ascii="inherit" w:hAnsi="inherit"/>
          <w:i/>
          <w:sz w:val="17"/>
        </w:rPr>
        <w:t xml:space="preserve">Balance Sheet (Topic 210): Clarifying the Scope of Disclosures about Offsetting Assets and Liabilities. </w:t>
      </w:r>
      <w:r>
        <w:rPr>
          <w:rFonts w:ascii="inherit" w:hAnsi="inherit"/>
          <w:sz w:val="17"/>
        </w:rPr>
        <w:t xml:space="preserve">This update addresses implementation issues about the scope of ASU 2011-11.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68</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amendments in this ASU clarify that the scope of the disclosures under U.S. GAAP is limited to derivatives, including bifurcated embedded derivatives, repurchase agreements, reverse purchase agreements, securities borrowing and securities lending transactions that are offset in accordance with FASB ASC 210-20-45 </w:t>
      </w:r>
      <w:r>
        <w:rPr>
          <w:rFonts w:ascii="inherit" w:hAnsi="inherit"/>
          <w:i/>
          <w:sz w:val="17"/>
        </w:rPr>
        <w:t xml:space="preserve">Balance Sheet—Offsetting—Other Presentation Matters, </w:t>
      </w:r>
      <w:r>
        <w:rPr>
          <w:rFonts w:ascii="inherit" w:hAnsi="inherit"/>
          <w:sz w:val="17"/>
        </w:rPr>
        <w:t xml:space="preserve">or FASB ASC 815-10-45 </w:t>
      </w:r>
      <w:r>
        <w:rPr>
          <w:rFonts w:ascii="inherit" w:hAnsi="inherit"/>
          <w:i/>
          <w:sz w:val="17"/>
        </w:rPr>
        <w:t xml:space="preserve">Derivatives and Hedging — Overall — Other Presentation Matters, </w:t>
      </w:r>
      <w:r>
        <w:rPr>
          <w:rFonts w:ascii="inherit" w:hAnsi="inherit"/>
          <w:sz w:val="17"/>
        </w:rPr>
        <w:t xml:space="preserve">or subject to a master netting arrangement or similar agreement. Entities with other types of financial assets and financial liabilities subject to a master netting arrangement or similar agreement are no longer subject to the disclosure requirements in ASU 2011-11. This update requires entities to apply the amendments for annual reporting periods beginning on or after </w:t>
      </w:r>
      <w:r>
        <w:rPr>
          <w:rFonts w:ascii="inherit" w:hAnsi="inherit"/>
          <w:strike w:val="false"/>
          <w:dstrike w:val="false"/>
          <w:color w:val="000000"/>
          <w:sz w:val="17"/>
          <w:u w:val="none"/>
          <w:effect w:val="none"/>
        </w:rPr>
        <w:t>January 1, 2013</w:t>
      </w:r>
      <w:r>
        <w:rPr>
          <w:sz w:val="17"/>
        </w:rPr>
        <w:t xml:space="preserve"> </w:t>
      </w:r>
      <w:r>
        <w:rPr>
          <w:rFonts w:ascii="inherit" w:hAnsi="inherit"/>
          <w:sz w:val="17"/>
        </w:rPr>
        <w:t>and interim periods within those annual periods and to provide the required disclosures retrospectively for all comparative periods presented. Currently, we do not enter into any right of offset arrangements and the early adoption of ASU 2013-01 did not have a material effect on our financial position, results of operations or cash flows.</w:t>
      </w:r>
    </w:p>
    <w:p>
      <w:pPr>
        <w:pStyle w:val="TextBody"/>
        <w:spacing w:lineRule="auto" w:line="288" w:before="0" w:after="0"/>
        <w:rPr>
          <w:rFonts w:ascii="inherit" w:hAnsi="inherit"/>
          <w:b/>
          <w:sz w:val="17"/>
        </w:rPr>
      </w:pPr>
      <w:r>
        <w:rPr>
          <w:rFonts w:ascii="inherit" w:hAnsi="inherit"/>
          <w:b/>
          <w:sz w:val="17"/>
        </w:rPr>
        <w:t>Recently Issued Accounting Pronouncements</w:t>
      </w:r>
    </w:p>
    <w:p>
      <w:pPr>
        <w:pStyle w:val="TextBody"/>
        <w:spacing w:lineRule="auto" w:line="288" w:before="0" w:after="0"/>
        <w:rPr>
          <w:sz w:val="17"/>
        </w:rPr>
      </w:pPr>
      <w:r>
        <w:rPr>
          <w:rFonts w:ascii="inherit" w:hAnsi="inherit"/>
          <w:sz w:val="17"/>
        </w:rPr>
        <w:t xml:space="preserve">In July 2013, the FASB issued ASU 2013-11, </w:t>
      </w:r>
      <w:r>
        <w:rPr>
          <w:rFonts w:ascii="inherit" w:hAnsi="inherit"/>
          <w:i/>
          <w:sz w:val="17"/>
        </w:rPr>
        <w:t>Income Taxes (Topic 740)—Presentation of an Unrecognized Tax Benefit when a Net Operating Loss Carryforward or Tax Credit Carryforward Exists.</w:t>
      </w:r>
      <w:r>
        <w:rPr>
          <w:sz w:val="17"/>
        </w:rPr>
        <w:t xml:space="preserve">  </w:t>
      </w:r>
      <w:r>
        <w:rPr>
          <w:rFonts w:ascii="inherit" w:hAnsi="inherit"/>
          <w:sz w:val="17"/>
        </w:rPr>
        <w:t>This update provides that an entity's unrecognized tax benefit, or a portion of its unrecognized tax benefit, should be presented in its financial statements as a reduction to a deferred tax asset for a net operating loss carryforward, a similar tax loss, or a tax credit carryforward, with one exception. That exception states that,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update applies prospectively to all entities that have unrecognized tax benefits when a net operating loss carryforward, a similar tax loss, or a tax credit carryforward exists at the reporting date. Retrospective application is also permitted. This update is effective for annual periods, and interim periods within those years, beginning after December 15, 2013. We do not anticipate the adoption of ASU 2013-03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March 2013, the FASB issued ASU 2013-05, </w:t>
      </w:r>
      <w:r>
        <w:rPr>
          <w:rFonts w:ascii="inherit" w:hAnsi="inherit"/>
          <w:i/>
          <w:sz w:val="17"/>
        </w:rPr>
        <w:t>Foreign Currency Matters (Topic 830) — Parent's Accounting for the Cumulative Translation Adjustment upon Derecognition of Certain Subsidiaries or Groups of Assets within a Foreign Entity or of an Investment in a Foreign Entity (a consensus of the FASB Emerging Issues Task Force).</w:t>
      </w:r>
      <w:r>
        <w:rPr>
          <w:sz w:val="17"/>
        </w:rPr>
        <w:t xml:space="preserve">  </w:t>
      </w:r>
      <w:r>
        <w:rPr>
          <w:rFonts w:ascii="inherit" w:hAnsi="inherit"/>
          <w:sz w:val="17"/>
        </w:rPr>
        <w:t>This update applies to the release of the cumulative translation adjustment into net income when a parent either sells a part or all of its investment in a foreign entity, or no longer holds a controlling financial interest in a subsidiary or group of assets that is a business (other than a sale of in substance real estate or conveyance of oil and gas mineral rights) within a foreign entity. ASU 2013-05 is effective prospectively for fiscal years, and interim periods within those years, beginning after December 15, 2013. We do not anticipate that the adoption of ASU 2013-05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February 2013, the FASB issued ASU 2013-02, </w:t>
      </w:r>
      <w:r>
        <w:rPr>
          <w:rFonts w:ascii="inherit" w:hAnsi="inherit"/>
          <w:i/>
          <w:sz w:val="17"/>
        </w:rPr>
        <w:t>Comprehensive Income (Topic 220) — Reporting of Amounts Reclassified Out of Accumulated Other Comprehensive Income.</w:t>
      </w:r>
      <w:r>
        <w:rPr>
          <w:sz w:val="17"/>
        </w:rPr>
        <w:t xml:space="preserve">  </w:t>
      </w:r>
      <w:r>
        <w:rPr>
          <w:rFonts w:ascii="inherit" w:hAnsi="inherit"/>
          <w:sz w:val="17"/>
        </w:rPr>
        <w:t>This update, requires an entity to report the effect of significant reclassifications out of accumulated other comprehensive income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This update requires entities to apply the amendments for periods beginning after December 15, 2012 and interim periods within those annual periods and to provide the required disclosures for all reporting periods presented. We do not anticipate the adoption of ASU 2013-03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February 2013, the FASB issued ASU 2013-04, </w:t>
      </w:r>
      <w:r>
        <w:rPr>
          <w:rFonts w:ascii="inherit" w:hAnsi="inherit"/>
          <w:i/>
          <w:sz w:val="17"/>
        </w:rPr>
        <w:t xml:space="preserve">Liabilities (Topic 405)—Obligations Resulting from Joint and Several Liability Arrangements for Which the Total Amount of the Obligation Is Fixed at the Reporting Date (a consensus of the FASB Emerging Issues Task Force). </w:t>
      </w:r>
      <w:r>
        <w:rPr>
          <w:rFonts w:ascii="inherit" w:hAnsi="inherit"/>
          <w:sz w:val="17"/>
        </w:rPr>
        <w:t>This update provides guidance for the recognition, measurement and disclosure of obligations resulting from joint and several liability arrangements for which the total amount of the obligation within the scope of this guidance is fixed at the reporting date (except for obligations addressed within existing guidance in U.S. GAAP). Examples of obligations within the scope of ASU 2013-04 include debt arrangements, other contractual obligations and settled litigation and judicial rulings. ASU 2013-04 is effective prospectively for fiscal years, and interim periods within those years, beginning after December 15, 2013. We do not anticipate that the adoption of ASU 2013-04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October 2012, the FASB issued ASU 2012-04, </w:t>
      </w:r>
      <w:r>
        <w:rPr>
          <w:rFonts w:ascii="inherit" w:hAnsi="inherit"/>
          <w:i/>
          <w:sz w:val="17"/>
        </w:rPr>
        <w:t xml:space="preserve">Technical Corrections and Improvements. </w:t>
      </w:r>
      <w:r>
        <w:rPr>
          <w:rFonts w:ascii="inherit" w:hAnsi="inherit"/>
          <w:sz w:val="17"/>
        </w:rPr>
        <w:t xml:space="preserve">This update clarifies the Codification or corrects unintended application of guidance and includes amendments identifying when the use of fair value should be linked to the definition of fair value in Topic 820, </w:t>
      </w:r>
      <w:r>
        <w:rPr>
          <w:rFonts w:ascii="inherit" w:hAnsi="inherit"/>
          <w:i/>
          <w:sz w:val="17"/>
        </w:rPr>
        <w:t>Fair Value Measurement</w:t>
      </w:r>
      <w:r>
        <w:rPr>
          <w:rFonts w:ascii="inherit" w:hAnsi="inherit"/>
          <w:sz w:val="17"/>
        </w:rPr>
        <w:t xml:space="preserve">. Amendments to the Codification without transition guidance are effective upon issuance for both public and nonpublic entities. For public entities, amendments subject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69</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to transition guidance will be effective for fiscal periods beginning after December 15, 2012. We do not anticipate that the adoption of ASU 2012-04 will have a material effect on our financial position, results of operations or cash flows.</w:t>
      </w:r>
    </w:p>
    <w:p>
      <w:pPr>
        <w:pStyle w:val="TextBody"/>
        <w:spacing w:lineRule="auto" w:line="288" w:before="0" w:after="0"/>
        <w:rPr>
          <w:sz w:val="17"/>
        </w:rPr>
      </w:pPr>
      <w:bookmarkStart w:id="63" w:name="s223cc752fbc645d79e1c277f20b79253"/>
      <w:bookmarkEnd w:id="63"/>
      <w:r>
        <w:rPr>
          <w:rFonts w:ascii="inherit" w:hAnsi="inherit"/>
          <w:b/>
          <w:strike w:val="false"/>
          <w:dstrike w:val="false"/>
          <w:color w:val="000000"/>
          <w:sz w:val="17"/>
          <w:u w:val="none"/>
          <w:effect w:val="none"/>
        </w:rPr>
        <w:t>NOTE 2: DISCONTINUED OPERATIONS</w:t>
      </w:r>
      <w:r>
        <w:rPr>
          <w:sz w:val="17"/>
        </w:rPr>
        <w:t xml:space="preserve"> </w:t>
      </w:r>
    </w:p>
    <w:p>
      <w:pPr>
        <w:pStyle w:val="TextBody"/>
        <w:spacing w:lineRule="auto" w:line="288" w:before="0" w:after="0"/>
        <w:jc w:val="left"/>
        <w:rPr>
          <w:sz w:val="17"/>
        </w:rPr>
      </w:pPr>
      <w:r>
        <w:rPr>
          <w:rFonts w:ascii="inherit" w:hAnsi="inherit"/>
          <w:sz w:val="17"/>
        </w:rPr>
        <w:t xml:space="preserve">During the third quarter of fiscal 2013, we implemented a plan to close </w:t>
      </w:r>
      <w:r>
        <w:rPr>
          <w:rFonts w:ascii="inherit" w:hAnsi="inherit"/>
          <w:strike w:val="false"/>
          <w:dstrike w:val="false"/>
          <w:color w:val="000000"/>
          <w:sz w:val="17"/>
          <w:u w:val="none"/>
          <w:effect w:val="none"/>
        </w:rPr>
        <w:t>107</w:t>
      </w:r>
      <w:r>
        <w:rPr>
          <w:sz w:val="17"/>
        </w:rPr>
        <w:t xml:space="preserve"> </w:t>
      </w:r>
      <w:r>
        <w:rPr>
          <w:rFonts w:ascii="inherit" w:hAnsi="inherit"/>
          <w:sz w:val="17"/>
        </w:rPr>
        <w:t>legacy stores (</w:t>
      </w:r>
      <w:r>
        <w:rPr>
          <w:rFonts w:ascii="inherit" w:hAnsi="inherit"/>
          <w:strike w:val="false"/>
          <w:dstrike w:val="false"/>
          <w:color w:val="000000"/>
          <w:sz w:val="17"/>
          <w:u w:val="none"/>
          <w:effect w:val="none"/>
        </w:rPr>
        <w:t>102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94</w:t>
      </w:r>
      <w:r>
        <w:rPr>
          <w:sz w:val="17"/>
        </w:rPr>
        <w:t xml:space="preserve"> </w:t>
      </w:r>
      <w:r>
        <w:rPr>
          <w:rFonts w:ascii="inherit" w:hAnsi="inherit"/>
          <w:sz w:val="17"/>
        </w:rPr>
        <w:t>of which were in operation at September 30, 2012 and 2011, respectively) in a variety of locations. These stores are generally older, smaller stores that do not fit our future growth profile.</w:t>
      </w:r>
    </w:p>
    <w:p>
      <w:pPr>
        <w:pStyle w:val="TextBody"/>
        <w:spacing w:lineRule="auto" w:line="288" w:before="0" w:after="0"/>
        <w:jc w:val="left"/>
        <w:rPr>
          <w:rFonts w:ascii="inherit" w:hAnsi="inherit"/>
          <w:sz w:val="17"/>
        </w:rPr>
      </w:pPr>
      <w:r>
        <w:rPr>
          <w:rFonts w:ascii="inherit" w:hAnsi="inherit"/>
          <w:sz w:val="17"/>
        </w:rPr>
        <w:t>Store closures as discontinued operations include:</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57</w:t>
            </w:r>
            <w:r>
              <w:rPr>
                <w:sz w:val="17"/>
              </w:rPr>
              <w:t xml:space="preserve"> </w:t>
            </w:r>
            <w:r>
              <w:rPr>
                <w:rFonts w:ascii="inherit" w:hAnsi="inherit"/>
                <w:sz w:val="17"/>
              </w:rPr>
              <w:t xml:space="preserve">stores in Mexico, </w:t>
            </w:r>
            <w:r>
              <w:rPr>
                <w:rFonts w:ascii="inherit" w:hAnsi="inherit"/>
                <w:strike w:val="false"/>
                <w:dstrike w:val="false"/>
                <w:color w:val="000000"/>
                <w:sz w:val="17"/>
                <w:u w:val="none"/>
                <w:effect w:val="none"/>
              </w:rPr>
              <w:t>52</w:t>
            </w:r>
            <w:r>
              <w:rPr>
                <w:sz w:val="17"/>
              </w:rPr>
              <w:t xml:space="preserve"> </w:t>
            </w:r>
            <w:r>
              <w:rPr>
                <w:rFonts w:ascii="inherit" w:hAnsi="inherit"/>
                <w:sz w:val="17"/>
              </w:rPr>
              <w:t>of which are small, jewelry-only asset group formats. We will continue to operate our full-service SWS stores under the Empeño Fácil brand, and expect to continue our storefront growth in Mexico.</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29</w:t>
            </w:r>
            <w:r>
              <w:rPr>
                <w:sz w:val="17"/>
              </w:rPr>
              <w:t xml:space="preserve"> </w:t>
            </w:r>
            <w:r>
              <w:rPr>
                <w:rFonts w:ascii="inherit" w:hAnsi="inherit"/>
                <w:sz w:val="17"/>
              </w:rPr>
              <w:t>stores in Canada, where we are in the process of transitioning to an integrated buy/sell and financial services model under the Cash Converters brand. The affected asset group consists of stores that are not optimal for that model because of location or size. We will continue to operate full-service buy/sell and financial services center stores under the Cash Converters brand in Canada and the United States.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trike w:val="false"/>
                <w:dstrike w:val="false"/>
                <w:color w:val="000000"/>
                <w:sz w:val="17"/>
                <w:u w:val="none"/>
                <w:effect w:val="none"/>
              </w:rPr>
              <w:t>20</w:t>
            </w:r>
            <w:r>
              <w:rPr>
                <w:sz w:val="17"/>
              </w:rPr>
              <w:t xml:space="preserve"> </w:t>
            </w:r>
            <w:r>
              <w:rPr>
                <w:rFonts w:ascii="inherit" w:hAnsi="inherit"/>
                <w:sz w:val="17"/>
              </w:rPr>
              <w:t xml:space="preserve">financial services stores in Dallas, Texas and the State of Florida, where we are exiting both locations primarily due to onerous regulatory requirements. In addition,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jewelry-only concept store will be closed, which was our only jewelry-only store in the United States. </w:t>
            </w:r>
          </w:p>
        </w:tc>
      </w:tr>
    </w:tbl>
    <w:p>
      <w:pPr>
        <w:pStyle w:val="TextBody"/>
        <w:spacing w:lineRule="auto" w:line="288" w:before="0" w:after="0"/>
        <w:jc w:val="left"/>
        <w:rPr>
          <w:sz w:val="17"/>
        </w:rPr>
      </w:pPr>
      <w:r>
        <w:rPr>
          <w:rFonts w:ascii="inherit" w:hAnsi="inherit"/>
          <w:sz w:val="17"/>
        </w:rPr>
        <w:t>Due to discontinued operations, we incurred charges for lease termination costs, asset and inventory write-down to net realizable liquidation value, uncollectible receivables, and employee severance costs. We recognized $22.2 million</w:t>
      </w:r>
      <w:r>
        <w:rPr>
          <w:sz w:val="17"/>
        </w:rPr>
        <w:t xml:space="preserve"> </w:t>
      </w:r>
      <w:r>
        <w:rPr>
          <w:rFonts w:ascii="inherit" w:hAnsi="inherit"/>
          <w:sz w:val="17"/>
        </w:rPr>
        <w:t>of pre-tax charges related to discontinued operations during fiscal 2013. The following table summarizes these costs, which have been recorded as part of loss from discontinued operations in our fiscal 2013</w:t>
      </w:r>
      <w:r>
        <w:rPr>
          <w:sz w:val="17"/>
        </w:rPr>
        <w:t xml:space="preserve"> </w:t>
      </w:r>
      <w:r>
        <w:rPr>
          <w:rFonts w:ascii="inherit" w:hAnsi="inherit"/>
          <w:sz w:val="17"/>
        </w:rPr>
        <w:t>consolidated statement of operations:</w:t>
      </w:r>
    </w:p>
    <w:p>
      <w:pPr>
        <w:pStyle w:val="TextBody"/>
        <w:spacing w:lineRule="auto" w:line="288" w:before="0" w:after="0"/>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8040"/>
        <w:gridCol w:w="265"/>
        <w:gridCol w:w="1780"/>
        <w:gridCol w:w="120"/>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804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7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040" w:type="dxa"/>
            <w:tcBorders/>
            <w:shd w:fill="auto" w:val="clear"/>
            <w:vAlign w:val="center"/>
          </w:tcPr>
          <w:p>
            <w:pPr>
              <w:pStyle w:val="TableContents"/>
              <w:spacing w:before="0" w:after="0"/>
              <w:ind w:left="0" w:right="0" w:firstLine="30"/>
              <w:rPr/>
            </w:pPr>
            <w:r>
              <w:rPr/>
              <w:t> </w:t>
            </w:r>
          </w:p>
        </w:tc>
        <w:tc>
          <w:tcPr>
            <w:tcW w:w="2165" w:type="dxa"/>
            <w:gridSpan w:val="3"/>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Fiscal Year Ended</w:t>
            </w:r>
          </w:p>
        </w:tc>
      </w:tr>
      <w:tr>
        <w:trPr/>
        <w:tc>
          <w:tcPr>
            <w:tcW w:w="8040" w:type="dxa"/>
            <w:tcBorders/>
            <w:shd w:fill="auto" w:val="clear"/>
            <w:vAlign w:val="center"/>
          </w:tcPr>
          <w:p>
            <w:pPr>
              <w:pStyle w:val="TableContents"/>
              <w:spacing w:before="0" w:after="0"/>
              <w:ind w:left="0" w:right="0" w:firstLine="30"/>
              <w:rPr/>
            </w:pPr>
            <w:r>
              <w:rPr/>
              <w:t> </w:t>
            </w:r>
          </w:p>
        </w:tc>
        <w:tc>
          <w:tcPr>
            <w:tcW w:w="21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September 30, 2013</w:t>
            </w:r>
          </w:p>
        </w:tc>
      </w:tr>
      <w:tr>
        <w:trPr/>
        <w:tc>
          <w:tcPr>
            <w:tcW w:w="8040" w:type="dxa"/>
            <w:tcBorders/>
            <w:shd w:fill="auto" w:val="clear"/>
            <w:vAlign w:val="center"/>
          </w:tcPr>
          <w:p>
            <w:pPr>
              <w:pStyle w:val="TableContents"/>
              <w:spacing w:before="0" w:after="0"/>
              <w:ind w:left="0" w:right="0" w:firstLine="30"/>
              <w:rPr/>
            </w:pPr>
            <w:r>
              <w:rPr/>
              <w:t> </w:t>
            </w:r>
          </w:p>
        </w:tc>
        <w:tc>
          <w:tcPr>
            <w:tcW w:w="2165" w:type="dxa"/>
            <w:gridSpan w:val="3"/>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80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Lease termination costs</w:t>
            </w:r>
          </w:p>
        </w:tc>
        <w:tc>
          <w:tcPr>
            <w:tcW w:w="2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780" w:type="dxa"/>
            <w:tcBorders/>
            <w:shd w:fill="auto" w:val="clear"/>
            <w:vAlign w:val="center"/>
          </w:tcPr>
          <w:p>
            <w:pPr>
              <w:pStyle w:val="TableContents"/>
              <w:spacing w:before="0" w:after="0"/>
              <w:jc w:val="right"/>
              <w:rPr>
                <w:rFonts w:ascii="inherit" w:hAnsi="inherit"/>
                <w:sz w:val="17"/>
              </w:rPr>
            </w:pPr>
            <w:r>
              <w:rPr>
                <w:rFonts w:ascii="inherit" w:hAnsi="inherit"/>
                <w:sz w:val="17"/>
              </w:rPr>
              <w:t>8,608</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0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Employee severance</w:t>
            </w:r>
          </w:p>
        </w:tc>
        <w:tc>
          <w:tcPr>
            <w:tcW w:w="20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896</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0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write-down to liquidation value</w:t>
            </w:r>
          </w:p>
        </w:tc>
        <w:tc>
          <w:tcPr>
            <w:tcW w:w="20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7,081</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0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Fixed asset write-down to liquidation value</w:t>
            </w:r>
          </w:p>
        </w:tc>
        <w:tc>
          <w:tcPr>
            <w:tcW w:w="20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5,605</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0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2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22,190</w:t>
            </w:r>
          </w:p>
        </w:tc>
        <w:tc>
          <w:tcPr>
            <w:tcW w:w="12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As of September 30, 2013, </w:t>
      </w:r>
      <w:r>
        <w:rPr>
          <w:rFonts w:ascii="inherit" w:hAnsi="inherit"/>
          <w:strike w:val="false"/>
          <w:dstrike w:val="false"/>
          <w:color w:val="000000"/>
          <w:sz w:val="17"/>
          <w:u w:val="none"/>
          <w:effect w:val="none"/>
        </w:rPr>
        <w:t>$1.6 million</w:t>
      </w:r>
      <w:r>
        <w:rPr>
          <w:sz w:val="17"/>
        </w:rPr>
        <w:t xml:space="preserve"> </w:t>
      </w:r>
      <w:r>
        <w:rPr>
          <w:rFonts w:ascii="inherit" w:hAnsi="inherit"/>
          <w:sz w:val="17"/>
        </w:rPr>
        <w:t xml:space="preserve">in cash payments had been made with regard to the recorded termination costs.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As of September 30, 2013 accrued severance and lease termination costs related to discontinued operations were $7.1 million. This amount is included in “Accounts payable and accrued liabilities” in our consolidated balance sheets and in “Loss from discontinued operations, net of tax” in the consolidated statements of operations.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Discontinued operations in fiscal 2013, 2012, and 2011 include </w:t>
      </w:r>
      <w:r>
        <w:rPr>
          <w:rFonts w:ascii="inherit" w:hAnsi="inherit"/>
          <w:strike w:val="false"/>
          <w:dstrike w:val="false"/>
          <w:color w:val="000000"/>
          <w:sz w:val="17"/>
          <w:u w:val="none"/>
          <w:effect w:val="none"/>
        </w:rPr>
        <w:t>$15.1 million</w:t>
      </w:r>
      <w:r>
        <w:rPr>
          <w:rFonts w:ascii="inherit" w:hAnsi="inherit"/>
          <w:sz w:val="17"/>
        </w:rPr>
        <w:t xml:space="preserve">, </w:t>
      </w:r>
      <w:r>
        <w:rPr>
          <w:rFonts w:ascii="inherit" w:hAnsi="inherit"/>
          <w:strike w:val="false"/>
          <w:dstrike w:val="false"/>
          <w:color w:val="000000"/>
          <w:sz w:val="17"/>
          <w:u w:val="none"/>
          <w:effect w:val="none"/>
        </w:rPr>
        <w:t>$17.3 million</w:t>
      </w:r>
      <w:r>
        <w:rPr>
          <w:rFonts w:ascii="inherit" w:hAnsi="inherit"/>
          <w:sz w:val="17"/>
        </w:rPr>
        <w:t xml:space="preserve">, and </w:t>
      </w:r>
      <w:r>
        <w:rPr>
          <w:rFonts w:ascii="inherit" w:hAnsi="inherit"/>
          <w:strike w:val="false"/>
          <w:dstrike w:val="false"/>
          <w:color w:val="000000"/>
          <w:sz w:val="17"/>
          <w:u w:val="none"/>
          <w:effect w:val="none"/>
        </w:rPr>
        <w:t>$16.5 million</w:t>
      </w:r>
      <w:r>
        <w:rPr>
          <w:rFonts w:ascii="inherit" w:hAnsi="inherit"/>
          <w:sz w:val="17"/>
        </w:rPr>
        <w:t xml:space="preserve">, respectively, of revenues and </w:t>
      </w:r>
      <w:r>
        <w:rPr>
          <w:rFonts w:ascii="inherit" w:hAnsi="inherit"/>
          <w:strike w:val="false"/>
          <w:dstrike w:val="false"/>
          <w:color w:val="000000"/>
          <w:sz w:val="17"/>
          <w:u w:val="none"/>
          <w:effect w:val="none"/>
        </w:rPr>
        <w:t>$27.2 million</w:t>
      </w:r>
      <w:r>
        <w:rPr>
          <w:rFonts w:ascii="inherit" w:hAnsi="inherit"/>
          <w:sz w:val="17"/>
        </w:rPr>
        <w:t xml:space="preserve">, </w:t>
      </w:r>
      <w:r>
        <w:rPr>
          <w:rFonts w:ascii="inherit" w:hAnsi="inherit"/>
          <w:strike w:val="false"/>
          <w:dstrike w:val="false"/>
          <w:color w:val="000000"/>
          <w:sz w:val="17"/>
          <w:u w:val="none"/>
          <w:effect w:val="none"/>
        </w:rPr>
        <w:t>$4.8 million</w:t>
      </w:r>
      <w:r>
        <w:rPr>
          <w:rFonts w:ascii="inherit" w:hAnsi="inherit"/>
          <w:sz w:val="17"/>
        </w:rPr>
        <w:t xml:space="preserve">, and </w:t>
      </w:r>
      <w:r>
        <w:rPr>
          <w:rFonts w:ascii="inherit" w:hAnsi="inherit"/>
          <w:strike w:val="false"/>
          <w:dstrike w:val="false"/>
          <w:color w:val="000000"/>
          <w:sz w:val="17"/>
          <w:u w:val="none"/>
          <w:effect w:val="none"/>
        </w:rPr>
        <w:t>$1.5 million</w:t>
      </w:r>
      <w:r>
        <w:rPr>
          <w:rFonts w:ascii="inherit" w:hAnsi="inherit"/>
          <w:sz w:val="17"/>
        </w:rPr>
        <w:t xml:space="preserve">, respectively, of pre-tax operating losses from stores being closed.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70</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table below summarizes the operating income (losses) from discontinued operations by operating segment:</w:t>
      </w:r>
    </w:p>
    <w:tbl>
      <w:tblPr>
        <w:tblW w:w="10205" w:type="dxa"/>
        <w:jc w:val="center"/>
        <w:tblInd w:w="0" w:type="dxa"/>
        <w:tblCellMar>
          <w:top w:w="0" w:type="dxa"/>
          <w:left w:w="0" w:type="dxa"/>
          <w:bottom w:w="0" w:type="dxa"/>
          <w:right w:w="0" w:type="dxa"/>
        </w:tblCellMar>
      </w:tblPr>
      <w:tblGrid>
        <w:gridCol w:w="6092"/>
        <w:gridCol w:w="138"/>
        <w:gridCol w:w="1045"/>
        <w:gridCol w:w="132"/>
        <w:gridCol w:w="123"/>
        <w:gridCol w:w="138"/>
        <w:gridCol w:w="1000"/>
        <w:gridCol w:w="132"/>
        <w:gridCol w:w="123"/>
        <w:gridCol w:w="138"/>
        <w:gridCol w:w="1000"/>
        <w:gridCol w:w="144"/>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609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92" w:type="dxa"/>
            <w:tcBorders/>
            <w:shd w:fill="auto" w:val="clear"/>
            <w:vAlign w:val="center"/>
          </w:tcPr>
          <w:p>
            <w:pPr>
              <w:pStyle w:val="TableContents"/>
              <w:spacing w:before="0" w:after="0"/>
              <w:ind w:left="0" w:right="0" w:firstLine="30"/>
              <w:rPr/>
            </w:pPr>
            <w:r>
              <w:rPr/>
              <w:t> </w:t>
            </w:r>
          </w:p>
        </w:tc>
        <w:tc>
          <w:tcPr>
            <w:tcW w:w="411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Fiscal Year Ended September 30,</w:t>
            </w:r>
          </w:p>
        </w:tc>
      </w:tr>
      <w:tr>
        <w:trPr/>
        <w:tc>
          <w:tcPr>
            <w:tcW w:w="6092" w:type="dxa"/>
            <w:tcBorders/>
            <w:shd w:fill="auto" w:val="clear"/>
            <w:vAlign w:val="center"/>
          </w:tcPr>
          <w:p>
            <w:pPr>
              <w:pStyle w:val="TableContents"/>
              <w:spacing w:before="0" w:after="0"/>
              <w:ind w:left="0" w:right="0" w:hanging="0"/>
              <w:rPr/>
            </w:pPr>
            <w:r>
              <w:rPr/>
              <w:t> </w:t>
            </w:r>
          </w:p>
        </w:tc>
        <w:tc>
          <w:tcPr>
            <w:tcW w:w="1315" w:type="dxa"/>
            <w:gridSpan w:val="3"/>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2013</w:t>
            </w:r>
          </w:p>
        </w:tc>
        <w:tc>
          <w:tcPr>
            <w:tcW w:w="123" w:type="dxa"/>
            <w:tcBorders/>
            <w:shd w:fill="auto" w:val="clear"/>
            <w:vAlign w:val="center"/>
          </w:tcPr>
          <w:p>
            <w:pPr>
              <w:pStyle w:val="TableContents"/>
              <w:spacing w:before="0" w:after="0"/>
              <w:ind w:left="0" w:right="0" w:hanging="0"/>
              <w:rPr/>
            </w:pPr>
            <w:r>
              <w:rPr/>
              <w:t> </w:t>
            </w:r>
          </w:p>
        </w:tc>
        <w:tc>
          <w:tcPr>
            <w:tcW w:w="1270" w:type="dxa"/>
            <w:gridSpan w:val="3"/>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2012</w:t>
            </w:r>
          </w:p>
        </w:tc>
        <w:tc>
          <w:tcPr>
            <w:tcW w:w="123" w:type="dxa"/>
            <w:tcBorders>
              <w:top w:val="single" w:sz="2" w:space="0" w:color="000000"/>
            </w:tcBorders>
            <w:shd w:fill="auto" w:val="clear"/>
            <w:tcMar>
              <w:top w:w="30" w:type="dxa"/>
            </w:tcMar>
            <w:vAlign w:val="center"/>
          </w:tcPr>
          <w:p>
            <w:pPr>
              <w:pStyle w:val="TableContents"/>
              <w:spacing w:before="0" w:after="0"/>
              <w:ind w:left="0" w:right="0" w:hanging="0"/>
              <w:rPr/>
            </w:pPr>
            <w:r>
              <w:rPr/>
              <w:t> </w:t>
            </w:r>
          </w:p>
        </w:tc>
        <w:tc>
          <w:tcPr>
            <w:tcW w:w="1282" w:type="dxa"/>
            <w:gridSpan w:val="3"/>
            <w:tcBorders>
              <w:bottom w:val="single" w:sz="2" w:space="0" w:color="000000"/>
            </w:tcBorders>
            <w:shd w:fill="auto" w:val="clear"/>
            <w:tcMar>
              <w:bottom w:w="28"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2011</w:t>
            </w:r>
          </w:p>
        </w:tc>
      </w:tr>
      <w:tr>
        <w:trPr/>
        <w:tc>
          <w:tcPr>
            <w:tcW w:w="6092" w:type="dxa"/>
            <w:tcBorders/>
            <w:shd w:fill="auto" w:val="clear"/>
            <w:vAlign w:val="center"/>
          </w:tcPr>
          <w:p>
            <w:pPr>
              <w:pStyle w:val="TableContents"/>
              <w:spacing w:before="0" w:after="0"/>
              <w:ind w:left="0" w:right="0" w:firstLine="30"/>
              <w:rPr/>
            </w:pPr>
            <w:r>
              <w:rPr/>
              <w:t> </w:t>
            </w:r>
          </w:p>
        </w:tc>
        <w:tc>
          <w:tcPr>
            <w:tcW w:w="4113" w:type="dxa"/>
            <w:gridSpan w:val="11"/>
            <w:tcBorders/>
            <w:shd w:fill="auto" w:val="clear"/>
            <w:vAlign w:val="center"/>
          </w:tcPr>
          <w:p>
            <w:pPr>
              <w:pStyle w:val="TableContents"/>
              <w:spacing w:before="0" w:after="0"/>
              <w:ind w:left="0" w:right="0" w:firstLine="30"/>
              <w:jc w:val="center"/>
              <w:rPr>
                <w:rFonts w:ascii="inherit" w:hAnsi="inherit"/>
                <w:i/>
                <w:sz w:val="17"/>
              </w:rPr>
            </w:pPr>
            <w:r>
              <w:rPr>
                <w:rFonts w:ascii="inherit" w:hAnsi="inherit"/>
                <w:i/>
                <w:sz w:val="17"/>
              </w:rPr>
              <w:t>(in thousands)</w:t>
            </w:r>
          </w:p>
        </w:tc>
      </w:tr>
      <w:tr>
        <w:trPr/>
        <w:tc>
          <w:tcPr>
            <w:tcW w:w="6092" w:type="dxa"/>
            <w:tcBorders/>
            <w:shd w:fill="CCEEFF"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U.S. &amp; Canada</w:t>
            </w:r>
          </w:p>
        </w:tc>
        <w:tc>
          <w:tcPr>
            <w:tcW w:w="1315"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70"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82" w:type="dxa"/>
            <w:gridSpan w:val="3"/>
            <w:tcBorders/>
            <w:shd w:fill="CCEEFF" w:val="clear"/>
            <w:vAlign w:val="center"/>
          </w:tcPr>
          <w:p>
            <w:pPr>
              <w:pStyle w:val="TableContents"/>
              <w:spacing w:before="0" w:after="0"/>
              <w:ind w:left="0" w:right="0" w:firstLine="30"/>
              <w:rPr/>
            </w:pPr>
            <w:r>
              <w:rPr/>
              <w:t> </w:t>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auto" w:val="clear"/>
            <w:vAlign w:val="center"/>
          </w:tcPr>
          <w:p>
            <w:pPr>
              <w:pStyle w:val="TableContents"/>
              <w:spacing w:before="0" w:after="0"/>
              <w:jc w:val="right"/>
              <w:rPr>
                <w:rFonts w:ascii="inherit" w:hAnsi="inherit"/>
                <w:sz w:val="17"/>
              </w:rPr>
            </w:pPr>
            <w:r>
              <w:rPr>
                <w:rFonts w:ascii="inherit" w:hAnsi="inherit"/>
                <w:sz w:val="17"/>
              </w:rPr>
              <w:t>4,308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auto" w:val="clear"/>
            <w:vAlign w:val="center"/>
          </w:tcPr>
          <w:p>
            <w:pPr>
              <w:pStyle w:val="TableContents"/>
              <w:spacing w:before="0" w:after="0"/>
              <w:jc w:val="right"/>
              <w:rPr>
                <w:rFonts w:ascii="inherit" w:hAnsi="inherit"/>
                <w:sz w:val="17"/>
              </w:rPr>
            </w:pPr>
            <w:r>
              <w:rPr>
                <w:rFonts w:ascii="inherit" w:hAnsi="inherit"/>
                <w:sz w:val="17"/>
              </w:rPr>
              <w:t>6,183</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auto" w:val="clear"/>
            <w:vAlign w:val="center"/>
          </w:tcPr>
          <w:p>
            <w:pPr>
              <w:pStyle w:val="TableContents"/>
              <w:spacing w:before="0" w:after="0"/>
              <w:jc w:val="right"/>
              <w:rPr>
                <w:rFonts w:ascii="inherit" w:hAnsi="inherit"/>
                <w:sz w:val="17"/>
              </w:rPr>
            </w:pPr>
            <w:r>
              <w:rPr>
                <w:rFonts w:ascii="inherit" w:hAnsi="inherit"/>
                <w:sz w:val="17"/>
              </w:rPr>
              <w:t>5,495</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1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10,090</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10,031</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5,891</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loss from discontinued operations before taxes</w:t>
            </w:r>
          </w:p>
        </w:tc>
        <w:tc>
          <w:tcPr>
            <w:tcW w:w="11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(5,782</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(3,848</w:t>
            </w:r>
          </w:p>
        </w:tc>
        <w:tc>
          <w:tcPr>
            <w:tcW w:w="132"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(396</w:t>
            </w:r>
          </w:p>
        </w:tc>
        <w:tc>
          <w:tcPr>
            <w:tcW w:w="144"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11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13,049</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before taxes</w:t>
            </w:r>
          </w:p>
        </w:tc>
        <w:tc>
          <w:tcPr>
            <w:tcW w:w="11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(18,831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(3,848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(396</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 provision</w:t>
            </w:r>
          </w:p>
        </w:tc>
        <w:tc>
          <w:tcPr>
            <w:tcW w:w="11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(1,392</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77</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404</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auto" w:val="clear"/>
            <w:vAlign w:val="center"/>
          </w:tcPr>
          <w:p>
            <w:pPr>
              <w:pStyle w:val="TableContents"/>
              <w:spacing w:before="0" w:after="0"/>
              <w:jc w:val="right"/>
              <w:rPr>
                <w:rFonts w:ascii="inherit" w:hAnsi="inherit"/>
                <w:sz w:val="17"/>
              </w:rPr>
            </w:pPr>
            <w:r>
              <w:rPr>
                <w:rFonts w:ascii="inherit" w:hAnsi="inherit"/>
                <w:sz w:val="17"/>
              </w:rPr>
              <w:t>(17,439</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auto" w:val="clear"/>
            <w:vAlign w:val="center"/>
          </w:tcPr>
          <w:p>
            <w:pPr>
              <w:pStyle w:val="TableContents"/>
              <w:spacing w:before="0" w:after="0"/>
              <w:jc w:val="right"/>
              <w:rPr>
                <w:rFonts w:ascii="inherit" w:hAnsi="inherit"/>
                <w:sz w:val="17"/>
              </w:rPr>
            </w:pPr>
            <w:r>
              <w:rPr>
                <w:rFonts w:ascii="inherit" w:hAnsi="inherit"/>
                <w:sz w:val="17"/>
              </w:rPr>
              <w:t>(3,925</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auto" w:val="clear"/>
            <w:vAlign w:val="center"/>
          </w:tcPr>
          <w:p>
            <w:pPr>
              <w:pStyle w:val="TableContents"/>
              <w:spacing w:before="0" w:after="0"/>
              <w:jc w:val="right"/>
              <w:rPr>
                <w:rFonts w:ascii="inherit" w:hAnsi="inherit"/>
                <w:sz w:val="17"/>
              </w:rPr>
            </w:pPr>
            <w:r>
              <w:rPr>
                <w:rFonts w:ascii="inherit" w:hAnsi="inherit"/>
                <w:sz w:val="17"/>
              </w:rPr>
              <w:t>(800</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CCEEFF" w:val="clear"/>
            <w:vAlign w:val="center"/>
          </w:tcPr>
          <w:p>
            <w:pPr>
              <w:pStyle w:val="TableContents"/>
              <w:spacing w:before="0" w:after="0"/>
              <w:ind w:left="0" w:right="0" w:firstLine="30"/>
              <w:rPr/>
            </w:pPr>
            <w:r>
              <w:rPr/>
              <w:t> </w:t>
            </w:r>
          </w:p>
        </w:tc>
        <w:tc>
          <w:tcPr>
            <w:tcW w:w="1315"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70"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82" w:type="dxa"/>
            <w:gridSpan w:val="3"/>
            <w:tcBorders/>
            <w:shd w:fill="CCEEFF" w:val="clear"/>
            <w:vAlign w:val="center"/>
          </w:tcPr>
          <w:p>
            <w:pPr>
              <w:pStyle w:val="TableContents"/>
              <w:spacing w:before="0" w:after="0"/>
              <w:ind w:left="0" w:right="0" w:firstLine="30"/>
              <w:rPr/>
            </w:pPr>
            <w:r>
              <w:rPr/>
              <w:t> </w:t>
            </w:r>
          </w:p>
        </w:tc>
      </w:tr>
      <w:tr>
        <w:trPr/>
        <w:tc>
          <w:tcPr>
            <w:tcW w:w="6092" w:type="dxa"/>
            <w:tcBorders/>
            <w:shd w:fill="auto"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Latin America</w:t>
            </w:r>
          </w:p>
        </w:tc>
        <w:tc>
          <w:tcPr>
            <w:tcW w:w="1315"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70"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82" w:type="dxa"/>
            <w:gridSpan w:val="3"/>
            <w:tcBorders/>
            <w:shd w:fill="auto" w:val="clear"/>
            <w:vAlign w:val="center"/>
          </w:tcPr>
          <w:p>
            <w:pPr>
              <w:pStyle w:val="TableContents"/>
              <w:spacing w:before="0" w:after="0"/>
              <w:ind w:left="0" w:right="0" w:firstLine="30"/>
              <w:rPr/>
            </w:pPr>
            <w:r>
              <w:rPr/>
              <w:t> </w:t>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CCEEFF" w:val="clear"/>
            <w:vAlign w:val="center"/>
          </w:tcPr>
          <w:p>
            <w:pPr>
              <w:pStyle w:val="TableContents"/>
              <w:spacing w:before="0" w:after="0"/>
              <w:jc w:val="right"/>
              <w:rPr>
                <w:rFonts w:ascii="inherit" w:hAnsi="inherit"/>
                <w:sz w:val="17"/>
              </w:rPr>
            </w:pPr>
            <w:r>
              <w:rPr>
                <w:rFonts w:ascii="inherit" w:hAnsi="inherit"/>
                <w:sz w:val="17"/>
              </w:rPr>
              <w:t>5,215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CCEEFF" w:val="clear"/>
            <w:vAlign w:val="center"/>
          </w:tcPr>
          <w:p>
            <w:pPr>
              <w:pStyle w:val="TableContents"/>
              <w:spacing w:before="0" w:after="0"/>
              <w:jc w:val="right"/>
              <w:rPr>
                <w:rFonts w:ascii="inherit" w:hAnsi="inherit"/>
                <w:sz w:val="17"/>
              </w:rPr>
            </w:pPr>
            <w:r>
              <w:rPr>
                <w:rFonts w:ascii="inherit" w:hAnsi="inherit"/>
                <w:sz w:val="17"/>
              </w:rPr>
              <w:t>3,645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CCEEFF" w:val="clear"/>
            <w:vAlign w:val="center"/>
          </w:tcPr>
          <w:p>
            <w:pPr>
              <w:pStyle w:val="TableContents"/>
              <w:spacing w:before="0" w:after="0"/>
              <w:jc w:val="right"/>
              <w:rPr>
                <w:rFonts w:ascii="inherit" w:hAnsi="inherit"/>
                <w:sz w:val="17"/>
              </w:rPr>
            </w:pPr>
            <w:r>
              <w:rPr>
                <w:rFonts w:ascii="inherit" w:hAnsi="inherit"/>
                <w:sz w:val="17"/>
              </w:rPr>
              <w:t>3,138</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1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4,461</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4,560</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4,220</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 (loss) from discontinued operations before taxes</w:t>
            </w:r>
          </w:p>
        </w:tc>
        <w:tc>
          <w:tcPr>
            <w:tcW w:w="118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754</w:t>
            </w:r>
          </w:p>
        </w:tc>
        <w:tc>
          <w:tcPr>
            <w:tcW w:w="13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(915</w:t>
            </w:r>
          </w:p>
        </w:tc>
        <w:tc>
          <w:tcPr>
            <w:tcW w:w="132"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(1,082</w:t>
            </w:r>
          </w:p>
        </w:tc>
        <w:tc>
          <w:tcPr>
            <w:tcW w:w="14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11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9,141</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before taxes</w:t>
            </w:r>
          </w:p>
        </w:tc>
        <w:tc>
          <w:tcPr>
            <w:tcW w:w="118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(8,387</w:t>
            </w:r>
          </w:p>
        </w:tc>
        <w:tc>
          <w:tcPr>
            <w:tcW w:w="132"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(915</w:t>
            </w:r>
          </w:p>
        </w:tc>
        <w:tc>
          <w:tcPr>
            <w:tcW w:w="132"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(1,082</w:t>
            </w:r>
          </w:p>
        </w:tc>
        <w:tc>
          <w:tcPr>
            <w:tcW w:w="14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w:t>
            </w:r>
          </w:p>
        </w:tc>
        <w:tc>
          <w:tcPr>
            <w:tcW w:w="11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(2,516</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(307</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(324</w:t>
            </w:r>
          </w:p>
        </w:tc>
        <w:tc>
          <w:tcPr>
            <w:tcW w:w="14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CCEEFF" w:val="clear"/>
            <w:vAlign w:val="center"/>
          </w:tcPr>
          <w:p>
            <w:pPr>
              <w:pStyle w:val="TableContents"/>
              <w:spacing w:before="0" w:after="0"/>
              <w:jc w:val="right"/>
              <w:rPr>
                <w:rFonts w:ascii="inherit" w:hAnsi="inherit"/>
                <w:sz w:val="17"/>
              </w:rPr>
            </w:pPr>
            <w:r>
              <w:rPr>
                <w:rFonts w:ascii="inherit" w:hAnsi="inherit"/>
                <w:sz w:val="17"/>
              </w:rPr>
              <w:t>(5,871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CCEEFF" w:val="clear"/>
            <w:vAlign w:val="center"/>
          </w:tcPr>
          <w:p>
            <w:pPr>
              <w:pStyle w:val="TableContents"/>
              <w:spacing w:before="0" w:after="0"/>
              <w:jc w:val="right"/>
              <w:rPr>
                <w:rFonts w:ascii="inherit" w:hAnsi="inherit"/>
                <w:sz w:val="17"/>
              </w:rPr>
            </w:pPr>
            <w:r>
              <w:rPr>
                <w:rFonts w:ascii="inherit" w:hAnsi="inherit"/>
                <w:sz w:val="17"/>
              </w:rPr>
              <w:t>(608</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CCEEFF" w:val="clear"/>
            <w:vAlign w:val="center"/>
          </w:tcPr>
          <w:p>
            <w:pPr>
              <w:pStyle w:val="TableContents"/>
              <w:spacing w:before="0" w:after="0"/>
              <w:jc w:val="right"/>
              <w:rPr>
                <w:rFonts w:ascii="inherit" w:hAnsi="inherit"/>
                <w:sz w:val="17"/>
              </w:rPr>
            </w:pPr>
            <w:r>
              <w:rPr>
                <w:rFonts w:ascii="inherit" w:hAnsi="inherit"/>
                <w:sz w:val="17"/>
              </w:rPr>
              <w:t>(758</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auto" w:val="clear"/>
            <w:vAlign w:val="center"/>
          </w:tcPr>
          <w:p>
            <w:pPr>
              <w:pStyle w:val="TableContents"/>
              <w:spacing w:before="0" w:after="0"/>
              <w:ind w:left="0" w:right="0" w:firstLine="30"/>
              <w:rPr/>
            </w:pPr>
            <w:r>
              <w:rPr/>
              <w:t> </w:t>
            </w:r>
          </w:p>
        </w:tc>
        <w:tc>
          <w:tcPr>
            <w:tcW w:w="1315"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70"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82" w:type="dxa"/>
            <w:gridSpan w:val="3"/>
            <w:tcBorders/>
            <w:shd w:fill="auto" w:val="clear"/>
            <w:vAlign w:val="center"/>
          </w:tcPr>
          <w:p>
            <w:pPr>
              <w:pStyle w:val="TableContents"/>
              <w:spacing w:before="0" w:after="0"/>
              <w:ind w:left="0" w:right="0" w:firstLine="30"/>
              <w:rPr/>
            </w:pPr>
            <w:r>
              <w:rPr/>
              <w:t> </w:t>
            </w:r>
          </w:p>
        </w:tc>
      </w:tr>
      <w:tr>
        <w:trPr/>
        <w:tc>
          <w:tcPr>
            <w:tcW w:w="6092" w:type="dxa"/>
            <w:tcBorders/>
            <w:shd w:fill="CCEEFF"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Consolidated</w:t>
            </w:r>
          </w:p>
        </w:tc>
        <w:tc>
          <w:tcPr>
            <w:tcW w:w="1315"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70"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82" w:type="dxa"/>
            <w:gridSpan w:val="3"/>
            <w:tcBorders/>
            <w:shd w:fill="CCEEFF" w:val="clear"/>
            <w:vAlign w:val="center"/>
          </w:tcPr>
          <w:p>
            <w:pPr>
              <w:pStyle w:val="TableContents"/>
              <w:spacing w:before="0" w:after="0"/>
              <w:ind w:left="0" w:right="0" w:firstLine="30"/>
              <w:rPr/>
            </w:pPr>
            <w:r>
              <w:rPr/>
              <w:t> </w:t>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shd w:fill="auto" w:val="clear"/>
            <w:vAlign w:val="center"/>
          </w:tcPr>
          <w:p>
            <w:pPr>
              <w:pStyle w:val="TableContents"/>
              <w:spacing w:before="0" w:after="0"/>
              <w:jc w:val="right"/>
              <w:rPr>
                <w:rFonts w:ascii="inherit" w:hAnsi="inherit"/>
                <w:sz w:val="17"/>
              </w:rPr>
            </w:pPr>
            <w:r>
              <w:rPr>
                <w:rFonts w:ascii="inherit" w:hAnsi="inherit"/>
                <w:sz w:val="17"/>
              </w:rPr>
              <w:t>9,523</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auto" w:val="clear"/>
            <w:vAlign w:val="center"/>
          </w:tcPr>
          <w:p>
            <w:pPr>
              <w:pStyle w:val="TableContents"/>
              <w:spacing w:before="0" w:after="0"/>
              <w:jc w:val="right"/>
              <w:rPr>
                <w:rFonts w:ascii="inherit" w:hAnsi="inherit"/>
                <w:sz w:val="17"/>
              </w:rPr>
            </w:pPr>
            <w:r>
              <w:rPr>
                <w:rFonts w:ascii="inherit" w:hAnsi="inherit"/>
                <w:sz w:val="17"/>
              </w:rPr>
              <w:t>9,828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auto" w:val="clear"/>
            <w:vAlign w:val="center"/>
          </w:tcPr>
          <w:p>
            <w:pPr>
              <w:pStyle w:val="TableContents"/>
              <w:spacing w:before="0" w:after="0"/>
              <w:jc w:val="right"/>
              <w:rPr>
                <w:rFonts w:ascii="inherit" w:hAnsi="inherit"/>
                <w:sz w:val="17"/>
              </w:rPr>
            </w:pPr>
            <w:r>
              <w:rPr>
                <w:rFonts w:ascii="inherit" w:hAnsi="inherit"/>
                <w:sz w:val="17"/>
              </w:rPr>
              <w:t>8,633</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1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14,551</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14,591</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10,111</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loss from discontinued operations before taxes</w:t>
            </w:r>
          </w:p>
        </w:tc>
        <w:tc>
          <w:tcPr>
            <w:tcW w:w="118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(5,028</w:t>
            </w:r>
          </w:p>
        </w:tc>
        <w:tc>
          <w:tcPr>
            <w:tcW w:w="132"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(4,763</w:t>
            </w:r>
          </w:p>
        </w:tc>
        <w:tc>
          <w:tcPr>
            <w:tcW w:w="132"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(1,478</w:t>
            </w:r>
          </w:p>
        </w:tc>
        <w:tc>
          <w:tcPr>
            <w:tcW w:w="144"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termination costs related to the reorganization</w:t>
            </w:r>
          </w:p>
        </w:tc>
        <w:tc>
          <w:tcPr>
            <w:tcW w:w="11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22,190</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before taxes</w:t>
            </w:r>
          </w:p>
        </w:tc>
        <w:tc>
          <w:tcPr>
            <w:tcW w:w="118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(27,218</w:t>
            </w:r>
          </w:p>
        </w:tc>
        <w:tc>
          <w:tcPr>
            <w:tcW w:w="132"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(4,763</w:t>
            </w:r>
          </w:p>
        </w:tc>
        <w:tc>
          <w:tcPr>
            <w:tcW w:w="132"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(1,478</w:t>
            </w:r>
          </w:p>
        </w:tc>
        <w:tc>
          <w:tcPr>
            <w:tcW w:w="144"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 provision</w:t>
            </w:r>
          </w:p>
        </w:tc>
        <w:tc>
          <w:tcPr>
            <w:tcW w:w="11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(3,908</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(230</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80</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1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(23,310</w:t>
            </w:r>
          </w:p>
        </w:tc>
        <w:tc>
          <w:tcPr>
            <w:tcW w:w="13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(4,533</w:t>
            </w:r>
          </w:p>
        </w:tc>
        <w:tc>
          <w:tcPr>
            <w:tcW w:w="13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(1,558</w:t>
            </w:r>
          </w:p>
        </w:tc>
        <w:tc>
          <w:tcPr>
            <w:tcW w:w="1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rFonts w:ascii="inherit" w:hAnsi="inherit"/>
          <w:sz w:val="17"/>
        </w:rPr>
      </w:pPr>
      <w:r>
        <w:rPr>
          <w:rFonts w:ascii="inherit" w:hAnsi="inherit"/>
          <w:sz w:val="17"/>
        </w:rPr>
        <w:t>The following tables present stores by segment:</w:t>
      </w:r>
    </w:p>
    <w:tbl>
      <w:tblPr>
        <w:tblW w:w="10205" w:type="dxa"/>
        <w:jc w:val="center"/>
        <w:tblInd w:w="0" w:type="dxa"/>
        <w:tblCellMar>
          <w:top w:w="0" w:type="dxa"/>
          <w:left w:w="0" w:type="dxa"/>
          <w:bottom w:w="0" w:type="dxa"/>
          <w:right w:w="0" w:type="dxa"/>
        </w:tblCellMar>
      </w:tblPr>
      <w:tblGrid>
        <w:gridCol w:w="3100"/>
        <w:gridCol w:w="1241"/>
        <w:gridCol w:w="130"/>
        <w:gridCol w:w="1135"/>
        <w:gridCol w:w="130"/>
        <w:gridCol w:w="1299"/>
        <w:gridCol w:w="142"/>
        <w:gridCol w:w="130"/>
        <w:gridCol w:w="1454"/>
        <w:gridCol w:w="130"/>
        <w:gridCol w:w="872"/>
        <w:gridCol w:w="442"/>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3100"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00" w:type="dxa"/>
            <w:tcBorders/>
            <w:shd w:fill="auto" w:val="clear"/>
            <w:vAlign w:val="center"/>
          </w:tcPr>
          <w:p>
            <w:pPr>
              <w:pStyle w:val="TableContents"/>
              <w:spacing w:before="0" w:after="0"/>
              <w:ind w:left="0" w:right="0" w:firstLine="30"/>
              <w:jc w:val="left"/>
              <w:rPr/>
            </w:pPr>
            <w:r>
              <w:rPr/>
              <w:t> </w:t>
            </w:r>
          </w:p>
        </w:tc>
        <w:tc>
          <w:tcPr>
            <w:tcW w:w="710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 2013</w:t>
            </w:r>
          </w:p>
        </w:tc>
      </w:tr>
      <w:tr>
        <w:trPr/>
        <w:tc>
          <w:tcPr>
            <w:tcW w:w="3100" w:type="dxa"/>
            <w:tcBorders/>
            <w:shd w:fill="auto" w:val="clear"/>
            <w:vAlign w:val="center"/>
          </w:tcPr>
          <w:p>
            <w:pPr>
              <w:pStyle w:val="TableContents"/>
              <w:spacing w:before="0" w:after="0"/>
              <w:ind w:left="0" w:right="0" w:firstLine="30"/>
              <w:jc w:val="left"/>
              <w:rPr/>
            </w:pPr>
            <w:r>
              <w:rPr/>
              <w:t> </w:t>
            </w:r>
          </w:p>
        </w:tc>
        <w:tc>
          <w:tcPr>
            <w:tcW w:w="5661"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30" w:type="dxa"/>
            <w:tcBorders/>
            <w:shd w:fill="auto" w:val="clear"/>
            <w:vAlign w:val="center"/>
          </w:tcPr>
          <w:p>
            <w:pPr>
              <w:pStyle w:val="TableContents"/>
              <w:spacing w:before="0" w:after="0"/>
              <w:ind w:left="0" w:right="0" w:firstLine="30"/>
              <w:rPr/>
            </w:pPr>
            <w:r>
              <w:rPr/>
              <w:t> </w:t>
            </w:r>
          </w:p>
        </w:tc>
        <w:tc>
          <w:tcPr>
            <w:tcW w:w="1314" w:type="dxa"/>
            <w:gridSpan w:val="2"/>
            <w:tcBorders/>
            <w:shd w:fill="auto" w:val="clear"/>
            <w:vAlign w:val="center"/>
          </w:tcPr>
          <w:p>
            <w:pPr>
              <w:pStyle w:val="TableContents"/>
              <w:spacing w:before="0" w:after="0"/>
              <w:ind w:left="0" w:right="0" w:firstLine="30"/>
              <w:jc w:val="center"/>
              <w:rPr/>
            </w:pPr>
            <w:r>
              <w:rPr/>
              <w:t> </w:t>
            </w:r>
          </w:p>
        </w:tc>
      </w:tr>
      <w:tr>
        <w:trPr/>
        <w:tc>
          <w:tcPr>
            <w:tcW w:w="3100" w:type="dxa"/>
            <w:tcBorders/>
            <w:shd w:fill="auto" w:val="clear"/>
            <w:vAlign w:val="center"/>
          </w:tcPr>
          <w:p>
            <w:pPr>
              <w:pStyle w:val="TableContents"/>
              <w:spacing w:before="0" w:after="0"/>
              <w:ind w:left="0" w:right="0" w:firstLine="30"/>
              <w:rPr/>
            </w:pPr>
            <w:r>
              <w:rPr/>
              <w:t> </w:t>
            </w:r>
          </w:p>
        </w:tc>
        <w:tc>
          <w:tcPr>
            <w:tcW w:w="1241"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30" w:type="dxa"/>
            <w:tcBorders/>
            <w:shd w:fill="auto" w:val="clear"/>
            <w:vAlign w:val="center"/>
          </w:tcPr>
          <w:p>
            <w:pPr>
              <w:pStyle w:val="TableContents"/>
              <w:spacing w:before="0" w:after="0"/>
              <w:ind w:left="0" w:right="0" w:firstLine="30"/>
              <w:rPr/>
            </w:pPr>
            <w:r>
              <w:rPr/>
              <w:t> </w:t>
            </w:r>
          </w:p>
        </w:tc>
        <w:tc>
          <w:tcPr>
            <w:tcW w:w="113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30" w:type="dxa"/>
            <w:tcBorders/>
            <w:shd w:fill="auto" w:val="clear"/>
            <w:vAlign w:val="center"/>
          </w:tcPr>
          <w:p>
            <w:pPr>
              <w:pStyle w:val="TableContents"/>
              <w:spacing w:before="0" w:after="0"/>
              <w:ind w:left="0" w:right="0" w:firstLine="30"/>
              <w:rPr/>
            </w:pPr>
            <w:r>
              <w:rPr/>
              <w:t> </w:t>
            </w:r>
          </w:p>
        </w:tc>
        <w:tc>
          <w:tcPr>
            <w:tcW w:w="144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30" w:type="dxa"/>
            <w:tcBorders/>
            <w:shd w:fill="auto" w:val="clear"/>
            <w:vAlign w:val="center"/>
          </w:tcPr>
          <w:p>
            <w:pPr>
              <w:pStyle w:val="TableContents"/>
              <w:spacing w:before="0" w:after="0"/>
              <w:rPr/>
            </w:pPr>
            <w:r>
              <w:rPr/>
              <w:t> </w:t>
            </w:r>
          </w:p>
        </w:tc>
        <w:tc>
          <w:tcPr>
            <w:tcW w:w="145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30" w:type="dxa"/>
            <w:tcBorders/>
            <w:shd w:fill="auto" w:val="clear"/>
            <w:vAlign w:val="center"/>
          </w:tcPr>
          <w:p>
            <w:pPr>
              <w:pStyle w:val="TableContents"/>
              <w:spacing w:before="0" w:after="0"/>
              <w:rPr/>
            </w:pPr>
            <w:r>
              <w:rPr/>
              <w:t> </w:t>
            </w:r>
          </w:p>
        </w:tc>
        <w:tc>
          <w:tcPr>
            <w:tcW w:w="131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3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41" w:type="dxa"/>
            <w:tcBorders/>
            <w:shd w:fill="CCEEFF" w:val="clear"/>
            <w:vAlign w:val="center"/>
          </w:tcPr>
          <w:p>
            <w:pPr>
              <w:pStyle w:val="TableContents"/>
              <w:spacing w:before="0" w:after="0"/>
              <w:ind w:left="0" w:right="0" w:firstLine="30"/>
              <w:jc w:val="left"/>
              <w:rPr/>
            </w:pPr>
            <w:r>
              <w:rPr/>
              <w:t> </w:t>
            </w:r>
          </w:p>
        </w:tc>
        <w:tc>
          <w:tcPr>
            <w:tcW w:w="130" w:type="dxa"/>
            <w:tcBorders/>
            <w:shd w:fill="CCEEFF" w:val="clear"/>
            <w:vAlign w:val="center"/>
          </w:tcPr>
          <w:p>
            <w:pPr>
              <w:pStyle w:val="TableContents"/>
              <w:spacing w:before="0" w:after="0"/>
              <w:ind w:left="0" w:right="0" w:firstLine="30"/>
              <w:rPr/>
            </w:pPr>
            <w:r>
              <w:rPr/>
              <w:t> </w:t>
            </w:r>
          </w:p>
        </w:tc>
        <w:tc>
          <w:tcPr>
            <w:tcW w:w="1135" w:type="dxa"/>
            <w:tcBorders/>
            <w:shd w:fill="CCEEFF" w:val="clear"/>
            <w:vAlign w:val="center"/>
          </w:tcPr>
          <w:p>
            <w:pPr>
              <w:pStyle w:val="TableContents"/>
              <w:spacing w:before="0" w:after="0"/>
              <w:ind w:left="0" w:right="0" w:firstLine="30"/>
              <w:jc w:val="left"/>
              <w:rPr/>
            </w:pPr>
            <w:r>
              <w:rPr/>
              <w:t> </w:t>
            </w:r>
          </w:p>
        </w:tc>
        <w:tc>
          <w:tcPr>
            <w:tcW w:w="130" w:type="dxa"/>
            <w:tcBorders/>
            <w:shd w:fill="CCEEFF" w:val="clear"/>
            <w:vAlign w:val="center"/>
          </w:tcPr>
          <w:p>
            <w:pPr>
              <w:pStyle w:val="TableContents"/>
              <w:spacing w:before="0" w:after="0"/>
              <w:ind w:left="0" w:right="0" w:firstLine="30"/>
              <w:rPr/>
            </w:pPr>
            <w:r>
              <w:rPr/>
              <w:t> </w:t>
            </w:r>
          </w:p>
        </w:tc>
        <w:tc>
          <w:tcPr>
            <w:tcW w:w="1441" w:type="dxa"/>
            <w:gridSpan w:val="2"/>
            <w:tcBorders/>
            <w:shd w:fill="CCEEFF" w:val="clear"/>
            <w:vAlign w:val="center"/>
          </w:tcPr>
          <w:p>
            <w:pPr>
              <w:pStyle w:val="TableContents"/>
              <w:spacing w:before="0" w:after="0"/>
              <w:ind w:left="0" w:right="0" w:firstLine="30"/>
              <w:jc w:val="left"/>
              <w:rPr/>
            </w:pPr>
            <w:r>
              <w:rPr/>
              <w:t> </w:t>
            </w:r>
          </w:p>
        </w:tc>
        <w:tc>
          <w:tcPr>
            <w:tcW w:w="130" w:type="dxa"/>
            <w:tcBorders/>
            <w:shd w:fill="CCEEFF" w:val="clear"/>
            <w:vAlign w:val="center"/>
          </w:tcPr>
          <w:p>
            <w:pPr>
              <w:pStyle w:val="TableContents"/>
              <w:spacing w:before="0" w:after="0"/>
              <w:ind w:left="0" w:right="0" w:firstLine="30"/>
              <w:rPr/>
            </w:pPr>
            <w:r>
              <w:rPr/>
              <w:t> </w:t>
            </w:r>
          </w:p>
        </w:tc>
        <w:tc>
          <w:tcPr>
            <w:tcW w:w="1454" w:type="dxa"/>
            <w:tcBorders/>
            <w:shd w:fill="CCEEFF" w:val="clear"/>
            <w:vAlign w:val="center"/>
          </w:tcPr>
          <w:p>
            <w:pPr>
              <w:pStyle w:val="TableContents"/>
              <w:spacing w:before="0" w:after="0"/>
              <w:ind w:left="0" w:right="0" w:firstLine="30"/>
              <w:jc w:val="left"/>
              <w:rPr/>
            </w:pPr>
            <w:r>
              <w:rPr/>
              <w:t> </w:t>
            </w:r>
          </w:p>
        </w:tc>
        <w:tc>
          <w:tcPr>
            <w:tcW w:w="130"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ind w:left="0" w:right="0" w:firstLine="180"/>
              <w:jc w:val="left"/>
              <w:rPr/>
            </w:pPr>
            <w:r>
              <w:rPr/>
              <w:t> </w:t>
            </w:r>
          </w:p>
        </w:tc>
      </w:tr>
      <w:tr>
        <w:trPr/>
        <w:tc>
          <w:tcPr>
            <w:tcW w:w="3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241"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987</w:t>
            </w:r>
          </w:p>
        </w:tc>
        <w:tc>
          <w:tcPr>
            <w:tcW w:w="130" w:type="dxa"/>
            <w:tcBorders/>
            <w:shd w:fill="auto" w:val="clear"/>
            <w:vAlign w:val="center"/>
          </w:tcPr>
          <w:p>
            <w:pPr>
              <w:pStyle w:val="TableContents"/>
              <w:spacing w:before="0" w:after="0"/>
              <w:ind w:left="0" w:right="0" w:firstLine="30"/>
              <w:rPr/>
            </w:pPr>
            <w:r>
              <w:rPr/>
              <w:t> </w:t>
            </w:r>
          </w:p>
        </w:tc>
        <w:tc>
          <w:tcPr>
            <w:tcW w:w="113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275</w:t>
            </w:r>
          </w:p>
        </w:tc>
        <w:tc>
          <w:tcPr>
            <w:tcW w:w="130" w:type="dxa"/>
            <w:tcBorders/>
            <w:shd w:fill="auto" w:val="clear"/>
            <w:vAlign w:val="center"/>
          </w:tcPr>
          <w:p>
            <w:pPr>
              <w:pStyle w:val="TableContents"/>
              <w:spacing w:before="0" w:after="0"/>
              <w:ind w:left="0" w:right="0" w:firstLine="30"/>
              <w:rPr/>
            </w:pPr>
            <w:r>
              <w:rPr/>
              <w:t> </w:t>
            </w:r>
          </w:p>
        </w:tc>
        <w:tc>
          <w:tcPr>
            <w:tcW w:w="1299" w:type="dxa"/>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5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1262</w:t>
            </w:r>
          </w:p>
        </w:tc>
        <w:tc>
          <w:tcPr>
            <w:tcW w:w="130" w:type="dxa"/>
            <w:tcBorders/>
            <w:shd w:fill="auto" w:val="clear"/>
            <w:vAlign w:val="center"/>
          </w:tcPr>
          <w:p>
            <w:pPr>
              <w:pStyle w:val="TableContents"/>
              <w:spacing w:before="0" w:after="0"/>
              <w:ind w:left="0" w:right="0" w:firstLine="30"/>
              <w:rPr/>
            </w:pPr>
            <w:r>
              <w:rPr/>
              <w:t> </w:t>
            </w:r>
          </w:p>
        </w:tc>
        <w:tc>
          <w:tcPr>
            <w:tcW w:w="872" w:type="dxa"/>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44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241"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84</w:t>
            </w:r>
          </w:p>
        </w:tc>
        <w:tc>
          <w:tcPr>
            <w:tcW w:w="130" w:type="dxa"/>
            <w:tcBorders/>
            <w:shd w:fill="CCEEFF" w:val="clear"/>
            <w:vAlign w:val="center"/>
          </w:tcPr>
          <w:p>
            <w:pPr>
              <w:pStyle w:val="TableContents"/>
              <w:spacing w:before="0" w:after="0"/>
              <w:ind w:left="0" w:right="0" w:firstLine="30"/>
              <w:rPr/>
            </w:pPr>
            <w:r>
              <w:rPr/>
              <w:t> </w:t>
            </w:r>
          </w:p>
        </w:tc>
        <w:tc>
          <w:tcPr>
            <w:tcW w:w="1135"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73</w:t>
            </w:r>
          </w:p>
        </w:tc>
        <w:tc>
          <w:tcPr>
            <w:tcW w:w="130" w:type="dxa"/>
            <w:tcBorders/>
            <w:shd w:fill="CCEEFF" w:val="clear"/>
            <w:vAlign w:val="center"/>
          </w:tcPr>
          <w:p>
            <w:pPr>
              <w:pStyle w:val="TableContents"/>
              <w:spacing w:before="0" w:after="0"/>
              <w:ind w:left="0" w:right="0" w:firstLine="30"/>
              <w:rPr/>
            </w:pPr>
            <w:r>
              <w:rPr/>
              <w:t> </w:t>
            </w:r>
          </w:p>
        </w:tc>
        <w:tc>
          <w:tcPr>
            <w:tcW w:w="1299" w:type="dxa"/>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5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157</w:t>
            </w:r>
          </w:p>
        </w:tc>
        <w:tc>
          <w:tcPr>
            <w:tcW w:w="130" w:type="dxa"/>
            <w:tcBorders/>
            <w:shd w:fill="CCEEFF" w:val="clear"/>
            <w:vAlign w:val="center"/>
          </w:tcPr>
          <w:p>
            <w:pPr>
              <w:pStyle w:val="TableContents"/>
              <w:spacing w:before="0" w:after="0"/>
              <w:ind w:left="0" w:right="0" w:firstLine="30"/>
              <w:rPr/>
            </w:pPr>
            <w:r>
              <w:rPr/>
              <w:t> </w:t>
            </w:r>
          </w:p>
        </w:tc>
        <w:tc>
          <w:tcPr>
            <w:tcW w:w="872" w:type="dxa"/>
            <w:tcBorders/>
            <w:shd w:fill="CCEEFF" w:val="clear"/>
            <w:vAlign w:val="center"/>
          </w:tcPr>
          <w:p>
            <w:pPr>
              <w:pStyle w:val="TableContents"/>
              <w:spacing w:before="0" w:after="0"/>
              <w:jc w:val="right"/>
              <w:rPr/>
            </w:pPr>
            <w:r>
              <w:rPr/>
              <w:t>—</w:t>
            </w:r>
          </w:p>
        </w:tc>
        <w:tc>
          <w:tcPr>
            <w:tcW w:w="44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241"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12</w:t>
            </w:r>
          </w:p>
        </w:tc>
        <w:tc>
          <w:tcPr>
            <w:tcW w:w="130" w:type="dxa"/>
            <w:tcBorders/>
            <w:shd w:fill="auto" w:val="clear"/>
            <w:vAlign w:val="center"/>
          </w:tcPr>
          <w:p>
            <w:pPr>
              <w:pStyle w:val="TableContents"/>
              <w:spacing w:before="0" w:after="0"/>
              <w:ind w:left="0" w:right="0" w:firstLine="30"/>
              <w:rPr/>
            </w:pPr>
            <w:r>
              <w:rPr/>
              <w:t> </w:t>
            </w:r>
          </w:p>
        </w:tc>
        <w:tc>
          <w:tcPr>
            <w:tcW w:w="113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26</w:t>
            </w:r>
          </w:p>
        </w:tc>
        <w:tc>
          <w:tcPr>
            <w:tcW w:w="130" w:type="dxa"/>
            <w:tcBorders/>
            <w:shd w:fill="auto" w:val="clear"/>
            <w:vAlign w:val="center"/>
          </w:tcPr>
          <w:p>
            <w:pPr>
              <w:pStyle w:val="TableContents"/>
              <w:spacing w:before="0" w:after="0"/>
              <w:ind w:left="0" w:right="0" w:firstLine="30"/>
              <w:rPr/>
            </w:pPr>
            <w:r>
              <w:rPr/>
              <w:t> </w:t>
            </w:r>
          </w:p>
        </w:tc>
        <w:tc>
          <w:tcPr>
            <w:tcW w:w="1299" w:type="dxa"/>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5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38</w:t>
            </w:r>
          </w:p>
        </w:tc>
        <w:tc>
          <w:tcPr>
            <w:tcW w:w="130" w:type="dxa"/>
            <w:tcBorders/>
            <w:shd w:fill="auto" w:val="clear"/>
            <w:vAlign w:val="center"/>
          </w:tcPr>
          <w:p>
            <w:pPr>
              <w:pStyle w:val="TableContents"/>
              <w:spacing w:before="0" w:after="0"/>
              <w:ind w:left="0" w:right="0" w:firstLine="30"/>
              <w:rPr/>
            </w:pPr>
            <w:r>
              <w:rPr/>
              <w:t> </w:t>
            </w:r>
          </w:p>
        </w:tc>
        <w:tc>
          <w:tcPr>
            <w:tcW w:w="872" w:type="dxa"/>
            <w:tcBorders/>
            <w:shd w:fill="auto" w:val="clear"/>
            <w:vAlign w:val="center"/>
          </w:tcPr>
          <w:p>
            <w:pPr>
              <w:pStyle w:val="TableContents"/>
              <w:spacing w:before="0" w:after="0"/>
              <w:jc w:val="right"/>
              <w:rPr/>
            </w:pPr>
            <w:r>
              <w:rPr/>
              <w:t>—</w:t>
            </w:r>
          </w:p>
        </w:tc>
        <w:tc>
          <w:tcPr>
            <w:tcW w:w="44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241"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(3)</w:t>
            </w:r>
          </w:p>
        </w:tc>
        <w:tc>
          <w:tcPr>
            <w:tcW w:w="130" w:type="dxa"/>
            <w:tcBorders/>
            <w:shd w:fill="CCEEFF" w:val="clear"/>
            <w:vAlign w:val="center"/>
          </w:tcPr>
          <w:p>
            <w:pPr>
              <w:pStyle w:val="TableContents"/>
              <w:spacing w:before="0" w:after="0"/>
              <w:ind w:left="0" w:right="0" w:firstLine="30"/>
              <w:rPr/>
            </w:pPr>
            <w:r>
              <w:rPr/>
              <w:t> </w:t>
            </w:r>
          </w:p>
        </w:tc>
        <w:tc>
          <w:tcPr>
            <w:tcW w:w="1135"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(5)</w:t>
            </w:r>
          </w:p>
        </w:tc>
        <w:tc>
          <w:tcPr>
            <w:tcW w:w="130" w:type="dxa"/>
            <w:tcBorders/>
            <w:shd w:fill="CCEEFF" w:val="clear"/>
            <w:vAlign w:val="center"/>
          </w:tcPr>
          <w:p>
            <w:pPr>
              <w:pStyle w:val="TableContents"/>
              <w:spacing w:before="0" w:after="0"/>
              <w:ind w:left="0" w:right="0" w:firstLine="30"/>
              <w:rPr/>
            </w:pPr>
            <w:r>
              <w:rPr/>
              <w:t> </w:t>
            </w:r>
          </w:p>
        </w:tc>
        <w:tc>
          <w:tcPr>
            <w:tcW w:w="1299" w:type="dxa"/>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5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(8)</w:t>
            </w:r>
          </w:p>
        </w:tc>
        <w:tc>
          <w:tcPr>
            <w:tcW w:w="130" w:type="dxa"/>
            <w:tcBorders/>
            <w:shd w:fill="CCEEFF" w:val="clear"/>
            <w:vAlign w:val="center"/>
          </w:tcPr>
          <w:p>
            <w:pPr>
              <w:pStyle w:val="TableContents"/>
              <w:spacing w:before="0" w:after="0"/>
              <w:ind w:left="0" w:right="0" w:firstLine="30"/>
              <w:rPr/>
            </w:pPr>
            <w:r>
              <w:rPr/>
              <w:t> </w:t>
            </w:r>
          </w:p>
        </w:tc>
        <w:tc>
          <w:tcPr>
            <w:tcW w:w="872" w:type="dxa"/>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44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3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1241"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(50)</w:t>
            </w:r>
          </w:p>
        </w:tc>
        <w:tc>
          <w:tcPr>
            <w:tcW w:w="130" w:type="dxa"/>
            <w:tcBorders/>
            <w:shd w:fill="auto" w:val="clear"/>
            <w:vAlign w:val="center"/>
          </w:tcPr>
          <w:p>
            <w:pPr>
              <w:pStyle w:val="TableContents"/>
              <w:spacing w:before="0" w:after="0"/>
              <w:ind w:left="0" w:right="0" w:firstLine="30"/>
              <w:rPr/>
            </w:pPr>
            <w:r>
              <w:rPr/>
              <w:t> </w:t>
            </w:r>
          </w:p>
        </w:tc>
        <w:tc>
          <w:tcPr>
            <w:tcW w:w="1135"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(57)</w:t>
            </w:r>
          </w:p>
        </w:tc>
        <w:tc>
          <w:tcPr>
            <w:tcW w:w="130" w:type="dxa"/>
            <w:tcBorders/>
            <w:shd w:fill="auto" w:val="clear"/>
            <w:vAlign w:val="center"/>
          </w:tcPr>
          <w:p>
            <w:pPr>
              <w:pStyle w:val="TableContents"/>
              <w:spacing w:before="0" w:after="0"/>
              <w:ind w:left="0" w:right="0" w:firstLine="30"/>
              <w:rPr/>
            </w:pPr>
            <w:r>
              <w:rPr/>
              <w:t> </w:t>
            </w:r>
          </w:p>
        </w:tc>
        <w:tc>
          <w:tcPr>
            <w:tcW w:w="1299"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54"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(107)</w:t>
            </w:r>
          </w:p>
        </w:tc>
        <w:tc>
          <w:tcPr>
            <w:tcW w:w="130" w:type="dxa"/>
            <w:tcBorders/>
            <w:shd w:fill="auto" w:val="clear"/>
            <w:vAlign w:val="center"/>
          </w:tcPr>
          <w:p>
            <w:pPr>
              <w:pStyle w:val="TableContents"/>
              <w:spacing w:before="0" w:after="0"/>
              <w:ind w:left="0" w:right="0" w:firstLine="30"/>
              <w:rPr/>
            </w:pPr>
            <w:r>
              <w:rPr/>
              <w:t> </w:t>
            </w:r>
          </w:p>
        </w:tc>
        <w:tc>
          <w:tcPr>
            <w:tcW w:w="87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442"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2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1,030</w:t>
            </w:r>
          </w:p>
        </w:tc>
        <w:tc>
          <w:tcPr>
            <w:tcW w:w="130" w:type="dxa"/>
            <w:tcBorders/>
            <w:shd w:fill="CCEEFF" w:val="clear"/>
            <w:vAlign w:val="center"/>
          </w:tcPr>
          <w:p>
            <w:pPr>
              <w:pStyle w:val="TableContents"/>
              <w:spacing w:before="0" w:after="0"/>
              <w:ind w:left="0" w:right="0" w:firstLine="30"/>
              <w:rPr/>
            </w:pPr>
            <w:r>
              <w:rPr/>
              <w:t> </w:t>
            </w:r>
          </w:p>
        </w:tc>
        <w:tc>
          <w:tcPr>
            <w:tcW w:w="113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312</w:t>
            </w:r>
          </w:p>
        </w:tc>
        <w:tc>
          <w:tcPr>
            <w:tcW w:w="130" w:type="dxa"/>
            <w:tcBorders/>
            <w:shd w:fill="CCEEFF" w:val="clear"/>
            <w:vAlign w:val="center"/>
          </w:tcPr>
          <w:p>
            <w:pPr>
              <w:pStyle w:val="TableContents"/>
              <w:spacing w:before="0" w:after="0"/>
              <w:ind w:left="0" w:right="0" w:firstLine="30"/>
              <w:rPr/>
            </w:pPr>
            <w:r>
              <w:rPr/>
              <w:t> </w:t>
            </w:r>
          </w:p>
        </w:tc>
        <w:tc>
          <w:tcPr>
            <w:tcW w:w="129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14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5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1,342</w:t>
            </w:r>
          </w:p>
        </w:tc>
        <w:tc>
          <w:tcPr>
            <w:tcW w:w="130" w:type="dxa"/>
            <w:tcBorders/>
            <w:shd w:fill="CCEEFF" w:val="clear"/>
            <w:vAlign w:val="center"/>
          </w:tcPr>
          <w:p>
            <w:pPr>
              <w:pStyle w:val="TableContents"/>
              <w:spacing w:before="0" w:after="0"/>
              <w:ind w:left="0" w:right="0" w:firstLine="30"/>
              <w:rPr/>
            </w:pPr>
            <w:r>
              <w:rPr/>
              <w:t> </w:t>
            </w:r>
          </w:p>
        </w:tc>
        <w:tc>
          <w:tcPr>
            <w:tcW w:w="8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44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71</w:t>
      </w:r>
      <w:r>
        <w:br w:type="page"/>
      </w:r>
    </w:p>
    <w:p>
      <w:pPr>
        <w:pStyle w:val="TextBody"/>
        <w:spacing w:lineRule="auto" w:line="288" w:before="0" w:after="0"/>
        <w:rPr/>
      </w:pPr>
      <w:hyperlink w:anchor="sA13583D437E20DC41B4583E2BD74AA47">
        <w:bookmarkStart w:id="64" w:name="s5CD16FB38FE5BC99904883E26CC8F058"/>
        <w:bookmarkEnd w:id="64"/>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NOTE 3: ACQUISITIONS</w:t>
      </w:r>
    </w:p>
    <w:p>
      <w:pPr>
        <w:pStyle w:val="TextBody"/>
        <w:spacing w:lineRule="auto" w:line="288" w:before="0" w:after="0"/>
        <w:jc w:val="left"/>
        <w:rPr>
          <w:sz w:val="17"/>
        </w:rPr>
      </w:pPr>
      <w:r>
        <w:rPr>
          <w:rFonts w:ascii="inherit" w:hAnsi="inherit"/>
          <w:sz w:val="17"/>
        </w:rPr>
        <w:t xml:space="preserve">The following tables provide information related to the acquisitions of domestic and foreign retail and financial services locations during the </w:t>
      </w:r>
      <w:r>
        <w:rPr>
          <w:rFonts w:ascii="Times New Roman" w:hAnsi="Times New Roman"/>
          <w:strike w:val="false"/>
          <w:dstrike w:val="false"/>
          <w:color w:val="000000"/>
          <w:sz w:val="17"/>
          <w:u w:val="none"/>
          <w:effect w:val="none"/>
        </w:rPr>
        <w:t>years ended</w:t>
      </w:r>
      <w:r>
        <w:rPr>
          <w:sz w:val="17"/>
        </w:rPr>
        <w:t xml:space="preserve"> </w:t>
      </w:r>
      <w:r>
        <w:rPr>
          <w:rFonts w:ascii="inherit" w:hAnsi="inherit"/>
          <w:strike w:val="false"/>
          <w:dstrike w:val="false"/>
          <w:color w:val="000000"/>
          <w:sz w:val="17"/>
          <w:u w:val="none"/>
          <w:effect w:val="none"/>
        </w:rPr>
        <w:t>September 30, 2013</w:t>
      </w:r>
      <w:r>
        <w:rPr>
          <w:rFonts w:ascii="inherit" w:hAnsi="inherit"/>
          <w:sz w:val="17"/>
        </w:rPr>
        <w:t xml:space="preserve">,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rFonts w:ascii="inherit" w:hAnsi="inherit"/>
          <w:sz w:val="17"/>
        </w:rPr>
        <w:t>:</w:t>
      </w:r>
    </w:p>
    <w:tbl>
      <w:tblPr>
        <w:tblW w:w="10205" w:type="dxa"/>
        <w:jc w:val="center"/>
        <w:tblInd w:w="0" w:type="dxa"/>
        <w:tblCellMar>
          <w:top w:w="0" w:type="dxa"/>
          <w:left w:w="0" w:type="dxa"/>
          <w:bottom w:w="0" w:type="dxa"/>
          <w:right w:w="0" w:type="dxa"/>
        </w:tblCellMar>
      </w:tblPr>
      <w:tblGrid>
        <w:gridCol w:w="3691"/>
        <w:gridCol w:w="843"/>
        <w:gridCol w:w="91"/>
        <w:gridCol w:w="129"/>
        <w:gridCol w:w="1177"/>
        <w:gridCol w:w="142"/>
        <w:gridCol w:w="129"/>
        <w:gridCol w:w="978"/>
        <w:gridCol w:w="111"/>
        <w:gridCol w:w="129"/>
        <w:gridCol w:w="1177"/>
        <w:gridCol w:w="142"/>
        <w:gridCol w:w="129"/>
        <w:gridCol w:w="1152"/>
        <w:gridCol w:w="185"/>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369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91" w:type="dxa"/>
            <w:tcBorders/>
            <w:shd w:fill="auto" w:val="clear"/>
            <w:vAlign w:val="center"/>
          </w:tcPr>
          <w:p>
            <w:pPr>
              <w:pStyle w:val="TableContents"/>
              <w:spacing w:before="0" w:after="0"/>
              <w:ind w:left="0" w:right="0" w:firstLine="30"/>
              <w:jc w:val="left"/>
              <w:rPr/>
            </w:pPr>
            <w:r>
              <w:rPr/>
              <w:t> </w:t>
            </w:r>
          </w:p>
        </w:tc>
        <w:tc>
          <w:tcPr>
            <w:tcW w:w="6514"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3691" w:type="dxa"/>
            <w:tcBorders/>
            <w:shd w:fill="auto" w:val="clear"/>
            <w:vAlign w:val="center"/>
          </w:tcPr>
          <w:p>
            <w:pPr>
              <w:pStyle w:val="TableContents"/>
              <w:spacing w:before="0" w:after="0"/>
              <w:ind w:left="0" w:right="0" w:firstLine="30"/>
              <w:jc w:val="left"/>
              <w:rPr/>
            </w:pPr>
            <w:r>
              <w:rPr/>
              <w:t> </w:t>
            </w:r>
          </w:p>
        </w:tc>
        <w:tc>
          <w:tcPr>
            <w:tcW w:w="2382"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9" w:type="dxa"/>
            <w:tcBorders/>
            <w:shd w:fill="auto" w:val="clear"/>
            <w:vAlign w:val="center"/>
          </w:tcPr>
          <w:p>
            <w:pPr>
              <w:pStyle w:val="TableContents"/>
              <w:spacing w:before="0" w:after="0"/>
              <w:ind w:left="0" w:right="0" w:firstLine="30"/>
              <w:rPr/>
            </w:pPr>
            <w:r>
              <w:rPr/>
              <w:t> </w:t>
            </w:r>
          </w:p>
        </w:tc>
        <w:tc>
          <w:tcPr>
            <w:tcW w:w="2537" w:type="dxa"/>
            <w:gridSpan w:val="5"/>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29" w:type="dxa"/>
            <w:tcBorders/>
            <w:shd w:fill="auto" w:val="clear"/>
            <w:vAlign w:val="center"/>
          </w:tcPr>
          <w:p>
            <w:pPr>
              <w:pStyle w:val="TableContents"/>
              <w:spacing w:before="0" w:after="0"/>
              <w:ind w:left="0" w:right="0" w:firstLine="30"/>
              <w:rPr/>
            </w:pPr>
            <w:r>
              <w:rPr/>
              <w:t> </w:t>
            </w:r>
          </w:p>
        </w:tc>
        <w:tc>
          <w:tcPr>
            <w:tcW w:w="133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3691" w:type="dxa"/>
            <w:tcBorders/>
            <w:shd w:fill="auto" w:val="clear"/>
            <w:vAlign w:val="center"/>
          </w:tcPr>
          <w:p>
            <w:pPr>
              <w:pStyle w:val="TableContents"/>
              <w:spacing w:before="0" w:after="0"/>
              <w:ind w:left="0" w:right="0" w:firstLine="30"/>
              <w:jc w:val="left"/>
              <w:rPr/>
            </w:pPr>
            <w:r>
              <w:rPr/>
              <w:t> </w:t>
            </w:r>
          </w:p>
        </w:tc>
        <w:tc>
          <w:tcPr>
            <w:tcW w:w="93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Go Cash</w:t>
            </w:r>
          </w:p>
        </w:tc>
        <w:tc>
          <w:tcPr>
            <w:tcW w:w="129" w:type="dxa"/>
            <w:tcBorders/>
            <w:shd w:fill="auto" w:val="clear"/>
            <w:vAlign w:val="center"/>
          </w:tcPr>
          <w:p>
            <w:pPr>
              <w:pStyle w:val="TableContents"/>
              <w:spacing w:before="0" w:after="0"/>
              <w:ind w:left="0" w:right="0" w:firstLine="30"/>
              <w:rPr/>
            </w:pPr>
            <w:r>
              <w:rPr/>
              <w:t> </w:t>
            </w:r>
          </w:p>
        </w:tc>
        <w:tc>
          <w:tcPr>
            <w:tcW w:w="131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c>
          <w:tcPr>
            <w:tcW w:w="129" w:type="dxa"/>
            <w:tcBorders/>
            <w:shd w:fill="auto" w:val="clear"/>
            <w:vAlign w:val="center"/>
          </w:tcPr>
          <w:p>
            <w:pPr>
              <w:pStyle w:val="TableContents"/>
              <w:spacing w:before="0" w:after="0"/>
              <w:ind w:left="0" w:right="0" w:firstLine="30"/>
              <w:rPr/>
            </w:pPr>
            <w:r>
              <w:rPr/>
              <w:t> </w:t>
            </w:r>
          </w:p>
        </w:tc>
        <w:tc>
          <w:tcPr>
            <w:tcW w:w="108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Grupo Finmart</w:t>
            </w:r>
          </w:p>
        </w:tc>
        <w:tc>
          <w:tcPr>
            <w:tcW w:w="129" w:type="dxa"/>
            <w:tcBorders/>
            <w:shd w:fill="auto" w:val="clear"/>
            <w:vAlign w:val="center"/>
          </w:tcPr>
          <w:p>
            <w:pPr>
              <w:pStyle w:val="TableContents"/>
              <w:spacing w:before="0" w:after="0"/>
              <w:ind w:left="0" w:right="0" w:firstLine="30"/>
              <w:rPr/>
            </w:pPr>
            <w:r>
              <w:rPr/>
              <w:t> </w:t>
            </w:r>
          </w:p>
        </w:tc>
        <w:tc>
          <w:tcPr>
            <w:tcW w:w="131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c>
          <w:tcPr>
            <w:tcW w:w="129" w:type="dxa"/>
            <w:tcBorders/>
            <w:shd w:fill="auto" w:val="clear"/>
            <w:vAlign w:val="center"/>
          </w:tcPr>
          <w:p>
            <w:pPr>
              <w:pStyle w:val="TableContents"/>
              <w:spacing w:before="0" w:after="0"/>
              <w:ind w:left="0" w:right="0" w:firstLine="30"/>
              <w:rPr/>
            </w:pPr>
            <w:r>
              <w:rPr/>
              <w:t> </w:t>
            </w:r>
          </w:p>
        </w:tc>
        <w:tc>
          <w:tcPr>
            <w:tcW w:w="133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r>
      <w:tr>
        <w:trPr/>
        <w:tc>
          <w:tcPr>
            <w:tcW w:w="36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Number of asset purchase acquisitions</w:t>
            </w:r>
          </w:p>
        </w:tc>
        <w:tc>
          <w:tcPr>
            <w:tcW w:w="84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w:t>
            </w:r>
          </w:p>
        </w:tc>
        <w:tc>
          <w:tcPr>
            <w:tcW w:w="9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7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w:t>
            </w:r>
          </w:p>
        </w:tc>
        <w:tc>
          <w:tcPr>
            <w:tcW w:w="14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978" w:type="dxa"/>
            <w:tcBorders/>
            <w:shd w:fill="CCEEFF" w:val="clear"/>
            <w:vAlign w:val="center"/>
          </w:tcPr>
          <w:p>
            <w:pPr>
              <w:pStyle w:val="TableContents"/>
              <w:spacing w:before="0" w:after="0"/>
              <w:jc w:val="right"/>
              <w:rPr/>
            </w:pPr>
            <w:r>
              <w:rPr/>
              <w:t>—</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77" w:type="dxa"/>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52" w:type="dxa"/>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Number of stock purchase acquisitions</w:t>
            </w:r>
          </w:p>
        </w:tc>
        <w:tc>
          <w:tcPr>
            <w:tcW w:w="843" w:type="dxa"/>
            <w:tcBorders/>
            <w:shd w:fill="auto" w:val="clear"/>
            <w:vAlign w:val="center"/>
          </w:tcPr>
          <w:p>
            <w:pPr>
              <w:pStyle w:val="TableContents"/>
              <w:spacing w:before="0" w:after="0"/>
              <w:jc w:val="right"/>
              <w:rPr/>
            </w:pPr>
            <w:r>
              <w:rPr/>
              <w:t>—</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77" w:type="dxa"/>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978" w:type="dxa"/>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77"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52" w:type="dxa"/>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91"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319" w:type="dxa"/>
            <w:gridSpan w:val="2"/>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089" w:type="dxa"/>
            <w:gridSpan w:val="2"/>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319" w:type="dxa"/>
            <w:gridSpan w:val="2"/>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337" w:type="dxa"/>
            <w:gridSpan w:val="2"/>
            <w:tcBorders/>
            <w:shd w:fill="CCEEFF" w:val="clear"/>
            <w:vAlign w:val="center"/>
          </w:tcPr>
          <w:p>
            <w:pPr>
              <w:pStyle w:val="TableContents"/>
              <w:spacing w:before="0" w:after="0"/>
              <w:ind w:left="0" w:right="0" w:firstLine="30"/>
              <w:rPr/>
            </w:pPr>
            <w:r>
              <w:rPr/>
              <w:t> </w:t>
            </w:r>
          </w:p>
        </w:tc>
      </w:tr>
      <w:tr>
        <w:trPr/>
        <w:tc>
          <w:tcPr>
            <w:tcW w:w="36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 stores acquired</w:t>
            </w:r>
          </w:p>
        </w:tc>
        <w:tc>
          <w:tcPr>
            <w:tcW w:w="843" w:type="dxa"/>
            <w:tcBorders/>
            <w:shd w:fill="auto" w:val="clear"/>
            <w:vAlign w:val="center"/>
          </w:tcPr>
          <w:p>
            <w:pPr>
              <w:pStyle w:val="TableContents"/>
              <w:spacing w:before="0" w:after="0"/>
              <w:jc w:val="right"/>
              <w:rPr/>
            </w:pPr>
            <w:r>
              <w:rPr/>
              <w:t>—</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77" w:type="dxa"/>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978" w:type="dxa"/>
            <w:tcBorders/>
            <w:shd w:fill="auto" w:val="clear"/>
            <w:vAlign w:val="center"/>
          </w:tcPr>
          <w:p>
            <w:pPr>
              <w:pStyle w:val="TableContents"/>
              <w:spacing w:before="0" w:after="0"/>
              <w:jc w:val="right"/>
              <w:rPr/>
            </w:pPr>
            <w:r>
              <w:rPr/>
              <w:t>—</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77" w:type="dxa"/>
            <w:tcBorders/>
            <w:shd w:fill="auto" w:val="clear"/>
            <w:vAlign w:val="center"/>
          </w:tcPr>
          <w:p>
            <w:pPr>
              <w:pStyle w:val="TableContents"/>
              <w:spacing w:before="0" w:after="0"/>
              <w:jc w:val="right"/>
              <w:rPr>
                <w:rFonts w:ascii="inherit" w:hAnsi="inherit"/>
                <w:sz w:val="17"/>
              </w:rPr>
            </w:pPr>
            <w:r>
              <w:rPr>
                <w:rFonts w:ascii="inherit" w:hAnsi="inherit"/>
                <w:sz w:val="17"/>
              </w:rPr>
              <w:t>50</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52" w:type="dxa"/>
            <w:tcBorders/>
            <w:shd w:fill="auto" w:val="clear"/>
            <w:vAlign w:val="center"/>
          </w:tcPr>
          <w:p>
            <w:pPr>
              <w:pStyle w:val="TableContents"/>
              <w:spacing w:before="0" w:after="0"/>
              <w:jc w:val="right"/>
              <w:rPr>
                <w:rFonts w:ascii="inherit" w:hAnsi="inherit"/>
                <w:sz w:val="17"/>
              </w:rPr>
            </w:pPr>
            <w:r>
              <w:rPr>
                <w:rFonts w:ascii="inherit" w:hAnsi="inherit"/>
                <w:sz w:val="17"/>
              </w:rPr>
              <w:t>34</w:t>
            </w:r>
          </w:p>
        </w:tc>
        <w:tc>
          <w:tcPr>
            <w:tcW w:w="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stores acquired</w:t>
            </w:r>
          </w:p>
        </w:tc>
        <w:tc>
          <w:tcPr>
            <w:tcW w:w="843"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7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97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w:t>
            </w:r>
          </w:p>
        </w:tc>
        <w:tc>
          <w:tcPr>
            <w:tcW w:w="11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7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5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18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stores acquired</w:t>
            </w:r>
          </w:p>
        </w:tc>
        <w:tc>
          <w:tcPr>
            <w:tcW w:w="843"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9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7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w:t>
            </w:r>
          </w:p>
        </w:tc>
        <w:tc>
          <w:tcPr>
            <w:tcW w:w="1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9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w:t>
            </w:r>
          </w:p>
        </w:tc>
        <w:tc>
          <w:tcPr>
            <w:tcW w:w="1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7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w:t>
            </w:r>
          </w:p>
        </w:tc>
        <w:tc>
          <w:tcPr>
            <w:tcW w:w="1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5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40</w:t>
            </w:r>
          </w:p>
        </w:tc>
        <w:tc>
          <w:tcPr>
            <w:tcW w:w="18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center"/>
        <w:tblInd w:w="0" w:type="dxa"/>
        <w:tblCellMar>
          <w:top w:w="0" w:type="dxa"/>
          <w:left w:w="0" w:type="dxa"/>
          <w:bottom w:w="0" w:type="dxa"/>
          <w:right w:w="0" w:type="dxa"/>
        </w:tblCellMar>
      </w:tblPr>
      <w:tblGrid>
        <w:gridCol w:w="3309"/>
        <w:gridCol w:w="159"/>
        <w:gridCol w:w="909"/>
        <w:gridCol w:w="74"/>
        <w:gridCol w:w="128"/>
        <w:gridCol w:w="173"/>
        <w:gridCol w:w="979"/>
        <w:gridCol w:w="160"/>
        <w:gridCol w:w="128"/>
        <w:gridCol w:w="159"/>
        <w:gridCol w:w="909"/>
        <w:gridCol w:w="146"/>
        <w:gridCol w:w="128"/>
        <w:gridCol w:w="159"/>
        <w:gridCol w:w="1005"/>
        <w:gridCol w:w="147"/>
        <w:gridCol w:w="128"/>
        <w:gridCol w:w="159"/>
        <w:gridCol w:w="909"/>
        <w:gridCol w:w="33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33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09" w:type="dxa"/>
            <w:tcBorders/>
            <w:shd w:fill="auto" w:val="clear"/>
            <w:vAlign w:val="center"/>
          </w:tcPr>
          <w:p>
            <w:pPr>
              <w:pStyle w:val="TableContents"/>
              <w:spacing w:before="0" w:after="0"/>
              <w:ind w:left="0" w:right="0" w:firstLine="30"/>
              <w:rPr/>
            </w:pPr>
            <w:r>
              <w:rPr/>
              <w:t> </w:t>
            </w:r>
          </w:p>
        </w:tc>
        <w:tc>
          <w:tcPr>
            <w:tcW w:w="6896"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3309" w:type="dxa"/>
            <w:tcBorders/>
            <w:shd w:fill="auto" w:val="clear"/>
            <w:vAlign w:val="center"/>
          </w:tcPr>
          <w:p>
            <w:pPr>
              <w:pStyle w:val="TableContents"/>
              <w:spacing w:before="0" w:after="0"/>
              <w:ind w:left="0" w:right="0" w:firstLine="30"/>
              <w:rPr/>
            </w:pPr>
            <w:r>
              <w:rPr/>
              <w:t> </w:t>
            </w:r>
          </w:p>
        </w:tc>
        <w:tc>
          <w:tcPr>
            <w:tcW w:w="258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8" w:type="dxa"/>
            <w:tcBorders/>
            <w:shd w:fill="auto" w:val="clear"/>
            <w:vAlign w:val="center"/>
          </w:tcPr>
          <w:p>
            <w:pPr>
              <w:pStyle w:val="TableContents"/>
              <w:spacing w:before="0" w:after="0"/>
              <w:ind w:left="0" w:right="0" w:firstLine="30"/>
              <w:rPr/>
            </w:pPr>
            <w:r>
              <w:rPr/>
              <w:t> </w:t>
            </w:r>
          </w:p>
        </w:tc>
        <w:tc>
          <w:tcPr>
            <w:tcW w:w="2653" w:type="dxa"/>
            <w:gridSpan w:val="7"/>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28" w:type="dxa"/>
            <w:tcBorders/>
            <w:shd w:fill="auto" w:val="clear"/>
            <w:vAlign w:val="center"/>
          </w:tcPr>
          <w:p>
            <w:pPr>
              <w:pStyle w:val="TableContents"/>
              <w:spacing w:before="0" w:after="0"/>
              <w:ind w:left="0" w:right="0" w:firstLine="30"/>
              <w:rPr/>
            </w:pPr>
            <w:r>
              <w:rPr/>
              <w:t> </w:t>
            </w:r>
          </w:p>
        </w:tc>
        <w:tc>
          <w:tcPr>
            <w:tcW w:w="1405" w:type="dxa"/>
            <w:gridSpan w:val="3"/>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3309" w:type="dxa"/>
            <w:tcBorders/>
            <w:shd w:fill="auto" w:val="clear"/>
            <w:vAlign w:val="center"/>
          </w:tcPr>
          <w:p>
            <w:pPr>
              <w:pStyle w:val="TableContents"/>
              <w:spacing w:before="0" w:after="0"/>
              <w:ind w:left="0" w:right="0" w:firstLine="30"/>
              <w:rPr/>
            </w:pPr>
            <w:r>
              <w:rPr/>
              <w:t> </w:t>
            </w:r>
          </w:p>
        </w:tc>
        <w:tc>
          <w:tcPr>
            <w:tcW w:w="114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Go Cash</w:t>
            </w:r>
          </w:p>
        </w:tc>
        <w:tc>
          <w:tcPr>
            <w:tcW w:w="128" w:type="dxa"/>
            <w:tcBorders/>
            <w:shd w:fill="auto" w:val="clear"/>
            <w:vAlign w:val="center"/>
          </w:tcPr>
          <w:p>
            <w:pPr>
              <w:pStyle w:val="TableContents"/>
              <w:spacing w:before="0" w:after="0"/>
              <w:ind w:left="0" w:right="0" w:firstLine="30"/>
              <w:rPr/>
            </w:pPr>
            <w:r>
              <w:rPr/>
              <w:t> </w:t>
            </w:r>
          </w:p>
        </w:tc>
        <w:tc>
          <w:tcPr>
            <w:tcW w:w="13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c>
          <w:tcPr>
            <w:tcW w:w="128" w:type="dxa"/>
            <w:tcBorders/>
            <w:shd w:fill="auto" w:val="clear"/>
            <w:vAlign w:val="center"/>
          </w:tcPr>
          <w:p>
            <w:pPr>
              <w:pStyle w:val="TableContents"/>
              <w:spacing w:before="0" w:after="0"/>
              <w:ind w:left="0" w:right="0" w:firstLine="30"/>
              <w:rPr/>
            </w:pPr>
            <w:r>
              <w:rPr/>
              <w:t> </w:t>
            </w:r>
          </w:p>
        </w:tc>
        <w:tc>
          <w:tcPr>
            <w:tcW w:w="121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Grupo Finmart</w:t>
            </w:r>
          </w:p>
        </w:tc>
        <w:tc>
          <w:tcPr>
            <w:tcW w:w="128" w:type="dxa"/>
            <w:tcBorders/>
            <w:shd w:fill="auto" w:val="clear"/>
            <w:vAlign w:val="center"/>
          </w:tcPr>
          <w:p>
            <w:pPr>
              <w:pStyle w:val="TableContents"/>
              <w:spacing w:before="0" w:after="0"/>
              <w:ind w:left="0" w:right="0" w:firstLine="30"/>
              <w:rPr/>
            </w:pPr>
            <w:r>
              <w:rPr/>
              <w:t> </w:t>
            </w:r>
          </w:p>
        </w:tc>
        <w:tc>
          <w:tcPr>
            <w:tcW w:w="13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c>
          <w:tcPr>
            <w:tcW w:w="128" w:type="dxa"/>
            <w:tcBorders/>
            <w:shd w:fill="auto" w:val="clear"/>
            <w:vAlign w:val="center"/>
          </w:tcPr>
          <w:p>
            <w:pPr>
              <w:pStyle w:val="TableContents"/>
              <w:spacing w:before="0" w:after="0"/>
              <w:ind w:left="0" w:right="0" w:firstLine="30"/>
              <w:rPr/>
            </w:pPr>
            <w:r>
              <w:rPr/>
              <w:t> </w:t>
            </w:r>
          </w:p>
        </w:tc>
        <w:tc>
          <w:tcPr>
            <w:tcW w:w="14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r>
      <w:tr>
        <w:trPr/>
        <w:tc>
          <w:tcPr>
            <w:tcW w:w="3309" w:type="dxa"/>
            <w:tcBorders/>
            <w:shd w:fill="auto" w:val="clear"/>
            <w:vAlign w:val="center"/>
          </w:tcPr>
          <w:p>
            <w:pPr>
              <w:pStyle w:val="TableContents"/>
              <w:spacing w:before="0" w:after="0"/>
              <w:ind w:left="0" w:right="0" w:firstLine="30"/>
              <w:rPr/>
            </w:pPr>
            <w:r>
              <w:rPr/>
              <w:t> </w:t>
            </w:r>
          </w:p>
        </w:tc>
        <w:tc>
          <w:tcPr>
            <w:tcW w:w="6896"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3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Consideration:</w:t>
            </w:r>
          </w:p>
        </w:tc>
        <w:tc>
          <w:tcPr>
            <w:tcW w:w="1142" w:type="dxa"/>
            <w:gridSpan w:val="3"/>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ind w:left="0" w:right="0" w:firstLine="30"/>
              <w:rPr/>
            </w:pPr>
            <w:r>
              <w:rPr/>
              <w:t> </w:t>
            </w:r>
          </w:p>
        </w:tc>
        <w:tc>
          <w:tcPr>
            <w:tcW w:w="1312" w:type="dxa"/>
            <w:gridSpan w:val="3"/>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ind w:left="0" w:right="0" w:firstLine="30"/>
              <w:rPr/>
            </w:pPr>
            <w:r>
              <w:rPr/>
              <w:t> </w:t>
            </w:r>
          </w:p>
        </w:tc>
        <w:tc>
          <w:tcPr>
            <w:tcW w:w="1214" w:type="dxa"/>
            <w:gridSpan w:val="3"/>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ind w:left="0" w:right="0" w:firstLine="30"/>
              <w:rPr/>
            </w:pPr>
            <w:r>
              <w:rPr/>
              <w:t> </w:t>
            </w:r>
          </w:p>
        </w:tc>
        <w:tc>
          <w:tcPr>
            <w:tcW w:w="1311" w:type="dxa"/>
            <w:gridSpan w:val="3"/>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ind w:left="0" w:right="0" w:firstLine="30"/>
              <w:rPr/>
            </w:pPr>
            <w:r>
              <w:rPr/>
              <w:t> </w:t>
            </w:r>
          </w:p>
        </w:tc>
        <w:tc>
          <w:tcPr>
            <w:tcW w:w="1405" w:type="dxa"/>
            <w:gridSpan w:val="3"/>
            <w:tcBorders/>
            <w:shd w:fill="CCEEFF" w:val="clear"/>
            <w:vAlign w:val="center"/>
          </w:tcPr>
          <w:p>
            <w:pPr>
              <w:pStyle w:val="TableContents"/>
              <w:spacing w:before="0" w:after="0"/>
              <w:ind w:left="0" w:right="0" w:firstLine="300"/>
              <w:rPr/>
            </w:pPr>
            <w:r>
              <w:rPr/>
              <w:t> </w:t>
            </w:r>
          </w:p>
        </w:tc>
      </w:tr>
      <w:tr>
        <w:trPr/>
        <w:tc>
          <w:tcPr>
            <w:tcW w:w="33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09" w:type="dxa"/>
            <w:tcBorders/>
            <w:shd w:fill="auto" w:val="clear"/>
            <w:vAlign w:val="center"/>
          </w:tcPr>
          <w:p>
            <w:pPr>
              <w:pStyle w:val="TableContents"/>
              <w:spacing w:before="0" w:after="0"/>
              <w:jc w:val="right"/>
              <w:rPr/>
            </w:pPr>
            <w:r>
              <w:rPr/>
              <w:t>—</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7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79" w:type="dxa"/>
            <w:tcBorders/>
            <w:shd w:fill="auto" w:val="clear"/>
            <w:vAlign w:val="center"/>
          </w:tcPr>
          <w:p>
            <w:pPr>
              <w:pStyle w:val="TableContents"/>
              <w:spacing w:before="0" w:after="0"/>
              <w:jc w:val="right"/>
              <w:rPr>
                <w:rFonts w:ascii="inherit" w:hAnsi="inherit"/>
                <w:sz w:val="17"/>
              </w:rPr>
            </w:pPr>
            <w:r>
              <w:rPr>
                <w:rFonts w:ascii="inherit" w:hAnsi="inherit"/>
                <w:sz w:val="17"/>
              </w:rPr>
              <w:t>17,980</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09" w:type="dxa"/>
            <w:tcBorders/>
            <w:shd w:fill="auto" w:val="clear"/>
            <w:vAlign w:val="center"/>
          </w:tcPr>
          <w:p>
            <w:pPr>
              <w:pStyle w:val="TableContents"/>
              <w:spacing w:before="0" w:after="0"/>
              <w:jc w:val="right"/>
              <w:rPr>
                <w:rFonts w:ascii="inherit" w:hAnsi="inherit"/>
                <w:sz w:val="17"/>
              </w:rPr>
            </w:pPr>
            <w:r>
              <w:rPr>
                <w:rFonts w:ascii="inherit" w:hAnsi="inherit"/>
                <w:sz w:val="17"/>
              </w:rPr>
              <w:t>45,001</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5" w:type="dxa"/>
            <w:tcBorders/>
            <w:shd w:fill="auto" w:val="clear"/>
            <w:vAlign w:val="center"/>
          </w:tcPr>
          <w:p>
            <w:pPr>
              <w:pStyle w:val="TableContents"/>
              <w:spacing w:before="0" w:after="0"/>
              <w:jc w:val="right"/>
              <w:rPr>
                <w:rFonts w:ascii="inherit" w:hAnsi="inherit"/>
                <w:sz w:val="17"/>
              </w:rPr>
            </w:pPr>
            <w:r>
              <w:rPr>
                <w:rFonts w:ascii="inherit" w:hAnsi="inherit"/>
                <w:sz w:val="17"/>
              </w:rPr>
              <w:t>95,415</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09" w:type="dxa"/>
            <w:tcBorders/>
            <w:shd w:fill="auto" w:val="clear"/>
            <w:vAlign w:val="center"/>
          </w:tcPr>
          <w:p>
            <w:pPr>
              <w:pStyle w:val="TableContents"/>
              <w:spacing w:before="0" w:after="0"/>
              <w:jc w:val="right"/>
              <w:rPr>
                <w:rFonts w:ascii="inherit" w:hAnsi="inherit"/>
                <w:sz w:val="17"/>
              </w:rPr>
            </w:pPr>
            <w:r>
              <w:rPr>
                <w:rFonts w:ascii="inherit" w:hAnsi="inherit"/>
                <w:sz w:val="17"/>
              </w:rPr>
              <w:t>69,057</w:t>
            </w:r>
          </w:p>
        </w:tc>
        <w:tc>
          <w:tcPr>
            <w:tcW w:w="33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3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instruments</w:t>
            </w:r>
          </w:p>
        </w:tc>
        <w:tc>
          <w:tcPr>
            <w:tcW w:w="10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27,776</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1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10,929</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068"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1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17,984</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0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7,304</w:t>
            </w:r>
          </w:p>
        </w:tc>
        <w:tc>
          <w:tcPr>
            <w:tcW w:w="33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3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consideration</w:t>
            </w:r>
          </w:p>
        </w:tc>
        <w:tc>
          <w:tcPr>
            <w:tcW w:w="10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23,000</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2,872</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0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5,785</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6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068" w:type="dxa"/>
            <w:gridSpan w:val="2"/>
            <w:tcBorders/>
            <w:shd w:fill="auto" w:val="clear"/>
            <w:vAlign w:val="center"/>
          </w:tcPr>
          <w:p>
            <w:pPr>
              <w:pStyle w:val="TableContents"/>
              <w:spacing w:before="0" w:after="0"/>
              <w:jc w:val="right"/>
              <w:rPr/>
            </w:pPr>
            <w:r>
              <w:rPr/>
              <w:t>—</w:t>
            </w:r>
          </w:p>
        </w:tc>
        <w:tc>
          <w:tcPr>
            <w:tcW w:w="33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3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Contingent consideration</w:t>
            </w:r>
          </w:p>
        </w:tc>
        <w:tc>
          <w:tcPr>
            <w:tcW w:w="106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15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248</w:t>
            </w:r>
          </w:p>
        </w:tc>
        <w:tc>
          <w:tcPr>
            <w:tcW w:w="16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0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23,000</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16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06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Fair value of total consideration transferred</w:t>
            </w:r>
          </w:p>
        </w:tc>
        <w:tc>
          <w:tcPr>
            <w:tcW w:w="10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50,776</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5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32,029</w:t>
            </w:r>
          </w:p>
        </w:tc>
        <w:tc>
          <w:tcPr>
            <w:tcW w:w="16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06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73,786</w:t>
            </w:r>
          </w:p>
        </w:tc>
        <w:tc>
          <w:tcPr>
            <w:tcW w:w="14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6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113,399</w:t>
            </w:r>
          </w:p>
        </w:tc>
        <w:tc>
          <w:tcPr>
            <w:tcW w:w="14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06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76,361</w:t>
            </w:r>
          </w:p>
        </w:tc>
        <w:tc>
          <w:tcPr>
            <w:tcW w:w="33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acquired</w:t>
            </w:r>
          </w:p>
        </w:tc>
        <w:tc>
          <w:tcPr>
            <w:tcW w:w="106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15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(3,040</w:t>
            </w:r>
          </w:p>
        </w:tc>
        <w:tc>
          <w:tcPr>
            <w:tcW w:w="16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8" w:type="dxa"/>
            <w:tcBorders/>
            <w:shd w:fill="CCEEFF" w:val="clear"/>
            <w:vAlign w:val="center"/>
          </w:tcPr>
          <w:p>
            <w:pPr>
              <w:pStyle w:val="TableContents"/>
              <w:spacing w:before="0" w:after="0"/>
              <w:ind w:left="0" w:right="0" w:firstLine="30"/>
              <w:rPr/>
            </w:pPr>
            <w:r>
              <w:rPr/>
              <w:t> </w:t>
            </w:r>
          </w:p>
        </w:tc>
        <w:tc>
          <w:tcPr>
            <w:tcW w:w="10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(13,641</w:t>
            </w:r>
          </w:p>
        </w:tc>
        <w:tc>
          <w:tcPr>
            <w:tcW w:w="14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8" w:type="dxa"/>
            <w:tcBorders/>
            <w:shd w:fill="CCEEFF" w:val="clear"/>
            <w:vAlign w:val="center"/>
          </w:tcPr>
          <w:p>
            <w:pPr>
              <w:pStyle w:val="TableContents"/>
              <w:spacing w:before="0" w:after="0"/>
              <w:ind w:left="0" w:right="0" w:firstLine="30"/>
              <w:rPr/>
            </w:pPr>
            <w:r>
              <w:rPr/>
              <w:t> </w:t>
            </w:r>
          </w:p>
        </w:tc>
        <w:tc>
          <w:tcPr>
            <w:tcW w:w="11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(2,833</w:t>
            </w:r>
          </w:p>
        </w:tc>
        <w:tc>
          <w:tcPr>
            <w:tcW w:w="14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8" w:type="dxa"/>
            <w:tcBorders/>
            <w:shd w:fill="CCEEFF" w:val="clear"/>
            <w:vAlign w:val="center"/>
          </w:tcPr>
          <w:p>
            <w:pPr>
              <w:pStyle w:val="TableContents"/>
              <w:spacing w:before="0" w:after="0"/>
              <w:ind w:left="0" w:right="0" w:firstLine="30"/>
              <w:rPr/>
            </w:pPr>
            <w:r>
              <w:rPr/>
              <w:t> </w:t>
            </w:r>
          </w:p>
        </w:tc>
        <w:tc>
          <w:tcPr>
            <w:tcW w:w="10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(1,138</w:t>
            </w:r>
          </w:p>
        </w:tc>
        <w:tc>
          <w:tcPr>
            <w:tcW w:w="33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purchase price</w:t>
            </w:r>
          </w:p>
        </w:tc>
        <w:tc>
          <w:tcPr>
            <w:tcW w:w="15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0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50,776</w:t>
            </w:r>
          </w:p>
        </w:tc>
        <w:tc>
          <w:tcPr>
            <w:tcW w:w="7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7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28,989</w:t>
            </w:r>
          </w:p>
        </w:tc>
        <w:tc>
          <w:tcPr>
            <w:tcW w:w="16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0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60,145</w:t>
            </w:r>
          </w:p>
        </w:tc>
        <w:tc>
          <w:tcPr>
            <w:tcW w:w="14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110,566</w:t>
            </w:r>
          </w:p>
        </w:tc>
        <w:tc>
          <w:tcPr>
            <w:tcW w:w="14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0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75,223</w:t>
            </w:r>
          </w:p>
        </w:tc>
        <w:tc>
          <w:tcPr>
            <w:tcW w:w="33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72</w:t>
      </w:r>
      <w:r>
        <w:br w:type="page"/>
      </w:r>
    </w:p>
    <w:p>
      <w:pPr>
        <w:pStyle w:val="TextBody"/>
        <w:spacing w:lineRule="auto" w:line="288" w:before="0" w:after="0"/>
        <w:rPr/>
      </w:pPr>
      <w:hyperlink w:anchor="sA13583D437E20DC41B4583E2BD74AA47">
        <w:bookmarkStart w:id="65" w:name="s5CD16FB38FE5BC99904883E26CC8F0581"/>
        <w:bookmarkEnd w:id="65"/>
        <w:r>
          <w:rPr>
            <w:rStyle w:val="InternetLink"/>
            <w:rFonts w:ascii="inherit" w:hAnsi="inherit"/>
            <w:color w:val="0000FF"/>
            <w:sz w:val="17"/>
            <w:u w:val="single"/>
          </w:rPr>
          <w:t>Table of Contents</w:t>
        </w:r>
      </w:hyperlink>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2881"/>
        <w:gridCol w:w="146"/>
        <w:gridCol w:w="873"/>
        <w:gridCol w:w="71"/>
        <w:gridCol w:w="127"/>
        <w:gridCol w:w="211"/>
        <w:gridCol w:w="1179"/>
        <w:gridCol w:w="90"/>
        <w:gridCol w:w="127"/>
        <w:gridCol w:w="146"/>
        <w:gridCol w:w="957"/>
        <w:gridCol w:w="71"/>
        <w:gridCol w:w="127"/>
        <w:gridCol w:w="190"/>
        <w:gridCol w:w="1204"/>
        <w:gridCol w:w="85"/>
        <w:gridCol w:w="127"/>
        <w:gridCol w:w="146"/>
        <w:gridCol w:w="873"/>
        <w:gridCol w:w="574"/>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8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81" w:type="dxa"/>
            <w:tcBorders/>
            <w:shd w:fill="auto" w:val="clear"/>
            <w:vAlign w:val="center"/>
          </w:tcPr>
          <w:p>
            <w:pPr>
              <w:pStyle w:val="TableContents"/>
              <w:spacing w:before="0" w:after="0"/>
              <w:ind w:left="0" w:right="0" w:firstLine="30"/>
              <w:rPr/>
            </w:pPr>
            <w:r>
              <w:rPr/>
              <w:t> </w:t>
            </w:r>
          </w:p>
        </w:tc>
        <w:tc>
          <w:tcPr>
            <w:tcW w:w="7324"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Fiscal Year Ended September 30,</w:t>
            </w:r>
          </w:p>
        </w:tc>
      </w:tr>
      <w:tr>
        <w:trPr/>
        <w:tc>
          <w:tcPr>
            <w:tcW w:w="2881" w:type="dxa"/>
            <w:tcBorders/>
            <w:shd w:fill="auto" w:val="clear"/>
            <w:vAlign w:val="center"/>
          </w:tcPr>
          <w:p>
            <w:pPr>
              <w:pStyle w:val="TableContents"/>
              <w:spacing w:before="0" w:after="0"/>
              <w:ind w:left="0" w:right="0" w:firstLine="30"/>
              <w:rPr/>
            </w:pPr>
            <w:r>
              <w:rPr/>
              <w:t> </w:t>
            </w:r>
          </w:p>
        </w:tc>
        <w:tc>
          <w:tcPr>
            <w:tcW w:w="269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2013</w:t>
            </w:r>
          </w:p>
        </w:tc>
        <w:tc>
          <w:tcPr>
            <w:tcW w:w="127" w:type="dxa"/>
            <w:tcBorders/>
            <w:shd w:fill="auto" w:val="clear"/>
            <w:vAlign w:val="center"/>
          </w:tcPr>
          <w:p>
            <w:pPr>
              <w:pStyle w:val="TableContents"/>
              <w:spacing w:before="0" w:after="0"/>
              <w:ind w:left="0" w:right="0" w:firstLine="30"/>
              <w:rPr/>
            </w:pPr>
            <w:r>
              <w:rPr/>
              <w:t> </w:t>
            </w:r>
          </w:p>
        </w:tc>
        <w:tc>
          <w:tcPr>
            <w:tcW w:w="2780" w:type="dxa"/>
            <w:gridSpan w:val="7"/>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2012</w:t>
            </w:r>
          </w:p>
        </w:tc>
        <w:tc>
          <w:tcPr>
            <w:tcW w:w="127" w:type="dxa"/>
            <w:tcBorders/>
            <w:shd w:fill="auto" w:val="clear"/>
            <w:vAlign w:val="center"/>
          </w:tcPr>
          <w:p>
            <w:pPr>
              <w:pStyle w:val="TableContents"/>
              <w:spacing w:before="0" w:after="0"/>
              <w:ind w:left="0" w:right="0" w:firstLine="30"/>
              <w:rPr/>
            </w:pPr>
            <w:r>
              <w:rPr/>
              <w:t> </w:t>
            </w:r>
          </w:p>
        </w:tc>
        <w:tc>
          <w:tcPr>
            <w:tcW w:w="1593" w:type="dxa"/>
            <w:gridSpan w:val="3"/>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2011</w:t>
            </w:r>
          </w:p>
        </w:tc>
      </w:tr>
      <w:tr>
        <w:trPr/>
        <w:tc>
          <w:tcPr>
            <w:tcW w:w="2881" w:type="dxa"/>
            <w:tcBorders/>
            <w:shd w:fill="auto" w:val="clear"/>
            <w:vAlign w:val="center"/>
          </w:tcPr>
          <w:p>
            <w:pPr>
              <w:pStyle w:val="TableContents"/>
              <w:spacing w:before="0" w:after="0"/>
              <w:ind w:left="0" w:right="0" w:firstLine="30"/>
              <w:rPr/>
            </w:pPr>
            <w:r>
              <w:rPr/>
              <w:t> </w:t>
            </w:r>
          </w:p>
        </w:tc>
        <w:tc>
          <w:tcPr>
            <w:tcW w:w="109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Go Cash</w:t>
            </w:r>
          </w:p>
        </w:tc>
        <w:tc>
          <w:tcPr>
            <w:tcW w:w="127" w:type="dxa"/>
            <w:tcBorders/>
            <w:shd w:fill="auto" w:val="clear"/>
            <w:vAlign w:val="center"/>
          </w:tcPr>
          <w:p>
            <w:pPr>
              <w:pStyle w:val="TableContents"/>
              <w:spacing w:before="0" w:after="0"/>
              <w:ind w:left="0" w:right="0" w:firstLine="30"/>
              <w:rPr/>
            </w:pPr>
            <w:r>
              <w:rPr/>
              <w:t> </w:t>
            </w:r>
          </w:p>
        </w:tc>
        <w:tc>
          <w:tcPr>
            <w:tcW w:w="14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Other Acquisitions</w:t>
            </w:r>
          </w:p>
        </w:tc>
        <w:tc>
          <w:tcPr>
            <w:tcW w:w="127" w:type="dxa"/>
            <w:tcBorders/>
            <w:shd w:fill="auto" w:val="clear"/>
            <w:vAlign w:val="center"/>
          </w:tcPr>
          <w:p>
            <w:pPr>
              <w:pStyle w:val="TableContents"/>
              <w:spacing w:before="0" w:after="0"/>
              <w:ind w:left="0" w:right="0" w:firstLine="30"/>
              <w:rPr/>
            </w:pPr>
            <w:r>
              <w:rPr/>
              <w:t> </w:t>
            </w:r>
          </w:p>
        </w:tc>
        <w:tc>
          <w:tcPr>
            <w:tcW w:w="117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Grupo Finmart</w:t>
            </w:r>
          </w:p>
        </w:tc>
        <w:tc>
          <w:tcPr>
            <w:tcW w:w="127" w:type="dxa"/>
            <w:tcBorders/>
            <w:shd w:fill="auto" w:val="clear"/>
            <w:vAlign w:val="center"/>
          </w:tcPr>
          <w:p>
            <w:pPr>
              <w:pStyle w:val="TableContents"/>
              <w:spacing w:before="0" w:after="0"/>
              <w:ind w:left="0" w:right="0" w:firstLine="30"/>
              <w:rPr/>
            </w:pPr>
            <w:r>
              <w:rPr/>
              <w:t> </w:t>
            </w:r>
          </w:p>
        </w:tc>
        <w:tc>
          <w:tcPr>
            <w:tcW w:w="147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Other Acquisitions</w:t>
            </w:r>
          </w:p>
        </w:tc>
        <w:tc>
          <w:tcPr>
            <w:tcW w:w="127" w:type="dxa"/>
            <w:tcBorders/>
            <w:shd w:fill="auto" w:val="clear"/>
            <w:vAlign w:val="center"/>
          </w:tcPr>
          <w:p>
            <w:pPr>
              <w:pStyle w:val="TableContents"/>
              <w:spacing w:before="0" w:after="0"/>
              <w:ind w:left="0" w:right="0" w:firstLine="30"/>
              <w:rPr/>
            </w:pPr>
            <w:r>
              <w:rPr/>
              <w:t> </w:t>
            </w:r>
          </w:p>
        </w:tc>
        <w:tc>
          <w:tcPr>
            <w:tcW w:w="1593" w:type="dxa"/>
            <w:gridSpan w:val="3"/>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Current assets:</w:t>
            </w:r>
          </w:p>
        </w:tc>
        <w:tc>
          <w:tcPr>
            <w:tcW w:w="7324" w:type="dxa"/>
            <w:gridSpan w:val="19"/>
            <w:tcBorders>
              <w:top w:val="single" w:sz="2" w:space="0" w:color="000000"/>
            </w:tcBorders>
            <w:shd w:fill="auto" w:val="clear"/>
            <w:tcMar>
              <w:top w:w="30" w:type="dxa"/>
            </w:tcMar>
            <w:vAlign w:val="center"/>
          </w:tcPr>
          <w:p>
            <w:pPr>
              <w:pStyle w:val="TableContents"/>
              <w:spacing w:before="0" w:after="0"/>
              <w:ind w:left="0" w:right="0" w:firstLine="300"/>
              <w:jc w:val="center"/>
              <w:rPr>
                <w:rFonts w:ascii="inherit" w:hAnsi="inherit"/>
                <w:i/>
                <w:sz w:val="15"/>
              </w:rPr>
            </w:pPr>
            <w:r>
              <w:rPr>
                <w:rFonts w:ascii="inherit" w:hAnsi="inherit"/>
                <w:i/>
                <w:sz w:val="15"/>
              </w:rPr>
              <w:t>(in thousands)</w:t>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Pawn loans</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21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79" w:type="dxa"/>
            <w:tcBorders/>
            <w:shd w:fill="CCEEFF" w:val="clear"/>
            <w:vAlign w:val="center"/>
          </w:tcPr>
          <w:p>
            <w:pPr>
              <w:pStyle w:val="TableContents"/>
              <w:spacing w:before="0" w:after="0"/>
              <w:jc w:val="right"/>
              <w:rPr>
                <w:rFonts w:ascii="inherit" w:hAnsi="inherit"/>
                <w:sz w:val="15"/>
              </w:rPr>
            </w:pPr>
            <w:r>
              <w:rPr>
                <w:rFonts w:ascii="inherit" w:hAnsi="inherit"/>
                <w:sz w:val="15"/>
              </w:rPr>
              <w:t>5,714</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57" w:type="dxa"/>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9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204" w:type="dxa"/>
            <w:tcBorders/>
            <w:shd w:fill="CCEEFF" w:val="clear"/>
            <w:vAlign w:val="center"/>
          </w:tcPr>
          <w:p>
            <w:pPr>
              <w:pStyle w:val="TableContents"/>
              <w:spacing w:before="0" w:after="0"/>
              <w:jc w:val="right"/>
              <w:rPr>
                <w:rFonts w:ascii="inherit" w:hAnsi="inherit"/>
                <w:sz w:val="15"/>
              </w:rPr>
            </w:pPr>
            <w:r>
              <w:rPr>
                <w:rFonts w:ascii="inherit" w:hAnsi="inherit"/>
                <w:sz w:val="15"/>
              </w:rPr>
              <w:t>6,781</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shd w:fill="CCEEFF" w:val="clear"/>
            <w:vAlign w:val="center"/>
          </w:tcPr>
          <w:p>
            <w:pPr>
              <w:pStyle w:val="TableContents"/>
              <w:spacing w:before="0" w:after="0"/>
              <w:jc w:val="right"/>
              <w:rPr>
                <w:rFonts w:ascii="inherit" w:hAnsi="inherit"/>
                <w:sz w:val="15"/>
              </w:rPr>
            </w:pPr>
            <w:r>
              <w:rPr>
                <w:rFonts w:ascii="inherit" w:hAnsi="inherit"/>
                <w:sz w:val="15"/>
              </w:rPr>
              <w:t>8,572</w:t>
            </w:r>
          </w:p>
        </w:tc>
        <w:tc>
          <w:tcPr>
            <w:tcW w:w="57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 net</w:t>
            </w:r>
          </w:p>
        </w:tc>
        <w:tc>
          <w:tcPr>
            <w:tcW w:w="1019" w:type="dxa"/>
            <w:gridSpan w:val="2"/>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902</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0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8,935</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3,641</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1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710</w:t>
            </w:r>
          </w:p>
        </w:tc>
        <w:tc>
          <w:tcPr>
            <w:tcW w:w="57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Service charges and fees receivable, net</w:t>
            </w:r>
          </w:p>
        </w:tc>
        <w:tc>
          <w:tcPr>
            <w:tcW w:w="101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23</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714</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03"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18,844</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1,940</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01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1,270</w:t>
            </w:r>
          </w:p>
        </w:tc>
        <w:tc>
          <w:tcPr>
            <w:tcW w:w="57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Inventory, net</w:t>
            </w:r>
          </w:p>
        </w:tc>
        <w:tc>
          <w:tcPr>
            <w:tcW w:w="1019" w:type="dxa"/>
            <w:gridSpan w:val="2"/>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2,441</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03" w:type="dxa"/>
            <w:gridSpan w:val="2"/>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5,911</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1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4,838</w:t>
            </w:r>
          </w:p>
        </w:tc>
        <w:tc>
          <w:tcPr>
            <w:tcW w:w="57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tax asset</w:t>
            </w:r>
          </w:p>
        </w:tc>
        <w:tc>
          <w:tcPr>
            <w:tcW w:w="1019" w:type="dxa"/>
            <w:gridSpan w:val="2"/>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pPr>
            <w:r>
              <w:rPr/>
              <w:t>—</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03" w:type="dxa"/>
            <w:gridSpan w:val="2"/>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238</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01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461</w:t>
            </w:r>
          </w:p>
        </w:tc>
        <w:tc>
          <w:tcPr>
            <w:tcW w:w="57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Prepaid expenses and other assets</w:t>
            </w:r>
          </w:p>
        </w:tc>
        <w:tc>
          <w:tcPr>
            <w:tcW w:w="10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120</w:t>
            </w:r>
          </w:p>
        </w:tc>
        <w:tc>
          <w:tcPr>
            <w:tcW w:w="7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508</w:t>
            </w:r>
          </w:p>
        </w:tc>
        <w:tc>
          <w:tcPr>
            <w:tcW w:w="9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0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3,543</w:t>
            </w:r>
          </w:p>
        </w:tc>
        <w:tc>
          <w:tcPr>
            <w:tcW w:w="7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204</w:t>
            </w:r>
          </w:p>
        </w:tc>
        <w:tc>
          <w:tcPr>
            <w:tcW w:w="8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728</w:t>
            </w:r>
          </w:p>
        </w:tc>
        <w:tc>
          <w:tcPr>
            <w:tcW w:w="574"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assets</w:t>
            </w:r>
          </w:p>
        </w:tc>
        <w:tc>
          <w:tcPr>
            <w:tcW w:w="101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143</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10,279</w:t>
            </w:r>
          </w:p>
        </w:tc>
        <w:tc>
          <w:tcPr>
            <w:tcW w:w="9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0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31,322</w:t>
            </w:r>
          </w:p>
        </w:tc>
        <w:tc>
          <w:tcPr>
            <w:tcW w:w="7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18,715</w:t>
            </w:r>
          </w:p>
        </w:tc>
        <w:tc>
          <w:tcPr>
            <w:tcW w:w="8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01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16,579</w:t>
            </w:r>
          </w:p>
        </w:tc>
        <w:tc>
          <w:tcPr>
            <w:tcW w:w="57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Property and equipment, net</w:t>
            </w:r>
          </w:p>
        </w:tc>
        <w:tc>
          <w:tcPr>
            <w:tcW w:w="101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268</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1,078</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0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2,326</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4,061</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1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1,051</w:t>
            </w:r>
          </w:p>
        </w:tc>
        <w:tc>
          <w:tcPr>
            <w:tcW w:w="5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Goodwill</w:t>
            </w:r>
          </w:p>
        </w:tc>
        <w:tc>
          <w:tcPr>
            <w:tcW w:w="101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39,228</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17,187</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03"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99,486</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99,747</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01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56,703</w:t>
            </w:r>
          </w:p>
        </w:tc>
        <w:tc>
          <w:tcPr>
            <w:tcW w:w="5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Non-current consumer loans, net</w:t>
            </w:r>
          </w:p>
        </w:tc>
        <w:tc>
          <w:tcPr>
            <w:tcW w:w="1019" w:type="dxa"/>
            <w:gridSpan w:val="2"/>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3,011</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0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56,120</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4" w:type="dxa"/>
            <w:gridSpan w:val="2"/>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19" w:type="dxa"/>
            <w:gridSpan w:val="2"/>
            <w:tcBorders/>
            <w:shd w:fill="auto" w:val="clear"/>
            <w:vAlign w:val="center"/>
          </w:tcPr>
          <w:p>
            <w:pPr>
              <w:pStyle w:val="TableContents"/>
              <w:spacing w:before="0" w:after="0"/>
              <w:jc w:val="right"/>
              <w:rPr/>
            </w:pPr>
            <w:r>
              <w:rPr/>
              <w:t>—</w:t>
            </w:r>
          </w:p>
        </w:tc>
        <w:tc>
          <w:tcPr>
            <w:tcW w:w="5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Intangible assets</w:t>
            </w:r>
          </w:p>
        </w:tc>
        <w:tc>
          <w:tcPr>
            <w:tcW w:w="101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11,215</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619</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03"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16,400</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3,980</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01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2,478</w:t>
            </w:r>
          </w:p>
        </w:tc>
        <w:tc>
          <w:tcPr>
            <w:tcW w:w="5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assets</w:t>
            </w:r>
          </w:p>
        </w:tc>
        <w:tc>
          <w:tcPr>
            <w:tcW w:w="10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124</w:t>
            </w:r>
          </w:p>
        </w:tc>
        <w:tc>
          <w:tcPr>
            <w:tcW w:w="7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314</w:t>
            </w:r>
          </w:p>
        </w:tc>
        <w:tc>
          <w:tcPr>
            <w:tcW w:w="9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0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7,497</w:t>
            </w:r>
          </w:p>
        </w:tc>
        <w:tc>
          <w:tcPr>
            <w:tcW w:w="7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294</w:t>
            </w:r>
          </w:p>
        </w:tc>
        <w:tc>
          <w:tcPr>
            <w:tcW w:w="8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80</w:t>
            </w:r>
          </w:p>
        </w:tc>
        <w:tc>
          <w:tcPr>
            <w:tcW w:w="57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assets</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shd w:fill="CCEEFF" w:val="clear"/>
            <w:vAlign w:val="center"/>
          </w:tcPr>
          <w:p>
            <w:pPr>
              <w:pStyle w:val="TableContents"/>
              <w:spacing w:before="0" w:after="0"/>
              <w:jc w:val="right"/>
              <w:rPr>
                <w:rFonts w:ascii="inherit" w:hAnsi="inherit"/>
                <w:sz w:val="15"/>
              </w:rPr>
            </w:pPr>
            <w:r>
              <w:rPr>
                <w:rFonts w:ascii="inherit" w:hAnsi="inherit"/>
                <w:sz w:val="15"/>
              </w:rPr>
              <w:t>50,978</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21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117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32,488</w:t>
            </w:r>
          </w:p>
        </w:tc>
        <w:tc>
          <w:tcPr>
            <w:tcW w:w="9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95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213,151</w:t>
            </w:r>
          </w:p>
        </w:tc>
        <w:tc>
          <w:tcPr>
            <w:tcW w:w="7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9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120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126,797</w:t>
            </w:r>
          </w:p>
        </w:tc>
        <w:tc>
          <w:tcPr>
            <w:tcW w:w="8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76,891</w:t>
            </w:r>
          </w:p>
        </w:tc>
        <w:tc>
          <w:tcPr>
            <w:tcW w:w="57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Current liabilities:</w:t>
            </w:r>
          </w:p>
        </w:tc>
        <w:tc>
          <w:tcPr>
            <w:tcW w:w="1090"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80"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174"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79"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593" w:type="dxa"/>
            <w:gridSpan w:val="3"/>
            <w:tcBorders/>
            <w:shd w:fill="auto" w:val="clear"/>
            <w:vAlign w:val="center"/>
          </w:tcPr>
          <w:p>
            <w:pPr>
              <w:pStyle w:val="TableContents"/>
              <w:spacing w:before="0" w:after="0"/>
              <w:ind w:left="0" w:right="0" w:firstLine="300"/>
              <w:rPr/>
            </w:pPr>
            <w:r>
              <w:rPr/>
              <w:t> </w:t>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 and other accrued expenses</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shd w:fill="CCEEFF" w:val="clear"/>
            <w:vAlign w:val="center"/>
          </w:tcPr>
          <w:p>
            <w:pPr>
              <w:pStyle w:val="TableContents"/>
              <w:spacing w:before="0" w:after="0"/>
              <w:jc w:val="right"/>
              <w:rPr>
                <w:rFonts w:ascii="inherit" w:hAnsi="inherit"/>
                <w:sz w:val="15"/>
              </w:rPr>
            </w:pPr>
            <w:r>
              <w:rPr>
                <w:rFonts w:ascii="inherit" w:hAnsi="inherit"/>
                <w:sz w:val="15"/>
              </w:rPr>
              <w:t>202</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21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79" w:type="dxa"/>
            <w:tcBorders/>
            <w:shd w:fill="CCEEFF" w:val="clear"/>
            <w:vAlign w:val="center"/>
          </w:tcPr>
          <w:p>
            <w:pPr>
              <w:pStyle w:val="TableContents"/>
              <w:spacing w:before="0" w:after="0"/>
              <w:jc w:val="right"/>
              <w:rPr>
                <w:rFonts w:ascii="inherit" w:hAnsi="inherit"/>
                <w:sz w:val="15"/>
              </w:rPr>
            </w:pPr>
            <w:r>
              <w:rPr>
                <w:rFonts w:ascii="inherit" w:hAnsi="inherit"/>
                <w:sz w:val="15"/>
              </w:rPr>
              <w:t>560</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57" w:type="dxa"/>
            <w:tcBorders/>
            <w:shd w:fill="CCEEFF" w:val="clear"/>
            <w:vAlign w:val="center"/>
          </w:tcPr>
          <w:p>
            <w:pPr>
              <w:pStyle w:val="TableContents"/>
              <w:spacing w:before="0" w:after="0"/>
              <w:jc w:val="right"/>
              <w:rPr>
                <w:rFonts w:ascii="inherit" w:hAnsi="inherit"/>
                <w:sz w:val="15"/>
              </w:rPr>
            </w:pPr>
            <w:r>
              <w:rPr>
                <w:rFonts w:ascii="inherit" w:hAnsi="inherit"/>
                <w:sz w:val="15"/>
              </w:rPr>
              <w:t>6,853</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9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204" w:type="dxa"/>
            <w:tcBorders/>
            <w:shd w:fill="CCEEFF" w:val="clear"/>
            <w:vAlign w:val="center"/>
          </w:tcPr>
          <w:p>
            <w:pPr>
              <w:pStyle w:val="TableContents"/>
              <w:spacing w:before="0" w:after="0"/>
              <w:jc w:val="right"/>
              <w:rPr>
                <w:rFonts w:ascii="inherit" w:hAnsi="inherit"/>
                <w:sz w:val="15"/>
              </w:rPr>
            </w:pPr>
            <w:r>
              <w:rPr>
                <w:rFonts w:ascii="inherit" w:hAnsi="inherit"/>
                <w:sz w:val="15"/>
              </w:rPr>
              <w:t>5,496</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shd w:fill="CCEEFF" w:val="clear"/>
            <w:vAlign w:val="center"/>
          </w:tcPr>
          <w:p>
            <w:pPr>
              <w:pStyle w:val="TableContents"/>
              <w:spacing w:before="0" w:after="0"/>
              <w:jc w:val="right"/>
              <w:rPr>
                <w:rFonts w:ascii="inherit" w:hAnsi="inherit"/>
                <w:sz w:val="15"/>
              </w:rPr>
            </w:pPr>
            <w:r>
              <w:rPr>
                <w:rFonts w:ascii="inherit" w:hAnsi="inherit"/>
                <w:sz w:val="15"/>
              </w:rPr>
              <w:t>1,176</w:t>
            </w:r>
          </w:p>
        </w:tc>
        <w:tc>
          <w:tcPr>
            <w:tcW w:w="57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Customer layaway deposits</w:t>
            </w:r>
          </w:p>
        </w:tc>
        <w:tc>
          <w:tcPr>
            <w:tcW w:w="1019" w:type="dxa"/>
            <w:gridSpan w:val="2"/>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103</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03" w:type="dxa"/>
            <w:gridSpan w:val="2"/>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808</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1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182</w:t>
            </w:r>
          </w:p>
        </w:tc>
        <w:tc>
          <w:tcPr>
            <w:tcW w:w="57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maturities of long-term debt</w:t>
            </w:r>
          </w:p>
        </w:tc>
        <w:tc>
          <w:tcPr>
            <w:tcW w:w="1019" w:type="dxa"/>
            <w:gridSpan w:val="2"/>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pPr>
            <w:r>
              <w:rPr/>
              <w:t>—</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03"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22,810</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4" w:type="dxa"/>
            <w:gridSpan w:val="2"/>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019" w:type="dxa"/>
            <w:gridSpan w:val="2"/>
            <w:tcBorders/>
            <w:shd w:fill="CCEEFF" w:val="clear"/>
            <w:vAlign w:val="center"/>
          </w:tcPr>
          <w:p>
            <w:pPr>
              <w:pStyle w:val="TableContents"/>
              <w:spacing w:before="0" w:after="0"/>
              <w:jc w:val="right"/>
              <w:rPr/>
            </w:pPr>
            <w:r>
              <w:rPr/>
              <w:t>—</w:t>
            </w:r>
          </w:p>
        </w:tc>
        <w:tc>
          <w:tcPr>
            <w:tcW w:w="57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current liabilities</w:t>
            </w:r>
          </w:p>
        </w:tc>
        <w:tc>
          <w:tcPr>
            <w:tcW w:w="101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9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0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257</w:t>
            </w:r>
          </w:p>
        </w:tc>
        <w:tc>
          <w:tcPr>
            <w:tcW w:w="8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1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26</w:t>
            </w:r>
          </w:p>
        </w:tc>
        <w:tc>
          <w:tcPr>
            <w:tcW w:w="574"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liabilities</w:t>
            </w:r>
          </w:p>
        </w:tc>
        <w:tc>
          <w:tcPr>
            <w:tcW w:w="101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202</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663</w:t>
            </w:r>
          </w:p>
        </w:tc>
        <w:tc>
          <w:tcPr>
            <w:tcW w:w="9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0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29,663</w:t>
            </w:r>
          </w:p>
        </w:tc>
        <w:tc>
          <w:tcPr>
            <w:tcW w:w="7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6,561</w:t>
            </w:r>
          </w:p>
        </w:tc>
        <w:tc>
          <w:tcPr>
            <w:tcW w:w="8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01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1,384</w:t>
            </w:r>
          </w:p>
        </w:tc>
        <w:tc>
          <w:tcPr>
            <w:tcW w:w="57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Long-term debt, less current maturities</w:t>
            </w:r>
          </w:p>
        </w:tc>
        <w:tc>
          <w:tcPr>
            <w:tcW w:w="1019" w:type="dxa"/>
            <w:gridSpan w:val="2"/>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0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86,872</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4" w:type="dxa"/>
            <w:gridSpan w:val="2"/>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19" w:type="dxa"/>
            <w:gridSpan w:val="2"/>
            <w:tcBorders/>
            <w:shd w:fill="auto" w:val="clear"/>
            <w:vAlign w:val="center"/>
          </w:tcPr>
          <w:p>
            <w:pPr>
              <w:pStyle w:val="TableContents"/>
              <w:spacing w:before="0" w:after="0"/>
              <w:jc w:val="right"/>
              <w:rPr/>
            </w:pPr>
            <w:r>
              <w:rPr/>
              <w:t>—</w:t>
            </w:r>
          </w:p>
        </w:tc>
        <w:tc>
          <w:tcPr>
            <w:tcW w:w="5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tax liability</w:t>
            </w:r>
          </w:p>
        </w:tc>
        <w:tc>
          <w:tcPr>
            <w:tcW w:w="101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0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171</w:t>
            </w:r>
          </w:p>
        </w:tc>
        <w:tc>
          <w:tcPr>
            <w:tcW w:w="7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113</w:t>
            </w:r>
          </w:p>
        </w:tc>
        <w:tc>
          <w:tcPr>
            <w:tcW w:w="8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0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284</w:t>
            </w:r>
          </w:p>
        </w:tc>
        <w:tc>
          <w:tcPr>
            <w:tcW w:w="57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w:t>
            </w:r>
          </w:p>
        </w:tc>
        <w:tc>
          <w:tcPr>
            <w:tcW w:w="101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202</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663</w:t>
            </w:r>
          </w:p>
        </w:tc>
        <w:tc>
          <w:tcPr>
            <w:tcW w:w="9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0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116,706</w:t>
            </w:r>
          </w:p>
        </w:tc>
        <w:tc>
          <w:tcPr>
            <w:tcW w:w="7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6,674</w:t>
            </w:r>
          </w:p>
        </w:tc>
        <w:tc>
          <w:tcPr>
            <w:tcW w:w="8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1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1,668</w:t>
            </w:r>
          </w:p>
        </w:tc>
        <w:tc>
          <w:tcPr>
            <w:tcW w:w="57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Redeemable noncontrolling interest</w:t>
            </w:r>
          </w:p>
        </w:tc>
        <w:tc>
          <w:tcPr>
            <w:tcW w:w="101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2,836</w:t>
            </w:r>
          </w:p>
        </w:tc>
        <w:tc>
          <w:tcPr>
            <w:tcW w:w="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0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36,300</w:t>
            </w:r>
          </w:p>
        </w:tc>
        <w:tc>
          <w:tcPr>
            <w:tcW w:w="7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9,557</w:t>
            </w:r>
          </w:p>
        </w:tc>
        <w:tc>
          <w:tcPr>
            <w:tcW w:w="8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01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57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assets acquired</w:t>
            </w:r>
          </w:p>
        </w:tc>
        <w:tc>
          <w:tcPr>
            <w:tcW w:w="14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50,776</w:t>
            </w:r>
          </w:p>
        </w:tc>
        <w:tc>
          <w:tcPr>
            <w:tcW w:w="7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21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1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28,989</w:t>
            </w:r>
          </w:p>
        </w:tc>
        <w:tc>
          <w:tcPr>
            <w:tcW w:w="9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60,145</w:t>
            </w:r>
          </w:p>
        </w:tc>
        <w:tc>
          <w:tcPr>
            <w:tcW w:w="7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20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110,566</w:t>
            </w:r>
          </w:p>
        </w:tc>
        <w:tc>
          <w:tcPr>
            <w:tcW w:w="8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75,223</w:t>
            </w:r>
          </w:p>
        </w:tc>
        <w:tc>
          <w:tcPr>
            <w:tcW w:w="57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Goodwill deductible for tax purposes</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shd w:fill="CCEEFF" w:val="clear"/>
            <w:vAlign w:val="center"/>
          </w:tcPr>
          <w:p>
            <w:pPr>
              <w:pStyle w:val="TableContents"/>
              <w:spacing w:before="0" w:after="0"/>
              <w:jc w:val="right"/>
              <w:rPr>
                <w:rFonts w:ascii="inherit" w:hAnsi="inherit"/>
                <w:sz w:val="15"/>
              </w:rPr>
            </w:pPr>
            <w:r>
              <w:rPr>
                <w:rFonts w:ascii="inherit" w:hAnsi="inherit"/>
                <w:sz w:val="15"/>
              </w:rPr>
              <w:t>39,228</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21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79" w:type="dxa"/>
            <w:tcBorders/>
            <w:shd w:fill="CCEEFF" w:val="clear"/>
            <w:vAlign w:val="center"/>
          </w:tcPr>
          <w:p>
            <w:pPr>
              <w:pStyle w:val="TableContents"/>
              <w:spacing w:before="0" w:after="0"/>
              <w:jc w:val="right"/>
              <w:rPr/>
            </w:pPr>
            <w:r>
              <w:rPr/>
              <w:t>—</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57" w:type="dxa"/>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9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204" w:type="dxa"/>
            <w:tcBorders/>
            <w:shd w:fill="CCEEFF" w:val="clear"/>
            <w:vAlign w:val="center"/>
          </w:tcPr>
          <w:p>
            <w:pPr>
              <w:pStyle w:val="TableContents"/>
              <w:spacing w:before="0" w:after="0"/>
              <w:jc w:val="right"/>
              <w:rPr>
                <w:rFonts w:ascii="inherit" w:hAnsi="inherit"/>
                <w:sz w:val="15"/>
              </w:rPr>
            </w:pPr>
            <w:r>
              <w:rPr>
                <w:rFonts w:ascii="inherit" w:hAnsi="inherit"/>
                <w:sz w:val="15"/>
              </w:rPr>
              <w:t>48,445</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shd w:fill="CCEEFF" w:val="clear"/>
            <w:vAlign w:val="center"/>
          </w:tcPr>
          <w:p>
            <w:pPr>
              <w:pStyle w:val="TableContents"/>
              <w:spacing w:before="0" w:after="0"/>
              <w:jc w:val="right"/>
              <w:rPr>
                <w:rFonts w:ascii="inherit" w:hAnsi="inherit"/>
                <w:sz w:val="15"/>
              </w:rPr>
            </w:pPr>
            <w:r>
              <w:rPr>
                <w:rFonts w:ascii="inherit" w:hAnsi="inherit"/>
                <w:sz w:val="15"/>
              </w:rPr>
              <w:t>34,376</w:t>
            </w:r>
          </w:p>
        </w:tc>
        <w:tc>
          <w:tcPr>
            <w:tcW w:w="5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Indefinite-lived intangible assets acquired:</w:t>
            </w:r>
          </w:p>
        </w:tc>
        <w:tc>
          <w:tcPr>
            <w:tcW w:w="1090"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80"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174"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479" w:type="dxa"/>
            <w:gridSpan w:val="3"/>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ind w:left="0" w:right="0" w:firstLine="30"/>
              <w:rPr/>
            </w:pPr>
            <w:r>
              <w:rPr/>
              <w:t> </w:t>
            </w:r>
          </w:p>
        </w:tc>
        <w:tc>
          <w:tcPr>
            <w:tcW w:w="1593" w:type="dxa"/>
            <w:gridSpan w:val="3"/>
            <w:tcBorders/>
            <w:shd w:fill="auto" w:val="clear"/>
            <w:vAlign w:val="center"/>
          </w:tcPr>
          <w:p>
            <w:pPr>
              <w:pStyle w:val="TableContents"/>
              <w:spacing w:before="0" w:after="0"/>
              <w:ind w:left="0" w:right="0" w:firstLine="300"/>
              <w:rPr/>
            </w:pPr>
            <w:r>
              <w:rPr/>
              <w:t> </w:t>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Trade name</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21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79" w:type="dxa"/>
            <w:tcBorders/>
            <w:shd w:fill="CCEEFF" w:val="clear"/>
            <w:vAlign w:val="center"/>
          </w:tcPr>
          <w:p>
            <w:pPr>
              <w:pStyle w:val="TableContents"/>
              <w:spacing w:before="0" w:after="0"/>
              <w:jc w:val="right"/>
              <w:rPr/>
            </w:pPr>
            <w:r>
              <w:rPr/>
              <w:t>—</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57" w:type="dxa"/>
            <w:tcBorders/>
            <w:shd w:fill="CCEEFF" w:val="clear"/>
            <w:vAlign w:val="center"/>
          </w:tcPr>
          <w:p>
            <w:pPr>
              <w:pStyle w:val="TableContents"/>
              <w:spacing w:before="0" w:after="0"/>
              <w:jc w:val="right"/>
              <w:rPr>
                <w:rFonts w:ascii="inherit" w:hAnsi="inherit"/>
                <w:sz w:val="15"/>
              </w:rPr>
            </w:pPr>
            <w:r>
              <w:rPr>
                <w:rFonts w:ascii="inherit" w:hAnsi="inherit"/>
                <w:sz w:val="15"/>
              </w:rPr>
              <w:t>2,200</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9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204" w:type="dxa"/>
            <w:tcBorders/>
            <w:shd w:fill="CCEEFF" w:val="clear"/>
            <w:vAlign w:val="center"/>
          </w:tcPr>
          <w:p>
            <w:pPr>
              <w:pStyle w:val="TableContents"/>
              <w:spacing w:before="0" w:after="0"/>
              <w:jc w:val="right"/>
              <w:rPr>
                <w:rFonts w:ascii="inherit" w:hAnsi="inherit"/>
                <w:sz w:val="15"/>
              </w:rPr>
            </w:pPr>
            <w:r>
              <w:rPr>
                <w:rFonts w:ascii="inherit" w:hAnsi="inherit"/>
                <w:sz w:val="15"/>
              </w:rPr>
              <w:t>2,706</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shd w:fill="CCEEFF" w:val="clear"/>
            <w:vAlign w:val="center"/>
          </w:tcPr>
          <w:p>
            <w:pPr>
              <w:pStyle w:val="TableContents"/>
              <w:spacing w:before="0" w:after="0"/>
              <w:jc w:val="right"/>
              <w:rPr/>
            </w:pPr>
            <w:r>
              <w:rPr/>
              <w:t>—</w:t>
            </w:r>
          </w:p>
        </w:tc>
        <w:tc>
          <w:tcPr>
            <w:tcW w:w="57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Domain name</w:t>
            </w:r>
          </w:p>
        </w:tc>
        <w:tc>
          <w:tcPr>
            <w:tcW w:w="101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215</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pPr>
            <w:r>
              <w:rPr/>
              <w:t>—</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03" w:type="dxa"/>
            <w:gridSpan w:val="2"/>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4" w:type="dxa"/>
            <w:gridSpan w:val="2"/>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19" w:type="dxa"/>
            <w:gridSpan w:val="2"/>
            <w:tcBorders/>
            <w:shd w:fill="auto" w:val="clear"/>
            <w:vAlign w:val="center"/>
          </w:tcPr>
          <w:p>
            <w:pPr>
              <w:pStyle w:val="TableContents"/>
              <w:spacing w:before="0" w:after="0"/>
              <w:jc w:val="right"/>
              <w:rPr/>
            </w:pPr>
            <w:r>
              <w:rPr/>
              <w:t>—</w:t>
            </w:r>
          </w:p>
        </w:tc>
        <w:tc>
          <w:tcPr>
            <w:tcW w:w="5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Definite-lived intangible assets acquired (1):</w:t>
            </w:r>
          </w:p>
        </w:tc>
        <w:tc>
          <w:tcPr>
            <w:tcW w:w="1090"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80"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174"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479" w:type="dxa"/>
            <w:gridSpan w:val="3"/>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ind w:left="0" w:right="0" w:firstLine="30"/>
              <w:rPr/>
            </w:pPr>
            <w:r>
              <w:rPr/>
              <w:t> </w:t>
            </w:r>
          </w:p>
        </w:tc>
        <w:tc>
          <w:tcPr>
            <w:tcW w:w="1593" w:type="dxa"/>
            <w:gridSpan w:val="3"/>
            <w:tcBorders/>
            <w:shd w:fill="CCEEFF" w:val="clear"/>
            <w:vAlign w:val="center"/>
          </w:tcPr>
          <w:p>
            <w:pPr>
              <w:pStyle w:val="TableContents"/>
              <w:spacing w:before="0" w:after="0"/>
              <w:ind w:left="0" w:right="0" w:firstLine="300"/>
              <w:rPr/>
            </w:pPr>
            <w:r>
              <w:rPr/>
              <w:t> </w:t>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Favorable lease asset</w:t>
            </w:r>
          </w:p>
        </w:tc>
        <w:tc>
          <w:tcPr>
            <w:tcW w:w="14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21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179" w:type="dxa"/>
            <w:tcBorders/>
            <w:shd w:fill="auto" w:val="clear"/>
            <w:vAlign w:val="center"/>
          </w:tcPr>
          <w:p>
            <w:pPr>
              <w:pStyle w:val="TableContents"/>
              <w:spacing w:before="0" w:after="0"/>
              <w:jc w:val="right"/>
              <w:rPr/>
            </w:pPr>
            <w:r>
              <w:rPr/>
              <w:t>—</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957" w:type="dxa"/>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9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204" w:type="dxa"/>
            <w:tcBorders/>
            <w:shd w:fill="auto" w:val="clear"/>
            <w:vAlign w:val="center"/>
          </w:tcPr>
          <w:p>
            <w:pPr>
              <w:pStyle w:val="TableContents"/>
              <w:spacing w:before="0" w:after="0"/>
              <w:jc w:val="right"/>
              <w:rPr>
                <w:rFonts w:ascii="inherit" w:hAnsi="inherit"/>
                <w:sz w:val="15"/>
              </w:rPr>
            </w:pPr>
            <w:r>
              <w:rPr>
                <w:rFonts w:ascii="inherit" w:hAnsi="inherit"/>
                <w:sz w:val="15"/>
              </w:rPr>
              <w:t>404</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shd w:fill="auto" w:val="clear"/>
            <w:vAlign w:val="center"/>
          </w:tcPr>
          <w:p>
            <w:pPr>
              <w:pStyle w:val="TableContents"/>
              <w:spacing w:before="0" w:after="0"/>
              <w:jc w:val="right"/>
              <w:rPr>
                <w:rFonts w:ascii="inherit" w:hAnsi="inherit"/>
                <w:sz w:val="15"/>
              </w:rPr>
            </w:pPr>
            <w:r>
              <w:rPr>
                <w:rFonts w:ascii="inherit" w:hAnsi="inherit"/>
                <w:sz w:val="15"/>
              </w:rPr>
              <w:t>111</w:t>
            </w:r>
          </w:p>
        </w:tc>
        <w:tc>
          <w:tcPr>
            <w:tcW w:w="57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88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Internally developed software</w:t>
            </w:r>
          </w:p>
        </w:tc>
        <w:tc>
          <w:tcPr>
            <w:tcW w:w="101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11,000</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66</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103" w:type="dxa"/>
            <w:gridSpan w:val="2"/>
            <w:tcBorders/>
            <w:shd w:fill="CCEEFF" w:val="clear"/>
            <w:vAlign w:val="center"/>
          </w:tcPr>
          <w:p>
            <w:pPr>
              <w:pStyle w:val="TableContents"/>
              <w:spacing w:before="0" w:after="0"/>
              <w:jc w:val="right"/>
              <w:rPr/>
            </w:pPr>
            <w:r>
              <w:rPr/>
              <w:t>—</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94" w:type="dxa"/>
            <w:gridSpan w:val="2"/>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019" w:type="dxa"/>
            <w:gridSpan w:val="2"/>
            <w:tcBorders/>
            <w:shd w:fill="CCEEFF" w:val="clear"/>
            <w:vAlign w:val="center"/>
          </w:tcPr>
          <w:p>
            <w:pPr>
              <w:pStyle w:val="TableContents"/>
              <w:spacing w:before="0" w:after="0"/>
              <w:jc w:val="right"/>
              <w:rPr/>
            </w:pPr>
            <w:r>
              <w:rPr/>
              <w:t>—</w:t>
            </w:r>
          </w:p>
        </w:tc>
        <w:tc>
          <w:tcPr>
            <w:tcW w:w="57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88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Non-compete agreements</w:t>
            </w:r>
          </w:p>
        </w:tc>
        <w:tc>
          <w:tcPr>
            <w:tcW w:w="1019" w:type="dxa"/>
            <w:gridSpan w:val="2"/>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30</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10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300</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9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420</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01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769</w:t>
            </w:r>
          </w:p>
        </w:tc>
        <w:tc>
          <w:tcPr>
            <w:tcW w:w="57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88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Contractual relationship</w:t>
            </w:r>
          </w:p>
        </w:tc>
        <w:tc>
          <w:tcPr>
            <w:tcW w:w="101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39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523</w:t>
            </w:r>
          </w:p>
        </w:tc>
        <w:tc>
          <w:tcPr>
            <w:tcW w:w="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10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13,900</w:t>
            </w:r>
          </w:p>
        </w:tc>
        <w:tc>
          <w:tcPr>
            <w:tcW w:w="7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39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450</w:t>
            </w:r>
          </w:p>
        </w:tc>
        <w:tc>
          <w:tcPr>
            <w:tcW w:w="8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01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574" w:type="dxa"/>
            <w:tcBorders>
              <w:bottom w:val="single" w:sz="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3"/>
        </w:rPr>
      </w:pPr>
      <w:r>
        <w:rPr>
          <w:rFonts w:ascii="inherit" w:hAnsi="inherit"/>
          <w:sz w:val="13"/>
        </w:rPr>
        <w:t xml:space="preserve">(1) The weighted average useful life of definite-lived intangible assets acquired is five years. </w:t>
      </w:r>
    </w:p>
    <w:p>
      <w:pPr>
        <w:pStyle w:val="TextBody"/>
        <w:spacing w:lineRule="auto" w:line="288" w:before="0" w:after="0"/>
        <w:jc w:val="left"/>
        <w:rPr>
          <w:rFonts w:ascii="inherit" w:hAnsi="inherit"/>
          <w:sz w:val="17"/>
          <w:u w:val="single"/>
        </w:rPr>
      </w:pPr>
      <w:r>
        <w:rPr>
          <w:rFonts w:ascii="inherit" w:hAnsi="inherit"/>
          <w:sz w:val="17"/>
          <w:u w:val="single"/>
        </w:rPr>
        <w:t>Go Cash</w:t>
      </w:r>
    </w:p>
    <w:p>
      <w:pPr>
        <w:pStyle w:val="TextBody"/>
        <w:spacing w:lineRule="auto" w:line="288" w:before="0" w:after="0"/>
        <w:rPr>
          <w:sz w:val="17"/>
        </w:rPr>
      </w:pPr>
      <w:r>
        <w:rPr>
          <w:rFonts w:ascii="inherit" w:hAnsi="inherit"/>
          <w:sz w:val="17"/>
        </w:rPr>
        <w:t xml:space="preserve">On November 20, 2012, we entered into a definitive agreement with Go Cash, LLC and certain of its affiliates ("Go Cash") to acquire substantially all the assets of Go Cash's online lending business. This acquisition of assets was completed on December 20, 2012 and was accounted for as a business combination. No liabilities were assumed other than trade payables and accounts payable incurred prior to closing in the ordinary course of business, which were approximately </w:t>
      </w:r>
      <w:r>
        <w:rPr>
          <w:rFonts w:ascii="inherit" w:hAnsi="inherit"/>
          <w:strike w:val="false"/>
          <w:dstrike w:val="false"/>
          <w:color w:val="000000"/>
          <w:sz w:val="17"/>
          <w:u w:val="none"/>
          <w:effect w:val="none"/>
        </w:rPr>
        <w:t>$0.2 million</w:t>
      </w:r>
      <w:r>
        <w:rPr>
          <w:rFonts w:ascii="inherit" w:hAnsi="inherit"/>
          <w:sz w:val="17"/>
        </w:rPr>
        <w:t>.</w:t>
      </w:r>
    </w:p>
    <w:p>
      <w:pPr>
        <w:pStyle w:val="TextBody"/>
        <w:spacing w:lineRule="auto" w:line="288" w:before="0" w:after="0"/>
        <w:jc w:val="left"/>
        <w:rPr>
          <w:rFonts w:ascii="inherit" w:hAnsi="inherit"/>
          <w:sz w:val="17"/>
        </w:rPr>
      </w:pPr>
      <w:r>
        <w:rPr>
          <w:rFonts w:ascii="inherit" w:hAnsi="inherit"/>
          <w:sz w:val="17"/>
        </w:rPr>
        <w:t xml:space="preserve">The assets acquired include a proprietary software platform, including a loan management system and a lending decision science engine, that will enable geographic expansion both within the U.S. and internationally; an internal customer service and collections call center; a portion of the existing Go Cash multi-state loan portfolio; and related assets, including customer lists, customer data and customer transaction information. We hired substantially all of Go Cash's employees, including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73</w:t>
      </w:r>
      <w:r>
        <w:br w:type="page"/>
      </w:r>
    </w:p>
    <w:p>
      <w:pPr>
        <w:pStyle w:val="TextBody"/>
        <w:spacing w:lineRule="auto" w:line="288" w:before="0" w:after="0"/>
        <w:rPr/>
      </w:pPr>
      <w:hyperlink w:anchor="sA13583D437E20DC41B4583E2BD74AA47">
        <w:bookmarkStart w:id="66" w:name="s5CD16FB38FE5BC99904883E26CC8F0582"/>
        <w:bookmarkEnd w:id="66"/>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 xml:space="preserve">management team, an internal underwriting and customer experience analytics team, and an experienced customer service and collections call center team. </w:t>
      </w:r>
    </w:p>
    <w:p>
      <w:pPr>
        <w:pStyle w:val="TextBody"/>
        <w:spacing w:lineRule="auto" w:line="288" w:before="0" w:after="0"/>
        <w:jc w:val="left"/>
        <w:rPr>
          <w:sz w:val="17"/>
        </w:rPr>
      </w:pPr>
      <w:r>
        <w:rPr>
          <w:rFonts w:ascii="inherit" w:hAnsi="inherit"/>
          <w:sz w:val="17"/>
        </w:rPr>
        <w:t>The total purchase price is performance-based and will be determined over a period of four years</w:t>
      </w:r>
      <w:r>
        <w:rPr>
          <w:sz w:val="17"/>
        </w:rPr>
        <w:t xml:space="preserve"> </w:t>
      </w:r>
      <w:r>
        <w:rPr>
          <w:rFonts w:ascii="inherit" w:hAnsi="inherit"/>
          <w:sz w:val="17"/>
        </w:rPr>
        <w:t>following the closing. A minimum of $50.8 million</w:t>
      </w:r>
      <w:r>
        <w:rPr>
          <w:sz w:val="17"/>
        </w:rPr>
        <w:t xml:space="preserve"> </w:t>
      </w:r>
      <w:r>
        <w:rPr>
          <w:rFonts w:ascii="inherit" w:hAnsi="inherit"/>
          <w:sz w:val="17"/>
        </w:rPr>
        <w:t>will be paid, of which $27.8 million</w:t>
      </w:r>
      <w:r>
        <w:rPr>
          <w:sz w:val="17"/>
        </w:rPr>
        <w:t xml:space="preserve"> </w:t>
      </w:r>
      <w:r>
        <w:rPr>
          <w:rFonts w:ascii="inherit" w:hAnsi="inherit"/>
          <w:sz w:val="17"/>
        </w:rPr>
        <w:t>was paid at closing, $6.0 million</w:t>
      </w:r>
      <w:r>
        <w:rPr>
          <w:sz w:val="17"/>
        </w:rPr>
        <w:t xml:space="preserve"> </w:t>
      </w:r>
      <w:r>
        <w:rPr>
          <w:rFonts w:ascii="inherit" w:hAnsi="inherit"/>
          <w:sz w:val="17"/>
        </w:rPr>
        <w:t>was paid on November 12, 2013 and the remaining $17.0 million</w:t>
      </w:r>
      <w:r>
        <w:rPr>
          <w:sz w:val="17"/>
        </w:rPr>
        <w:t xml:space="preserve"> </w:t>
      </w:r>
      <w:r>
        <w:rPr>
          <w:rFonts w:ascii="inherit" w:hAnsi="inherit"/>
          <w:sz w:val="17"/>
        </w:rPr>
        <w:t xml:space="preserve">will be paid in installments over the next two years. The performance consideration element will be based on the net income generated by the "Post-Closing Business Unit" (which will include all of our online consumer lending business). Within a specified period after the end of each of the first four years following the closing, we will make a contingent supplemental payment equal to the difference between (a) the adjusted net income for such year, multiplied by </w:t>
      </w:r>
      <w:r>
        <w:rPr>
          <w:rFonts w:ascii="inherit" w:hAnsi="inherit"/>
          <w:strike w:val="false"/>
          <w:dstrike w:val="false"/>
          <w:color w:val="000000"/>
          <w:sz w:val="17"/>
          <w:u w:val="none"/>
          <w:effect w:val="none"/>
        </w:rPr>
        <w:t>6.0</w:t>
      </w:r>
      <w:r>
        <w:rPr>
          <w:rFonts w:ascii="inherit" w:hAnsi="inherit"/>
          <w:sz w:val="17"/>
        </w:rPr>
        <w:t>, and (b) all consideration payments previously paid. Each payment may be made, in our sole discretion, in cash or in the form of shares of EZCORP Class A Non-Voting Common Stock. The initial payment was made in the form of 1,400,198</w:t>
      </w:r>
      <w:r>
        <w:rPr>
          <w:sz w:val="17"/>
        </w:rPr>
        <w:t xml:space="preserve"> </w:t>
      </w:r>
      <w:r>
        <w:rPr>
          <w:rFonts w:ascii="inherit" w:hAnsi="inherit"/>
          <w:sz w:val="17"/>
        </w:rPr>
        <w:t>shares of EZCORP Class A Non-Voting Common Stock, and the November 2013 payment was made in cash.</w:t>
      </w:r>
    </w:p>
    <w:p>
      <w:pPr>
        <w:pStyle w:val="TextBody"/>
        <w:spacing w:lineRule="auto" w:line="288" w:before="0" w:after="0"/>
        <w:jc w:val="left"/>
        <w:rPr>
          <w:sz w:val="17"/>
        </w:rPr>
      </w:pPr>
      <w:r>
        <w:rPr>
          <w:rFonts w:ascii="inherit" w:hAnsi="inherit"/>
          <w:sz w:val="17"/>
        </w:rPr>
        <w:t xml:space="preserve">The contingent consideration element of the purchase price, which is the amount in excess of the guaranteed $50.8 million, has been preliminarily valued at zero as of </w:t>
      </w:r>
      <w:r>
        <w:rPr>
          <w:rFonts w:ascii="inherit" w:hAnsi="inherit"/>
          <w:strike w:val="false"/>
          <w:dstrike w:val="false"/>
          <w:color w:val="000000"/>
          <w:sz w:val="17"/>
          <w:u w:val="none"/>
          <w:effect w:val="none"/>
        </w:rPr>
        <w:t>September 30, 2013</w:t>
      </w:r>
      <w:r>
        <w:rPr>
          <w:rFonts w:ascii="inherit" w:hAnsi="inherit"/>
          <w:sz w:val="17"/>
        </w:rPr>
        <w:t xml:space="preserve">. The fiscal year ended </w:t>
      </w:r>
      <w:r>
        <w:rPr>
          <w:rFonts w:ascii="inherit" w:hAnsi="inherit"/>
          <w:strike w:val="false"/>
          <w:dstrike w:val="false"/>
          <w:color w:val="000000"/>
          <w:sz w:val="17"/>
          <w:u w:val="none"/>
          <w:effect w:val="none"/>
        </w:rPr>
        <w:t>September 30, 2013</w:t>
      </w:r>
      <w:r>
        <w:rPr>
          <w:sz w:val="17"/>
        </w:rPr>
        <w:t xml:space="preserve"> </w:t>
      </w:r>
      <w:r>
        <w:rPr>
          <w:rFonts w:ascii="inherit" w:hAnsi="inherit"/>
          <w:sz w:val="17"/>
        </w:rPr>
        <w:t>includes $6.7 million</w:t>
      </w:r>
      <w:r>
        <w:rPr>
          <w:sz w:val="17"/>
        </w:rPr>
        <w:t xml:space="preserve"> </w:t>
      </w:r>
      <w:r>
        <w:rPr>
          <w:rFonts w:ascii="inherit" w:hAnsi="inherit"/>
          <w:sz w:val="17"/>
        </w:rPr>
        <w:t>in total revenues and $8.0 million</w:t>
      </w:r>
      <w:r>
        <w:rPr>
          <w:sz w:val="17"/>
        </w:rPr>
        <w:t xml:space="preserve"> </w:t>
      </w:r>
      <w:r>
        <w:rPr>
          <w:rFonts w:ascii="inherit" w:hAnsi="inherit"/>
          <w:sz w:val="17"/>
        </w:rPr>
        <w:t xml:space="preserve">in operating losses related to EZCORP Online. </w:t>
      </w:r>
    </w:p>
    <w:p>
      <w:pPr>
        <w:pStyle w:val="TextBody"/>
        <w:spacing w:lineRule="auto" w:line="288" w:before="0" w:after="0"/>
        <w:jc w:val="left"/>
        <w:rPr>
          <w:rFonts w:ascii="inherit" w:hAnsi="inherit"/>
          <w:sz w:val="17"/>
          <w:u w:val="single"/>
        </w:rPr>
      </w:pPr>
      <w:r>
        <w:rPr>
          <w:rFonts w:ascii="inherit" w:hAnsi="inherit"/>
          <w:sz w:val="17"/>
          <w:u w:val="single"/>
        </w:rPr>
        <w:t>TUYO</w:t>
      </w:r>
    </w:p>
    <w:p>
      <w:pPr>
        <w:pStyle w:val="TextBody"/>
        <w:spacing w:lineRule="auto" w:line="288" w:before="0" w:after="0"/>
        <w:rPr>
          <w:sz w:val="17"/>
        </w:rPr>
      </w:pPr>
      <w:r>
        <w:rPr>
          <w:rFonts w:ascii="inherit" w:hAnsi="inherit"/>
          <w:sz w:val="17"/>
        </w:rPr>
        <w:t xml:space="preserve">On November 1, 2012, we acquired a </w:t>
      </w:r>
      <w:r>
        <w:rPr>
          <w:rFonts w:ascii="inherit" w:hAnsi="inherit"/>
          <w:strike w:val="false"/>
          <w:dstrike w:val="false"/>
          <w:color w:val="000000"/>
          <w:sz w:val="17"/>
          <w:u w:val="none"/>
          <w:effect w:val="none"/>
        </w:rPr>
        <w:t>51%</w:t>
      </w:r>
      <w:r>
        <w:rPr>
          <w:sz w:val="17"/>
        </w:rPr>
        <w:t xml:space="preserve"> </w:t>
      </w:r>
      <w:r>
        <w:rPr>
          <w:rFonts w:ascii="inherit" w:hAnsi="inherit"/>
          <w:sz w:val="17"/>
        </w:rPr>
        <w:t xml:space="preserve">interest in Renueva Comercial S.A. de C.V., a company headquartered in Mexico City and doing business under the name “TUYO”, for approximately </w:t>
      </w:r>
      <w:r>
        <w:rPr>
          <w:rFonts w:ascii="inherit" w:hAnsi="inherit"/>
          <w:strike w:val="false"/>
          <w:dstrike w:val="false"/>
          <w:color w:val="000000"/>
          <w:sz w:val="17"/>
          <w:u w:val="none"/>
          <w:effect w:val="none"/>
        </w:rPr>
        <w:t>$1.1 million</w:t>
      </w:r>
      <w:r>
        <w:rPr>
          <w:rFonts w:ascii="inherit" w:hAnsi="inherit"/>
          <w:sz w:val="17"/>
        </w:rPr>
        <w:t xml:space="preserve">. As of </w:t>
      </w:r>
      <w:r>
        <w:rPr>
          <w:rFonts w:ascii="inherit" w:hAnsi="inherit"/>
          <w:strike w:val="false"/>
          <w:dstrike w:val="false"/>
          <w:color w:val="000000"/>
          <w:sz w:val="17"/>
          <w:u w:val="none"/>
          <w:effect w:val="none"/>
        </w:rPr>
        <w:t>September 30, 2013</w:t>
      </w:r>
      <w:r>
        <w:rPr>
          <w:rFonts w:ascii="inherit" w:hAnsi="inherit"/>
          <w:sz w:val="17"/>
        </w:rPr>
        <w:t>, TUYO owned and operated 19</w:t>
      </w:r>
      <w:r>
        <w:rPr>
          <w:sz w:val="17"/>
        </w:rPr>
        <w:t xml:space="preserve"> </w:t>
      </w:r>
      <w:r>
        <w:rPr>
          <w:rFonts w:ascii="inherit" w:hAnsi="inherit"/>
          <w:sz w:val="17"/>
        </w:rPr>
        <w:t>stores in Mexico City and the surrounding metropolitan area. In these stores, TUYO buys quality used merchandise from customers and then resells that merchandise to other customers. TUYO also sells refurbished or other merchandise acquired in bulk from wholesalers. As this acquisition was individually immaterial, we present its related information, other than information related to the redeemable noncontrolling interest, combined with other immaterial acquisitions.</w:t>
      </w:r>
    </w:p>
    <w:p>
      <w:pPr>
        <w:pStyle w:val="TextBody"/>
        <w:spacing w:lineRule="auto" w:line="288" w:before="0" w:after="0"/>
        <w:rPr>
          <w:sz w:val="17"/>
        </w:rPr>
      </w:pPr>
      <w:r>
        <w:rPr>
          <w:rFonts w:ascii="inherit" w:hAnsi="inherit"/>
          <w:sz w:val="17"/>
        </w:rPr>
        <w:t xml:space="preserve">Pursuant to the acquisition agreement, the sellers have a put option with respect to their remaining shares of TUYO. The sellers have the right to sell their TUYO shares to EZCORP during a specified exercise period, with specified limitations on the number of shares that may be sold within a consecutive </w:t>
      </w:r>
      <w:r>
        <w:rPr>
          <w:rFonts w:ascii="inherit" w:hAnsi="inherit"/>
          <w:strike w:val="false"/>
          <w:dstrike w:val="false"/>
          <w:color w:val="000000"/>
          <w:sz w:val="17"/>
          <w:u w:val="none"/>
          <w:effect w:val="none"/>
        </w:rPr>
        <w:t>12</w:t>
      </w:r>
      <w:r>
        <w:rPr>
          <w:rFonts w:ascii="inherit" w:hAnsi="inherit"/>
          <w:sz w:val="17"/>
        </w:rPr>
        <w:t xml:space="preserve">-month period. Under the guidance in ASC 480-10-S99, securities that are redeemable for cash or other assets are to be classified outside of permanent equity; therefore, we have included the redeemable noncontrolling interest related to TUYO in temporary equity. </w:t>
      </w:r>
    </w:p>
    <w:p>
      <w:pPr>
        <w:pStyle w:val="TextBody"/>
        <w:spacing w:lineRule="auto" w:line="288" w:before="0" w:after="0"/>
        <w:rPr>
          <w:sz w:val="17"/>
        </w:rPr>
      </w:pPr>
      <w:r>
        <w:rPr>
          <w:rFonts w:ascii="inherit" w:hAnsi="inherit"/>
          <w:sz w:val="17"/>
        </w:rPr>
        <w:t xml:space="preserve">The acquisition date fair value of the TUYO redeemable noncontrolling interest was estimated by applying an income and market approach. This fair value measurement was based on significant inputs that are not observable in the market and thus represents a Level 3 measurement. Key assumptions include discount rates of </w:t>
      </w:r>
      <w:r>
        <w:rPr>
          <w:rFonts w:ascii="inherit" w:hAnsi="inherit"/>
          <w:strike w:val="false"/>
          <w:dstrike w:val="false"/>
          <w:color w:val="000000"/>
          <w:sz w:val="17"/>
          <w:u w:val="none"/>
          <w:effect w:val="none"/>
        </w:rPr>
        <w:t>10%</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18%</w:t>
      </w:r>
      <w:r>
        <w:rPr>
          <w:sz w:val="17"/>
        </w:rPr>
        <w:t xml:space="preserve"> </w:t>
      </w:r>
      <w:r>
        <w:rPr>
          <w:rFonts w:ascii="inherit" w:hAnsi="inherit"/>
          <w:sz w:val="17"/>
        </w:rPr>
        <w:t xml:space="preserve">representing discounts for lack of control and lack of marketability respectively that market participants would consider when estimating the fair value of the noncontrolling interest. The fair market value of TUYO was determined using a multiple of future earnings. We expect the recorded values related to the noncontrolling interest at </w:t>
      </w:r>
      <w:r>
        <w:rPr>
          <w:rFonts w:ascii="inherit" w:hAnsi="inherit"/>
          <w:strike w:val="false"/>
          <w:dstrike w:val="false"/>
          <w:color w:val="000000"/>
          <w:sz w:val="17"/>
          <w:u w:val="none"/>
          <w:effect w:val="none"/>
        </w:rPr>
        <w:t>September 30, 2013</w:t>
      </w:r>
      <w:r>
        <w:rPr>
          <w:sz w:val="17"/>
        </w:rPr>
        <w:t xml:space="preserve"> </w:t>
      </w:r>
      <w:r>
        <w:rPr>
          <w:rFonts w:ascii="inherit" w:hAnsi="inherit"/>
          <w:sz w:val="17"/>
        </w:rPr>
        <w:t>to approximate fair value.</w:t>
      </w:r>
    </w:p>
    <w:p>
      <w:pPr>
        <w:pStyle w:val="TextBody"/>
        <w:spacing w:lineRule="auto" w:line="288" w:before="0" w:after="0"/>
        <w:rPr>
          <w:rFonts w:ascii="inherit" w:hAnsi="inherit"/>
          <w:sz w:val="17"/>
          <w:u w:val="single"/>
        </w:rPr>
      </w:pPr>
      <w:r>
        <w:rPr>
          <w:rFonts w:ascii="inherit" w:hAnsi="inherit"/>
          <w:sz w:val="17"/>
          <w:u w:val="single"/>
        </w:rPr>
        <w:t>Other - 2013</w:t>
      </w:r>
    </w:p>
    <w:p>
      <w:pPr>
        <w:pStyle w:val="TextBody"/>
        <w:spacing w:lineRule="auto" w:line="288" w:before="0" w:after="0"/>
        <w:rPr>
          <w:sz w:val="17"/>
        </w:rPr>
      </w:pPr>
      <w:r>
        <w:rPr>
          <w:rFonts w:ascii="inherit" w:hAnsi="inherit"/>
          <w:sz w:val="17"/>
        </w:rPr>
        <w:t>On April 26, 2013, Grupo Finmart, our 60%</w:t>
      </w:r>
      <w:r>
        <w:rPr>
          <w:sz w:val="17"/>
        </w:rPr>
        <w:t xml:space="preserve"> </w:t>
      </w:r>
      <w:r>
        <w:rPr>
          <w:rFonts w:ascii="inherit" w:hAnsi="inherit"/>
          <w:sz w:val="17"/>
        </w:rPr>
        <w:t xml:space="preserve">owned subsidiary, purchased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of the outstanding shares of Fondo ACH, S.A. de C.V., a specialty consumer finance company. The total purchase price is performance-based and will be determined over a period of </w:t>
      </w:r>
      <w:r>
        <w:rPr>
          <w:rFonts w:ascii="inherit" w:hAnsi="inherit"/>
          <w:strike w:val="false"/>
          <w:dstrike w:val="false"/>
          <w:color w:val="000000"/>
          <w:sz w:val="17"/>
          <w:u w:val="none"/>
          <w:effect w:val="none"/>
        </w:rPr>
        <w:t>four years</w:t>
      </w:r>
      <w:r>
        <w:rPr>
          <w:rFonts w:ascii="inherit" w:hAnsi="inherit"/>
          <w:sz w:val="17"/>
        </w:rPr>
        <w:t xml:space="preserve">. A minimum of </w:t>
      </w:r>
      <w:r>
        <w:rPr>
          <w:rFonts w:ascii="inherit" w:hAnsi="inherit"/>
          <w:strike w:val="false"/>
          <w:dstrike w:val="false"/>
          <w:color w:val="000000"/>
          <w:sz w:val="17"/>
          <w:u w:val="none"/>
          <w:effect w:val="none"/>
        </w:rPr>
        <w:t>$3.5 million</w:t>
      </w:r>
      <w:r>
        <w:rPr>
          <w:sz w:val="17"/>
        </w:rPr>
        <w:t xml:space="preserve"> </w:t>
      </w:r>
      <w:r>
        <w:rPr>
          <w:rFonts w:ascii="inherit" w:hAnsi="inherit"/>
          <w:sz w:val="17"/>
        </w:rPr>
        <w:t xml:space="preserve">will be paid, of which </w:t>
      </w:r>
      <w:r>
        <w:rPr>
          <w:rFonts w:ascii="inherit" w:hAnsi="inherit"/>
          <w:strike w:val="false"/>
          <w:dstrike w:val="false"/>
          <w:color w:val="000000"/>
          <w:sz w:val="17"/>
          <w:u w:val="none"/>
          <w:effect w:val="none"/>
        </w:rPr>
        <w:t>$2.7 million</w:t>
      </w:r>
      <w:r>
        <w:rPr>
          <w:sz w:val="17"/>
        </w:rPr>
        <w:t xml:space="preserve"> </w:t>
      </w:r>
      <w:r>
        <w:rPr>
          <w:rFonts w:ascii="inherit" w:hAnsi="inherit"/>
          <w:sz w:val="17"/>
        </w:rPr>
        <w:t xml:space="preserve">was paid at closing with the remaining due on January 2, 2017. The performance consideration element will be based on interest income generated by the acquired portfolios and new loans made through Fondo ACH's contractual relationships. The contingent consideration element of the purchase price, which is the amount in excess of the guaranteed </w:t>
      </w:r>
      <w:r>
        <w:rPr>
          <w:rFonts w:ascii="inherit" w:hAnsi="inherit"/>
          <w:strike w:val="false"/>
          <w:dstrike w:val="false"/>
          <w:color w:val="000000"/>
          <w:sz w:val="17"/>
          <w:u w:val="none"/>
          <w:effect w:val="none"/>
        </w:rPr>
        <w:t>$3.5 million</w:t>
      </w:r>
      <w:r>
        <w:rPr>
          <w:rFonts w:ascii="inherit" w:hAnsi="inherit"/>
          <w:sz w:val="17"/>
        </w:rPr>
        <w:t>, has been preliminarily valued at zero</w:t>
      </w:r>
      <w:r>
        <w:rPr>
          <w:sz w:val="17"/>
        </w:rPr>
        <w:t xml:space="preserve"> </w:t>
      </w:r>
      <w:r>
        <w:rPr>
          <w:rFonts w:ascii="inherit" w:hAnsi="inherit"/>
          <w:sz w:val="17"/>
        </w:rPr>
        <w:t xml:space="preserve">as of </w:t>
      </w:r>
      <w:r>
        <w:rPr>
          <w:rFonts w:ascii="inherit" w:hAnsi="inherit"/>
          <w:strike w:val="false"/>
          <w:dstrike w:val="false"/>
          <w:color w:val="000000"/>
          <w:sz w:val="17"/>
          <w:u w:val="none"/>
          <w:effect w:val="none"/>
        </w:rPr>
        <w:t>September 30, 2013</w:t>
      </w:r>
      <w:r>
        <w:rPr>
          <w:rFonts w:ascii="inherit" w:hAnsi="inherit"/>
          <w:sz w:val="17"/>
        </w:rPr>
        <w:t>. As this acquisition was individually immaterial, we present its related information combined with other immaterial acquisitions.</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June 30, 2013</w:t>
      </w:r>
      <w:r>
        <w:rPr>
          <w:rFonts w:ascii="inherit" w:hAnsi="inherit"/>
          <w:sz w:val="17"/>
        </w:rPr>
        <w:t xml:space="preserve">, Grupo Finmart, purchased a consumer loan portfolio for total consideration of approximately </w:t>
      </w:r>
      <w:r>
        <w:rPr>
          <w:rFonts w:ascii="inherit" w:hAnsi="inherit"/>
          <w:strike w:val="false"/>
          <w:dstrike w:val="false"/>
          <w:color w:val="000000"/>
          <w:sz w:val="17"/>
          <w:u w:val="none"/>
          <w:effect w:val="none"/>
        </w:rPr>
        <w:t>$1.3 million</w:t>
      </w:r>
      <w:r>
        <w:rPr>
          <w:rFonts w:ascii="inherit" w:hAnsi="inherit"/>
          <w:sz w:val="17"/>
        </w:rPr>
        <w:t>. The total purchase price is performance-based and will be determined over the life of the loan portfolio. As this acquisition was individually immaterial, we present its related information combined with other immaterial acquisitions.</w:t>
      </w:r>
    </w:p>
    <w:p>
      <w:pPr>
        <w:pStyle w:val="TextBody"/>
        <w:spacing w:lineRule="auto" w:line="288" w:before="0" w:after="0"/>
        <w:rPr>
          <w:sz w:val="17"/>
        </w:rPr>
      </w:pPr>
      <w:r>
        <w:rPr>
          <w:rFonts w:ascii="inherit" w:hAnsi="inherit"/>
          <w:sz w:val="17"/>
        </w:rPr>
        <w:t xml:space="preserve">The fiscal year ended </w:t>
      </w:r>
      <w:r>
        <w:rPr>
          <w:rFonts w:ascii="inherit" w:hAnsi="inherit"/>
          <w:strike w:val="false"/>
          <w:dstrike w:val="false"/>
          <w:color w:val="000000"/>
          <w:sz w:val="17"/>
          <w:u w:val="none"/>
          <w:effect w:val="none"/>
        </w:rPr>
        <w:t>September 30, 2013</w:t>
      </w:r>
      <w:r>
        <w:rPr>
          <w:rFonts w:ascii="inherit" w:hAnsi="inherit"/>
          <w:sz w:val="17"/>
        </w:rPr>
        <w:t>, includes the December 2012 acquisition of 12</w:t>
      </w:r>
      <w:r>
        <w:rPr>
          <w:sz w:val="17"/>
        </w:rPr>
        <w:t xml:space="preserve"> </w:t>
      </w:r>
      <w:r>
        <w:rPr>
          <w:rFonts w:ascii="inherit" w:hAnsi="inherit"/>
          <w:sz w:val="17"/>
        </w:rPr>
        <w:t>pawn locations in Arizona, which was a new state of operation for EZCORP. As this acquisition was individually immaterial, we present its related information combined with other immaterial acquisitions.</w:t>
      </w:r>
    </w:p>
    <w:p>
      <w:pPr>
        <w:pStyle w:val="TextBody"/>
        <w:spacing w:lineRule="auto" w:line="288" w:before="0" w:after="0"/>
        <w:jc w:val="left"/>
        <w:rPr>
          <w:rFonts w:ascii="inherit" w:hAnsi="inherit"/>
          <w:sz w:val="17"/>
        </w:rPr>
      </w:pPr>
      <w:r>
        <w:rPr>
          <w:rFonts w:ascii="inherit" w:hAnsi="inherit"/>
          <w:sz w:val="17"/>
        </w:rPr>
        <w:t xml:space="preserve">All acquisitions were made as part of our continuing strategy to enhance and diversify our earnings over the long-term. The factors contributing to the recognition of goodwill were based on several strategic and synergistic benefits we expect to realize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74</w:t>
      </w:r>
      <w:r>
        <w:br w:type="page"/>
      </w:r>
    </w:p>
    <w:p>
      <w:pPr>
        <w:pStyle w:val="TextBody"/>
        <w:spacing w:lineRule="auto" w:line="288" w:before="0" w:after="0"/>
        <w:rPr/>
      </w:pPr>
      <w:hyperlink w:anchor="sA13583D437E20DC41B4583E2BD74AA47">
        <w:bookmarkStart w:id="67" w:name="s5CD16FB38FE5BC99904883E26CC8F0583"/>
        <w:bookmarkEnd w:id="6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from the acquisitions. These benefits include our initial entry into several markets and a greater presence in others, as well as the ability to further leverage our expense structure through increased scale. The purchase price allocation of assets acquired in the most recent twelve months is preliminary as we continue to receive information regarding the acquired assets. Transaction related expenses for the </w:t>
      </w:r>
      <w:r>
        <w:rPr>
          <w:rFonts w:ascii="Times New Roman" w:hAnsi="Times New Roman"/>
          <w:strike w:val="false"/>
          <w:dstrike w:val="false"/>
          <w:color w:val="000000"/>
          <w:sz w:val="17"/>
          <w:u w:val="none"/>
          <w:effect w:val="none"/>
        </w:rPr>
        <w:t>years ended</w:t>
      </w:r>
      <w:r>
        <w:rPr>
          <w:sz w:val="17"/>
        </w:rPr>
        <w:t xml:space="preserve"> </w:t>
      </w:r>
      <w:r>
        <w:rPr>
          <w:rFonts w:ascii="inherit" w:hAnsi="inherit"/>
          <w:strike w:val="false"/>
          <w:dstrike w:val="false"/>
          <w:color w:val="000000"/>
          <w:sz w:val="17"/>
          <w:u w:val="none"/>
          <w:effect w:val="none"/>
        </w:rPr>
        <w:t>September 30, 2013</w:t>
      </w:r>
      <w:r>
        <w:rPr>
          <w:rFonts w:ascii="inherit" w:hAnsi="inherit"/>
          <w:sz w:val="17"/>
        </w:rPr>
        <w:t xml:space="preserve">,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sz w:val="17"/>
        </w:rPr>
        <w:t xml:space="preserve"> </w:t>
      </w:r>
      <w:r>
        <w:rPr>
          <w:rFonts w:ascii="inherit" w:hAnsi="inherit"/>
          <w:sz w:val="17"/>
        </w:rPr>
        <w:t>of approximately $0.5 million, $2.2 million, and $0.9 million, respectively, were expensed as incurred and recorded as operations expense. These amounts exclude costs related to transactions that did not close and future acquisitions. The results of all acquisitions have been consolidated with our results since their respective closing. Pro forma results of operations have not been presented because it is impracticable to do so, as historical audited financial statements in U.S. GAAP are not readily available.</w:t>
      </w:r>
    </w:p>
    <w:p>
      <w:pPr>
        <w:pStyle w:val="TextBody"/>
        <w:spacing w:lineRule="auto" w:line="288" w:before="0" w:after="0"/>
        <w:rPr>
          <w:rFonts w:ascii="inherit" w:hAnsi="inherit"/>
          <w:sz w:val="17"/>
          <w:u w:val="single"/>
        </w:rPr>
      </w:pPr>
      <w:r>
        <w:rPr>
          <w:rFonts w:ascii="inherit" w:hAnsi="inherit"/>
          <w:sz w:val="17"/>
          <w:u w:val="single"/>
        </w:rPr>
        <w:t>Grupo Finmart</w:t>
      </w:r>
    </w:p>
    <w:p>
      <w:pPr>
        <w:pStyle w:val="TextBody"/>
        <w:spacing w:lineRule="auto" w:line="288" w:before="0" w:after="0"/>
        <w:jc w:val="left"/>
        <w:rPr>
          <w:sz w:val="17"/>
        </w:rPr>
      </w:pPr>
      <w:r>
        <w:rPr>
          <w:rFonts w:ascii="inherit" w:hAnsi="inherit"/>
          <w:sz w:val="17"/>
        </w:rPr>
        <w:t>On January 30, 2012, we acquired a 60%</w:t>
      </w:r>
      <w:r>
        <w:rPr>
          <w:sz w:val="17"/>
        </w:rPr>
        <w:t xml:space="preserve"> </w:t>
      </w:r>
      <w:r>
        <w:rPr>
          <w:rFonts w:ascii="inherit" w:hAnsi="inherit"/>
          <w:sz w:val="17"/>
        </w:rPr>
        <w:t>interest in Prestaciones Finmart, S.A. de C.V., SOFOM, E.N.R. (“Grupo Finmart" formerly known as Crediamigo), a specialty consumer finance company headquartered in Mexico City. The total consideration of $60.1 million, net of cash acquired, includes contingent consideration related to two</w:t>
      </w:r>
      <w:r>
        <w:rPr>
          <w:sz w:val="17"/>
        </w:rPr>
        <w:t xml:space="preserve"> </w:t>
      </w:r>
      <w:r>
        <w:rPr>
          <w:rFonts w:ascii="inherit" w:hAnsi="inherit"/>
          <w:sz w:val="17"/>
        </w:rPr>
        <w:t xml:space="preserve">earn out payments. If certain financial performance targets are achieved during calendar years </w:t>
      </w:r>
      <w:r>
        <w:rPr>
          <w:rFonts w:ascii="Times New Roman" w:hAnsi="Times New Roman"/>
          <w:strike w:val="false"/>
          <w:dstrike w:val="false"/>
          <w:color w:val="000000"/>
          <w:sz w:val="17"/>
          <w:u w:val="none"/>
          <w:effect w:val="none"/>
        </w:rPr>
        <w:t>2012</w:t>
      </w:r>
      <w:r>
        <w:rPr>
          <w:sz w:val="17"/>
        </w:rPr>
        <w:t xml:space="preserve"> </w:t>
      </w:r>
      <w:r>
        <w:rPr>
          <w:rFonts w:ascii="inherit" w:hAnsi="inherit"/>
          <w:sz w:val="17"/>
        </w:rPr>
        <w:t xml:space="preserve">and </w:t>
      </w:r>
      <w:r>
        <w:rPr>
          <w:rFonts w:ascii="Times New Roman" w:hAnsi="Times New Roman"/>
          <w:strike w:val="false"/>
          <w:dstrike w:val="false"/>
          <w:color w:val="000000"/>
          <w:sz w:val="17"/>
          <w:u w:val="none"/>
          <w:effect w:val="none"/>
        </w:rPr>
        <w:t>2013</w:t>
      </w:r>
      <w:r>
        <w:rPr>
          <w:rFonts w:ascii="inherit" w:hAnsi="inherit"/>
          <w:sz w:val="17"/>
        </w:rPr>
        <w:t>, the sellers will receive $12.0 million</w:t>
      </w:r>
      <w:r>
        <w:rPr>
          <w:sz w:val="17"/>
        </w:rPr>
        <w:t xml:space="preserve"> </w:t>
      </w:r>
      <w:r>
        <w:rPr>
          <w:rFonts w:ascii="inherit" w:hAnsi="inherit"/>
          <w:sz w:val="17"/>
        </w:rPr>
        <w:t>dollars, each year, for a total amount of $24.0 million</w:t>
      </w:r>
      <w:r>
        <w:rPr>
          <w:sz w:val="17"/>
        </w:rPr>
        <w:t xml:space="preserve"> </w:t>
      </w:r>
      <w:r>
        <w:rPr>
          <w:rFonts w:ascii="inherit" w:hAnsi="inherit"/>
          <w:sz w:val="17"/>
        </w:rPr>
        <w:t>dollars. The purchase price above includes a fair value amount of $23.0 million</w:t>
      </w:r>
      <w:r>
        <w:rPr>
          <w:sz w:val="17"/>
        </w:rPr>
        <w:t xml:space="preserve"> </w:t>
      </w:r>
      <w:r>
        <w:rPr>
          <w:rFonts w:ascii="inherit" w:hAnsi="inherit"/>
          <w:sz w:val="17"/>
        </w:rPr>
        <w:t>attributable to the contingent consideration payments. This amount was calculated using a probability-weighted discounted cash flow approach, in which all outcomes were successful. The significant inputs used for the valuation are not observable in the market, and thus this fair value measurement represents a Level 3 measurement within the fair value hierarchy. On April 5, 2013, we made the first payment of $12.8 million, this amount includes a $0.8 million</w:t>
      </w:r>
      <w:r>
        <w:rPr>
          <w:sz w:val="17"/>
        </w:rPr>
        <w:t xml:space="preserve"> </w:t>
      </w:r>
      <w:r>
        <w:rPr>
          <w:rFonts w:ascii="inherit" w:hAnsi="inherit"/>
          <w:sz w:val="17"/>
        </w:rPr>
        <w:t xml:space="preserve">transaction loss as the payment was made in Mexican pesos. </w:t>
      </w:r>
    </w:p>
    <w:p>
      <w:pPr>
        <w:pStyle w:val="TextBody"/>
        <w:spacing w:lineRule="auto" w:line="288" w:before="0" w:after="0"/>
        <w:jc w:val="left"/>
        <w:rPr>
          <w:sz w:val="17"/>
        </w:rPr>
      </w:pPr>
      <w:r>
        <w:rPr>
          <w:rFonts w:ascii="inherit" w:hAnsi="inherit"/>
          <w:sz w:val="17"/>
        </w:rPr>
        <w:t>Pursuant to the Master Transaction Agreement, the sellers have a put option with respect to their remaining shares of Grupo Finmart. Each seller has the right to sell their Grupo Finmart shares to us during the exercise period commencing on January 30, 2014 and ending on January 30, 2017 , with no more than 50%</w:t>
      </w:r>
      <w:r>
        <w:rPr>
          <w:sz w:val="17"/>
        </w:rPr>
        <w:t xml:space="preserve"> </w:t>
      </w:r>
      <w:r>
        <w:rPr>
          <w:rFonts w:ascii="inherit" w:hAnsi="inherit"/>
          <w:sz w:val="17"/>
        </w:rPr>
        <w:t>of the seller's shares being sold within a consecutive twelve-month period. Under the guidance in ASC 480-10-S99, securities that are redeemable for cash or other assets are to be classified outside of permanent equity; therefore, we have included the redeemable noncontrolling interest related to Grupo Finmart in temporary equity.</w:t>
      </w:r>
    </w:p>
    <w:p>
      <w:pPr>
        <w:pStyle w:val="TextBody"/>
        <w:spacing w:lineRule="auto" w:line="288" w:before="0" w:after="0"/>
        <w:jc w:val="left"/>
        <w:rPr>
          <w:sz w:val="17"/>
        </w:rPr>
      </w:pPr>
      <w:r>
        <w:rPr>
          <w:rFonts w:ascii="inherit" w:hAnsi="inherit"/>
          <w:sz w:val="17"/>
        </w:rPr>
        <w:t>The acquisition date fair value of the redeemable noncontrolling interest in Grupo Finmart was estimated by applying an income approach and a market approach. This fair value measurement is based on significant inputs that are not observable in the market and thus represents a Level 3 measurement. Key assumptions include discount rates ranging from 10%</w:t>
      </w:r>
      <w:r>
        <w:rPr>
          <w:sz w:val="17"/>
        </w:rPr>
        <w:t xml:space="preserve"> </w:t>
      </w:r>
      <w:r>
        <w:rPr>
          <w:rFonts w:ascii="inherit" w:hAnsi="inherit"/>
          <w:sz w:val="17"/>
        </w:rPr>
        <w:t>to 18%, representing discounts for lack of control and lack of marketability that market participants would consider when estimating the fair value of the noncontrolling interest. The fair market value of Grupo Finmart was determined using a multiple of future earnings.</w:t>
      </w:r>
    </w:p>
    <w:p>
      <w:pPr>
        <w:pStyle w:val="TextBody"/>
        <w:spacing w:lineRule="auto" w:line="288" w:before="0" w:after="0"/>
        <w:jc w:val="left"/>
        <w:rPr>
          <w:sz w:val="17"/>
        </w:rPr>
      </w:pPr>
      <w:r>
        <w:rPr>
          <w:rFonts w:ascii="inherit" w:hAnsi="inherit"/>
          <w:sz w:val="17"/>
        </w:rPr>
        <w:t>The years ended September 30, 2013 and 2012, include $52.4 million</w:t>
      </w:r>
      <w:r>
        <w:rPr>
          <w:sz w:val="17"/>
        </w:rPr>
        <w:t xml:space="preserve"> </w:t>
      </w:r>
      <w:r>
        <w:rPr>
          <w:rFonts w:ascii="inherit" w:hAnsi="inherit"/>
          <w:sz w:val="17"/>
        </w:rPr>
        <w:t>and $27.7 million</w:t>
      </w:r>
      <w:r>
        <w:rPr>
          <w:sz w:val="17"/>
        </w:rPr>
        <w:t xml:space="preserve"> </w:t>
      </w:r>
      <w:r>
        <w:rPr>
          <w:rFonts w:ascii="inherit" w:hAnsi="inherit"/>
          <w:sz w:val="17"/>
        </w:rPr>
        <w:t>in total revenues and $8.0 million</w:t>
      </w:r>
      <w:r>
        <w:rPr>
          <w:sz w:val="17"/>
        </w:rPr>
        <w:t xml:space="preserve"> </w:t>
      </w:r>
      <w:r>
        <w:rPr>
          <w:rFonts w:ascii="inherit" w:hAnsi="inherit"/>
          <w:sz w:val="17"/>
        </w:rPr>
        <w:t>and $10.1 million</w:t>
      </w:r>
      <w:r>
        <w:rPr>
          <w:sz w:val="17"/>
        </w:rPr>
        <w:t xml:space="preserve"> </w:t>
      </w:r>
      <w:r>
        <w:rPr>
          <w:rFonts w:ascii="inherit" w:hAnsi="inherit"/>
          <w:sz w:val="17"/>
        </w:rPr>
        <w:t xml:space="preserve">in income attributable to EZCORP, Inc. related to the Grupo Finmart acquisition respectively. </w:t>
      </w:r>
    </w:p>
    <w:p>
      <w:pPr>
        <w:pStyle w:val="TextBody"/>
        <w:spacing w:lineRule="auto" w:line="288" w:before="0" w:after="0"/>
        <w:rPr>
          <w:rFonts w:ascii="inherit" w:hAnsi="inherit"/>
          <w:sz w:val="17"/>
          <w:u w:val="single"/>
        </w:rPr>
      </w:pPr>
      <w:r>
        <w:rPr>
          <w:rFonts w:ascii="inherit" w:hAnsi="inherit"/>
          <w:sz w:val="17"/>
          <w:u w:val="single"/>
        </w:rPr>
        <w:t>Cash Genie</w:t>
      </w:r>
    </w:p>
    <w:p>
      <w:pPr>
        <w:pStyle w:val="TextBody"/>
        <w:spacing w:lineRule="auto" w:line="288" w:before="0" w:after="0"/>
        <w:jc w:val="left"/>
        <w:rPr>
          <w:sz w:val="17"/>
        </w:rPr>
      </w:pPr>
      <w:r>
        <w:rPr>
          <w:rFonts w:ascii="inherit" w:hAnsi="inherit"/>
          <w:sz w:val="17"/>
        </w:rPr>
        <w:t xml:space="preserve">On April 14, 2012, we acquired a </w:t>
      </w:r>
      <w:r>
        <w:rPr>
          <w:rFonts w:ascii="inherit" w:hAnsi="inherit"/>
          <w:strike w:val="false"/>
          <w:dstrike w:val="false"/>
          <w:color w:val="000000"/>
          <w:sz w:val="17"/>
          <w:u w:val="none"/>
          <w:effect w:val="none"/>
        </w:rPr>
        <w:t>72%</w:t>
      </w:r>
      <w:r>
        <w:rPr>
          <w:sz w:val="17"/>
        </w:rPr>
        <w:t xml:space="preserve">  </w:t>
      </w:r>
      <w:r>
        <w:rPr>
          <w:rFonts w:ascii="inherit" w:hAnsi="inherit"/>
          <w:sz w:val="17"/>
        </w:rPr>
        <w:t>interest in Ariste Holding Limited and its affiliates, which provides online loans in the U.K under the name "Cash Genie." As this acquisition was individually immaterial, we present its related information, other than information related to the redeemable noncontrolling interest, combined basis with other immaterial acquisitions</w:t>
      </w:r>
    </w:p>
    <w:p>
      <w:pPr>
        <w:pStyle w:val="TextBody"/>
        <w:spacing w:lineRule="auto" w:line="288" w:before="0" w:after="0"/>
        <w:jc w:val="left"/>
        <w:rPr>
          <w:sz w:val="17"/>
        </w:rPr>
      </w:pPr>
      <w:r>
        <w:rPr>
          <w:rFonts w:ascii="inherit" w:hAnsi="inherit"/>
          <w:sz w:val="17"/>
        </w:rPr>
        <w:t xml:space="preserve">Pursuant to the acquisition agreement, the sellers had a put option with respect to their remaining shares of Cash Genie. Each of the sellers had the right to sell his Cash Genie shares to us for cash, during the exercise period commencing on April 14, 2014 and ending on April 14, 2016, with no more than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of the seller's shares being sold within a consecutive </w:t>
      </w:r>
      <w:r>
        <w:rPr>
          <w:rFonts w:ascii="inherit" w:hAnsi="inherit"/>
          <w:strike w:val="false"/>
          <w:dstrike w:val="false"/>
          <w:color w:val="000000"/>
          <w:sz w:val="17"/>
          <w:u w:val="none"/>
          <w:effect w:val="none"/>
        </w:rPr>
        <w:t>12</w:t>
      </w:r>
      <w:r>
        <w:rPr>
          <w:rFonts w:ascii="inherit" w:hAnsi="inherit"/>
          <w:sz w:val="17"/>
        </w:rPr>
        <w:t xml:space="preserve">-month period. In addition, each of the sellers had the right to sell his Cash Genie shares to us in exchange for shares of Class A Non-Voting Common Stock at any time after April 14, 2012. Under the guidance in ASC 480-10-S99, securities that are redeemable for cash or other assets are to be classified outside of permanent equity; therefore, at acquisition, we included the redeemable noncontrolling interest related to Cash Genie in temporary equity. </w:t>
      </w:r>
    </w:p>
    <w:p>
      <w:pPr>
        <w:pStyle w:val="TextBody"/>
        <w:spacing w:lineRule="auto" w:line="288" w:before="0" w:after="0"/>
        <w:jc w:val="left"/>
        <w:rPr>
          <w:sz w:val="17"/>
        </w:rPr>
      </w:pPr>
      <w:r>
        <w:rPr>
          <w:rFonts w:ascii="inherit" w:hAnsi="inherit"/>
          <w:sz w:val="17"/>
        </w:rPr>
        <w:t xml:space="preserve">The acquisition date fair value of the Cash Genie redeemable noncontrolling interest was estimated by applying an income and market approach. This fair value measurement was based on significant inputs that are not observable in the market and thus represents a Level 3 measurement. Key assumptions included discount rates ranging from </w:t>
      </w:r>
      <w:r>
        <w:rPr>
          <w:rFonts w:ascii="inherit" w:hAnsi="inherit"/>
          <w:strike w:val="false"/>
          <w:dstrike w:val="false"/>
          <w:color w:val="000000"/>
          <w:sz w:val="17"/>
          <w:u w:val="none"/>
          <w:effect w:val="none"/>
        </w:rPr>
        <w:t>10%</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18%</w:t>
      </w:r>
      <w:r>
        <w:rPr>
          <w:rFonts w:ascii="inherit" w:hAnsi="inherit"/>
          <w:sz w:val="17"/>
        </w:rPr>
        <w:t xml:space="preserve">, representing discounts for lack of control and lack of marketability that market participants would consider when estimating the fair value of the noncontrolling interest, and it was determined using a multiple of future earnings. </w:t>
      </w:r>
    </w:p>
    <w:p>
      <w:pPr>
        <w:pStyle w:val="TextBody"/>
        <w:spacing w:lineRule="auto" w:line="288" w:before="0" w:after="0"/>
        <w:jc w:val="left"/>
        <w:rPr>
          <w:sz w:val="17"/>
        </w:rPr>
      </w:pPr>
      <w:r>
        <w:rPr>
          <w:rFonts w:ascii="inherit" w:hAnsi="inherit"/>
          <w:sz w:val="17"/>
        </w:rPr>
        <w:t>During fiscal 2013, the sellers exercised their put options and we increased our ownership in Cash Genie to 100%</w:t>
      </w:r>
      <w:r>
        <w:rPr>
          <w:sz w:val="17"/>
        </w:rPr>
        <w:t xml:space="preserve"> </w:t>
      </w:r>
      <w:r>
        <w:rPr>
          <w:rFonts w:ascii="inherit" w:hAnsi="inherit"/>
          <w:sz w:val="17"/>
        </w:rPr>
        <w:t>as of September 30, 2013. See Note 11, "Redeemable Noncontrolling Interest” for details.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75</w:t>
      </w:r>
      <w:r>
        <w:br w:type="page"/>
      </w:r>
    </w:p>
    <w:p>
      <w:pPr>
        <w:pStyle w:val="TextBody"/>
        <w:spacing w:lineRule="auto" w:line="288" w:before="0" w:after="0"/>
        <w:rPr/>
      </w:pPr>
      <w:hyperlink w:anchor="sA13583D437E20DC41B4583E2BD74AA47">
        <w:bookmarkStart w:id="68" w:name="s5CD16FB38FE5BC99904883E26CC8F0584"/>
        <w:bookmarkEnd w:id="68"/>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u w:val="single"/>
        </w:rPr>
      </w:pPr>
      <w:r>
        <w:rPr>
          <w:rFonts w:ascii="inherit" w:hAnsi="inherit"/>
          <w:sz w:val="17"/>
          <w:u w:val="single"/>
        </w:rPr>
        <w:t>Other - 2012</w:t>
      </w:r>
    </w:p>
    <w:p>
      <w:pPr>
        <w:pStyle w:val="TextBody"/>
        <w:spacing w:lineRule="auto" w:line="288" w:before="0" w:after="0"/>
        <w:jc w:val="left"/>
        <w:rPr>
          <w:sz w:val="17"/>
        </w:rPr>
      </w:pPr>
      <w:r>
        <w:rPr>
          <w:rFonts w:ascii="inherit" w:hAnsi="inherit"/>
          <w:sz w:val="17"/>
        </w:rPr>
        <w:t xml:space="preserve">The </w:t>
      </w:r>
      <w:r>
        <w:rPr>
          <w:rFonts w:ascii="Times New Roman" w:hAnsi="Times New Roman"/>
          <w:strike w:val="false"/>
          <w:dstrike w:val="false"/>
          <w:color w:val="000000"/>
          <w:sz w:val="17"/>
          <w:u w:val="none"/>
          <w:effect w:val="none"/>
        </w:rPr>
        <w:t>year ended</w:t>
      </w:r>
      <w:r>
        <w:rPr>
          <w:sz w:val="17"/>
        </w:rPr>
        <w:t xml:space="preserve"> </w:t>
      </w:r>
      <w:r>
        <w:rPr>
          <w:rFonts w:ascii="Times New Roman" w:hAnsi="Times New Roman"/>
          <w:strike w:val="false"/>
          <w:dstrike w:val="false"/>
          <w:color w:val="000000"/>
          <w:sz w:val="17"/>
          <w:u w:val="none"/>
          <w:effect w:val="none"/>
        </w:rPr>
        <w:t>September 30, 2012</w:t>
      </w:r>
      <w:r>
        <w:rPr>
          <w:rFonts w:ascii="inherit" w:hAnsi="inherit"/>
          <w:sz w:val="17"/>
        </w:rPr>
        <w:t xml:space="preserve">, includes the acquisition of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locations in the U.S. and </w:t>
      </w:r>
      <w:r>
        <w:rPr>
          <w:rFonts w:ascii="inherit" w:hAnsi="inherit"/>
          <w:strike w:val="false"/>
          <w:dstrike w:val="false"/>
          <w:color w:val="000000"/>
          <w:sz w:val="17"/>
          <w:u w:val="none"/>
          <w:effect w:val="none"/>
        </w:rPr>
        <w:t>one</w:t>
      </w:r>
      <w:r>
        <w:rPr>
          <w:sz w:val="17"/>
        </w:rPr>
        <w:t xml:space="preserve"> </w:t>
      </w:r>
      <w:r>
        <w:rPr>
          <w:rFonts w:ascii="inherit" w:hAnsi="inherit"/>
          <w:sz w:val="17"/>
        </w:rPr>
        <w:t>in Canada. As these acquisitions were individually immaterial, we present their related information combined basis with other immaterial acquisitions.</w:t>
      </w:r>
    </w:p>
    <w:p>
      <w:pPr>
        <w:pStyle w:val="TextBody"/>
        <w:spacing w:lineRule="auto" w:line="288" w:before="0" w:after="0"/>
        <w:jc w:val="left"/>
        <w:rPr>
          <w:sz w:val="17"/>
        </w:rPr>
      </w:pPr>
      <w:r>
        <w:rPr>
          <w:rFonts w:ascii="inherit" w:hAnsi="inherit"/>
          <w:sz w:val="17"/>
        </w:rPr>
        <w:t xml:space="preserve">The amounts above for the </w:t>
      </w:r>
      <w:r>
        <w:rPr>
          <w:rFonts w:ascii="inherit" w:hAnsi="inherit"/>
          <w:strike w:val="false"/>
          <w:dstrike w:val="false"/>
          <w:color w:val="000000"/>
          <w:sz w:val="17"/>
          <w:u w:val="none"/>
          <w:effect w:val="none"/>
        </w:rPr>
        <w:t>year ended</w:t>
      </w:r>
      <w:r>
        <w:rPr>
          <w:sz w:val="17"/>
        </w:rPr>
        <w:t xml:space="preserve"> </w:t>
      </w:r>
      <w:r>
        <w:rPr>
          <w:rFonts w:ascii="Times New Roman" w:hAnsi="Times New Roman"/>
          <w:strike w:val="false"/>
          <w:dstrike w:val="false"/>
          <w:color w:val="000000"/>
          <w:sz w:val="17"/>
          <w:u w:val="none"/>
          <w:effect w:val="none"/>
        </w:rPr>
        <w:t>September 30, 2012</w:t>
      </w:r>
      <w:r>
        <w:rPr>
          <w:sz w:val="17"/>
        </w:rPr>
        <w:t xml:space="preserve"> </w:t>
      </w:r>
      <w:r>
        <w:rPr>
          <w:rFonts w:ascii="inherit" w:hAnsi="inherit"/>
          <w:sz w:val="17"/>
        </w:rPr>
        <w:t xml:space="preserve">include the acquisition of a decision science model for the underwriting of consumer loans, a contractual relationship with an income tax return preparer to facilitate refund anticipation loans, an online lending business in the U.K., and </w:t>
      </w:r>
      <w:r>
        <w:rPr>
          <w:rFonts w:ascii="inherit" w:hAnsi="inherit"/>
          <w:strike w:val="false"/>
          <w:dstrike w:val="false"/>
          <w:color w:val="000000"/>
          <w:sz w:val="17"/>
          <w:u w:val="none"/>
          <w:effect w:val="none"/>
        </w:rPr>
        <w:t>15</w:t>
      </w:r>
      <w:r>
        <w:rPr>
          <w:sz w:val="17"/>
        </w:rPr>
        <w:t xml:space="preserve"> </w:t>
      </w:r>
      <w:r>
        <w:rPr>
          <w:rFonts w:ascii="inherit" w:hAnsi="inherit"/>
          <w:sz w:val="17"/>
        </w:rPr>
        <w:t xml:space="preserve">financial services stores in Hawaii and Texas. The </w:t>
      </w:r>
      <w:r>
        <w:rPr>
          <w:rFonts w:ascii="inherit" w:hAnsi="inherit"/>
          <w:strike w:val="false"/>
          <w:dstrike w:val="false"/>
          <w:color w:val="000000"/>
          <w:sz w:val="17"/>
          <w:u w:val="none"/>
          <w:effect w:val="none"/>
        </w:rPr>
        <w:t>15</w:t>
      </w:r>
      <w:r>
        <w:rPr>
          <w:sz w:val="17"/>
        </w:rPr>
        <w:t xml:space="preserve"> </w:t>
      </w:r>
      <w:r>
        <w:rPr>
          <w:rFonts w:ascii="inherit" w:hAnsi="inherit"/>
          <w:sz w:val="17"/>
        </w:rPr>
        <w:t>financial services stores in Hawaii and Texas were acquired from FS Management, 1st Money Centers, Inc. and 1429 Funding, Inc., companies owned partially by Brent Turner, the former President of our eCommerce and Card Services division and a former executive officer, for total consideration of $3.0 million</w:t>
      </w:r>
      <w:r>
        <w:rPr>
          <w:sz w:val="17"/>
        </w:rPr>
        <w:t xml:space="preserve"> </w:t>
      </w:r>
      <w:r>
        <w:rPr>
          <w:rFonts w:ascii="inherit" w:hAnsi="inherit"/>
          <w:sz w:val="17"/>
        </w:rPr>
        <w:t xml:space="preserve">in cash and </w:t>
      </w:r>
      <w:r>
        <w:rPr>
          <w:rFonts w:ascii="inherit" w:hAnsi="inherit"/>
          <w:strike w:val="false"/>
          <w:dstrike w:val="false"/>
          <w:color w:val="000000"/>
          <w:sz w:val="17"/>
          <w:u w:val="none"/>
          <w:effect w:val="none"/>
        </w:rPr>
        <w:t>387,924</w:t>
      </w:r>
      <w:r>
        <w:rPr>
          <w:sz w:val="17"/>
        </w:rPr>
        <w:t xml:space="preserve"> </w:t>
      </w:r>
      <w:r>
        <w:rPr>
          <w:rFonts w:ascii="inherit" w:hAnsi="inherit"/>
          <w:sz w:val="17"/>
        </w:rPr>
        <w:t xml:space="preserve">shares of our Class A Non-Voting Common Stock. The basic terms of the acquisitions were agreed prior to the commencement of Mr. Turner's employment (and, thus, prior to Mr. Turner's becoming an executive officer), subject to our completion of appropriate due diligence and the execution of appropriate definitive documentation. Even though the terms of the acquisitions were agreed to prior to Mr. Turner's becoming an executive officer, we treated the transactions as related party transactions. Consequently, pursuant to our Policy for Review and Evaluation of Related Party Transactions, the Audit Committee reviewed and evaluated the terms of the acquisitions and concluded that the transactions were fair to, and in the best interest of the company and its stockholders. Mr. Turner received </w:t>
      </w:r>
      <w:r>
        <w:rPr>
          <w:rFonts w:ascii="inherit" w:hAnsi="inherit"/>
          <w:strike w:val="false"/>
          <w:dstrike w:val="false"/>
          <w:color w:val="000000"/>
          <w:sz w:val="17"/>
          <w:u w:val="none"/>
          <w:effect w:val="none"/>
        </w:rPr>
        <w:t>$2.0 million</w:t>
      </w:r>
      <w:r>
        <w:rPr>
          <w:sz w:val="17"/>
        </w:rPr>
        <w:t xml:space="preserve"> </w:t>
      </w:r>
      <w:r>
        <w:rPr>
          <w:rFonts w:ascii="inherit" w:hAnsi="inherit"/>
          <w:sz w:val="17"/>
        </w:rPr>
        <w:t xml:space="preserve">in cash and </w:t>
      </w:r>
      <w:r>
        <w:rPr>
          <w:rFonts w:ascii="inherit" w:hAnsi="inherit"/>
          <w:strike w:val="false"/>
          <w:dstrike w:val="false"/>
          <w:color w:val="000000"/>
          <w:sz w:val="17"/>
          <w:u w:val="none"/>
          <w:effect w:val="none"/>
        </w:rPr>
        <w:t>167,811</w:t>
      </w:r>
      <w:r>
        <w:rPr>
          <w:sz w:val="17"/>
        </w:rPr>
        <w:t xml:space="preserve"> </w:t>
      </w:r>
      <w:r>
        <w:rPr>
          <w:rFonts w:ascii="inherit" w:hAnsi="inherit"/>
          <w:sz w:val="17"/>
        </w:rPr>
        <w:t>shares of stock in connection with these acquisitions.</w:t>
      </w:r>
    </w:p>
    <w:p>
      <w:pPr>
        <w:pStyle w:val="TextBody"/>
        <w:spacing w:lineRule="auto" w:line="288" w:before="0" w:after="0"/>
        <w:jc w:val="left"/>
        <w:rPr>
          <w:rFonts w:ascii="inherit" w:hAnsi="inherit"/>
          <w:b/>
          <w:sz w:val="17"/>
        </w:rPr>
      </w:pPr>
      <w:bookmarkStart w:id="69" w:name="sE08BFE36CA75926AB48583E26D0335EC"/>
      <w:bookmarkEnd w:id="69"/>
      <w:r>
        <w:rPr>
          <w:rFonts w:ascii="inherit" w:hAnsi="inherit"/>
          <w:b/>
          <w:sz w:val="17"/>
        </w:rPr>
        <w:t>NOTE 4: EARNINGS PER SHARE</w:t>
      </w:r>
    </w:p>
    <w:p>
      <w:pPr>
        <w:pStyle w:val="TextBody"/>
        <w:spacing w:lineRule="auto" w:line="288" w:before="0" w:after="0"/>
        <w:rPr>
          <w:rFonts w:ascii="inherit" w:hAnsi="inherit"/>
          <w:sz w:val="17"/>
        </w:rPr>
      </w:pPr>
      <w:r>
        <w:rPr>
          <w:rFonts w:ascii="inherit" w:hAnsi="inherit"/>
          <w:sz w:val="17"/>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w:t>
      </w:r>
    </w:p>
    <w:p>
      <w:pPr>
        <w:pStyle w:val="TextBody"/>
        <w:spacing w:lineRule="auto" w:line="288" w:before="0" w:after="0"/>
        <w:rPr>
          <w:rFonts w:ascii="inherit" w:hAnsi="inherit"/>
          <w:sz w:val="17"/>
        </w:rPr>
      </w:pPr>
      <w:r>
        <w:rPr>
          <w:rFonts w:ascii="inherit" w:hAnsi="inherit"/>
          <w:sz w:val="17"/>
        </w:rPr>
        <w:t>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76</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Components of basic and diluted earnings per share and excluded anti-dilutive potential common shares are as follows:</w:t>
      </w:r>
    </w:p>
    <w:tbl>
      <w:tblPr>
        <w:tblW w:w="10205" w:type="dxa"/>
        <w:jc w:val="center"/>
        <w:tblInd w:w="0" w:type="dxa"/>
        <w:tblCellMar>
          <w:top w:w="0" w:type="dxa"/>
          <w:left w:w="0" w:type="dxa"/>
          <w:bottom w:w="0" w:type="dxa"/>
          <w:right w:w="0" w:type="dxa"/>
        </w:tblCellMar>
      </w:tblPr>
      <w:tblGrid>
        <w:gridCol w:w="5822"/>
        <w:gridCol w:w="132"/>
        <w:gridCol w:w="1085"/>
        <w:gridCol w:w="132"/>
        <w:gridCol w:w="124"/>
        <w:gridCol w:w="132"/>
        <w:gridCol w:w="1122"/>
        <w:gridCol w:w="132"/>
        <w:gridCol w:w="124"/>
        <w:gridCol w:w="132"/>
        <w:gridCol w:w="1122"/>
        <w:gridCol w:w="146"/>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82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822" w:type="dxa"/>
            <w:tcBorders/>
            <w:shd w:fill="auto" w:val="clear"/>
            <w:vAlign w:val="center"/>
          </w:tcPr>
          <w:p>
            <w:pPr>
              <w:pStyle w:val="TableContents"/>
              <w:spacing w:before="0" w:after="0"/>
              <w:ind w:left="0" w:right="0" w:firstLine="30"/>
              <w:rPr/>
            </w:pPr>
            <w:r>
              <w:rPr/>
              <w:t> </w:t>
            </w:r>
          </w:p>
        </w:tc>
        <w:tc>
          <w:tcPr>
            <w:tcW w:w="438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822" w:type="dxa"/>
            <w:tcBorders/>
            <w:shd w:fill="auto" w:val="clear"/>
            <w:vAlign w:val="center"/>
          </w:tcPr>
          <w:p>
            <w:pPr>
              <w:pStyle w:val="TableContents"/>
              <w:spacing w:before="0" w:after="0"/>
              <w:ind w:left="0" w:right="0" w:firstLine="30"/>
              <w:jc w:val="left"/>
              <w:rPr/>
            </w:pPr>
            <w:r>
              <w:rPr/>
              <w:t> </w:t>
            </w:r>
          </w:p>
        </w:tc>
        <w:tc>
          <w:tcPr>
            <w:tcW w:w="13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4" w:type="dxa"/>
            <w:tcBorders/>
            <w:shd w:fill="auto" w:val="clear"/>
            <w:vAlign w:val="center"/>
          </w:tcPr>
          <w:p>
            <w:pPr>
              <w:pStyle w:val="TableContents"/>
              <w:spacing w:before="0" w:after="0"/>
              <w:ind w:left="0" w:right="0" w:firstLine="30"/>
              <w:rPr/>
            </w:pPr>
            <w:r>
              <w:rPr/>
              <w:t> </w:t>
            </w:r>
          </w:p>
        </w:tc>
        <w:tc>
          <w:tcPr>
            <w:tcW w:w="138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24" w:type="dxa"/>
            <w:tcBorders/>
            <w:shd w:fill="auto" w:val="clear"/>
            <w:vAlign w:val="center"/>
          </w:tcPr>
          <w:p>
            <w:pPr>
              <w:pStyle w:val="TableContents"/>
              <w:spacing w:before="0" w:after="0"/>
              <w:ind w:left="0" w:right="0" w:firstLine="30"/>
              <w:rPr/>
            </w:pPr>
            <w:r>
              <w:rPr/>
              <w:t> </w:t>
            </w:r>
          </w:p>
        </w:tc>
        <w:tc>
          <w:tcPr>
            <w:tcW w:w="140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822" w:type="dxa"/>
            <w:tcBorders/>
            <w:shd w:fill="auto" w:val="clear"/>
            <w:vAlign w:val="center"/>
          </w:tcPr>
          <w:p>
            <w:pPr>
              <w:pStyle w:val="TableContents"/>
              <w:spacing w:before="0" w:after="0"/>
              <w:ind w:left="0" w:right="0" w:firstLine="30"/>
              <w:jc w:val="left"/>
              <w:rPr/>
            </w:pPr>
            <w:r>
              <w:rPr/>
              <w:t> </w:t>
            </w:r>
          </w:p>
        </w:tc>
        <w:tc>
          <w:tcPr>
            <w:tcW w:w="4383"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582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income from continuing operations attributable to EZCORP, Inc. (A)</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085" w:type="dxa"/>
            <w:tcBorders/>
            <w:shd w:fill="CCEEFF" w:val="clear"/>
            <w:vAlign w:val="center"/>
          </w:tcPr>
          <w:p>
            <w:pPr>
              <w:pStyle w:val="TableContents"/>
              <w:spacing w:before="0" w:after="0"/>
              <w:jc w:val="right"/>
              <w:rPr>
                <w:rFonts w:ascii="inherit" w:hAnsi="inherit"/>
                <w:sz w:val="15"/>
              </w:rPr>
            </w:pPr>
            <w:r>
              <w:rPr>
                <w:rFonts w:ascii="inherit" w:hAnsi="inherit"/>
                <w:sz w:val="15"/>
              </w:rPr>
              <w:t>57,387</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22" w:type="dxa"/>
            <w:tcBorders/>
            <w:shd w:fill="CCEEFF" w:val="clear"/>
            <w:vAlign w:val="center"/>
          </w:tcPr>
          <w:p>
            <w:pPr>
              <w:pStyle w:val="TableContents"/>
              <w:spacing w:before="0" w:after="0"/>
              <w:jc w:val="right"/>
              <w:rPr>
                <w:rFonts w:ascii="inherit" w:hAnsi="inherit"/>
                <w:sz w:val="15"/>
              </w:rPr>
            </w:pPr>
            <w:r>
              <w:rPr>
                <w:rFonts w:ascii="inherit" w:hAnsi="inherit"/>
                <w:sz w:val="15"/>
              </w:rPr>
              <w:t>148,241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22" w:type="dxa"/>
            <w:tcBorders/>
            <w:shd w:fill="CCEEFF" w:val="clear"/>
            <w:vAlign w:val="center"/>
          </w:tcPr>
          <w:p>
            <w:pPr>
              <w:pStyle w:val="TableContents"/>
              <w:spacing w:before="0" w:after="0"/>
              <w:jc w:val="right"/>
              <w:rPr>
                <w:rFonts w:ascii="inherit" w:hAnsi="inherit"/>
                <w:sz w:val="15"/>
              </w:rPr>
            </w:pPr>
            <w:r>
              <w:rPr>
                <w:rFonts w:ascii="inherit" w:hAnsi="inherit"/>
                <w:sz w:val="15"/>
              </w:rPr>
              <w:t>123,717</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2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Loss from discontinued operations, net of tax (B)</w:t>
            </w:r>
          </w:p>
        </w:tc>
        <w:tc>
          <w:tcPr>
            <w:tcW w:w="12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(23,310</w:t>
            </w:r>
          </w:p>
        </w:tc>
        <w:tc>
          <w:tcPr>
            <w:tcW w:w="13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24" w:type="dxa"/>
            <w:tcBorders/>
            <w:shd w:fill="auto" w:val="clear"/>
            <w:vAlign w:val="center"/>
          </w:tcPr>
          <w:p>
            <w:pPr>
              <w:pStyle w:val="TableContents"/>
              <w:spacing w:before="0" w:after="0"/>
              <w:ind w:left="0" w:right="0" w:firstLine="30"/>
              <w:rPr/>
            </w:pPr>
            <w:r>
              <w:rPr/>
              <w:t> </w:t>
            </w:r>
          </w:p>
        </w:tc>
        <w:tc>
          <w:tcPr>
            <w:tcW w:w="125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(4,533</w:t>
            </w:r>
          </w:p>
        </w:tc>
        <w:tc>
          <w:tcPr>
            <w:tcW w:w="13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24" w:type="dxa"/>
            <w:tcBorders/>
            <w:shd w:fill="auto" w:val="clear"/>
            <w:vAlign w:val="center"/>
          </w:tcPr>
          <w:p>
            <w:pPr>
              <w:pStyle w:val="TableContents"/>
              <w:spacing w:before="0" w:after="0"/>
              <w:ind w:left="0" w:right="0" w:firstLine="30"/>
              <w:rPr/>
            </w:pPr>
            <w:r>
              <w:rPr/>
              <w:t> </w:t>
            </w:r>
          </w:p>
        </w:tc>
        <w:tc>
          <w:tcPr>
            <w:tcW w:w="125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(1,558</w:t>
            </w:r>
          </w:p>
        </w:tc>
        <w:tc>
          <w:tcPr>
            <w:tcW w:w="14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82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income attributable to EZCORP (C)</w:t>
            </w:r>
          </w:p>
        </w:tc>
        <w:tc>
          <w:tcPr>
            <w:tcW w:w="13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34,077</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3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1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143,708</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3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1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122,159</w:t>
            </w:r>
          </w:p>
        </w:tc>
        <w:tc>
          <w:tcPr>
            <w:tcW w:w="14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22" w:type="dxa"/>
            <w:tcBorders/>
            <w:shd w:fill="auto" w:val="clear"/>
            <w:vAlign w:val="center"/>
          </w:tcPr>
          <w:p>
            <w:pPr>
              <w:pStyle w:val="TableContents"/>
              <w:spacing w:before="0" w:after="0"/>
              <w:ind w:left="0" w:right="0" w:firstLine="30"/>
              <w:rPr/>
            </w:pPr>
            <w:r>
              <w:rPr/>
              <w:t> </w:t>
            </w:r>
          </w:p>
        </w:tc>
        <w:tc>
          <w:tcPr>
            <w:tcW w:w="1349" w:type="dxa"/>
            <w:gridSpan w:val="3"/>
            <w:tcBorders/>
            <w:shd w:fill="auto" w:val="clear"/>
            <w:vAlign w:val="center"/>
          </w:tcPr>
          <w:p>
            <w:pPr>
              <w:pStyle w:val="TableContents"/>
              <w:spacing w:before="0" w:after="0"/>
              <w:ind w:left="0" w:right="0" w:firstLine="30"/>
              <w:rPr/>
            </w:pPr>
            <w:r>
              <w:rPr/>
              <w:t> </w:t>
            </w:r>
          </w:p>
        </w:tc>
        <w:tc>
          <w:tcPr>
            <w:tcW w:w="124" w:type="dxa"/>
            <w:tcBorders/>
            <w:shd w:fill="auto" w:val="clear"/>
            <w:vAlign w:val="center"/>
          </w:tcPr>
          <w:p>
            <w:pPr>
              <w:pStyle w:val="TableContents"/>
              <w:spacing w:before="0" w:after="0"/>
              <w:ind w:left="0" w:right="0" w:firstLine="30"/>
              <w:rPr/>
            </w:pPr>
            <w:r>
              <w:rPr/>
              <w:t> </w:t>
            </w:r>
          </w:p>
        </w:tc>
        <w:tc>
          <w:tcPr>
            <w:tcW w:w="1386" w:type="dxa"/>
            <w:gridSpan w:val="3"/>
            <w:tcBorders/>
            <w:shd w:fill="auto" w:val="clear"/>
            <w:vAlign w:val="center"/>
          </w:tcPr>
          <w:p>
            <w:pPr>
              <w:pStyle w:val="TableContents"/>
              <w:spacing w:before="0" w:after="0"/>
              <w:ind w:left="0" w:right="0" w:firstLine="30"/>
              <w:rPr/>
            </w:pPr>
            <w:r>
              <w:rPr/>
              <w:t> </w:t>
            </w:r>
          </w:p>
        </w:tc>
        <w:tc>
          <w:tcPr>
            <w:tcW w:w="124" w:type="dxa"/>
            <w:tcBorders/>
            <w:shd w:fill="auto" w:val="clear"/>
            <w:vAlign w:val="center"/>
          </w:tcPr>
          <w:p>
            <w:pPr>
              <w:pStyle w:val="TableContents"/>
              <w:spacing w:before="0" w:after="0"/>
              <w:ind w:left="0" w:right="0" w:firstLine="30"/>
              <w:rPr/>
            </w:pPr>
            <w:r>
              <w:rPr/>
              <w:t> </w:t>
            </w:r>
          </w:p>
        </w:tc>
        <w:tc>
          <w:tcPr>
            <w:tcW w:w="1400" w:type="dxa"/>
            <w:gridSpan w:val="3"/>
            <w:tcBorders/>
            <w:shd w:fill="auto" w:val="clear"/>
            <w:vAlign w:val="center"/>
          </w:tcPr>
          <w:p>
            <w:pPr>
              <w:pStyle w:val="TableContents"/>
              <w:spacing w:before="0" w:after="0"/>
              <w:ind w:left="0" w:right="0" w:firstLine="30"/>
              <w:rPr/>
            </w:pPr>
            <w:r>
              <w:rPr/>
              <w:t> </w:t>
            </w:r>
          </w:p>
        </w:tc>
      </w:tr>
      <w:tr>
        <w:trPr/>
        <w:tc>
          <w:tcPr>
            <w:tcW w:w="582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Weighted average outstanding shares of common stock (D)</w:t>
            </w:r>
          </w:p>
        </w:tc>
        <w:tc>
          <w:tcPr>
            <w:tcW w:w="121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53,657</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5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50,877</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5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49,917</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2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Dilutive effect of stock options and restricted stock</w:t>
            </w:r>
          </w:p>
        </w:tc>
        <w:tc>
          <w:tcPr>
            <w:tcW w:w="12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80</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256</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452</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2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Weighted average common stock and common stock equivalents (E)</w:t>
            </w:r>
          </w:p>
        </w:tc>
        <w:tc>
          <w:tcPr>
            <w:tcW w:w="1217" w:type="dxa"/>
            <w:gridSpan w:val="2"/>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53,737</w:t>
            </w:r>
          </w:p>
        </w:tc>
        <w:tc>
          <w:tcPr>
            <w:tcW w:w="13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54"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51,133</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54"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50,369</w:t>
            </w:r>
          </w:p>
        </w:tc>
        <w:tc>
          <w:tcPr>
            <w:tcW w:w="14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22" w:type="dxa"/>
            <w:tcBorders/>
            <w:shd w:fill="auto" w:val="clear"/>
            <w:vAlign w:val="center"/>
          </w:tcPr>
          <w:p>
            <w:pPr>
              <w:pStyle w:val="TableContents"/>
              <w:spacing w:before="0" w:after="0"/>
              <w:ind w:left="0" w:right="0" w:firstLine="30"/>
              <w:rPr/>
            </w:pPr>
            <w:r>
              <w:rPr/>
              <w:t> </w:t>
            </w:r>
          </w:p>
        </w:tc>
        <w:tc>
          <w:tcPr>
            <w:tcW w:w="1349"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24" w:type="dxa"/>
            <w:tcBorders/>
            <w:shd w:fill="auto" w:val="clear"/>
            <w:vAlign w:val="center"/>
          </w:tcPr>
          <w:p>
            <w:pPr>
              <w:pStyle w:val="TableContents"/>
              <w:spacing w:before="0" w:after="0"/>
              <w:ind w:left="0" w:right="0" w:firstLine="30"/>
              <w:rPr/>
            </w:pPr>
            <w:r>
              <w:rPr/>
              <w:t> </w:t>
            </w:r>
          </w:p>
        </w:tc>
        <w:tc>
          <w:tcPr>
            <w:tcW w:w="1386"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24" w:type="dxa"/>
            <w:tcBorders/>
            <w:shd w:fill="auto" w:val="clear"/>
            <w:vAlign w:val="center"/>
          </w:tcPr>
          <w:p>
            <w:pPr>
              <w:pStyle w:val="TableContents"/>
              <w:spacing w:before="0" w:after="0"/>
              <w:ind w:left="0" w:right="0" w:firstLine="30"/>
              <w:rPr/>
            </w:pPr>
            <w:r>
              <w:rPr/>
              <w:t> </w:t>
            </w:r>
          </w:p>
        </w:tc>
        <w:tc>
          <w:tcPr>
            <w:tcW w:w="1400"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r>
      <w:tr>
        <w:trPr/>
        <w:tc>
          <w:tcPr>
            <w:tcW w:w="582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Basic earnings (loss) per share attributable to EZCORP, Inc.:</w:t>
            </w:r>
          </w:p>
        </w:tc>
        <w:tc>
          <w:tcPr>
            <w:tcW w:w="1349"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86"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400" w:type="dxa"/>
            <w:gridSpan w:val="3"/>
            <w:tcBorders/>
            <w:shd w:fill="CCEEFF" w:val="clear"/>
            <w:vAlign w:val="center"/>
          </w:tcPr>
          <w:p>
            <w:pPr>
              <w:pStyle w:val="TableContents"/>
              <w:spacing w:before="0" w:after="0"/>
              <w:ind w:left="0" w:right="0" w:firstLine="30"/>
              <w:rPr/>
            </w:pPr>
            <w:r>
              <w:rPr/>
              <w:t> </w:t>
            </w:r>
          </w:p>
        </w:tc>
      </w:tr>
      <w:tr>
        <w:trPr/>
        <w:tc>
          <w:tcPr>
            <w:tcW w:w="582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Continuing operations attributable to EZCORP, Inc. (A / D)</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085" w:type="dxa"/>
            <w:tcBorders/>
            <w:shd w:fill="auto" w:val="clear"/>
            <w:vAlign w:val="center"/>
          </w:tcPr>
          <w:p>
            <w:pPr>
              <w:pStyle w:val="TableContents"/>
              <w:spacing w:before="0" w:after="0"/>
              <w:jc w:val="right"/>
              <w:rPr>
                <w:rFonts w:ascii="inherit" w:hAnsi="inherit"/>
                <w:sz w:val="15"/>
              </w:rPr>
            </w:pPr>
            <w:r>
              <w:rPr>
                <w:rFonts w:ascii="inherit" w:hAnsi="inherit"/>
                <w:sz w:val="15"/>
              </w:rPr>
              <w:t>1.07</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122" w:type="dxa"/>
            <w:tcBorders/>
            <w:shd w:fill="auto" w:val="clear"/>
            <w:vAlign w:val="center"/>
          </w:tcPr>
          <w:p>
            <w:pPr>
              <w:pStyle w:val="TableContents"/>
              <w:spacing w:before="0" w:after="0"/>
              <w:jc w:val="right"/>
              <w:rPr>
                <w:rFonts w:ascii="inherit" w:hAnsi="inherit"/>
                <w:sz w:val="15"/>
              </w:rPr>
            </w:pPr>
            <w:r>
              <w:rPr>
                <w:rFonts w:ascii="inherit" w:hAnsi="inherit"/>
                <w:sz w:val="15"/>
              </w:rPr>
              <w:t>2.91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122" w:type="dxa"/>
            <w:tcBorders/>
            <w:shd w:fill="auto" w:val="clear"/>
            <w:vAlign w:val="center"/>
          </w:tcPr>
          <w:p>
            <w:pPr>
              <w:pStyle w:val="TableContents"/>
              <w:spacing w:before="0" w:after="0"/>
              <w:jc w:val="right"/>
              <w:rPr>
                <w:rFonts w:ascii="inherit" w:hAnsi="inherit"/>
                <w:sz w:val="15"/>
              </w:rPr>
            </w:pPr>
            <w:r>
              <w:rPr>
                <w:rFonts w:ascii="inherit" w:hAnsi="inherit"/>
                <w:sz w:val="15"/>
              </w:rPr>
              <w:t>2.48</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2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Discontinued operations (B / D)</w:t>
            </w:r>
          </w:p>
        </w:tc>
        <w:tc>
          <w:tcPr>
            <w:tcW w:w="121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(0.43</w:t>
            </w:r>
          </w:p>
        </w:tc>
        <w:tc>
          <w:tcPr>
            <w:tcW w:w="13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24" w:type="dxa"/>
            <w:tcBorders/>
            <w:shd w:fill="CCEEFF" w:val="clear"/>
            <w:vAlign w:val="center"/>
          </w:tcPr>
          <w:p>
            <w:pPr>
              <w:pStyle w:val="TableContents"/>
              <w:spacing w:before="0" w:after="0"/>
              <w:ind w:left="0" w:right="0" w:firstLine="30"/>
              <w:rPr/>
            </w:pPr>
            <w:r>
              <w:rPr/>
              <w:t> </w:t>
            </w:r>
          </w:p>
        </w:tc>
        <w:tc>
          <w:tcPr>
            <w:tcW w:w="125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(0.09</w:t>
            </w:r>
          </w:p>
        </w:tc>
        <w:tc>
          <w:tcPr>
            <w:tcW w:w="13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24" w:type="dxa"/>
            <w:tcBorders/>
            <w:shd w:fill="CCEEFF" w:val="clear"/>
            <w:vAlign w:val="center"/>
          </w:tcPr>
          <w:p>
            <w:pPr>
              <w:pStyle w:val="TableContents"/>
              <w:spacing w:before="0" w:after="0"/>
              <w:ind w:left="0" w:right="0" w:firstLine="30"/>
              <w:rPr/>
            </w:pPr>
            <w:r>
              <w:rPr/>
              <w:t> </w:t>
            </w:r>
          </w:p>
        </w:tc>
        <w:tc>
          <w:tcPr>
            <w:tcW w:w="125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(0.03</w:t>
            </w:r>
          </w:p>
        </w:tc>
        <w:tc>
          <w:tcPr>
            <w:tcW w:w="14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82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Basic earnings per share (C / D)</w:t>
            </w:r>
          </w:p>
        </w:tc>
        <w:tc>
          <w:tcPr>
            <w:tcW w:w="13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0.64</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3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1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2.82</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3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1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2.45</w:t>
            </w:r>
          </w:p>
        </w:tc>
        <w:tc>
          <w:tcPr>
            <w:tcW w:w="14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22" w:type="dxa"/>
            <w:tcBorders/>
            <w:shd w:fill="CCEEFF" w:val="clear"/>
            <w:vAlign w:val="center"/>
          </w:tcPr>
          <w:p>
            <w:pPr>
              <w:pStyle w:val="TableContents"/>
              <w:spacing w:before="0" w:after="0"/>
              <w:ind w:left="0" w:right="0" w:firstLine="30"/>
              <w:rPr/>
            </w:pPr>
            <w:r>
              <w:rPr/>
              <w:t> </w:t>
            </w:r>
          </w:p>
        </w:tc>
        <w:tc>
          <w:tcPr>
            <w:tcW w:w="1349"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86"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400" w:type="dxa"/>
            <w:gridSpan w:val="3"/>
            <w:tcBorders/>
            <w:shd w:fill="CCEEFF" w:val="clear"/>
            <w:vAlign w:val="center"/>
          </w:tcPr>
          <w:p>
            <w:pPr>
              <w:pStyle w:val="TableContents"/>
              <w:spacing w:before="0" w:after="0"/>
              <w:ind w:left="0" w:right="0" w:firstLine="30"/>
              <w:rPr/>
            </w:pPr>
            <w:r>
              <w:rPr/>
              <w:t> </w:t>
            </w:r>
          </w:p>
        </w:tc>
      </w:tr>
      <w:tr>
        <w:trPr/>
        <w:tc>
          <w:tcPr>
            <w:tcW w:w="582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Diluted earnings (loss) per share attributable to EZCORP, Inc.:</w:t>
            </w:r>
          </w:p>
        </w:tc>
        <w:tc>
          <w:tcPr>
            <w:tcW w:w="1349" w:type="dxa"/>
            <w:gridSpan w:val="3"/>
            <w:tcBorders/>
            <w:shd w:fill="auto" w:val="clear"/>
            <w:vAlign w:val="center"/>
          </w:tcPr>
          <w:p>
            <w:pPr>
              <w:pStyle w:val="TableContents"/>
              <w:spacing w:before="0" w:after="0"/>
              <w:ind w:left="0" w:right="0" w:firstLine="30"/>
              <w:rPr/>
            </w:pPr>
            <w:r>
              <w:rPr/>
              <w:t> </w:t>
            </w:r>
          </w:p>
        </w:tc>
        <w:tc>
          <w:tcPr>
            <w:tcW w:w="124" w:type="dxa"/>
            <w:tcBorders/>
            <w:shd w:fill="auto" w:val="clear"/>
            <w:vAlign w:val="center"/>
          </w:tcPr>
          <w:p>
            <w:pPr>
              <w:pStyle w:val="TableContents"/>
              <w:spacing w:before="0" w:after="0"/>
              <w:ind w:left="0" w:right="0" w:firstLine="30"/>
              <w:rPr/>
            </w:pPr>
            <w:r>
              <w:rPr/>
              <w:t> </w:t>
            </w:r>
          </w:p>
        </w:tc>
        <w:tc>
          <w:tcPr>
            <w:tcW w:w="1386" w:type="dxa"/>
            <w:gridSpan w:val="3"/>
            <w:tcBorders/>
            <w:shd w:fill="auto" w:val="clear"/>
            <w:vAlign w:val="center"/>
          </w:tcPr>
          <w:p>
            <w:pPr>
              <w:pStyle w:val="TableContents"/>
              <w:spacing w:before="0" w:after="0"/>
              <w:ind w:left="0" w:right="0" w:firstLine="30"/>
              <w:rPr/>
            </w:pPr>
            <w:r>
              <w:rPr/>
              <w:t> </w:t>
            </w:r>
          </w:p>
        </w:tc>
        <w:tc>
          <w:tcPr>
            <w:tcW w:w="124" w:type="dxa"/>
            <w:tcBorders/>
            <w:shd w:fill="auto" w:val="clear"/>
            <w:vAlign w:val="center"/>
          </w:tcPr>
          <w:p>
            <w:pPr>
              <w:pStyle w:val="TableContents"/>
              <w:spacing w:before="0" w:after="0"/>
              <w:ind w:left="0" w:right="0" w:firstLine="30"/>
              <w:rPr/>
            </w:pPr>
            <w:r>
              <w:rPr/>
              <w:t> </w:t>
            </w:r>
          </w:p>
        </w:tc>
        <w:tc>
          <w:tcPr>
            <w:tcW w:w="1400" w:type="dxa"/>
            <w:gridSpan w:val="3"/>
            <w:tcBorders/>
            <w:shd w:fill="auto" w:val="clear"/>
            <w:vAlign w:val="center"/>
          </w:tcPr>
          <w:p>
            <w:pPr>
              <w:pStyle w:val="TableContents"/>
              <w:spacing w:before="0" w:after="0"/>
              <w:ind w:left="0" w:right="0" w:firstLine="30"/>
              <w:rPr/>
            </w:pPr>
            <w:r>
              <w:rPr/>
              <w:t> </w:t>
            </w:r>
          </w:p>
        </w:tc>
      </w:tr>
      <w:tr>
        <w:trPr/>
        <w:tc>
          <w:tcPr>
            <w:tcW w:w="582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Continuing operations attributable to EZCORP, Inc. (A / E)</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085" w:type="dxa"/>
            <w:tcBorders/>
            <w:shd w:fill="CCEEFF" w:val="clear"/>
            <w:vAlign w:val="center"/>
          </w:tcPr>
          <w:p>
            <w:pPr>
              <w:pStyle w:val="TableContents"/>
              <w:spacing w:before="0" w:after="0"/>
              <w:jc w:val="right"/>
              <w:rPr>
                <w:rFonts w:ascii="inherit" w:hAnsi="inherit"/>
                <w:sz w:val="15"/>
              </w:rPr>
            </w:pPr>
            <w:r>
              <w:rPr>
                <w:rFonts w:ascii="inherit" w:hAnsi="inherit"/>
                <w:sz w:val="15"/>
              </w:rPr>
              <w:t>1.06</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22" w:type="dxa"/>
            <w:tcBorders/>
            <w:shd w:fill="CCEEFF" w:val="clear"/>
            <w:vAlign w:val="center"/>
          </w:tcPr>
          <w:p>
            <w:pPr>
              <w:pStyle w:val="TableContents"/>
              <w:spacing w:before="0" w:after="0"/>
              <w:jc w:val="right"/>
              <w:rPr>
                <w:rFonts w:ascii="inherit" w:hAnsi="inherit"/>
                <w:sz w:val="15"/>
              </w:rPr>
            </w:pPr>
            <w:r>
              <w:rPr>
                <w:rFonts w:ascii="inherit" w:hAnsi="inherit"/>
                <w:sz w:val="15"/>
              </w:rPr>
              <w:t>2.90</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22" w:type="dxa"/>
            <w:tcBorders/>
            <w:shd w:fill="CCEEFF" w:val="clear"/>
            <w:vAlign w:val="center"/>
          </w:tcPr>
          <w:p>
            <w:pPr>
              <w:pStyle w:val="TableContents"/>
              <w:spacing w:before="0" w:after="0"/>
              <w:jc w:val="right"/>
              <w:rPr>
                <w:rFonts w:ascii="inherit" w:hAnsi="inherit"/>
                <w:sz w:val="15"/>
              </w:rPr>
            </w:pPr>
            <w:r>
              <w:rPr>
                <w:rFonts w:ascii="inherit" w:hAnsi="inherit"/>
                <w:sz w:val="15"/>
              </w:rPr>
              <w:t>2.46</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2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Discontinued operations (B / E)</w:t>
            </w:r>
          </w:p>
        </w:tc>
        <w:tc>
          <w:tcPr>
            <w:tcW w:w="12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(0.43</w:t>
            </w:r>
          </w:p>
        </w:tc>
        <w:tc>
          <w:tcPr>
            <w:tcW w:w="13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24" w:type="dxa"/>
            <w:tcBorders/>
            <w:shd w:fill="auto" w:val="clear"/>
            <w:vAlign w:val="center"/>
          </w:tcPr>
          <w:p>
            <w:pPr>
              <w:pStyle w:val="TableContents"/>
              <w:spacing w:before="0" w:after="0"/>
              <w:ind w:left="0" w:right="0" w:firstLine="30"/>
              <w:rPr/>
            </w:pPr>
            <w:r>
              <w:rPr/>
              <w:t> </w:t>
            </w:r>
          </w:p>
        </w:tc>
        <w:tc>
          <w:tcPr>
            <w:tcW w:w="125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(0.09</w:t>
            </w:r>
          </w:p>
        </w:tc>
        <w:tc>
          <w:tcPr>
            <w:tcW w:w="13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24" w:type="dxa"/>
            <w:tcBorders/>
            <w:shd w:fill="auto" w:val="clear"/>
            <w:vAlign w:val="center"/>
          </w:tcPr>
          <w:p>
            <w:pPr>
              <w:pStyle w:val="TableContents"/>
              <w:spacing w:before="0" w:after="0"/>
              <w:ind w:left="0" w:right="0" w:firstLine="30"/>
              <w:rPr/>
            </w:pPr>
            <w:r>
              <w:rPr/>
              <w:t> </w:t>
            </w:r>
          </w:p>
        </w:tc>
        <w:tc>
          <w:tcPr>
            <w:tcW w:w="125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(0.03</w:t>
            </w:r>
          </w:p>
        </w:tc>
        <w:tc>
          <w:tcPr>
            <w:tcW w:w="14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82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Diluted earnings per share (C / E)</w:t>
            </w:r>
          </w:p>
        </w:tc>
        <w:tc>
          <w:tcPr>
            <w:tcW w:w="13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0.63</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3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1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2.81</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3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1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2.43</w:t>
            </w:r>
          </w:p>
        </w:tc>
        <w:tc>
          <w:tcPr>
            <w:tcW w:w="14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22" w:type="dxa"/>
            <w:tcBorders/>
            <w:shd w:fill="auto" w:val="clear"/>
            <w:vAlign w:val="center"/>
          </w:tcPr>
          <w:p>
            <w:pPr>
              <w:pStyle w:val="TableContents"/>
              <w:spacing w:before="0" w:after="0"/>
              <w:ind w:left="0" w:right="0" w:firstLine="30"/>
              <w:rPr/>
            </w:pPr>
            <w:r>
              <w:rPr/>
              <w:t> </w:t>
            </w:r>
          </w:p>
        </w:tc>
        <w:tc>
          <w:tcPr>
            <w:tcW w:w="1349" w:type="dxa"/>
            <w:gridSpan w:val="3"/>
            <w:tcBorders/>
            <w:shd w:fill="auto" w:val="clear"/>
            <w:vAlign w:val="center"/>
          </w:tcPr>
          <w:p>
            <w:pPr>
              <w:pStyle w:val="TableContents"/>
              <w:spacing w:before="0" w:after="0"/>
              <w:ind w:left="0" w:right="0" w:firstLine="30"/>
              <w:rPr/>
            </w:pPr>
            <w:r>
              <w:rPr/>
              <w:t> </w:t>
            </w:r>
          </w:p>
        </w:tc>
        <w:tc>
          <w:tcPr>
            <w:tcW w:w="124" w:type="dxa"/>
            <w:tcBorders/>
            <w:shd w:fill="auto" w:val="clear"/>
            <w:vAlign w:val="center"/>
          </w:tcPr>
          <w:p>
            <w:pPr>
              <w:pStyle w:val="TableContents"/>
              <w:spacing w:before="0" w:after="0"/>
              <w:ind w:left="0" w:right="0" w:firstLine="30"/>
              <w:rPr/>
            </w:pPr>
            <w:r>
              <w:rPr/>
              <w:t> </w:t>
            </w:r>
          </w:p>
        </w:tc>
        <w:tc>
          <w:tcPr>
            <w:tcW w:w="1386" w:type="dxa"/>
            <w:gridSpan w:val="3"/>
            <w:tcBorders/>
            <w:shd w:fill="auto" w:val="clear"/>
            <w:vAlign w:val="center"/>
          </w:tcPr>
          <w:p>
            <w:pPr>
              <w:pStyle w:val="TableContents"/>
              <w:spacing w:before="0" w:after="0"/>
              <w:ind w:left="0" w:right="0" w:firstLine="30"/>
              <w:rPr/>
            </w:pPr>
            <w:r>
              <w:rPr/>
              <w:t> </w:t>
            </w:r>
          </w:p>
        </w:tc>
        <w:tc>
          <w:tcPr>
            <w:tcW w:w="124" w:type="dxa"/>
            <w:tcBorders/>
            <w:shd w:fill="auto" w:val="clear"/>
            <w:vAlign w:val="center"/>
          </w:tcPr>
          <w:p>
            <w:pPr>
              <w:pStyle w:val="TableContents"/>
              <w:spacing w:before="0" w:after="0"/>
              <w:ind w:left="0" w:right="0" w:firstLine="30"/>
              <w:rPr/>
            </w:pPr>
            <w:r>
              <w:rPr/>
              <w:t> </w:t>
            </w:r>
          </w:p>
        </w:tc>
        <w:tc>
          <w:tcPr>
            <w:tcW w:w="1400" w:type="dxa"/>
            <w:gridSpan w:val="3"/>
            <w:tcBorders/>
            <w:shd w:fill="auto" w:val="clear"/>
            <w:vAlign w:val="center"/>
          </w:tcPr>
          <w:p>
            <w:pPr>
              <w:pStyle w:val="TableContents"/>
              <w:spacing w:before="0" w:after="0"/>
              <w:ind w:left="0" w:right="0" w:firstLine="30"/>
              <w:rPr/>
            </w:pPr>
            <w:r>
              <w:rPr/>
              <w:t> </w:t>
            </w:r>
          </w:p>
        </w:tc>
      </w:tr>
      <w:tr>
        <w:trPr/>
        <w:tc>
          <w:tcPr>
            <w:tcW w:w="582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Potential common shares excluded from the calculation of diluted earnings per share</w:t>
            </w:r>
          </w:p>
        </w:tc>
        <w:tc>
          <w:tcPr>
            <w:tcW w:w="1217"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5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56</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5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w:t>
            </w:r>
          </w:p>
        </w:tc>
        <w:tc>
          <w:tcPr>
            <w:tcW w:w="146"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7"/>
        </w:rPr>
      </w:pPr>
      <w:bookmarkStart w:id="70" w:name="s502D42B5B974175F052F83E26D097631"/>
      <w:bookmarkEnd w:id="70"/>
      <w:r>
        <w:rPr>
          <w:rFonts w:ascii="inherit" w:hAnsi="inherit"/>
          <w:b/>
          <w:sz w:val="17"/>
        </w:rPr>
        <w:t>NOTE 5: STRATEGIC INVESTMENTS</w:t>
      </w:r>
    </w:p>
    <w:p>
      <w:pPr>
        <w:pStyle w:val="TextBody"/>
        <w:spacing w:lineRule="auto" w:line="288" w:before="0" w:after="0"/>
        <w:rPr>
          <w:rFonts w:ascii="inherit" w:hAnsi="inherit"/>
          <w:sz w:val="17"/>
          <w:u w:val="single"/>
        </w:rPr>
      </w:pPr>
      <w:r>
        <w:rPr>
          <w:rFonts w:ascii="inherit" w:hAnsi="inherit"/>
          <w:sz w:val="17"/>
          <w:u w:val="single"/>
        </w:rPr>
        <w:t>Cash Converters International Limited</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September 30, 2013</w:t>
      </w:r>
      <w:r>
        <w:rPr>
          <w:rFonts w:ascii="inherit" w:hAnsi="inherit"/>
          <w:sz w:val="17"/>
        </w:rPr>
        <w:t>, we owned 136,848,000</w:t>
      </w:r>
      <w:r>
        <w:rPr>
          <w:sz w:val="17"/>
        </w:rPr>
        <w:t xml:space="preserve"> </w:t>
      </w:r>
      <w:r>
        <w:rPr>
          <w:rFonts w:ascii="inherit" w:hAnsi="inherit"/>
          <w:sz w:val="17"/>
        </w:rPr>
        <w:t xml:space="preserve">shares, or approximately </w:t>
      </w:r>
      <w:r>
        <w:rPr>
          <w:rFonts w:ascii="inherit" w:hAnsi="inherit"/>
          <w:strike w:val="false"/>
          <w:dstrike w:val="false"/>
          <w:color w:val="000000"/>
          <w:sz w:val="17"/>
          <w:u w:val="none"/>
          <w:effect w:val="none"/>
        </w:rPr>
        <w:t>33%</w:t>
      </w:r>
      <w:r>
        <w:rPr>
          <w:rFonts w:ascii="inherit" w:hAnsi="inherit"/>
          <w:sz w:val="17"/>
        </w:rPr>
        <w:t>, of Cash Converters International, a publicly traded company headquartered in Perth, Australia. Cash Converters International franchises and operates a worldwide network of approximately 700</w:t>
      </w:r>
      <w:r>
        <w:rPr>
          <w:sz w:val="17"/>
        </w:rPr>
        <w:t xml:space="preserve"> </w:t>
      </w:r>
      <w:r>
        <w:rPr>
          <w:rFonts w:ascii="inherit" w:hAnsi="inherit"/>
          <w:sz w:val="17"/>
        </w:rPr>
        <w:t xml:space="preserve">specialty financial services and retail stores that provide pawn loans, short-term unsecured loans and other consumer finance products, and buy and sell second-hand goods, with significant store concentrations in Australia and the United Kingdom. Those shares include </w:t>
      </w:r>
      <w:r>
        <w:rPr>
          <w:rFonts w:ascii="inherit" w:hAnsi="inherit"/>
          <w:strike w:val="false"/>
          <w:dstrike w:val="false"/>
          <w:color w:val="000000"/>
          <w:sz w:val="17"/>
          <w:u w:val="none"/>
          <w:effect w:val="none"/>
        </w:rPr>
        <w:t>12,430,000</w:t>
      </w:r>
      <w:r>
        <w:rPr>
          <w:sz w:val="17"/>
        </w:rPr>
        <w:t xml:space="preserve"> </w:t>
      </w:r>
      <w:r>
        <w:rPr>
          <w:rFonts w:ascii="inherit" w:hAnsi="inherit"/>
          <w:sz w:val="17"/>
        </w:rPr>
        <w:t xml:space="preserve">shares that we acquired in November 2012 for approximately </w:t>
      </w:r>
      <w:r>
        <w:rPr>
          <w:rFonts w:ascii="inherit" w:hAnsi="inherit"/>
          <w:strike w:val="false"/>
          <w:dstrike w:val="false"/>
          <w:color w:val="000000"/>
          <w:sz w:val="17"/>
          <w:u w:val="none"/>
          <w:effect w:val="none"/>
        </w:rPr>
        <w:t>$11.0 million</w:t>
      </w:r>
      <w:r>
        <w:rPr>
          <w:sz w:val="17"/>
        </w:rPr>
        <w:t xml:space="preserve"> </w:t>
      </w:r>
      <w:r>
        <w:rPr>
          <w:rFonts w:ascii="inherit" w:hAnsi="inherit"/>
          <w:sz w:val="17"/>
        </w:rPr>
        <w:t xml:space="preserve">in cash as part of a share placement. Our total investment in Cash Converters International was acquired between November 2009 and November 2012 for approximately </w:t>
      </w:r>
      <w:r>
        <w:rPr>
          <w:rFonts w:ascii="inherit" w:hAnsi="inherit"/>
          <w:strike w:val="false"/>
          <w:dstrike w:val="false"/>
          <w:color w:val="000000"/>
          <w:sz w:val="17"/>
          <w:u w:val="none"/>
          <w:effect w:val="none"/>
        </w:rPr>
        <w:t>$68.8 million</w:t>
      </w:r>
      <w:r>
        <w:rPr>
          <w:rFonts w:ascii="inherit" w:hAnsi="inherit"/>
          <w:sz w:val="17"/>
        </w:rPr>
        <w:t>.</w:t>
      </w:r>
    </w:p>
    <w:p>
      <w:pPr>
        <w:pStyle w:val="TextBody"/>
        <w:spacing w:lineRule="auto" w:line="288" w:before="0" w:after="0"/>
        <w:rPr>
          <w:sz w:val="17"/>
        </w:rPr>
      </w:pPr>
      <w:r>
        <w:rPr>
          <w:rFonts w:ascii="inherit" w:hAnsi="inherit"/>
          <w:sz w:val="17"/>
        </w:rPr>
        <w:t xml:space="preserve">We account for our investment in Cash Converters International using the equity method. Since Cash Converters International’s fiscal year ends three months prior to ours, we report the income from this investment on a three-month lag. Cash Converters International files semi-annual financial reports for its fiscal periods ending </w:t>
      </w:r>
      <w:r>
        <w:rPr>
          <w:rFonts w:ascii="inherit" w:hAnsi="inherit"/>
          <w:strike w:val="false"/>
          <w:dstrike w:val="false"/>
          <w:color w:val="000000"/>
          <w:sz w:val="17"/>
          <w:u w:val="none"/>
          <w:effect w:val="none"/>
        </w:rPr>
        <w:t>December 31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June 30</w:t>
      </w:r>
      <w:r>
        <w:rPr>
          <w:rFonts w:ascii="inherit" w:hAnsi="inherit"/>
          <w:sz w:val="17"/>
        </w:rPr>
        <w:t xml:space="preserve">. Due to the three-month lag, income reported for our fiscal years ended </w:t>
      </w:r>
      <w:r>
        <w:rPr>
          <w:rFonts w:ascii="inherit" w:hAnsi="inherit"/>
          <w:strike w:val="false"/>
          <w:dstrike w:val="false"/>
          <w:color w:val="000000"/>
          <w:sz w:val="17"/>
          <w:u w:val="none"/>
          <w:effect w:val="none"/>
        </w:rPr>
        <w:t>September 30, 2013</w:t>
      </w:r>
      <w:r>
        <w:rPr>
          <w:rFonts w:ascii="inherit" w:hAnsi="inherit"/>
          <w:sz w:val="17"/>
        </w:rPr>
        <w:t xml:space="preserve">,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represents our percentage interest in the results of Cash Converters' operations from July 1, 2012 to June 30, 2013, July 1, 2011 to June 30, 2012 and July 1, 2010 to June 30, 2011, respectively. In fiscal </w:t>
      </w:r>
      <w:r>
        <w:rPr>
          <w:rFonts w:ascii="inherit" w:hAnsi="inherit"/>
          <w:strike w:val="false"/>
          <w:dstrike w:val="false"/>
          <w:color w:val="000000"/>
          <w:sz w:val="17"/>
          <w:u w:val="none"/>
          <w:effect w:val="none"/>
        </w:rPr>
        <w:t>2013</w:t>
      </w:r>
      <w:r>
        <w:rPr>
          <w:rFonts w:ascii="inherit" w:hAnsi="inherit"/>
          <w:sz w:val="17"/>
        </w:rPr>
        <w:t xml:space="preserve">,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we recorded dividends from Cash Converters of </w:t>
      </w:r>
      <w:r>
        <w:rPr>
          <w:rFonts w:ascii="inherit" w:hAnsi="inherit"/>
          <w:strike w:val="false"/>
          <w:dstrike w:val="false"/>
          <w:color w:val="000000"/>
          <w:sz w:val="17"/>
          <w:u w:val="none"/>
          <w:effect w:val="none"/>
        </w:rPr>
        <w:t>$5.1 million</w:t>
      </w:r>
      <w:r>
        <w:rPr>
          <w:rFonts w:ascii="inherit" w:hAnsi="inherit"/>
          <w:sz w:val="17"/>
        </w:rPr>
        <w:t xml:space="preserve">, </w:t>
      </w:r>
      <w:r>
        <w:rPr>
          <w:rFonts w:ascii="inherit" w:hAnsi="inherit"/>
          <w:strike w:val="false"/>
          <w:dstrike w:val="false"/>
          <w:color w:val="000000"/>
          <w:sz w:val="17"/>
          <w:u w:val="none"/>
          <w:effect w:val="none"/>
        </w:rPr>
        <w:t>$4.4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$4.1 million</w:t>
      </w:r>
      <w:r>
        <w:rPr>
          <w:rFonts w:ascii="inherit" w:hAnsi="inherit"/>
          <w:sz w:val="17"/>
        </w:rPr>
        <w:t xml:space="preserve">, respectfully. Cash Converters’ accumulated undistributed after-tax earnings included in our consolidated retained earnings were </w:t>
      </w:r>
      <w:r>
        <w:rPr>
          <w:rFonts w:ascii="inherit" w:hAnsi="inherit"/>
          <w:strike w:val="false"/>
          <w:dstrike w:val="false"/>
          <w:color w:val="000000"/>
          <w:sz w:val="17"/>
          <w:u w:val="none"/>
          <w:effect w:val="none"/>
        </w:rPr>
        <w:t>$17.3 million</w:t>
      </w:r>
      <w:r>
        <w:rPr>
          <w:sz w:val="17"/>
        </w:rPr>
        <w:t xml:space="preserve"> </w:t>
      </w:r>
      <w:r>
        <w:rPr>
          <w:rFonts w:ascii="inherit" w:hAnsi="inherit"/>
          <w:sz w:val="17"/>
        </w:rPr>
        <w:t xml:space="preserve">at </w:t>
      </w:r>
      <w:r>
        <w:rPr>
          <w:rFonts w:ascii="inherit" w:hAnsi="inherit"/>
          <w:strike w:val="false"/>
          <w:dstrike w:val="false"/>
          <w:color w:val="000000"/>
          <w:sz w:val="17"/>
          <w:u w:val="none"/>
          <w:effect w:val="none"/>
        </w:rPr>
        <w:t>September 30, 2013</w:t>
      </w:r>
      <w:r>
        <w:rPr>
          <w:rFonts w:ascii="inherit" w:hAnsi="inherit"/>
          <w:sz w:val="17"/>
        </w:rPr>
        <w:t>.</w:t>
      </w:r>
    </w:p>
    <w:p>
      <w:pPr>
        <w:pStyle w:val="TextBody"/>
        <w:spacing w:lineRule="auto" w:line="288" w:before="0" w:after="0"/>
        <w:rPr>
          <w:rFonts w:ascii="inherit" w:hAnsi="inherit"/>
          <w:sz w:val="17"/>
        </w:rPr>
      </w:pPr>
      <w:r>
        <w:rPr>
          <w:rFonts w:ascii="inherit" w:hAnsi="inherit"/>
          <w:sz w:val="17"/>
        </w:rPr>
        <w:t>Conversion of Cash Converters International’s financial statements into U.S. GAAP resulted in no material differences from those reported by Cash Converters following IFRS.</w:t>
      </w:r>
    </w:p>
    <w:p>
      <w:pPr>
        <w:pStyle w:val="TextBody"/>
        <w:spacing w:lineRule="auto" w:line="288" w:before="0" w:after="0"/>
        <w:rPr>
          <w:sz w:val="17"/>
        </w:rPr>
      </w:pPr>
      <w:r>
        <w:rPr>
          <w:rFonts w:ascii="inherit" w:hAnsi="inherit"/>
          <w:sz w:val="17"/>
        </w:rPr>
        <w:t xml:space="preserve">In its functional currency of Australian dollars, Cash Converters International’s total assets increased </w:t>
      </w:r>
      <w:r>
        <w:rPr>
          <w:rFonts w:ascii="inherit" w:hAnsi="inherit"/>
          <w:strike w:val="false"/>
          <w:dstrike w:val="false"/>
          <w:color w:val="000000"/>
          <w:sz w:val="17"/>
          <w:u w:val="none"/>
          <w:effect w:val="none"/>
        </w:rPr>
        <w:t>32%</w:t>
      </w:r>
      <w:r>
        <w:rPr>
          <w:sz w:val="17"/>
        </w:rPr>
        <w:t xml:space="preserve"> </w:t>
      </w:r>
      <w:r>
        <w:rPr>
          <w:rFonts w:ascii="inherit" w:hAnsi="inherit"/>
          <w:sz w:val="17"/>
        </w:rPr>
        <w:t xml:space="preserve">from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June 30, 2013</w:t>
      </w:r>
      <w:r>
        <w:rPr>
          <w:sz w:val="17"/>
        </w:rPr>
        <w:t xml:space="preserve"> </w:t>
      </w:r>
      <w:r>
        <w:rPr>
          <w:rFonts w:ascii="inherit" w:hAnsi="inherit"/>
          <w:sz w:val="17"/>
        </w:rPr>
        <w:t xml:space="preserve">and its net income improved </w:t>
      </w:r>
      <w:r>
        <w:rPr>
          <w:rFonts w:ascii="inherit" w:hAnsi="inherit"/>
          <w:strike w:val="false"/>
          <w:dstrike w:val="false"/>
          <w:color w:val="000000"/>
          <w:sz w:val="17"/>
          <w:u w:val="none"/>
          <w:effect w:val="none"/>
        </w:rPr>
        <w:t>12%</w:t>
      </w:r>
      <w:r>
        <w:rPr>
          <w:sz w:val="17"/>
        </w:rPr>
        <w:t xml:space="preserve"> </w:t>
      </w:r>
      <w:r>
        <w:rPr>
          <w:rFonts w:ascii="inherit" w:hAnsi="inherit"/>
          <w:sz w:val="17"/>
        </w:rPr>
        <w:t>for the fiscal year ended June 30, 2013. The following table presents summary financial information for Cash Converters International’s most recently reported results after translation to U.S. dollars (using the exchange rate as of June 30 of each year for balance sheet items and average exchange rates for the income statement items for the periods indicated):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77</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6526"/>
        <w:gridCol w:w="178"/>
        <w:gridCol w:w="1317"/>
        <w:gridCol w:w="98"/>
        <w:gridCol w:w="148"/>
        <w:gridCol w:w="178"/>
        <w:gridCol w:w="1317"/>
        <w:gridCol w:w="44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52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526" w:type="dxa"/>
            <w:tcBorders/>
            <w:shd w:fill="auto" w:val="clear"/>
            <w:vAlign w:val="center"/>
          </w:tcPr>
          <w:p>
            <w:pPr>
              <w:pStyle w:val="TableContents"/>
              <w:spacing w:before="0" w:after="0"/>
              <w:ind w:left="0" w:right="0" w:firstLine="30"/>
              <w:jc w:val="left"/>
              <w:rPr/>
            </w:pPr>
            <w:r>
              <w:rPr/>
              <w:t> </w:t>
            </w:r>
          </w:p>
        </w:tc>
        <w:tc>
          <w:tcPr>
            <w:tcW w:w="367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of June 30,</w:t>
            </w:r>
          </w:p>
        </w:tc>
      </w:tr>
      <w:tr>
        <w:trPr/>
        <w:tc>
          <w:tcPr>
            <w:tcW w:w="6526" w:type="dxa"/>
            <w:tcBorders/>
            <w:shd w:fill="auto" w:val="clear"/>
            <w:vAlign w:val="center"/>
          </w:tcPr>
          <w:p>
            <w:pPr>
              <w:pStyle w:val="TableContents"/>
              <w:spacing w:before="0" w:after="0"/>
              <w:ind w:left="0" w:right="0" w:firstLine="30"/>
              <w:jc w:val="left"/>
              <w:rPr/>
            </w:pPr>
            <w:r>
              <w:rPr/>
              <w:t> </w:t>
            </w:r>
          </w:p>
        </w:tc>
        <w:tc>
          <w:tcPr>
            <w:tcW w:w="15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8" w:type="dxa"/>
            <w:tcBorders/>
            <w:shd w:fill="auto" w:val="clear"/>
            <w:vAlign w:val="center"/>
          </w:tcPr>
          <w:p>
            <w:pPr>
              <w:pStyle w:val="TableContents"/>
              <w:spacing w:before="0" w:after="0"/>
              <w:ind w:left="0" w:right="0" w:firstLine="30"/>
              <w:rPr/>
            </w:pPr>
            <w:r>
              <w:rPr/>
              <w:t> </w:t>
            </w:r>
          </w:p>
        </w:tc>
        <w:tc>
          <w:tcPr>
            <w:tcW w:w="19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526" w:type="dxa"/>
            <w:tcBorders/>
            <w:shd w:fill="auto" w:val="clear"/>
            <w:vAlign w:val="center"/>
          </w:tcPr>
          <w:p>
            <w:pPr>
              <w:pStyle w:val="TableContents"/>
              <w:spacing w:before="0" w:after="0"/>
              <w:ind w:left="0" w:right="0" w:firstLine="30"/>
              <w:jc w:val="left"/>
              <w:rPr/>
            </w:pPr>
            <w:r>
              <w:rPr/>
              <w:t> </w:t>
            </w:r>
          </w:p>
        </w:tc>
        <w:tc>
          <w:tcPr>
            <w:tcW w:w="3679"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163,606</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137,646</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assets</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153,279</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129,274</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316,885</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266,920</w:t>
            </w:r>
          </w:p>
        </w:tc>
        <w:tc>
          <w:tcPr>
            <w:tcW w:w="4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auto" w:val="clear"/>
            <w:vAlign w:val="center"/>
          </w:tcPr>
          <w:p>
            <w:pPr>
              <w:pStyle w:val="TableContents"/>
              <w:spacing w:before="0" w:after="0"/>
              <w:jc w:val="right"/>
              <w:rPr>
                <w:rFonts w:ascii="inherit" w:hAnsi="inherit"/>
                <w:sz w:val="17"/>
              </w:rPr>
            </w:pPr>
            <w:r>
              <w:rPr>
                <w:rFonts w:ascii="inherit" w:hAnsi="inherit"/>
                <w:sz w:val="17"/>
              </w:rPr>
              <w:t>95,757</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auto" w:val="clear"/>
            <w:vAlign w:val="center"/>
          </w:tcPr>
          <w:p>
            <w:pPr>
              <w:pStyle w:val="TableContents"/>
              <w:spacing w:before="0" w:after="0"/>
              <w:jc w:val="right"/>
              <w:rPr>
                <w:rFonts w:ascii="inherit" w:hAnsi="inherit"/>
                <w:sz w:val="17"/>
              </w:rPr>
            </w:pPr>
            <w:r>
              <w:rPr>
                <w:rFonts w:ascii="inherit" w:hAnsi="inherit"/>
                <w:sz w:val="17"/>
              </w:rPr>
              <w:t>45,392</w:t>
            </w:r>
          </w:p>
        </w:tc>
        <w:tc>
          <w:tcPr>
            <w:tcW w:w="4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liabilities</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451</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31,928</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Shareholders’ equity</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220,677</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189,600</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shareholders’ equity</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316,885</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266,920</w:t>
            </w:r>
          </w:p>
        </w:tc>
        <w:tc>
          <w:tcPr>
            <w:tcW w:w="44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5970"/>
        <w:gridCol w:w="125"/>
        <w:gridCol w:w="1107"/>
        <w:gridCol w:w="100"/>
        <w:gridCol w:w="115"/>
        <w:gridCol w:w="125"/>
        <w:gridCol w:w="1107"/>
        <w:gridCol w:w="100"/>
        <w:gridCol w:w="115"/>
        <w:gridCol w:w="125"/>
        <w:gridCol w:w="1107"/>
        <w:gridCol w:w="109"/>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97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70" w:type="dxa"/>
            <w:tcBorders/>
            <w:shd w:fill="auto" w:val="clear"/>
            <w:vAlign w:val="center"/>
          </w:tcPr>
          <w:p>
            <w:pPr>
              <w:pStyle w:val="TableContents"/>
              <w:spacing w:before="0" w:after="0"/>
              <w:ind w:left="0" w:right="0" w:firstLine="30"/>
              <w:jc w:val="left"/>
              <w:rPr/>
            </w:pPr>
            <w:r>
              <w:rPr/>
              <w:t> </w:t>
            </w:r>
          </w:p>
        </w:tc>
        <w:tc>
          <w:tcPr>
            <w:tcW w:w="423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Year ended June 30,</w:t>
            </w:r>
          </w:p>
        </w:tc>
      </w:tr>
      <w:tr>
        <w:trPr/>
        <w:tc>
          <w:tcPr>
            <w:tcW w:w="5970" w:type="dxa"/>
            <w:tcBorders/>
            <w:shd w:fill="auto" w:val="clear"/>
            <w:vAlign w:val="center"/>
          </w:tcPr>
          <w:p>
            <w:pPr>
              <w:pStyle w:val="TableContents"/>
              <w:spacing w:before="0" w:after="0"/>
              <w:ind w:left="0" w:right="0" w:firstLine="30"/>
              <w:jc w:val="left"/>
              <w:rPr/>
            </w:pPr>
            <w:r>
              <w:rPr/>
              <w:t> </w:t>
            </w:r>
          </w:p>
        </w:tc>
        <w:tc>
          <w:tcPr>
            <w:tcW w:w="13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15" w:type="dxa"/>
            <w:tcBorders/>
            <w:shd w:fill="auto" w:val="clear"/>
            <w:vAlign w:val="center"/>
          </w:tcPr>
          <w:p>
            <w:pPr>
              <w:pStyle w:val="TableContents"/>
              <w:spacing w:before="0" w:after="0"/>
              <w:ind w:left="0" w:right="0" w:firstLine="30"/>
              <w:rPr/>
            </w:pPr>
            <w:r>
              <w:rPr/>
              <w:t> </w:t>
            </w:r>
          </w:p>
        </w:tc>
        <w:tc>
          <w:tcPr>
            <w:tcW w:w="13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5" w:type="dxa"/>
            <w:tcBorders/>
            <w:shd w:fill="auto" w:val="clear"/>
            <w:vAlign w:val="center"/>
          </w:tcPr>
          <w:p>
            <w:pPr>
              <w:pStyle w:val="TableContents"/>
              <w:spacing w:before="0" w:after="0"/>
              <w:ind w:left="0" w:right="0" w:firstLine="30"/>
              <w:rPr/>
            </w:pPr>
            <w:r>
              <w:rPr/>
              <w:t> </w:t>
            </w:r>
          </w:p>
        </w:tc>
        <w:tc>
          <w:tcPr>
            <w:tcW w:w="13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970" w:type="dxa"/>
            <w:tcBorders/>
            <w:shd w:fill="auto" w:val="clear"/>
            <w:vAlign w:val="center"/>
          </w:tcPr>
          <w:p>
            <w:pPr>
              <w:pStyle w:val="TableContents"/>
              <w:spacing w:before="0" w:after="0"/>
              <w:ind w:left="0" w:right="0" w:firstLine="30"/>
              <w:jc w:val="left"/>
              <w:rPr/>
            </w:pPr>
            <w:r>
              <w:rPr/>
              <w:t> </w:t>
            </w:r>
          </w:p>
        </w:tc>
        <w:tc>
          <w:tcPr>
            <w:tcW w:w="4235"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9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revenues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7" w:type="dxa"/>
            <w:tcBorders/>
            <w:shd w:fill="CCEEFF" w:val="clear"/>
            <w:vAlign w:val="center"/>
          </w:tcPr>
          <w:p>
            <w:pPr>
              <w:pStyle w:val="TableContents"/>
              <w:spacing w:before="0" w:after="0"/>
              <w:jc w:val="right"/>
              <w:rPr>
                <w:rFonts w:ascii="inherit" w:hAnsi="inherit"/>
                <w:sz w:val="17"/>
              </w:rPr>
            </w:pPr>
            <w:r>
              <w:rPr>
                <w:rFonts w:ascii="inherit" w:hAnsi="inherit"/>
                <w:sz w:val="17"/>
              </w:rPr>
              <w:t>280,059</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7" w:type="dxa"/>
            <w:tcBorders/>
            <w:shd w:fill="CCEEFF" w:val="clear"/>
            <w:vAlign w:val="center"/>
          </w:tcPr>
          <w:p>
            <w:pPr>
              <w:pStyle w:val="TableContents"/>
              <w:spacing w:before="0" w:after="0"/>
              <w:jc w:val="right"/>
              <w:rPr>
                <w:rFonts w:ascii="inherit" w:hAnsi="inherit"/>
                <w:sz w:val="17"/>
              </w:rPr>
            </w:pPr>
            <w:r>
              <w:rPr>
                <w:rFonts w:ascii="inherit" w:hAnsi="inherit"/>
                <w:sz w:val="17"/>
              </w:rPr>
              <w:t>241,924</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7" w:type="dxa"/>
            <w:tcBorders/>
            <w:shd w:fill="CCEEFF" w:val="clear"/>
            <w:vAlign w:val="center"/>
          </w:tcPr>
          <w:p>
            <w:pPr>
              <w:pStyle w:val="TableContents"/>
              <w:spacing w:before="0" w:after="0"/>
              <w:jc w:val="right"/>
              <w:rPr>
                <w:rFonts w:ascii="inherit" w:hAnsi="inherit"/>
                <w:sz w:val="17"/>
              </w:rPr>
            </w:pPr>
            <w:r>
              <w:rPr>
                <w:rFonts w:ascii="inherit" w:hAnsi="inherit"/>
                <w:sz w:val="17"/>
              </w:rPr>
              <w:t>184,315</w:t>
            </w:r>
          </w:p>
        </w:tc>
        <w:tc>
          <w:tcPr>
            <w:tcW w:w="1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12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183,368</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162,598</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126,628</w:t>
            </w:r>
          </w:p>
        </w:tc>
        <w:tc>
          <w:tcPr>
            <w:tcW w:w="1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Profit for the year (net income)</w:t>
            </w:r>
          </w:p>
        </w:tc>
        <w:tc>
          <w:tcPr>
            <w:tcW w:w="12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33,754</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30,366</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27,385</w:t>
            </w:r>
          </w:p>
        </w:tc>
        <w:tc>
          <w:tcPr>
            <w:tcW w:w="109"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p>
      <w:pPr>
        <w:pStyle w:val="TextBody"/>
        <w:spacing w:lineRule="auto" w:line="288" w:before="0" w:after="0"/>
        <w:jc w:val="left"/>
        <w:rPr>
          <w:sz w:val="17"/>
        </w:rPr>
      </w:pPr>
      <w:r>
        <w:rPr>
          <w:rFonts w:ascii="inherit" w:hAnsi="inherit"/>
          <w:sz w:val="17"/>
        </w:rPr>
        <w:t xml:space="preserve">At </w:t>
      </w:r>
      <w:r>
        <w:rPr>
          <w:rFonts w:ascii="inherit" w:hAnsi="inherit"/>
          <w:strike w:val="false"/>
          <w:dstrike w:val="false"/>
          <w:color w:val="000000"/>
          <w:sz w:val="17"/>
          <w:u w:val="none"/>
          <w:effect w:val="none"/>
        </w:rPr>
        <w:t>September 30, 2013</w:t>
      </w:r>
      <w:r>
        <w:rPr>
          <w:rFonts w:ascii="inherit" w:hAnsi="inherit"/>
          <w:sz w:val="17"/>
        </w:rPr>
        <w:t xml:space="preserve">, the recorded balance of our investment in Cash Converters International, accounted for on the equity method, was </w:t>
      </w:r>
      <w:r>
        <w:rPr>
          <w:rFonts w:ascii="inherit" w:hAnsi="inherit"/>
          <w:strike w:val="false"/>
          <w:dstrike w:val="false"/>
          <w:color w:val="000000"/>
          <w:sz w:val="17"/>
          <w:u w:val="none"/>
          <w:effect w:val="none"/>
        </w:rPr>
        <w:t>$87.6 million</w:t>
      </w:r>
      <w:r>
        <w:rPr>
          <w:rFonts w:ascii="inherit" w:hAnsi="inherit"/>
          <w:sz w:val="17"/>
        </w:rPr>
        <w:t xml:space="preserve">. Because Cash Converters International publicly reports its financial results only semi-annually as of June 30 and December 31, the latest Cash Converters International figures available are as of </w:t>
      </w:r>
      <w:r>
        <w:rPr>
          <w:rFonts w:ascii="inherit" w:hAnsi="inherit"/>
          <w:strike w:val="false"/>
          <w:dstrike w:val="false"/>
          <w:color w:val="000000"/>
          <w:sz w:val="17"/>
          <w:u w:val="none"/>
          <w:effect w:val="none"/>
        </w:rPr>
        <w:t>June 30, 2013</w:t>
      </w:r>
      <w:r>
        <w:rPr>
          <w:rFonts w:ascii="inherit" w:hAnsi="inherit"/>
          <w:sz w:val="17"/>
        </w:rPr>
        <w:t xml:space="preserve">, at which point our equity in net assets of Cash Converters International was </w:t>
      </w:r>
      <w:r>
        <w:rPr>
          <w:rFonts w:ascii="inherit" w:hAnsi="inherit"/>
          <w:strike w:val="false"/>
          <w:dstrike w:val="false"/>
          <w:color w:val="000000"/>
          <w:sz w:val="17"/>
          <w:u w:val="none"/>
          <w:effect w:val="none"/>
        </w:rPr>
        <w:t>$71.3 million</w:t>
      </w:r>
      <w:r>
        <w:rPr>
          <w:rFonts w:ascii="inherit" w:hAnsi="inherit"/>
          <w:sz w:val="17"/>
        </w:rPr>
        <w:t>. The difference between the recorded balance and our equity in Cash Converters International’s net assets represents the $18.6 million</w:t>
      </w:r>
      <w:r>
        <w:rPr>
          <w:sz w:val="17"/>
        </w:rPr>
        <w:t xml:space="preserve"> </w:t>
      </w:r>
      <w:r>
        <w:rPr>
          <w:rFonts w:ascii="inherit" w:hAnsi="inherit"/>
          <w:sz w:val="17"/>
        </w:rPr>
        <w:t>of equity method goodwill, plus the cumulative difference resulting from Cash Converters International’s earnings, dividend payments and translation gains and losses since the dates of investment.</w:t>
      </w:r>
    </w:p>
    <w:p>
      <w:pPr>
        <w:pStyle w:val="TextBody"/>
        <w:spacing w:lineRule="auto" w:line="288" w:before="0" w:after="0"/>
        <w:jc w:val="left"/>
        <w:rPr>
          <w:rFonts w:ascii="inherit" w:hAnsi="inherit"/>
          <w:sz w:val="17"/>
          <w:u w:val="single"/>
        </w:rPr>
      </w:pPr>
      <w:r>
        <w:rPr>
          <w:rFonts w:ascii="inherit" w:hAnsi="inherit"/>
          <w:sz w:val="17"/>
          <w:u w:val="single"/>
        </w:rPr>
        <w:t>Albemarle &amp; Bond Holdings, PLC</w:t>
      </w:r>
    </w:p>
    <w:p>
      <w:pPr>
        <w:pStyle w:val="TextBody"/>
        <w:spacing w:lineRule="auto" w:line="288" w:before="0" w:after="0"/>
        <w:jc w:val="left"/>
        <w:rPr>
          <w:sz w:val="17"/>
        </w:rPr>
      </w:pPr>
      <w:r>
        <w:rPr>
          <w:rFonts w:ascii="inherit" w:hAnsi="inherit"/>
          <w:sz w:val="17"/>
        </w:rPr>
        <w:t xml:space="preserve">At </w:t>
      </w:r>
      <w:r>
        <w:rPr>
          <w:rFonts w:ascii="inherit" w:hAnsi="inherit"/>
          <w:strike w:val="false"/>
          <w:dstrike w:val="false"/>
          <w:color w:val="000000"/>
          <w:sz w:val="17"/>
          <w:u w:val="none"/>
          <w:effect w:val="none"/>
        </w:rPr>
        <w:t>September 30, 2013</w:t>
      </w:r>
      <w:r>
        <w:rPr>
          <w:rFonts w:ascii="inherit" w:hAnsi="inherit"/>
          <w:sz w:val="17"/>
        </w:rPr>
        <w:t>, we owned 16,644,640</w:t>
      </w:r>
      <w:r>
        <w:rPr>
          <w:sz w:val="17"/>
        </w:rPr>
        <w:t xml:space="preserve"> </w:t>
      </w:r>
      <w:r>
        <w:rPr>
          <w:rFonts w:ascii="inherit" w:hAnsi="inherit"/>
          <w:sz w:val="17"/>
        </w:rPr>
        <w:t>ordinary shares of Albemarle &amp; Bond, representing almost 30%</w:t>
      </w:r>
      <w:r>
        <w:rPr>
          <w:sz w:val="17"/>
        </w:rPr>
        <w:t xml:space="preserve"> </w:t>
      </w:r>
      <w:r>
        <w:rPr>
          <w:rFonts w:ascii="inherit" w:hAnsi="inherit"/>
          <w:sz w:val="17"/>
        </w:rPr>
        <w:t xml:space="preserve">of its total outstanding shares. Our total cost for those shares was approximately $27.6 million. Albemarle &amp; Bond is primarily engaged in pawnbroking, retail jewelry sales, check cashing and lending in the United Kingdom. We account for the investment using the equity method. </w:t>
      </w:r>
    </w:p>
    <w:p>
      <w:pPr>
        <w:pStyle w:val="TextBody"/>
        <w:spacing w:lineRule="auto" w:line="288" w:before="0" w:after="0"/>
        <w:jc w:val="left"/>
        <w:rPr>
          <w:sz w:val="17"/>
        </w:rPr>
      </w:pPr>
      <w:r>
        <w:rPr>
          <w:rFonts w:ascii="inherit" w:hAnsi="inherit"/>
          <w:sz w:val="17"/>
        </w:rPr>
        <w:t xml:space="preserve">Albemarle &amp; Bond’s fiscal year ends three months prior to ours; therefore, we report the income from this investment on a three-month lag. Albemarle &amp; Bond files semi-annual financial reports for its fiscal periods ending </w:t>
      </w:r>
      <w:r>
        <w:rPr>
          <w:rFonts w:ascii="inherit" w:hAnsi="inherit"/>
          <w:strike w:val="false"/>
          <w:dstrike w:val="false"/>
          <w:color w:val="000000"/>
          <w:sz w:val="17"/>
          <w:u w:val="none"/>
          <w:effect w:val="none"/>
        </w:rPr>
        <w:t>December 31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June 30</w:t>
      </w:r>
      <w:r>
        <w:rPr>
          <w:rFonts w:ascii="inherit" w:hAnsi="inherit"/>
          <w:sz w:val="17"/>
        </w:rPr>
        <w:t xml:space="preserve">. Due to the three-month lag, income reported for our fiscal years ended </w:t>
      </w:r>
      <w:r>
        <w:rPr>
          <w:rFonts w:ascii="inherit" w:hAnsi="inherit"/>
          <w:strike w:val="false"/>
          <w:dstrike w:val="false"/>
          <w:color w:val="000000"/>
          <w:sz w:val="17"/>
          <w:u w:val="none"/>
          <w:effect w:val="none"/>
        </w:rPr>
        <w:t>September 30, 2013</w:t>
      </w:r>
      <w:r>
        <w:rPr>
          <w:rFonts w:ascii="inherit" w:hAnsi="inherit"/>
          <w:sz w:val="17"/>
        </w:rPr>
        <w:t xml:space="preserve">,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represents our percentage interest in the results of Albemarle &amp; Bond’s operations from July 1, 2012 to June 30, 2013, July 1, 2011 to June 30, 2012 and July 1, 2010 to June 30, 2011, respectively. Albemarle &amp; Bond has not yet released its fiscal 2013 financial statements; therefore, income reported for our fiscal year ended </w:t>
      </w:r>
      <w:r>
        <w:rPr>
          <w:rFonts w:ascii="inherit" w:hAnsi="inherit"/>
          <w:strike w:val="false"/>
          <w:dstrike w:val="false"/>
          <w:color w:val="000000"/>
          <w:sz w:val="17"/>
          <w:u w:val="none"/>
          <w:effect w:val="none"/>
        </w:rPr>
        <w:t>September 30, 2013</w:t>
      </w:r>
      <w:r>
        <w:rPr>
          <w:sz w:val="17"/>
        </w:rPr>
        <w:t xml:space="preserve"> </w:t>
      </w:r>
      <w:r>
        <w:rPr>
          <w:rFonts w:ascii="inherit" w:hAnsi="inherit"/>
          <w:sz w:val="17"/>
        </w:rPr>
        <w:t xml:space="preserve">is based on management's best estimate of Albemarle &amp; Bond's fiscal 2013 results. </w:t>
      </w:r>
    </w:p>
    <w:p>
      <w:pPr>
        <w:pStyle w:val="TextBody"/>
        <w:spacing w:lineRule="auto" w:line="288" w:before="0" w:after="0"/>
        <w:jc w:val="left"/>
        <w:rPr>
          <w:sz w:val="17"/>
        </w:rPr>
      </w:pPr>
      <w:r>
        <w:rPr>
          <w:rFonts w:ascii="inherit" w:hAnsi="inherit"/>
          <w:sz w:val="17"/>
        </w:rPr>
        <w:t>On April 19, 2013, Albemarle &amp; Bond announced that it expected profits for their full fiscal year (ending June 30, 2013) to be materially below market expectations, citing reduction in gold buying profit and pressures on its pawn loan business due to the challenging gold environment and increased competition. In addition Albemarle &amp; Bond's Board of Directors announced that their CEO would step down earlier than planned. In early October 2013, Albemarle &amp; Bond announced that discussions to underwrite an equity funding had failed and they were in ongoing discussions with their banks to negotiate covenants. The market price of Albemarle &amp; Bond’s stock declined as a result of this information. Due to these events, we evaluated the economic and strategic benefits of continuing to hold this investment. Based on the review as of October 18, 2013, we determined that the fair value of this investment was less than its carrying value as of September 30, 2013 and that this impairment was other than temporary. As a result, we recognized an other than temporary impairment of $42.5 million</w:t>
      </w:r>
      <w:r>
        <w:rPr>
          <w:sz w:val="17"/>
        </w:rPr>
        <w:t xml:space="preserve"> </w:t>
      </w:r>
      <w:r>
        <w:rPr>
          <w:rFonts w:ascii="inherit" w:hAnsi="inherit"/>
          <w:sz w:val="17"/>
        </w:rPr>
        <w:t xml:space="preserve">($28.7 million, net of taxes). This amount is included in impairment of investments in our consolidated statements of operations.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78</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In fiscal </w:t>
      </w:r>
      <w:r>
        <w:rPr>
          <w:rFonts w:ascii="inherit" w:hAnsi="inherit"/>
          <w:strike w:val="false"/>
          <w:dstrike w:val="false"/>
          <w:color w:val="000000"/>
          <w:sz w:val="17"/>
          <w:u w:val="none"/>
          <w:effect w:val="none"/>
        </w:rPr>
        <w:t>2013</w:t>
      </w:r>
      <w:r>
        <w:rPr>
          <w:rFonts w:ascii="inherit" w:hAnsi="inherit"/>
          <w:sz w:val="17"/>
        </w:rPr>
        <w:t xml:space="preserve">,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rFonts w:ascii="inherit" w:hAnsi="inherit"/>
          <w:sz w:val="17"/>
        </w:rPr>
        <w:t xml:space="preserve">, we received dividends from Albemarle &amp; Bond of $3.3 million, </w:t>
      </w:r>
      <w:r>
        <w:rPr>
          <w:rFonts w:ascii="inherit" w:hAnsi="inherit"/>
          <w:strike w:val="false"/>
          <w:dstrike w:val="false"/>
          <w:color w:val="000000"/>
          <w:sz w:val="17"/>
          <w:u w:val="none"/>
          <w:effect w:val="none"/>
        </w:rPr>
        <w:t>$3.3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$3.2 million</w:t>
      </w:r>
      <w:r>
        <w:rPr>
          <w:rFonts w:ascii="inherit" w:hAnsi="inherit"/>
          <w:sz w:val="17"/>
        </w:rPr>
        <w:t>, respectively. Albemarle &amp; Bond’s accumulated undistributed after-tax earnings included in our consolidated retained earnings were $26.6 million</w:t>
      </w:r>
      <w:r>
        <w:rPr>
          <w:sz w:val="17"/>
        </w:rPr>
        <w:t xml:space="preserve"> </w:t>
      </w:r>
      <w:r>
        <w:rPr>
          <w:rFonts w:ascii="inherit" w:hAnsi="inherit"/>
          <w:sz w:val="17"/>
        </w:rPr>
        <w:t xml:space="preserve">at </w:t>
      </w:r>
      <w:r>
        <w:rPr>
          <w:rFonts w:ascii="inherit" w:hAnsi="inherit"/>
          <w:strike w:val="false"/>
          <w:dstrike w:val="false"/>
          <w:color w:val="000000"/>
          <w:sz w:val="17"/>
          <w:u w:val="none"/>
          <w:effect w:val="none"/>
        </w:rPr>
        <w:t>September 30, 2013</w:t>
      </w:r>
      <w:r>
        <w:rPr>
          <w:rFonts w:ascii="inherit" w:hAnsi="inherit"/>
          <w:sz w:val="17"/>
        </w:rPr>
        <w:t>.</w:t>
      </w:r>
    </w:p>
    <w:p>
      <w:pPr>
        <w:pStyle w:val="TextBody"/>
        <w:spacing w:lineRule="auto" w:line="288" w:before="0" w:after="0"/>
        <w:rPr>
          <w:rFonts w:ascii="inherit" w:hAnsi="inherit"/>
          <w:sz w:val="17"/>
        </w:rPr>
      </w:pPr>
      <w:r>
        <w:rPr>
          <w:rFonts w:ascii="inherit" w:hAnsi="inherit"/>
          <w:sz w:val="17"/>
        </w:rPr>
        <w:t>Conversion of Albemarle &amp; Bond’s financial statements into U.S. GAAP resulted in no material differences from those reported by Albemarle &amp; Bond following IFRS.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table below summarizes the recorded value and fair value of each of these strategic investments at the dates indicated. These fair values for Albemarle &amp; Bond at September 30, 2012 and Cash Converters International at September 30, 2012 and 2013 are considered Level 1 estimates within the fair value hierarchy of FASB ASC 820-10-50, and were calculated as (a) the quoted stock price on each company’s principal market multiplied by (b) the number of shares we owned multiplied by (c) the applicable foreign currency exchange rate at the dates indicated. We included no control premium for owning a large percentage of outstanding shares.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The fair value for Albemarle &amp; Bond at September 30, 2013 is considered a Level 2 estimate within the fair value hierarchy of FASB ASC 820-10-50. We calculated the fair value based on (a) the quoted average stock price of Albemarle &amp; Bond over the 18 days</w:t>
      </w:r>
      <w:r>
        <w:rPr>
          <w:sz w:val="17"/>
        </w:rPr>
        <w:t xml:space="preserve"> </w:t>
      </w:r>
      <w:r>
        <w:rPr>
          <w:rFonts w:ascii="inherit" w:hAnsi="inherit"/>
          <w:sz w:val="17"/>
        </w:rPr>
        <w:t>after September 30, 2013 multiplied by (b) the number of shares we owned multiplied by (c) the applicable foreign currency exchange rate as of the dates indicated during the post September 30, 2013 measurement date. We believe this 18 day measurement date allowed the market to react and adjust to the information released by the company the first week of October 2013, as previously mentioned, and therefore resulted in a reasonable fair value as of September 30, 2013.</w:t>
      </w:r>
    </w:p>
    <w:p>
      <w:pPr>
        <w:pStyle w:val="TextBody"/>
        <w:spacing w:lineRule="auto" w:line="288" w:before="0" w:after="0"/>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6638"/>
        <w:gridCol w:w="180"/>
        <w:gridCol w:w="1255"/>
        <w:gridCol w:w="100"/>
        <w:gridCol w:w="151"/>
        <w:gridCol w:w="180"/>
        <w:gridCol w:w="1255"/>
        <w:gridCol w:w="446"/>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63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638" w:type="dxa"/>
            <w:tcBorders/>
            <w:shd w:fill="auto" w:val="clear"/>
            <w:vAlign w:val="center"/>
          </w:tcPr>
          <w:p>
            <w:pPr>
              <w:pStyle w:val="TableContents"/>
              <w:spacing w:before="0" w:after="0"/>
              <w:ind w:left="0" w:right="0" w:firstLine="30"/>
              <w:jc w:val="left"/>
              <w:rPr/>
            </w:pPr>
            <w:r>
              <w:rPr/>
              <w:t> </w:t>
            </w:r>
          </w:p>
        </w:tc>
        <w:tc>
          <w:tcPr>
            <w:tcW w:w="356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of September 30,</w:t>
            </w:r>
          </w:p>
        </w:tc>
      </w:tr>
      <w:tr>
        <w:trPr/>
        <w:tc>
          <w:tcPr>
            <w:tcW w:w="6638" w:type="dxa"/>
            <w:tcBorders/>
            <w:shd w:fill="auto" w:val="clear"/>
            <w:vAlign w:val="center"/>
          </w:tcPr>
          <w:p>
            <w:pPr>
              <w:pStyle w:val="TableContents"/>
              <w:spacing w:before="0" w:after="0"/>
              <w:ind w:left="0" w:right="0" w:firstLine="30"/>
              <w:jc w:val="left"/>
              <w:rPr/>
            </w:pPr>
            <w:r>
              <w:rPr/>
              <w:t> </w:t>
            </w:r>
          </w:p>
        </w:tc>
        <w:tc>
          <w:tcPr>
            <w:tcW w:w="15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1" w:type="dxa"/>
            <w:tcBorders/>
            <w:shd w:fill="auto" w:val="clear"/>
            <w:vAlign w:val="center"/>
          </w:tcPr>
          <w:p>
            <w:pPr>
              <w:pStyle w:val="TableContents"/>
              <w:spacing w:before="0" w:after="0"/>
              <w:ind w:left="0" w:right="0" w:firstLine="30"/>
              <w:rPr/>
            </w:pPr>
            <w:r>
              <w:rPr/>
              <w:t> </w:t>
            </w:r>
          </w:p>
        </w:tc>
        <w:tc>
          <w:tcPr>
            <w:tcW w:w="18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638" w:type="dxa"/>
            <w:tcBorders/>
            <w:shd w:fill="auto" w:val="clear"/>
            <w:vAlign w:val="center"/>
          </w:tcPr>
          <w:p>
            <w:pPr>
              <w:pStyle w:val="TableContents"/>
              <w:spacing w:before="0" w:after="0"/>
              <w:ind w:left="0" w:right="0" w:firstLine="30"/>
              <w:jc w:val="left"/>
              <w:rPr/>
            </w:pPr>
            <w:r>
              <w:rPr/>
              <w:t> </w:t>
            </w:r>
          </w:p>
        </w:tc>
        <w:tc>
          <w:tcPr>
            <w:tcW w:w="3567"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of U.S. dollars)</w:t>
            </w:r>
          </w:p>
        </w:tc>
      </w:tr>
      <w:tr>
        <w:trPr/>
        <w:tc>
          <w:tcPr>
            <w:tcW w:w="6638" w:type="dxa"/>
            <w:tcBorders/>
            <w:shd w:fill="CCEEFF"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Albemarle &amp; Bond:</w:t>
            </w:r>
          </w:p>
        </w:tc>
        <w:tc>
          <w:tcPr>
            <w:tcW w:w="1535"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1881" w:type="dxa"/>
            <w:gridSpan w:val="3"/>
            <w:tcBorders/>
            <w:shd w:fill="CCEEFF" w:val="clear"/>
            <w:vAlign w:val="center"/>
          </w:tcPr>
          <w:p>
            <w:pPr>
              <w:pStyle w:val="TableContents"/>
              <w:spacing w:before="0" w:after="0"/>
              <w:ind w:left="0" w:right="0" w:firstLine="420"/>
              <w:rPr/>
            </w:pPr>
            <w:r>
              <w:rPr/>
              <w:t> </w:t>
            </w:r>
          </w:p>
        </w:tc>
      </w:tr>
      <w:tr>
        <w:trPr/>
        <w:tc>
          <w:tcPr>
            <w:tcW w:w="66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Recorded value</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55" w:type="dxa"/>
            <w:tcBorders/>
            <w:shd w:fill="auto" w:val="clear"/>
            <w:vAlign w:val="center"/>
          </w:tcPr>
          <w:p>
            <w:pPr>
              <w:pStyle w:val="TableContents"/>
              <w:spacing w:before="0" w:after="0"/>
              <w:jc w:val="right"/>
              <w:rPr>
                <w:rFonts w:ascii="inherit" w:hAnsi="inherit"/>
                <w:sz w:val="17"/>
              </w:rPr>
            </w:pPr>
            <w:r>
              <w:rPr>
                <w:rFonts w:ascii="inherit" w:hAnsi="inherit"/>
                <w:sz w:val="17"/>
              </w:rPr>
              <w:t>9,439</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55" w:type="dxa"/>
            <w:tcBorders/>
            <w:shd w:fill="auto" w:val="clear"/>
            <w:vAlign w:val="center"/>
          </w:tcPr>
          <w:p>
            <w:pPr>
              <w:pStyle w:val="TableContents"/>
              <w:spacing w:before="0" w:after="0"/>
              <w:jc w:val="right"/>
              <w:rPr>
                <w:rFonts w:ascii="inherit" w:hAnsi="inherit"/>
                <w:sz w:val="17"/>
              </w:rPr>
            </w:pPr>
            <w:r>
              <w:rPr>
                <w:rFonts w:ascii="inherit" w:hAnsi="inherit"/>
                <w:sz w:val="17"/>
              </w:rPr>
              <w:t>51,812</w:t>
            </w:r>
          </w:p>
        </w:tc>
        <w:tc>
          <w:tcPr>
            <w:tcW w:w="44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6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Fair value</w:t>
            </w:r>
          </w:p>
        </w:tc>
        <w:tc>
          <w:tcPr>
            <w:tcW w:w="14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9,439</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65,109</w:t>
            </w:r>
          </w:p>
        </w:tc>
        <w:tc>
          <w:tcPr>
            <w:tcW w:w="4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38" w:type="dxa"/>
            <w:tcBorders/>
            <w:shd w:fill="auto"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Cash Converters International:</w:t>
            </w:r>
          </w:p>
        </w:tc>
        <w:tc>
          <w:tcPr>
            <w:tcW w:w="1535"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1881" w:type="dxa"/>
            <w:gridSpan w:val="3"/>
            <w:tcBorders/>
            <w:shd w:fill="auto" w:val="clear"/>
            <w:vAlign w:val="center"/>
          </w:tcPr>
          <w:p>
            <w:pPr>
              <w:pStyle w:val="TableContents"/>
              <w:spacing w:before="0" w:after="0"/>
              <w:ind w:left="0" w:right="0" w:firstLine="420"/>
              <w:rPr/>
            </w:pPr>
            <w:r>
              <w:rPr/>
              <w:t> </w:t>
            </w:r>
          </w:p>
        </w:tc>
      </w:tr>
      <w:tr>
        <w:trPr/>
        <w:tc>
          <w:tcPr>
            <w:tcW w:w="66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Recorded value</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55" w:type="dxa"/>
            <w:tcBorders/>
            <w:shd w:fill="CCEEFF" w:val="clear"/>
            <w:vAlign w:val="center"/>
          </w:tcPr>
          <w:p>
            <w:pPr>
              <w:pStyle w:val="TableContents"/>
              <w:spacing w:before="0" w:after="0"/>
              <w:jc w:val="right"/>
              <w:rPr>
                <w:rFonts w:ascii="inherit" w:hAnsi="inherit"/>
                <w:sz w:val="17"/>
              </w:rPr>
            </w:pPr>
            <w:r>
              <w:rPr>
                <w:rFonts w:ascii="inherit" w:hAnsi="inherit"/>
                <w:sz w:val="17"/>
              </w:rPr>
              <w:t>87,645</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55" w:type="dxa"/>
            <w:tcBorders/>
            <w:shd w:fill="CCEEFF" w:val="clear"/>
            <w:vAlign w:val="center"/>
          </w:tcPr>
          <w:p>
            <w:pPr>
              <w:pStyle w:val="TableContents"/>
              <w:spacing w:before="0" w:after="0"/>
              <w:jc w:val="right"/>
              <w:rPr>
                <w:rFonts w:ascii="inherit" w:hAnsi="inherit"/>
                <w:sz w:val="17"/>
              </w:rPr>
            </w:pPr>
            <w:r>
              <w:rPr>
                <w:rFonts w:ascii="inherit" w:hAnsi="inherit"/>
                <w:sz w:val="17"/>
              </w:rPr>
              <w:t>74,254</w:t>
            </w:r>
          </w:p>
        </w:tc>
        <w:tc>
          <w:tcPr>
            <w:tcW w:w="44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6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Fair value</w:t>
            </w:r>
          </w:p>
        </w:tc>
        <w:tc>
          <w:tcPr>
            <w:tcW w:w="14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165,663</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100,705</w:t>
            </w:r>
          </w:p>
        </w:tc>
        <w:tc>
          <w:tcPr>
            <w:tcW w:w="446"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7"/>
        </w:rPr>
      </w:pPr>
      <w:bookmarkStart w:id="71" w:name="sCB76E860BFFF9BB4E57483E26D2DC89B"/>
      <w:bookmarkEnd w:id="71"/>
      <w:r>
        <w:rPr>
          <w:rFonts w:ascii="inherit" w:hAnsi="inherit"/>
          <w:b/>
          <w:sz w:val="17"/>
        </w:rPr>
        <w:t>NOTE 6: PROPERTY AND EQUIPMENT</w:t>
      </w:r>
    </w:p>
    <w:p>
      <w:pPr>
        <w:pStyle w:val="TextBody"/>
        <w:spacing w:lineRule="auto" w:line="288" w:before="0" w:after="0"/>
        <w:jc w:val="left"/>
        <w:rPr>
          <w:rFonts w:ascii="inherit" w:hAnsi="inherit"/>
          <w:sz w:val="17"/>
        </w:rPr>
      </w:pPr>
      <w:r>
        <w:rPr>
          <w:rFonts w:ascii="inherit" w:hAnsi="inherit"/>
          <w:sz w:val="17"/>
        </w:rPr>
        <w:t>Major classifications of property and equipment were as follows:</w:t>
      </w:r>
    </w:p>
    <w:tbl>
      <w:tblPr>
        <w:tblW w:w="10205" w:type="dxa"/>
        <w:jc w:val="left"/>
        <w:tblInd w:w="0" w:type="dxa"/>
        <w:tblCellMar>
          <w:top w:w="0" w:type="dxa"/>
          <w:left w:w="0" w:type="dxa"/>
          <w:bottom w:w="0" w:type="dxa"/>
          <w:right w:w="0" w:type="dxa"/>
        </w:tblCellMar>
      </w:tblPr>
      <w:tblGrid>
        <w:gridCol w:w="2197"/>
        <w:gridCol w:w="125"/>
        <w:gridCol w:w="1013"/>
        <w:gridCol w:w="83"/>
        <w:gridCol w:w="109"/>
        <w:gridCol w:w="125"/>
        <w:gridCol w:w="1039"/>
        <w:gridCol w:w="118"/>
        <w:gridCol w:w="109"/>
        <w:gridCol w:w="125"/>
        <w:gridCol w:w="1013"/>
        <w:gridCol w:w="83"/>
        <w:gridCol w:w="109"/>
        <w:gridCol w:w="125"/>
        <w:gridCol w:w="1013"/>
        <w:gridCol w:w="83"/>
        <w:gridCol w:w="109"/>
        <w:gridCol w:w="125"/>
        <w:gridCol w:w="1039"/>
        <w:gridCol w:w="118"/>
        <w:gridCol w:w="109"/>
        <w:gridCol w:w="125"/>
        <w:gridCol w:w="1013"/>
        <w:gridCol w:w="98"/>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21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97" w:type="dxa"/>
            <w:tcBorders/>
            <w:shd w:fill="auto" w:val="clear"/>
            <w:vAlign w:val="center"/>
          </w:tcPr>
          <w:p>
            <w:pPr>
              <w:pStyle w:val="TableContents"/>
              <w:spacing w:before="0" w:after="0"/>
              <w:ind w:left="0" w:right="0" w:firstLine="30"/>
              <w:jc w:val="left"/>
              <w:rPr/>
            </w:pPr>
            <w:r>
              <w:rPr/>
              <w:t> </w:t>
            </w:r>
          </w:p>
        </w:tc>
        <w:tc>
          <w:tcPr>
            <w:tcW w:w="8008"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2197" w:type="dxa"/>
            <w:tcBorders/>
            <w:shd w:fill="auto" w:val="clear"/>
            <w:vAlign w:val="center"/>
          </w:tcPr>
          <w:p>
            <w:pPr>
              <w:pStyle w:val="TableContents"/>
              <w:spacing w:before="0" w:after="0"/>
              <w:ind w:left="0" w:right="0" w:firstLine="30"/>
              <w:jc w:val="left"/>
              <w:rPr/>
            </w:pPr>
            <w:r>
              <w:rPr/>
              <w:t> </w:t>
            </w:r>
          </w:p>
        </w:tc>
        <w:tc>
          <w:tcPr>
            <w:tcW w:w="3942" w:type="dxa"/>
            <w:gridSpan w:val="11"/>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09" w:type="dxa"/>
            <w:tcBorders/>
            <w:shd w:fill="auto" w:val="clear"/>
            <w:vAlign w:val="center"/>
          </w:tcPr>
          <w:p>
            <w:pPr>
              <w:pStyle w:val="TableContents"/>
              <w:spacing w:before="0" w:after="0"/>
              <w:ind w:left="0" w:right="0" w:firstLine="30"/>
              <w:rPr/>
            </w:pPr>
            <w:r>
              <w:rPr/>
              <w:t> </w:t>
            </w:r>
          </w:p>
        </w:tc>
        <w:tc>
          <w:tcPr>
            <w:tcW w:w="3957"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2197" w:type="dxa"/>
            <w:tcBorders/>
            <w:shd w:fill="auto" w:val="clear"/>
            <w:vAlign w:val="center"/>
          </w:tcPr>
          <w:p>
            <w:pPr>
              <w:pStyle w:val="TableContents"/>
              <w:spacing w:before="0" w:after="0"/>
              <w:ind w:left="0" w:right="0" w:firstLine="30"/>
              <w:rPr/>
            </w:pPr>
            <w:r>
              <w:rPr/>
              <w:t> </w:t>
            </w:r>
          </w:p>
        </w:tc>
        <w:tc>
          <w:tcPr>
            <w:tcW w:w="122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09" w:type="dxa"/>
            <w:tcBorders/>
            <w:shd w:fill="auto" w:val="clear"/>
            <w:vAlign w:val="center"/>
          </w:tcPr>
          <w:p>
            <w:pPr>
              <w:pStyle w:val="TableContents"/>
              <w:spacing w:before="0" w:after="0"/>
              <w:ind w:left="0" w:right="0" w:firstLine="30"/>
              <w:rPr/>
            </w:pPr>
            <w:r>
              <w:rPr/>
              <w:t> </w:t>
            </w:r>
          </w:p>
        </w:tc>
        <w:tc>
          <w:tcPr>
            <w:tcW w:w="128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Accumulated</w:t>
            </w:r>
          </w:p>
          <w:p>
            <w:pPr>
              <w:pStyle w:val="TableContents"/>
              <w:spacing w:before="0" w:after="0"/>
              <w:ind w:left="0" w:right="0" w:firstLine="30"/>
              <w:jc w:val="center"/>
              <w:rPr>
                <w:rFonts w:ascii="inherit" w:hAnsi="inherit"/>
                <w:b/>
                <w:sz w:val="13"/>
              </w:rPr>
            </w:pPr>
            <w:r>
              <w:rPr>
                <w:rFonts w:ascii="inherit" w:hAnsi="inherit"/>
                <w:b/>
                <w:sz w:val="13"/>
              </w:rPr>
              <w:t>Depreciation</w:t>
            </w:r>
          </w:p>
        </w:tc>
        <w:tc>
          <w:tcPr>
            <w:tcW w:w="109" w:type="dxa"/>
            <w:tcBorders/>
            <w:shd w:fill="auto" w:val="clear"/>
            <w:vAlign w:val="center"/>
          </w:tcPr>
          <w:p>
            <w:pPr>
              <w:pStyle w:val="TableContents"/>
              <w:spacing w:before="0" w:after="0"/>
              <w:ind w:left="0" w:right="0" w:firstLine="30"/>
              <w:rPr/>
            </w:pPr>
            <w:r>
              <w:rPr/>
              <w:t> </w:t>
            </w:r>
          </w:p>
        </w:tc>
        <w:tc>
          <w:tcPr>
            <w:tcW w:w="122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Net Book</w:t>
            </w:r>
          </w:p>
          <w:p>
            <w:pPr>
              <w:pStyle w:val="TableContents"/>
              <w:spacing w:before="0" w:after="0"/>
              <w:ind w:left="0" w:right="0" w:firstLine="30"/>
              <w:jc w:val="center"/>
              <w:rPr>
                <w:rFonts w:ascii="inherit" w:hAnsi="inherit"/>
                <w:b/>
                <w:sz w:val="13"/>
              </w:rPr>
            </w:pPr>
            <w:r>
              <w:rPr>
                <w:rFonts w:ascii="inherit" w:hAnsi="inherit"/>
                <w:b/>
                <w:sz w:val="13"/>
              </w:rPr>
              <w:t>Value</w:t>
            </w:r>
          </w:p>
        </w:tc>
        <w:tc>
          <w:tcPr>
            <w:tcW w:w="109" w:type="dxa"/>
            <w:tcBorders/>
            <w:shd w:fill="auto" w:val="clear"/>
            <w:vAlign w:val="center"/>
          </w:tcPr>
          <w:p>
            <w:pPr>
              <w:pStyle w:val="TableContents"/>
              <w:spacing w:before="0" w:after="0"/>
              <w:ind w:left="0" w:right="0" w:firstLine="30"/>
              <w:rPr/>
            </w:pPr>
            <w:r>
              <w:rPr/>
              <w:t> </w:t>
            </w:r>
          </w:p>
        </w:tc>
        <w:tc>
          <w:tcPr>
            <w:tcW w:w="122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09" w:type="dxa"/>
            <w:tcBorders/>
            <w:shd w:fill="auto" w:val="clear"/>
            <w:vAlign w:val="center"/>
          </w:tcPr>
          <w:p>
            <w:pPr>
              <w:pStyle w:val="TableContents"/>
              <w:spacing w:before="0" w:after="0"/>
              <w:ind w:left="0" w:right="0" w:firstLine="30"/>
              <w:rPr/>
            </w:pPr>
            <w:r>
              <w:rPr/>
              <w:t> </w:t>
            </w:r>
          </w:p>
        </w:tc>
        <w:tc>
          <w:tcPr>
            <w:tcW w:w="128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Accumulated</w:t>
            </w:r>
          </w:p>
          <w:p>
            <w:pPr>
              <w:pStyle w:val="TableContents"/>
              <w:spacing w:before="0" w:after="0"/>
              <w:ind w:left="0" w:right="0" w:firstLine="30"/>
              <w:jc w:val="center"/>
              <w:rPr>
                <w:rFonts w:ascii="inherit" w:hAnsi="inherit"/>
                <w:b/>
                <w:sz w:val="13"/>
              </w:rPr>
            </w:pPr>
            <w:r>
              <w:rPr>
                <w:rFonts w:ascii="inherit" w:hAnsi="inherit"/>
                <w:b/>
                <w:sz w:val="13"/>
              </w:rPr>
              <w:t>Depreciation</w:t>
            </w:r>
          </w:p>
        </w:tc>
        <w:tc>
          <w:tcPr>
            <w:tcW w:w="109" w:type="dxa"/>
            <w:tcBorders/>
            <w:shd w:fill="auto" w:val="clear"/>
            <w:vAlign w:val="center"/>
          </w:tcPr>
          <w:p>
            <w:pPr>
              <w:pStyle w:val="TableContents"/>
              <w:spacing w:before="0" w:after="0"/>
              <w:ind w:left="0" w:right="0" w:firstLine="30"/>
              <w:rPr/>
            </w:pPr>
            <w:r>
              <w:rPr/>
              <w:t> </w:t>
            </w:r>
          </w:p>
        </w:tc>
        <w:tc>
          <w:tcPr>
            <w:tcW w:w="123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Net Book</w:t>
            </w:r>
          </w:p>
          <w:p>
            <w:pPr>
              <w:pStyle w:val="TableContents"/>
              <w:spacing w:before="0" w:after="0"/>
              <w:ind w:left="0" w:right="0" w:firstLine="30"/>
              <w:jc w:val="center"/>
              <w:rPr>
                <w:rFonts w:ascii="inherit" w:hAnsi="inherit"/>
                <w:b/>
                <w:sz w:val="13"/>
              </w:rPr>
            </w:pPr>
            <w:r>
              <w:rPr>
                <w:rFonts w:ascii="inherit" w:hAnsi="inherit"/>
                <w:b/>
                <w:sz w:val="13"/>
              </w:rPr>
              <w:t>Value</w:t>
            </w:r>
          </w:p>
        </w:tc>
      </w:tr>
      <w:tr>
        <w:trPr/>
        <w:tc>
          <w:tcPr>
            <w:tcW w:w="2197" w:type="dxa"/>
            <w:tcBorders/>
            <w:shd w:fill="auto" w:val="clear"/>
            <w:vAlign w:val="center"/>
          </w:tcPr>
          <w:p>
            <w:pPr>
              <w:pStyle w:val="TableContents"/>
              <w:spacing w:before="0" w:after="0"/>
              <w:ind w:left="0" w:right="0" w:firstLine="30"/>
              <w:jc w:val="left"/>
              <w:rPr/>
            </w:pPr>
            <w:r>
              <w:rPr/>
              <w:t> </w:t>
            </w:r>
          </w:p>
        </w:tc>
        <w:tc>
          <w:tcPr>
            <w:tcW w:w="8008" w:type="dxa"/>
            <w:gridSpan w:val="2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1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Land</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9" w:type="dxa"/>
            <w:tcBorders/>
            <w:shd w:fill="CCEEFF" w:val="clear"/>
            <w:vAlign w:val="center"/>
          </w:tcPr>
          <w:p>
            <w:pPr>
              <w:pStyle w:val="TableContents"/>
              <w:spacing w:before="0" w:after="0"/>
              <w:jc w:val="right"/>
              <w:rPr/>
            </w:pPr>
            <w:r>
              <w:rPr/>
              <w:t>—</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9" w:type="dxa"/>
            <w:tcBorders/>
            <w:shd w:fill="CCEEFF" w:val="clear"/>
            <w:vAlign w:val="center"/>
          </w:tcPr>
          <w:p>
            <w:pPr>
              <w:pStyle w:val="TableContents"/>
              <w:spacing w:before="0" w:after="0"/>
              <w:jc w:val="right"/>
              <w:rPr/>
            </w:pPr>
            <w:r>
              <w:rPr/>
              <w:t>—</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Buildings and improvements</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119,489</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(71,040</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48,449</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106,229</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(62,028</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44,201</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Furniture and equipment</w:t>
            </w:r>
          </w:p>
        </w:tc>
        <w:tc>
          <w:tcPr>
            <w:tcW w:w="11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126,619</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1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(76,227</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CCEEFF" w:val="clear"/>
            <w:vAlign w:val="center"/>
          </w:tcPr>
          <w:p>
            <w:pPr>
              <w:pStyle w:val="TableContents"/>
              <w:spacing w:before="0" w:after="0"/>
              <w:ind w:left="0" w:right="0" w:firstLine="30"/>
              <w:rPr/>
            </w:pPr>
            <w:r>
              <w:rPr/>
              <w:t> </w:t>
            </w:r>
          </w:p>
        </w:tc>
        <w:tc>
          <w:tcPr>
            <w:tcW w:w="11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50,392</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1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106,597</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1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(64,157</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CCEEFF" w:val="clear"/>
            <w:vAlign w:val="center"/>
          </w:tcPr>
          <w:p>
            <w:pPr>
              <w:pStyle w:val="TableContents"/>
              <w:spacing w:before="0" w:after="0"/>
              <w:ind w:left="0" w:right="0" w:firstLine="30"/>
              <w:rPr/>
            </w:pPr>
            <w:r>
              <w:rPr/>
              <w:t> </w:t>
            </w:r>
          </w:p>
        </w:tc>
        <w:tc>
          <w:tcPr>
            <w:tcW w:w="11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42,440</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Capital lease equipment</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1,600</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(436</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1,164</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1,600</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1,484</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Software</w:t>
            </w:r>
          </w:p>
        </w:tc>
        <w:tc>
          <w:tcPr>
            <w:tcW w:w="11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34,727</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1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(27,261</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CCEEFF" w:val="clear"/>
            <w:vAlign w:val="center"/>
          </w:tcPr>
          <w:p>
            <w:pPr>
              <w:pStyle w:val="TableContents"/>
              <w:spacing w:before="0" w:after="0"/>
              <w:ind w:left="0" w:right="0" w:firstLine="30"/>
              <w:rPr/>
            </w:pPr>
            <w:r>
              <w:rPr/>
              <w:t> </w:t>
            </w:r>
          </w:p>
        </w:tc>
        <w:tc>
          <w:tcPr>
            <w:tcW w:w="11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7,466</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1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38,059</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1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(25,947</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CCEEFF" w:val="clear"/>
            <w:vAlign w:val="center"/>
          </w:tcPr>
          <w:p>
            <w:pPr>
              <w:pStyle w:val="TableContents"/>
              <w:spacing w:before="0" w:after="0"/>
              <w:ind w:left="0" w:right="0" w:firstLine="30"/>
              <w:rPr/>
            </w:pPr>
            <w:r>
              <w:rPr/>
              <w:t> </w:t>
            </w:r>
          </w:p>
        </w:tc>
        <w:tc>
          <w:tcPr>
            <w:tcW w:w="11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12,112</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Construction in progress</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8,806</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6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8,806</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7,890</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6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7,890</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291,245</w:t>
            </w:r>
          </w:p>
        </w:tc>
        <w:tc>
          <w:tcPr>
            <w:tcW w:w="8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(174,964</w:t>
            </w:r>
          </w:p>
        </w:tc>
        <w:tc>
          <w:tcPr>
            <w:tcW w:w="1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116,281</w:t>
            </w:r>
          </w:p>
        </w:tc>
        <w:tc>
          <w:tcPr>
            <w:tcW w:w="8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260,379</w:t>
            </w:r>
          </w:p>
        </w:tc>
        <w:tc>
          <w:tcPr>
            <w:tcW w:w="8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(152,248</w:t>
            </w:r>
          </w:p>
        </w:tc>
        <w:tc>
          <w:tcPr>
            <w:tcW w:w="1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108,131</w:t>
            </w:r>
          </w:p>
        </w:tc>
        <w:tc>
          <w:tcPr>
            <w:tcW w:w="9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Income from continuing operations in fiscal 2013, 2012 and 2011 includes $28.3 million, </w:t>
      </w:r>
      <w:r>
        <w:rPr>
          <w:rFonts w:ascii="inherit" w:hAnsi="inherit"/>
          <w:strike w:val="false"/>
          <w:dstrike w:val="false"/>
          <w:color w:val="000000"/>
          <w:sz w:val="17"/>
          <w:u w:val="none"/>
          <w:effect w:val="none"/>
        </w:rPr>
        <w:t>$22.0 million</w:t>
      </w:r>
      <w:r>
        <w:rPr>
          <w:rFonts w:ascii="inherit" w:hAnsi="inherit"/>
          <w:sz w:val="17"/>
        </w:rPr>
        <w:t xml:space="preserve">, and </w:t>
      </w:r>
      <w:r>
        <w:rPr>
          <w:rFonts w:ascii="inherit" w:hAnsi="inherit"/>
          <w:strike w:val="false"/>
          <w:dstrike w:val="false"/>
          <w:color w:val="000000"/>
          <w:sz w:val="17"/>
          <w:u w:val="none"/>
          <w:effect w:val="none"/>
        </w:rPr>
        <w:t>$16.8 million</w:t>
      </w:r>
      <w:r>
        <w:rPr>
          <w:rFonts w:ascii="inherit" w:hAnsi="inherit"/>
          <w:sz w:val="17"/>
        </w:rPr>
        <w:t xml:space="preserve">, respectively, of depreciation expense. Discontinued operations in fiscal 2013, 2012 and 2011 includes </w:t>
      </w:r>
      <w:r>
        <w:rPr>
          <w:rFonts w:ascii="inherit" w:hAnsi="inherit"/>
          <w:strike w:val="false"/>
          <w:dstrike w:val="false"/>
          <w:color w:val="000000"/>
          <w:sz w:val="17"/>
          <w:u w:val="none"/>
          <w:effect w:val="none"/>
        </w:rPr>
        <w:t>$1.3 million</w:t>
      </w:r>
      <w:r>
        <w:rPr>
          <w:rFonts w:ascii="inherit" w:hAnsi="inherit"/>
          <w:sz w:val="17"/>
        </w:rPr>
        <w:t xml:space="preserve">, </w:t>
      </w:r>
      <w:r>
        <w:rPr>
          <w:rFonts w:ascii="inherit" w:hAnsi="inherit"/>
          <w:strike w:val="false"/>
          <w:dstrike w:val="false"/>
          <w:color w:val="000000"/>
          <w:sz w:val="17"/>
          <w:u w:val="none"/>
          <w:effect w:val="none"/>
        </w:rPr>
        <w:t>$1.3 million</w:t>
      </w:r>
      <w:r>
        <w:rPr>
          <w:rFonts w:ascii="inherit" w:hAnsi="inherit"/>
          <w:sz w:val="17"/>
        </w:rPr>
        <w:t xml:space="preserve">, and </w:t>
      </w:r>
      <w:r>
        <w:rPr>
          <w:rFonts w:ascii="inherit" w:hAnsi="inherit"/>
          <w:strike w:val="false"/>
          <w:dstrike w:val="false"/>
          <w:color w:val="000000"/>
          <w:sz w:val="17"/>
          <w:u w:val="none"/>
          <w:effect w:val="none"/>
        </w:rPr>
        <w:t>$0.7 million</w:t>
      </w:r>
      <w:r>
        <w:rPr>
          <w:rFonts w:ascii="inherit" w:hAnsi="inherit"/>
          <w:sz w:val="17"/>
        </w:rPr>
        <w:t>, respectively, of depreciation expense. Included in these amounts for fiscal 2013, 2012, and 2011 is an aggregate of $2.9 million, $</w:t>
      </w:r>
      <w:r>
        <w:rPr>
          <w:rFonts w:ascii="inherit" w:hAnsi="inherit"/>
          <w:strike w:val="false"/>
          <w:dstrike w:val="false"/>
          <w:color w:val="000000"/>
          <w:sz w:val="17"/>
          <w:u w:val="none"/>
          <w:effect w:val="none"/>
        </w:rPr>
        <w:t>2.9 million</w:t>
      </w:r>
      <w:r>
        <w:rPr>
          <w:rFonts w:ascii="inherit" w:hAnsi="inherit"/>
          <w:sz w:val="17"/>
        </w:rPr>
        <w:t>, and $</w:t>
      </w:r>
      <w:r>
        <w:rPr>
          <w:rFonts w:ascii="inherit" w:hAnsi="inherit"/>
          <w:strike w:val="false"/>
          <w:dstrike w:val="false"/>
          <w:color w:val="000000"/>
          <w:sz w:val="17"/>
          <w:u w:val="none"/>
          <w:effect w:val="none"/>
        </w:rPr>
        <w:t>1.4 million</w:t>
      </w:r>
      <w:r>
        <w:rPr>
          <w:rFonts w:ascii="inherit" w:hAnsi="inherit"/>
          <w:sz w:val="17"/>
        </w:rPr>
        <w:t>, respectively, of depreciation expense related to capitalized computer software.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79</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Property and equipment at </w:t>
      </w:r>
      <w:r>
        <w:rPr>
          <w:rFonts w:ascii="inherit" w:hAnsi="inherit"/>
          <w:strike w:val="false"/>
          <w:dstrike w:val="false"/>
          <w:color w:val="000000"/>
          <w:sz w:val="17"/>
          <w:u w:val="none"/>
          <w:effect w:val="none"/>
        </w:rPr>
        <w:t>September 30, 2013</w:t>
      </w:r>
      <w:r>
        <w:rPr>
          <w:sz w:val="17"/>
        </w:rPr>
        <w:t xml:space="preserve"> </w:t>
      </w:r>
      <w:r>
        <w:rPr>
          <w:rFonts w:ascii="inherit" w:hAnsi="inherit"/>
          <w:sz w:val="17"/>
        </w:rPr>
        <w:t xml:space="preserve">and 2012 includes approximately </w:t>
      </w:r>
      <w:r>
        <w:rPr>
          <w:rFonts w:ascii="inherit" w:hAnsi="inherit"/>
          <w:strike w:val="false"/>
          <w:dstrike w:val="false"/>
          <w:color w:val="000000"/>
          <w:sz w:val="17"/>
          <w:u w:val="none"/>
          <w:effect w:val="none"/>
        </w:rPr>
        <w:t>$1.6 million</w:t>
      </w:r>
      <w:r>
        <w:rPr>
          <w:sz w:val="17"/>
        </w:rPr>
        <w:t xml:space="preserve"> </w:t>
      </w:r>
      <w:r>
        <w:rPr>
          <w:rFonts w:ascii="inherit" w:hAnsi="inherit"/>
          <w:sz w:val="17"/>
        </w:rPr>
        <w:t xml:space="preserve">of equipment leased under a capital lease. Amortization of equipment under capital leases is included with depreciation expense and was </w:t>
      </w:r>
      <w:r>
        <w:rPr>
          <w:rFonts w:ascii="inherit" w:hAnsi="inherit"/>
          <w:strike w:val="false"/>
          <w:dstrike w:val="false"/>
          <w:color w:val="000000"/>
          <w:sz w:val="17"/>
          <w:u w:val="none"/>
          <w:effect w:val="none"/>
        </w:rPr>
        <w:t>$0.3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for the fiscal years ended 2013 and 2012, respectively.</w:t>
      </w:r>
    </w:p>
    <w:p>
      <w:pPr>
        <w:pStyle w:val="TextBody"/>
        <w:spacing w:lineRule="auto" w:line="288" w:before="0" w:after="0"/>
        <w:jc w:val="left"/>
        <w:rPr>
          <w:rFonts w:ascii="inherit" w:hAnsi="inherit"/>
          <w:b/>
          <w:sz w:val="17"/>
        </w:rPr>
      </w:pPr>
      <w:bookmarkStart w:id="72" w:name="sB11BC407987318A18F3683E26D3CFE56"/>
      <w:bookmarkEnd w:id="72"/>
      <w:r>
        <w:rPr>
          <w:rFonts w:ascii="inherit" w:hAnsi="inherit"/>
          <w:b/>
          <w:sz w:val="17"/>
        </w:rPr>
        <w:t>NOTE 7: GOODWILL AND OTHER INTANGIBLE ASSETS</w:t>
      </w:r>
    </w:p>
    <w:p>
      <w:pPr>
        <w:pStyle w:val="TextBody"/>
        <w:spacing w:lineRule="auto" w:line="288" w:before="0" w:after="0"/>
        <w:jc w:val="left"/>
        <w:rPr>
          <w:rFonts w:ascii="inherit" w:hAnsi="inherit"/>
          <w:sz w:val="17"/>
        </w:rPr>
      </w:pPr>
      <w:r>
        <w:rPr>
          <w:rFonts w:ascii="inherit" w:hAnsi="inherit"/>
          <w:sz w:val="17"/>
        </w:rPr>
        <w:t>The following table presents the balance of each major class of indefinite-lived intangible assets at the specified dates:</w:t>
      </w:r>
    </w:p>
    <w:tbl>
      <w:tblPr>
        <w:tblW w:w="10205" w:type="dxa"/>
        <w:jc w:val="left"/>
        <w:tblInd w:w="0" w:type="dxa"/>
        <w:tblCellMar>
          <w:top w:w="0" w:type="dxa"/>
          <w:left w:w="0" w:type="dxa"/>
          <w:bottom w:w="0" w:type="dxa"/>
          <w:right w:w="0" w:type="dxa"/>
        </w:tblCellMar>
      </w:tblPr>
      <w:tblGrid>
        <w:gridCol w:w="7374"/>
        <w:gridCol w:w="125"/>
        <w:gridCol w:w="1126"/>
        <w:gridCol w:w="102"/>
        <w:gridCol w:w="117"/>
        <w:gridCol w:w="125"/>
        <w:gridCol w:w="1126"/>
        <w:gridCol w:w="110"/>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37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374" w:type="dxa"/>
            <w:tcBorders/>
            <w:shd w:fill="auto" w:val="clear"/>
            <w:vAlign w:val="center"/>
          </w:tcPr>
          <w:p>
            <w:pPr>
              <w:pStyle w:val="TableContents"/>
              <w:spacing w:before="0" w:after="0"/>
              <w:ind w:left="0" w:right="0" w:firstLine="30"/>
              <w:jc w:val="left"/>
              <w:rPr/>
            </w:pPr>
            <w:r>
              <w:rPr/>
              <w:t> </w:t>
            </w:r>
          </w:p>
        </w:tc>
        <w:tc>
          <w:tcPr>
            <w:tcW w:w="283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7374" w:type="dxa"/>
            <w:tcBorders/>
            <w:shd w:fill="auto" w:val="clear"/>
            <w:vAlign w:val="center"/>
          </w:tcPr>
          <w:p>
            <w:pPr>
              <w:pStyle w:val="TableContents"/>
              <w:spacing w:before="0" w:after="0"/>
              <w:ind w:left="0" w:right="0" w:firstLine="30"/>
              <w:jc w:val="left"/>
              <w:rPr/>
            </w:pPr>
            <w:r>
              <w:rPr/>
              <w:t> </w:t>
            </w:r>
          </w:p>
        </w:tc>
        <w:tc>
          <w:tcPr>
            <w:tcW w:w="135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17" w:type="dxa"/>
            <w:tcBorders/>
            <w:shd w:fill="auto" w:val="clear"/>
            <w:vAlign w:val="center"/>
          </w:tcPr>
          <w:p>
            <w:pPr>
              <w:pStyle w:val="TableContents"/>
              <w:spacing w:before="0" w:after="0"/>
              <w:ind w:left="0" w:right="0" w:firstLine="30"/>
              <w:rPr/>
            </w:pPr>
            <w:r>
              <w:rPr/>
              <w:t> </w:t>
            </w:r>
          </w:p>
        </w:tc>
        <w:tc>
          <w:tcPr>
            <w:tcW w:w="136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7374" w:type="dxa"/>
            <w:tcBorders/>
            <w:shd w:fill="auto" w:val="clear"/>
            <w:vAlign w:val="center"/>
          </w:tcPr>
          <w:p>
            <w:pPr>
              <w:pStyle w:val="TableContents"/>
              <w:spacing w:before="0" w:after="0"/>
              <w:ind w:left="0" w:right="0" w:firstLine="30"/>
              <w:jc w:val="left"/>
              <w:rPr/>
            </w:pPr>
            <w:r>
              <w:rPr/>
              <w:t> </w:t>
            </w:r>
          </w:p>
        </w:tc>
        <w:tc>
          <w:tcPr>
            <w:tcW w:w="2831"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3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licenses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shd w:fill="CCEEFF" w:val="clear"/>
            <w:vAlign w:val="center"/>
          </w:tcPr>
          <w:p>
            <w:pPr>
              <w:pStyle w:val="TableContents"/>
              <w:spacing w:before="0" w:after="0"/>
              <w:jc w:val="right"/>
              <w:rPr>
                <w:rFonts w:ascii="inherit" w:hAnsi="inherit"/>
                <w:sz w:val="17"/>
              </w:rPr>
            </w:pPr>
            <w:r>
              <w:rPr>
                <w:rFonts w:ascii="inherit" w:hAnsi="inherit"/>
                <w:sz w:val="17"/>
              </w:rPr>
              <w:t>8,836</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shd w:fill="CCEEFF" w:val="clear"/>
            <w:vAlign w:val="center"/>
          </w:tcPr>
          <w:p>
            <w:pPr>
              <w:pStyle w:val="TableContents"/>
              <w:spacing w:before="0" w:after="0"/>
              <w:jc w:val="right"/>
              <w:rPr>
                <w:rFonts w:ascii="inherit" w:hAnsi="inherit"/>
                <w:sz w:val="17"/>
              </w:rPr>
            </w:pPr>
            <w:r>
              <w:rPr>
                <w:rFonts w:ascii="inherit" w:hAnsi="inherit"/>
                <w:sz w:val="17"/>
              </w:rPr>
              <w:t>8,836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Trade name</w:t>
            </w:r>
          </w:p>
        </w:tc>
        <w:tc>
          <w:tcPr>
            <w:tcW w:w="12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9,791</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2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9,845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25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428,508</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25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374,663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Domain name</w:t>
            </w:r>
          </w:p>
        </w:tc>
        <w:tc>
          <w:tcPr>
            <w:tcW w:w="125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215</w:t>
            </w:r>
          </w:p>
        </w:tc>
        <w:tc>
          <w:tcPr>
            <w:tcW w:w="10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25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447,350</w:t>
            </w:r>
          </w:p>
        </w:tc>
        <w:tc>
          <w:tcPr>
            <w:tcW w:w="10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393,344</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The following tables present the changes in the carrying value of goodwill, by segment, over the periods presented:</w:t>
      </w:r>
    </w:p>
    <w:tbl>
      <w:tblPr>
        <w:tblW w:w="10205" w:type="dxa"/>
        <w:jc w:val="center"/>
        <w:tblInd w:w="0" w:type="dxa"/>
        <w:tblCellMar>
          <w:top w:w="0" w:type="dxa"/>
          <w:left w:w="0" w:type="dxa"/>
          <w:bottom w:w="0" w:type="dxa"/>
          <w:right w:w="0" w:type="dxa"/>
        </w:tblCellMar>
      </w:tblPr>
      <w:tblGrid>
        <w:gridCol w:w="3632"/>
        <w:gridCol w:w="163"/>
        <w:gridCol w:w="1153"/>
        <w:gridCol w:w="150"/>
        <w:gridCol w:w="133"/>
        <w:gridCol w:w="163"/>
        <w:gridCol w:w="1153"/>
        <w:gridCol w:w="150"/>
        <w:gridCol w:w="133"/>
        <w:gridCol w:w="185"/>
        <w:gridCol w:w="1167"/>
        <w:gridCol w:w="171"/>
        <w:gridCol w:w="133"/>
        <w:gridCol w:w="163"/>
        <w:gridCol w:w="1153"/>
        <w:gridCol w:w="403"/>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632"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32" w:type="dxa"/>
            <w:tcBorders/>
            <w:shd w:fill="auto" w:val="clear"/>
            <w:vAlign w:val="center"/>
          </w:tcPr>
          <w:p>
            <w:pPr>
              <w:pStyle w:val="TableContents"/>
              <w:spacing w:before="0" w:after="0"/>
              <w:rPr/>
            </w:pPr>
            <w:r>
              <w:rPr/>
              <w:t> </w:t>
            </w:r>
          </w:p>
        </w:tc>
        <w:tc>
          <w:tcPr>
            <w:tcW w:w="1466"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U.S, &amp;</w:t>
            </w:r>
          </w:p>
        </w:tc>
        <w:tc>
          <w:tcPr>
            <w:tcW w:w="133" w:type="dxa"/>
            <w:tcBorders/>
            <w:shd w:fill="auto" w:val="clear"/>
            <w:vAlign w:val="center"/>
          </w:tcPr>
          <w:p>
            <w:pPr>
              <w:pStyle w:val="TableContents"/>
              <w:spacing w:before="0" w:after="0"/>
              <w:rPr/>
            </w:pPr>
            <w:r>
              <w:rPr/>
              <w:t> </w:t>
            </w:r>
          </w:p>
        </w:tc>
        <w:tc>
          <w:tcPr>
            <w:tcW w:w="1466"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Latin</w:t>
            </w:r>
          </w:p>
        </w:tc>
        <w:tc>
          <w:tcPr>
            <w:tcW w:w="133" w:type="dxa"/>
            <w:tcBorders/>
            <w:shd w:fill="auto" w:val="clear"/>
            <w:vAlign w:val="center"/>
          </w:tcPr>
          <w:p>
            <w:pPr>
              <w:pStyle w:val="TableContents"/>
              <w:spacing w:before="0" w:after="0"/>
              <w:rPr/>
            </w:pPr>
            <w:r>
              <w:rPr/>
              <w:t> </w:t>
            </w:r>
          </w:p>
        </w:tc>
        <w:tc>
          <w:tcPr>
            <w:tcW w:w="1523"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Other</w:t>
            </w:r>
          </w:p>
        </w:tc>
        <w:tc>
          <w:tcPr>
            <w:tcW w:w="133" w:type="dxa"/>
            <w:tcBorders/>
            <w:shd w:fill="auto" w:val="clear"/>
            <w:vAlign w:val="center"/>
          </w:tcPr>
          <w:p>
            <w:pPr>
              <w:pStyle w:val="TableContents"/>
              <w:spacing w:before="0" w:after="0"/>
              <w:ind w:left="0" w:right="0" w:firstLine="30"/>
              <w:rPr/>
            </w:pPr>
            <w:r>
              <w:rPr/>
              <w:t> </w:t>
            </w:r>
          </w:p>
        </w:tc>
        <w:tc>
          <w:tcPr>
            <w:tcW w:w="1719" w:type="dxa"/>
            <w:gridSpan w:val="3"/>
            <w:tcBorders/>
            <w:shd w:fill="auto" w:val="clear"/>
            <w:vAlign w:val="center"/>
          </w:tcPr>
          <w:p>
            <w:pPr>
              <w:pStyle w:val="TableContents"/>
              <w:spacing w:before="0" w:after="0"/>
              <w:ind w:left="0" w:right="0" w:firstLine="30"/>
              <w:rPr/>
            </w:pPr>
            <w:r>
              <w:rPr/>
              <w:t> </w:t>
            </w:r>
          </w:p>
        </w:tc>
      </w:tr>
      <w:tr>
        <w:trPr/>
        <w:tc>
          <w:tcPr>
            <w:tcW w:w="3632" w:type="dxa"/>
            <w:tcBorders/>
            <w:shd w:fill="auto" w:val="clear"/>
            <w:vAlign w:val="center"/>
          </w:tcPr>
          <w:p>
            <w:pPr>
              <w:pStyle w:val="TableContents"/>
              <w:spacing w:before="0" w:after="0"/>
              <w:ind w:left="0" w:right="0" w:firstLine="30"/>
              <w:jc w:val="left"/>
              <w:rPr/>
            </w:pPr>
            <w:r>
              <w:rPr/>
              <w:t> </w:t>
            </w:r>
          </w:p>
        </w:tc>
        <w:tc>
          <w:tcPr>
            <w:tcW w:w="14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Canada</w:t>
            </w:r>
          </w:p>
        </w:tc>
        <w:tc>
          <w:tcPr>
            <w:tcW w:w="133" w:type="dxa"/>
            <w:tcBorders/>
            <w:shd w:fill="auto" w:val="clear"/>
            <w:vAlign w:val="center"/>
          </w:tcPr>
          <w:p>
            <w:pPr>
              <w:pStyle w:val="TableContents"/>
              <w:spacing w:before="0" w:after="0"/>
              <w:ind w:left="0" w:right="0" w:firstLine="30"/>
              <w:rPr/>
            </w:pPr>
            <w:r>
              <w:rPr/>
              <w:t> </w:t>
            </w:r>
          </w:p>
        </w:tc>
        <w:tc>
          <w:tcPr>
            <w:tcW w:w="14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America</w:t>
            </w:r>
          </w:p>
        </w:tc>
        <w:tc>
          <w:tcPr>
            <w:tcW w:w="133" w:type="dxa"/>
            <w:tcBorders/>
            <w:shd w:fill="auto" w:val="clear"/>
            <w:vAlign w:val="center"/>
          </w:tcPr>
          <w:p>
            <w:pPr>
              <w:pStyle w:val="TableContents"/>
              <w:spacing w:before="0" w:after="0"/>
              <w:ind w:left="0" w:right="0" w:firstLine="30"/>
              <w:rPr/>
            </w:pPr>
            <w:r>
              <w:rPr/>
              <w:t> </w:t>
            </w:r>
          </w:p>
        </w:tc>
        <w:tc>
          <w:tcPr>
            <w:tcW w:w="15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3" w:type="dxa"/>
            <w:tcBorders/>
            <w:shd w:fill="auto" w:val="clear"/>
            <w:vAlign w:val="center"/>
          </w:tcPr>
          <w:p>
            <w:pPr>
              <w:pStyle w:val="TableContents"/>
              <w:spacing w:before="0" w:after="0"/>
              <w:ind w:left="0" w:right="0" w:firstLine="30"/>
              <w:rPr/>
            </w:pPr>
            <w:r>
              <w:rPr/>
              <w:t> </w:t>
            </w:r>
          </w:p>
        </w:tc>
        <w:tc>
          <w:tcPr>
            <w:tcW w:w="17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632" w:type="dxa"/>
            <w:tcBorders/>
            <w:shd w:fill="auto" w:val="clear"/>
            <w:vAlign w:val="center"/>
          </w:tcPr>
          <w:p>
            <w:pPr>
              <w:pStyle w:val="TableContents"/>
              <w:spacing w:before="0" w:after="0"/>
              <w:ind w:left="0" w:right="0" w:firstLine="30"/>
              <w:jc w:val="left"/>
              <w:rPr/>
            </w:pPr>
            <w:r>
              <w:rPr/>
              <w:t> </w:t>
            </w:r>
          </w:p>
        </w:tc>
        <w:tc>
          <w:tcPr>
            <w:tcW w:w="1466" w:type="dxa"/>
            <w:gridSpan w:val="3"/>
            <w:tcBorders/>
            <w:shd w:fill="auto" w:val="clear"/>
            <w:vAlign w:val="center"/>
          </w:tcPr>
          <w:p>
            <w:pPr>
              <w:pStyle w:val="TableContents"/>
              <w:spacing w:before="0" w:after="0"/>
              <w:ind w:left="0" w:right="0" w:firstLine="30"/>
              <w:jc w:val="left"/>
              <w:rPr/>
            </w:pPr>
            <w:r>
              <w:rPr/>
              <w:t> </w:t>
            </w:r>
          </w:p>
        </w:tc>
        <w:tc>
          <w:tcPr>
            <w:tcW w:w="133" w:type="dxa"/>
            <w:tcBorders/>
            <w:shd w:fill="auto" w:val="clear"/>
            <w:vAlign w:val="center"/>
          </w:tcPr>
          <w:p>
            <w:pPr>
              <w:pStyle w:val="TableContents"/>
              <w:spacing w:before="0" w:after="0"/>
              <w:ind w:left="0" w:right="0" w:firstLine="30"/>
              <w:rPr/>
            </w:pPr>
            <w:r>
              <w:rPr/>
              <w:t> </w:t>
            </w:r>
          </w:p>
        </w:tc>
        <w:tc>
          <w:tcPr>
            <w:tcW w:w="3122"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33" w:type="dxa"/>
            <w:tcBorders/>
            <w:shd w:fill="auto" w:val="clear"/>
            <w:vAlign w:val="center"/>
          </w:tcPr>
          <w:p>
            <w:pPr>
              <w:pStyle w:val="TableContents"/>
              <w:spacing w:before="0" w:after="0"/>
              <w:ind w:left="0" w:right="0" w:firstLine="30"/>
              <w:rPr/>
            </w:pPr>
            <w:r>
              <w:rPr/>
              <w:t> </w:t>
            </w:r>
          </w:p>
        </w:tc>
        <w:tc>
          <w:tcPr>
            <w:tcW w:w="1719" w:type="dxa"/>
            <w:gridSpan w:val="3"/>
            <w:tcBorders/>
            <w:shd w:fill="auto" w:val="clear"/>
            <w:vAlign w:val="center"/>
          </w:tcPr>
          <w:p>
            <w:pPr>
              <w:pStyle w:val="TableContents"/>
              <w:spacing w:before="0" w:after="0"/>
              <w:ind w:left="0" w:right="0" w:firstLine="30"/>
              <w:jc w:val="left"/>
              <w:rPr/>
            </w:pPr>
            <w:r>
              <w:rPr/>
              <w:t> </w:t>
            </w:r>
          </w:p>
        </w:tc>
      </w:tr>
      <w:tr>
        <w:trPr/>
        <w:tc>
          <w:tcPr>
            <w:tcW w:w="36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Balances at September 30, 2011</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3" w:type="dxa"/>
            <w:tcBorders/>
            <w:shd w:fill="CCEEFF" w:val="clear"/>
            <w:vAlign w:val="center"/>
          </w:tcPr>
          <w:p>
            <w:pPr>
              <w:pStyle w:val="TableContents"/>
              <w:spacing w:before="0" w:after="0"/>
              <w:jc w:val="right"/>
              <w:rPr>
                <w:rFonts w:ascii="inherit" w:hAnsi="inherit"/>
                <w:sz w:val="17"/>
              </w:rPr>
            </w:pPr>
            <w:r>
              <w:rPr>
                <w:rFonts w:ascii="inherit" w:hAnsi="inherit"/>
                <w:sz w:val="17"/>
              </w:rPr>
              <w:t>163,897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3" w:type="dxa"/>
            <w:tcBorders/>
            <w:shd w:fill="CCEEFF" w:val="clear"/>
            <w:vAlign w:val="center"/>
          </w:tcPr>
          <w:p>
            <w:pPr>
              <w:pStyle w:val="TableContents"/>
              <w:spacing w:before="0" w:after="0"/>
              <w:jc w:val="right"/>
              <w:rPr>
                <w:rFonts w:ascii="inherit" w:hAnsi="inherit"/>
                <w:sz w:val="17"/>
              </w:rPr>
            </w:pPr>
            <w:r>
              <w:rPr>
                <w:rFonts w:ascii="inherit" w:hAnsi="inherit"/>
                <w:sz w:val="17"/>
              </w:rPr>
              <w:t>9,309</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8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67" w:type="dxa"/>
            <w:tcBorders/>
            <w:shd w:fill="CCEEFF" w:val="clear"/>
            <w:vAlign w:val="center"/>
          </w:tcPr>
          <w:p>
            <w:pPr>
              <w:pStyle w:val="TableContents"/>
              <w:spacing w:before="0" w:after="0"/>
              <w:jc w:val="right"/>
              <w:rPr/>
            </w:pPr>
            <w:r>
              <w:rPr/>
              <w:t>—</w:t>
            </w:r>
          </w:p>
        </w:tc>
        <w:tc>
          <w:tcPr>
            <w:tcW w:w="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3" w:type="dxa"/>
            <w:tcBorders/>
            <w:shd w:fill="CCEEFF" w:val="clear"/>
            <w:vAlign w:val="center"/>
          </w:tcPr>
          <w:p>
            <w:pPr>
              <w:pStyle w:val="TableContents"/>
              <w:spacing w:before="0" w:after="0"/>
              <w:jc w:val="right"/>
              <w:rPr>
                <w:rFonts w:ascii="inherit" w:hAnsi="inherit"/>
                <w:sz w:val="17"/>
              </w:rPr>
            </w:pPr>
            <w:r>
              <w:rPr>
                <w:rFonts w:ascii="inherit" w:hAnsi="inherit"/>
                <w:sz w:val="17"/>
              </w:rPr>
              <w:t>173,206</w:t>
            </w:r>
          </w:p>
        </w:tc>
        <w:tc>
          <w:tcPr>
            <w:tcW w:w="40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6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Acquisitions</w:t>
            </w:r>
          </w:p>
        </w:tc>
        <w:tc>
          <w:tcPr>
            <w:tcW w:w="13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60,409</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99,486</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39,338</w:t>
            </w:r>
          </w:p>
        </w:tc>
        <w:tc>
          <w:tcPr>
            <w:tcW w:w="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199,233</w:t>
            </w:r>
          </w:p>
        </w:tc>
        <w:tc>
          <w:tcPr>
            <w:tcW w:w="40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6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Effect of foreign currency translation changes</w:t>
            </w:r>
          </w:p>
        </w:tc>
        <w:tc>
          <w:tcPr>
            <w:tcW w:w="131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1,606</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5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618</w:t>
            </w:r>
          </w:p>
        </w:tc>
        <w:tc>
          <w:tcPr>
            <w:tcW w:w="17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2,224</w:t>
            </w:r>
          </w:p>
        </w:tc>
        <w:tc>
          <w:tcPr>
            <w:tcW w:w="40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Balances at September 30, 2012</w:t>
            </w:r>
          </w:p>
        </w:tc>
        <w:tc>
          <w:tcPr>
            <w:tcW w:w="13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224,306</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16"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110,401</w:t>
            </w:r>
          </w:p>
        </w:tc>
        <w:tc>
          <w:tcPr>
            <w:tcW w:w="15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5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39,956</w:t>
            </w:r>
          </w:p>
        </w:tc>
        <w:tc>
          <w:tcPr>
            <w:tcW w:w="17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16"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374,663</w:t>
            </w:r>
          </w:p>
        </w:tc>
        <w:tc>
          <w:tcPr>
            <w:tcW w:w="40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6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Acquisitions</w:t>
            </w:r>
          </w:p>
        </w:tc>
        <w:tc>
          <w:tcPr>
            <w:tcW w:w="13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54,133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2,282</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52" w:type="dxa"/>
            <w:gridSpan w:val="2"/>
            <w:tcBorders/>
            <w:shd w:fill="CCEEFF" w:val="clear"/>
            <w:vAlign w:val="center"/>
          </w:tcPr>
          <w:p>
            <w:pPr>
              <w:pStyle w:val="TableContents"/>
              <w:spacing w:before="0" w:after="0"/>
              <w:jc w:val="right"/>
              <w:rPr/>
            </w:pPr>
            <w:r>
              <w:rPr/>
              <w:t>—</w:t>
            </w:r>
          </w:p>
        </w:tc>
        <w:tc>
          <w:tcPr>
            <w:tcW w:w="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56,415</w:t>
            </w:r>
          </w:p>
        </w:tc>
        <w:tc>
          <w:tcPr>
            <w:tcW w:w="403"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6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Effect of foreign currency translation changes</w:t>
            </w:r>
          </w:p>
        </w:tc>
        <w:tc>
          <w:tcPr>
            <w:tcW w:w="131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(2,474</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3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w:t>
            </w:r>
          </w:p>
        </w:tc>
        <w:tc>
          <w:tcPr>
            <w:tcW w:w="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(2,538</w:t>
            </w:r>
          </w:p>
        </w:tc>
        <w:tc>
          <w:tcPr>
            <w:tcW w:w="403"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6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 impairment</w:t>
            </w:r>
          </w:p>
        </w:tc>
        <w:tc>
          <w:tcPr>
            <w:tcW w:w="13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w:t>
            </w:r>
          </w:p>
        </w:tc>
        <w:tc>
          <w:tcPr>
            <w:tcW w:w="15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31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5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w:t>
            </w:r>
          </w:p>
        </w:tc>
        <w:tc>
          <w:tcPr>
            <w:tcW w:w="40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6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Balances at September 30, 2013</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278,407</w:t>
            </w:r>
          </w:p>
        </w:tc>
        <w:tc>
          <w:tcPr>
            <w:tcW w:w="15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110,209</w:t>
            </w:r>
          </w:p>
        </w:tc>
        <w:tc>
          <w:tcPr>
            <w:tcW w:w="15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39,892</w:t>
            </w:r>
          </w:p>
        </w:tc>
        <w:tc>
          <w:tcPr>
            <w:tcW w:w="17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428,508</w:t>
            </w:r>
          </w:p>
        </w:tc>
        <w:tc>
          <w:tcPr>
            <w:tcW w:w="40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The following table presents the gross carrying amount and accumulated amortization for each major class of definite-lived intangible assets at the specified dates:</w:t>
      </w:r>
    </w:p>
    <w:tbl>
      <w:tblPr>
        <w:tblW w:w="10205" w:type="dxa"/>
        <w:jc w:val="left"/>
        <w:tblInd w:w="0" w:type="dxa"/>
        <w:tblCellMar>
          <w:top w:w="0" w:type="dxa"/>
          <w:left w:w="0" w:type="dxa"/>
          <w:bottom w:w="0" w:type="dxa"/>
          <w:right w:w="0" w:type="dxa"/>
        </w:tblCellMar>
      </w:tblPr>
      <w:tblGrid>
        <w:gridCol w:w="2140"/>
        <w:gridCol w:w="138"/>
        <w:gridCol w:w="975"/>
        <w:gridCol w:w="79"/>
        <w:gridCol w:w="116"/>
        <w:gridCol w:w="147"/>
        <w:gridCol w:w="1062"/>
        <w:gridCol w:w="138"/>
        <w:gridCol w:w="116"/>
        <w:gridCol w:w="138"/>
        <w:gridCol w:w="975"/>
        <w:gridCol w:w="79"/>
        <w:gridCol w:w="116"/>
        <w:gridCol w:w="138"/>
        <w:gridCol w:w="975"/>
        <w:gridCol w:w="79"/>
        <w:gridCol w:w="116"/>
        <w:gridCol w:w="159"/>
        <w:gridCol w:w="1040"/>
        <w:gridCol w:w="148"/>
        <w:gridCol w:w="116"/>
        <w:gridCol w:w="138"/>
        <w:gridCol w:w="975"/>
        <w:gridCol w:w="102"/>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214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40" w:type="dxa"/>
            <w:tcBorders/>
            <w:shd w:fill="auto" w:val="clear"/>
            <w:vAlign w:val="center"/>
          </w:tcPr>
          <w:p>
            <w:pPr>
              <w:pStyle w:val="TableContents"/>
              <w:spacing w:before="0" w:after="0"/>
              <w:ind w:left="0" w:right="0" w:firstLine="30"/>
              <w:jc w:val="left"/>
              <w:rPr/>
            </w:pPr>
            <w:r>
              <w:rPr/>
              <w:t> </w:t>
            </w:r>
          </w:p>
        </w:tc>
        <w:tc>
          <w:tcPr>
            <w:tcW w:w="8065"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2140" w:type="dxa"/>
            <w:tcBorders/>
            <w:shd w:fill="auto" w:val="clear"/>
            <w:vAlign w:val="center"/>
          </w:tcPr>
          <w:p>
            <w:pPr>
              <w:pStyle w:val="TableContents"/>
              <w:spacing w:before="0" w:after="0"/>
              <w:ind w:left="0" w:right="0" w:firstLine="30"/>
              <w:jc w:val="left"/>
              <w:rPr/>
            </w:pPr>
            <w:r>
              <w:rPr/>
              <w:t> </w:t>
            </w:r>
          </w:p>
        </w:tc>
        <w:tc>
          <w:tcPr>
            <w:tcW w:w="396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16" w:type="dxa"/>
            <w:tcBorders/>
            <w:shd w:fill="auto" w:val="clear"/>
            <w:vAlign w:val="center"/>
          </w:tcPr>
          <w:p>
            <w:pPr>
              <w:pStyle w:val="TableContents"/>
              <w:spacing w:before="0" w:after="0"/>
              <w:ind w:left="0" w:right="0" w:firstLine="30"/>
              <w:rPr/>
            </w:pPr>
            <w:r>
              <w:rPr/>
              <w:t> </w:t>
            </w:r>
          </w:p>
        </w:tc>
        <w:tc>
          <w:tcPr>
            <w:tcW w:w="398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2140" w:type="dxa"/>
            <w:tcBorders/>
            <w:shd w:fill="auto" w:val="clear"/>
            <w:vAlign w:val="center"/>
          </w:tcPr>
          <w:p>
            <w:pPr>
              <w:pStyle w:val="TableContents"/>
              <w:spacing w:before="0" w:after="0"/>
              <w:ind w:left="0" w:right="0" w:firstLine="30"/>
              <w:rPr/>
            </w:pPr>
            <w:r>
              <w:rPr/>
              <w:t> </w:t>
            </w:r>
          </w:p>
        </w:tc>
        <w:tc>
          <w:tcPr>
            <w:tcW w:w="119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16" w:type="dxa"/>
            <w:tcBorders/>
            <w:shd w:fill="auto" w:val="clear"/>
            <w:vAlign w:val="center"/>
          </w:tcPr>
          <w:p>
            <w:pPr>
              <w:pStyle w:val="TableContents"/>
              <w:spacing w:before="0" w:after="0"/>
              <w:ind w:left="0" w:right="0" w:firstLine="30"/>
              <w:rPr/>
            </w:pPr>
            <w:r>
              <w:rPr/>
              <w:t> </w:t>
            </w:r>
          </w:p>
        </w:tc>
        <w:tc>
          <w:tcPr>
            <w:tcW w:w="134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Accumulated</w:t>
            </w:r>
          </w:p>
          <w:p>
            <w:pPr>
              <w:pStyle w:val="TableContents"/>
              <w:spacing w:before="0" w:after="0"/>
              <w:ind w:left="0" w:right="0" w:firstLine="30"/>
              <w:jc w:val="center"/>
              <w:rPr>
                <w:rFonts w:ascii="inherit" w:hAnsi="inherit"/>
                <w:b/>
                <w:sz w:val="13"/>
              </w:rPr>
            </w:pPr>
            <w:r>
              <w:rPr>
                <w:rFonts w:ascii="inherit" w:hAnsi="inherit"/>
                <w:b/>
                <w:sz w:val="13"/>
              </w:rPr>
              <w:t>Amortization</w:t>
            </w:r>
          </w:p>
        </w:tc>
        <w:tc>
          <w:tcPr>
            <w:tcW w:w="116" w:type="dxa"/>
            <w:tcBorders/>
            <w:shd w:fill="auto" w:val="clear"/>
            <w:vAlign w:val="center"/>
          </w:tcPr>
          <w:p>
            <w:pPr>
              <w:pStyle w:val="TableContents"/>
              <w:spacing w:before="0" w:after="0"/>
              <w:ind w:left="0" w:right="0" w:firstLine="30"/>
              <w:rPr/>
            </w:pPr>
            <w:r>
              <w:rPr/>
              <w:t> </w:t>
            </w:r>
          </w:p>
        </w:tc>
        <w:tc>
          <w:tcPr>
            <w:tcW w:w="119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Net Book</w:t>
            </w:r>
          </w:p>
          <w:p>
            <w:pPr>
              <w:pStyle w:val="TableContents"/>
              <w:spacing w:before="0" w:after="0"/>
              <w:ind w:left="0" w:right="0" w:firstLine="30"/>
              <w:jc w:val="center"/>
              <w:rPr>
                <w:rFonts w:ascii="inherit" w:hAnsi="inherit"/>
                <w:b/>
                <w:sz w:val="13"/>
              </w:rPr>
            </w:pPr>
            <w:r>
              <w:rPr>
                <w:rFonts w:ascii="inherit" w:hAnsi="inherit"/>
                <w:b/>
                <w:sz w:val="13"/>
              </w:rPr>
              <w:t>Value</w:t>
            </w:r>
          </w:p>
        </w:tc>
        <w:tc>
          <w:tcPr>
            <w:tcW w:w="116" w:type="dxa"/>
            <w:tcBorders/>
            <w:shd w:fill="auto" w:val="clear"/>
            <w:vAlign w:val="center"/>
          </w:tcPr>
          <w:p>
            <w:pPr>
              <w:pStyle w:val="TableContents"/>
              <w:spacing w:before="0" w:after="0"/>
              <w:ind w:left="0" w:right="0" w:firstLine="30"/>
              <w:rPr/>
            </w:pPr>
            <w:r>
              <w:rPr/>
              <w:t> </w:t>
            </w:r>
          </w:p>
        </w:tc>
        <w:tc>
          <w:tcPr>
            <w:tcW w:w="119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16" w:type="dxa"/>
            <w:tcBorders/>
            <w:shd w:fill="auto" w:val="clear"/>
            <w:vAlign w:val="center"/>
          </w:tcPr>
          <w:p>
            <w:pPr>
              <w:pStyle w:val="TableContents"/>
              <w:spacing w:before="0" w:after="0"/>
              <w:ind w:left="0" w:right="0" w:firstLine="30"/>
              <w:rPr/>
            </w:pPr>
            <w:r>
              <w:rPr/>
              <w:t> </w:t>
            </w:r>
          </w:p>
        </w:tc>
        <w:tc>
          <w:tcPr>
            <w:tcW w:w="134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Accumulated</w:t>
            </w:r>
          </w:p>
          <w:p>
            <w:pPr>
              <w:pStyle w:val="TableContents"/>
              <w:spacing w:before="0" w:after="0"/>
              <w:ind w:left="0" w:right="0" w:firstLine="30"/>
              <w:jc w:val="center"/>
              <w:rPr>
                <w:rFonts w:ascii="inherit" w:hAnsi="inherit"/>
                <w:b/>
                <w:sz w:val="13"/>
              </w:rPr>
            </w:pPr>
            <w:r>
              <w:rPr>
                <w:rFonts w:ascii="inherit" w:hAnsi="inherit"/>
                <w:b/>
                <w:sz w:val="13"/>
              </w:rPr>
              <w:t>Amortization</w:t>
            </w:r>
          </w:p>
        </w:tc>
        <w:tc>
          <w:tcPr>
            <w:tcW w:w="116" w:type="dxa"/>
            <w:tcBorders/>
            <w:shd w:fill="auto" w:val="clear"/>
            <w:vAlign w:val="center"/>
          </w:tcPr>
          <w:p>
            <w:pPr>
              <w:pStyle w:val="TableContents"/>
              <w:spacing w:before="0" w:after="0"/>
              <w:ind w:left="0" w:right="0" w:firstLine="30"/>
              <w:rPr/>
            </w:pPr>
            <w:r>
              <w:rPr/>
              <w:t> </w:t>
            </w:r>
          </w:p>
        </w:tc>
        <w:tc>
          <w:tcPr>
            <w:tcW w:w="121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Net Book</w:t>
            </w:r>
          </w:p>
          <w:p>
            <w:pPr>
              <w:pStyle w:val="TableContents"/>
              <w:spacing w:before="0" w:after="0"/>
              <w:ind w:left="0" w:right="0" w:firstLine="30"/>
              <w:jc w:val="center"/>
              <w:rPr>
                <w:rFonts w:ascii="inherit" w:hAnsi="inherit"/>
                <w:b/>
                <w:sz w:val="13"/>
              </w:rPr>
            </w:pPr>
            <w:r>
              <w:rPr>
                <w:rFonts w:ascii="inherit" w:hAnsi="inherit"/>
                <w:b/>
                <w:sz w:val="13"/>
              </w:rPr>
              <w:t>Value</w:t>
            </w:r>
          </w:p>
        </w:tc>
      </w:tr>
      <w:tr>
        <w:trPr/>
        <w:tc>
          <w:tcPr>
            <w:tcW w:w="2140" w:type="dxa"/>
            <w:tcBorders/>
            <w:shd w:fill="auto" w:val="clear"/>
            <w:vAlign w:val="center"/>
          </w:tcPr>
          <w:p>
            <w:pPr>
              <w:pStyle w:val="TableContents"/>
              <w:spacing w:before="0" w:after="0"/>
              <w:ind w:left="0" w:right="0" w:firstLine="30"/>
              <w:jc w:val="left"/>
              <w:rPr/>
            </w:pPr>
            <w:r>
              <w:rPr/>
              <w:t> </w:t>
            </w:r>
          </w:p>
        </w:tc>
        <w:tc>
          <w:tcPr>
            <w:tcW w:w="1192" w:type="dxa"/>
            <w:gridSpan w:val="3"/>
            <w:tcBorders/>
            <w:shd w:fill="auto" w:val="clear"/>
            <w:vAlign w:val="center"/>
          </w:tcPr>
          <w:p>
            <w:pPr>
              <w:pStyle w:val="TableContents"/>
              <w:spacing w:before="0" w:after="0"/>
              <w:ind w:left="0" w:right="0" w:firstLine="30"/>
              <w:jc w:val="left"/>
              <w:rPr/>
            </w:pPr>
            <w:r>
              <w:rPr/>
              <w:t> </w:t>
            </w:r>
          </w:p>
        </w:tc>
        <w:tc>
          <w:tcPr>
            <w:tcW w:w="116" w:type="dxa"/>
            <w:tcBorders/>
            <w:shd w:fill="auto" w:val="clear"/>
            <w:vAlign w:val="center"/>
          </w:tcPr>
          <w:p>
            <w:pPr>
              <w:pStyle w:val="TableContents"/>
              <w:spacing w:before="0" w:after="0"/>
              <w:ind w:left="0" w:right="0" w:firstLine="30"/>
              <w:rPr/>
            </w:pPr>
            <w:r>
              <w:rPr/>
              <w:t> </w:t>
            </w:r>
          </w:p>
        </w:tc>
        <w:tc>
          <w:tcPr>
            <w:tcW w:w="1347" w:type="dxa"/>
            <w:gridSpan w:val="3"/>
            <w:tcBorders/>
            <w:shd w:fill="auto" w:val="clear"/>
            <w:vAlign w:val="center"/>
          </w:tcPr>
          <w:p>
            <w:pPr>
              <w:pStyle w:val="TableContents"/>
              <w:spacing w:before="0" w:after="0"/>
              <w:ind w:left="0" w:right="0" w:firstLine="30"/>
              <w:jc w:val="left"/>
              <w:rPr/>
            </w:pPr>
            <w:r>
              <w:rPr/>
              <w:t> </w:t>
            </w:r>
          </w:p>
        </w:tc>
        <w:tc>
          <w:tcPr>
            <w:tcW w:w="116" w:type="dxa"/>
            <w:tcBorders/>
            <w:shd w:fill="auto" w:val="clear"/>
            <w:vAlign w:val="center"/>
          </w:tcPr>
          <w:p>
            <w:pPr>
              <w:pStyle w:val="TableContents"/>
              <w:spacing w:before="0" w:after="0"/>
              <w:ind w:left="0" w:right="0" w:firstLine="30"/>
              <w:rPr/>
            </w:pPr>
            <w:r>
              <w:rPr/>
              <w:t> </w:t>
            </w:r>
          </w:p>
        </w:tc>
        <w:tc>
          <w:tcPr>
            <w:tcW w:w="250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16" w:type="dxa"/>
            <w:tcBorders/>
            <w:shd w:fill="auto" w:val="clear"/>
            <w:vAlign w:val="center"/>
          </w:tcPr>
          <w:p>
            <w:pPr>
              <w:pStyle w:val="TableContents"/>
              <w:spacing w:before="0" w:after="0"/>
              <w:ind w:left="0" w:right="0" w:firstLine="30"/>
              <w:rPr/>
            </w:pPr>
            <w:r>
              <w:rPr/>
              <w:t> </w:t>
            </w:r>
          </w:p>
        </w:tc>
        <w:tc>
          <w:tcPr>
            <w:tcW w:w="1347" w:type="dxa"/>
            <w:gridSpan w:val="3"/>
            <w:tcBorders/>
            <w:shd w:fill="auto" w:val="clear"/>
            <w:vAlign w:val="center"/>
          </w:tcPr>
          <w:p>
            <w:pPr>
              <w:pStyle w:val="TableContents"/>
              <w:spacing w:before="0" w:after="0"/>
              <w:ind w:left="0" w:right="0" w:firstLine="30"/>
              <w:jc w:val="left"/>
              <w:rPr/>
            </w:pPr>
            <w:r>
              <w:rPr/>
              <w:t> </w:t>
            </w:r>
          </w:p>
        </w:tc>
        <w:tc>
          <w:tcPr>
            <w:tcW w:w="116" w:type="dxa"/>
            <w:tcBorders/>
            <w:shd w:fill="auto" w:val="clear"/>
            <w:vAlign w:val="center"/>
          </w:tcPr>
          <w:p>
            <w:pPr>
              <w:pStyle w:val="TableContents"/>
              <w:spacing w:before="0" w:after="0"/>
              <w:ind w:left="0" w:right="0" w:firstLine="30"/>
              <w:rPr/>
            </w:pPr>
            <w:r>
              <w:rPr/>
              <w:t> </w:t>
            </w:r>
          </w:p>
        </w:tc>
        <w:tc>
          <w:tcPr>
            <w:tcW w:w="1215" w:type="dxa"/>
            <w:gridSpan w:val="3"/>
            <w:tcBorders/>
            <w:shd w:fill="auto" w:val="clear"/>
            <w:vAlign w:val="center"/>
          </w:tcPr>
          <w:p>
            <w:pPr>
              <w:pStyle w:val="TableContents"/>
              <w:spacing w:before="0" w:after="0"/>
              <w:ind w:left="0" w:right="0" w:firstLine="30"/>
              <w:jc w:val="left"/>
              <w:rPr/>
            </w:pPr>
            <w:r>
              <w:rPr/>
              <w:t> </w:t>
            </w:r>
          </w:p>
        </w:tc>
      </w:tr>
      <w:tr>
        <w:trPr/>
        <w:tc>
          <w:tcPr>
            <w:tcW w:w="2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Real estate finders’ fees</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shd w:fill="CCEEFF" w:val="clear"/>
            <w:vAlign w:val="center"/>
          </w:tcPr>
          <w:p>
            <w:pPr>
              <w:pStyle w:val="TableContents"/>
              <w:spacing w:before="0" w:after="0"/>
              <w:jc w:val="right"/>
              <w:rPr>
                <w:rFonts w:ascii="inherit" w:hAnsi="inherit"/>
                <w:sz w:val="17"/>
              </w:rPr>
            </w:pPr>
            <w:r>
              <w:rPr>
                <w:rFonts w:ascii="inherit" w:hAnsi="inherit"/>
                <w:sz w:val="17"/>
              </w:rPr>
              <w:t>1,496</w:t>
            </w:r>
          </w:p>
        </w:tc>
        <w:tc>
          <w:tcPr>
            <w:tcW w:w="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62" w:type="dxa"/>
            <w:tcBorders/>
            <w:shd w:fill="CCEEFF" w:val="clear"/>
            <w:vAlign w:val="center"/>
          </w:tcPr>
          <w:p>
            <w:pPr>
              <w:pStyle w:val="TableContents"/>
              <w:spacing w:before="0" w:after="0"/>
              <w:jc w:val="right"/>
              <w:rPr>
                <w:rFonts w:ascii="inherit" w:hAnsi="inherit"/>
                <w:sz w:val="17"/>
              </w:rPr>
            </w:pPr>
            <w:r>
              <w:rPr>
                <w:rFonts w:ascii="inherit" w:hAnsi="inherit"/>
                <w:sz w:val="17"/>
              </w:rPr>
              <w:t>(594</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shd w:fill="CCEEFF" w:val="clear"/>
            <w:vAlign w:val="center"/>
          </w:tcPr>
          <w:p>
            <w:pPr>
              <w:pStyle w:val="TableContents"/>
              <w:spacing w:before="0" w:after="0"/>
              <w:jc w:val="right"/>
              <w:rPr>
                <w:rFonts w:ascii="inherit" w:hAnsi="inherit"/>
                <w:sz w:val="17"/>
              </w:rPr>
            </w:pPr>
            <w:r>
              <w:rPr>
                <w:rFonts w:ascii="inherit" w:hAnsi="inherit"/>
                <w:sz w:val="17"/>
              </w:rPr>
              <w:t>902</w:t>
            </w:r>
          </w:p>
        </w:tc>
        <w:tc>
          <w:tcPr>
            <w:tcW w:w="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shd w:fill="CCEEFF" w:val="clear"/>
            <w:vAlign w:val="center"/>
          </w:tcPr>
          <w:p>
            <w:pPr>
              <w:pStyle w:val="TableContents"/>
              <w:spacing w:before="0" w:after="0"/>
              <w:jc w:val="right"/>
              <w:rPr>
                <w:rFonts w:ascii="inherit" w:hAnsi="inherit"/>
                <w:sz w:val="17"/>
              </w:rPr>
            </w:pPr>
            <w:r>
              <w:rPr>
                <w:rFonts w:ascii="inherit" w:hAnsi="inherit"/>
                <w:sz w:val="17"/>
              </w:rPr>
              <w:t>1,457</w:t>
            </w:r>
          </w:p>
        </w:tc>
        <w:tc>
          <w:tcPr>
            <w:tcW w:w="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0" w:type="dxa"/>
            <w:tcBorders/>
            <w:shd w:fill="CCEEFF" w:val="clear"/>
            <w:vAlign w:val="center"/>
          </w:tcPr>
          <w:p>
            <w:pPr>
              <w:pStyle w:val="TableContents"/>
              <w:spacing w:before="0" w:after="0"/>
              <w:jc w:val="right"/>
              <w:rPr>
                <w:rFonts w:ascii="inherit" w:hAnsi="inherit"/>
                <w:sz w:val="17"/>
              </w:rPr>
            </w:pPr>
            <w:r>
              <w:rPr>
                <w:rFonts w:ascii="inherit" w:hAnsi="inherit"/>
                <w:sz w:val="17"/>
              </w:rPr>
              <w:t>(590</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shd w:fill="CCEEFF" w:val="clear"/>
            <w:vAlign w:val="center"/>
          </w:tcPr>
          <w:p>
            <w:pPr>
              <w:pStyle w:val="TableContents"/>
              <w:spacing w:before="0" w:after="0"/>
              <w:jc w:val="right"/>
              <w:rPr>
                <w:rFonts w:ascii="inherit" w:hAnsi="inherit"/>
                <w:sz w:val="17"/>
              </w:rPr>
            </w:pPr>
            <w:r>
              <w:rPr>
                <w:rFonts w:ascii="inherit" w:hAnsi="inherit"/>
                <w:sz w:val="17"/>
              </w:rPr>
              <w:t>867</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Non-compete agreements</w:t>
            </w:r>
          </w:p>
        </w:tc>
        <w:tc>
          <w:tcPr>
            <w:tcW w:w="11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4,070</w:t>
            </w:r>
          </w:p>
        </w:tc>
        <w:tc>
          <w:tcPr>
            <w:tcW w:w="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2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(3,397</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673</w:t>
            </w:r>
          </w:p>
        </w:tc>
        <w:tc>
          <w:tcPr>
            <w:tcW w:w="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4,504</w:t>
            </w:r>
          </w:p>
        </w:tc>
        <w:tc>
          <w:tcPr>
            <w:tcW w:w="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(3,290</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1,214</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Favorable lease</w:t>
            </w:r>
          </w:p>
        </w:tc>
        <w:tc>
          <w:tcPr>
            <w:tcW w:w="11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1,001</w:t>
            </w:r>
          </w:p>
        </w:tc>
        <w:tc>
          <w:tcPr>
            <w:tcW w:w="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(387</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1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614</w:t>
            </w:r>
          </w:p>
        </w:tc>
        <w:tc>
          <w:tcPr>
            <w:tcW w:w="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1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1,159</w:t>
            </w:r>
          </w:p>
        </w:tc>
        <w:tc>
          <w:tcPr>
            <w:tcW w:w="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1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(436</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1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723</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Franchise rights</w:t>
            </w:r>
          </w:p>
        </w:tc>
        <w:tc>
          <w:tcPr>
            <w:tcW w:w="11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1,551</w:t>
            </w:r>
          </w:p>
        </w:tc>
        <w:tc>
          <w:tcPr>
            <w:tcW w:w="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2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(163</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1,388</w:t>
            </w:r>
          </w:p>
        </w:tc>
        <w:tc>
          <w:tcPr>
            <w:tcW w:w="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1,625</w:t>
            </w:r>
          </w:p>
        </w:tc>
        <w:tc>
          <w:tcPr>
            <w:tcW w:w="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(102</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1,523</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financing costs</w:t>
            </w:r>
          </w:p>
        </w:tc>
        <w:tc>
          <w:tcPr>
            <w:tcW w:w="11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11,647</w:t>
            </w:r>
          </w:p>
        </w:tc>
        <w:tc>
          <w:tcPr>
            <w:tcW w:w="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(6,614</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1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5,033</w:t>
            </w:r>
          </w:p>
        </w:tc>
        <w:tc>
          <w:tcPr>
            <w:tcW w:w="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1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10,584</w:t>
            </w:r>
          </w:p>
        </w:tc>
        <w:tc>
          <w:tcPr>
            <w:tcW w:w="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1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(3,459</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1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7,125</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Contractual relationship</w:t>
            </w:r>
          </w:p>
        </w:tc>
        <w:tc>
          <w:tcPr>
            <w:tcW w:w="11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14,686</w:t>
            </w:r>
          </w:p>
        </w:tc>
        <w:tc>
          <w:tcPr>
            <w:tcW w:w="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2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(2,580</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12,106</w:t>
            </w:r>
          </w:p>
        </w:tc>
        <w:tc>
          <w:tcPr>
            <w:tcW w:w="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14,517</w:t>
            </w:r>
          </w:p>
        </w:tc>
        <w:tc>
          <w:tcPr>
            <w:tcW w:w="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(1,075</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1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13,442</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Internally developed software</w:t>
            </w:r>
          </w:p>
        </w:tc>
        <w:tc>
          <w:tcPr>
            <w:tcW w:w="11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26,153</w:t>
            </w:r>
          </w:p>
        </w:tc>
        <w:tc>
          <w:tcPr>
            <w:tcW w:w="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(4,065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1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22,088</w:t>
            </w:r>
          </w:p>
        </w:tc>
        <w:tc>
          <w:tcPr>
            <w:tcW w:w="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1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1,344</w:t>
            </w:r>
          </w:p>
        </w:tc>
        <w:tc>
          <w:tcPr>
            <w:tcW w:w="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1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1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1,325</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1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270</w:t>
            </w:r>
          </w:p>
        </w:tc>
        <w:tc>
          <w:tcPr>
            <w:tcW w:w="7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2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1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226</w:t>
            </w:r>
          </w:p>
        </w:tc>
        <w:tc>
          <w:tcPr>
            <w:tcW w:w="7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321</w:t>
            </w:r>
          </w:p>
        </w:tc>
        <w:tc>
          <w:tcPr>
            <w:tcW w:w="7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19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w:t>
            </w:r>
          </w:p>
        </w:tc>
        <w:tc>
          <w:tcPr>
            <w:tcW w:w="14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1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285</w:t>
            </w:r>
          </w:p>
        </w:tc>
        <w:tc>
          <w:tcPr>
            <w:tcW w:w="10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3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60,874</w:t>
            </w:r>
          </w:p>
        </w:tc>
        <w:tc>
          <w:tcPr>
            <w:tcW w:w="7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4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6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(17,844</w:t>
            </w:r>
          </w:p>
        </w:tc>
        <w:tc>
          <w:tcPr>
            <w:tcW w:w="138"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3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43,030</w:t>
            </w:r>
          </w:p>
        </w:tc>
        <w:tc>
          <w:tcPr>
            <w:tcW w:w="7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3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35,511</w:t>
            </w:r>
          </w:p>
        </w:tc>
        <w:tc>
          <w:tcPr>
            <w:tcW w:w="7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(9,007</w:t>
            </w:r>
          </w:p>
        </w:tc>
        <w:tc>
          <w:tcPr>
            <w:tcW w:w="148"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3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26,504</w:t>
            </w:r>
          </w:p>
        </w:tc>
        <w:tc>
          <w:tcPr>
            <w:tcW w:w="102"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80</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amortization of most definite-lived intangible assets is recorded as amortization expense. The favorable lease asset and other intangibles are amortized to operations expense (rent expense) over the related lease terms. The deferred financing costs are amortized to interest expense over the life of the related debt instruments.</w:t>
      </w:r>
    </w:p>
    <w:p>
      <w:pPr>
        <w:pStyle w:val="TextBody"/>
        <w:spacing w:lineRule="auto" w:line="288" w:before="0" w:after="0"/>
        <w:jc w:val="left"/>
        <w:rPr>
          <w:rFonts w:ascii="inherit" w:hAnsi="inherit"/>
          <w:sz w:val="17"/>
        </w:rPr>
      </w:pPr>
      <w:r>
        <w:rPr>
          <w:rFonts w:ascii="inherit" w:hAnsi="inherit"/>
          <w:sz w:val="17"/>
        </w:rPr>
        <w:t>The following table presents the amount and classification of amortization recognized as expense in each of the periods presented:</w:t>
      </w:r>
    </w:p>
    <w:tbl>
      <w:tblPr>
        <w:tblW w:w="10205" w:type="dxa"/>
        <w:jc w:val="left"/>
        <w:tblInd w:w="0" w:type="dxa"/>
        <w:tblCellMar>
          <w:top w:w="0" w:type="dxa"/>
          <w:left w:w="0" w:type="dxa"/>
          <w:bottom w:w="0" w:type="dxa"/>
          <w:right w:w="0" w:type="dxa"/>
        </w:tblCellMar>
      </w:tblPr>
      <w:tblGrid>
        <w:gridCol w:w="5715"/>
        <w:gridCol w:w="159"/>
        <w:gridCol w:w="1110"/>
        <w:gridCol w:w="99"/>
        <w:gridCol w:w="136"/>
        <w:gridCol w:w="178"/>
        <w:gridCol w:w="1186"/>
        <w:gridCol w:w="104"/>
        <w:gridCol w:w="136"/>
        <w:gridCol w:w="159"/>
        <w:gridCol w:w="1110"/>
        <w:gridCol w:w="113"/>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71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15" w:type="dxa"/>
            <w:tcBorders/>
            <w:shd w:fill="auto" w:val="clear"/>
            <w:vAlign w:val="center"/>
          </w:tcPr>
          <w:p>
            <w:pPr>
              <w:pStyle w:val="TableContents"/>
              <w:spacing w:before="0" w:after="0"/>
              <w:ind w:left="0" w:right="0" w:firstLine="30"/>
              <w:jc w:val="left"/>
              <w:rPr/>
            </w:pPr>
            <w:r>
              <w:rPr/>
              <w:t> </w:t>
            </w:r>
          </w:p>
        </w:tc>
        <w:tc>
          <w:tcPr>
            <w:tcW w:w="449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715" w:type="dxa"/>
            <w:tcBorders/>
            <w:shd w:fill="auto" w:val="clear"/>
            <w:vAlign w:val="center"/>
          </w:tcPr>
          <w:p>
            <w:pPr>
              <w:pStyle w:val="TableContents"/>
              <w:spacing w:before="0" w:after="0"/>
              <w:ind w:left="0" w:right="0" w:firstLine="30"/>
              <w:jc w:val="left"/>
              <w:rPr/>
            </w:pPr>
            <w:r>
              <w:rPr/>
              <w:t> </w:t>
            </w:r>
          </w:p>
        </w:tc>
        <w:tc>
          <w:tcPr>
            <w:tcW w:w="13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6" w:type="dxa"/>
            <w:tcBorders/>
            <w:shd w:fill="auto" w:val="clear"/>
            <w:vAlign w:val="center"/>
          </w:tcPr>
          <w:p>
            <w:pPr>
              <w:pStyle w:val="TableContents"/>
              <w:spacing w:before="0" w:after="0"/>
              <w:ind w:left="0" w:right="0" w:firstLine="30"/>
              <w:rPr/>
            </w:pPr>
            <w:r>
              <w:rPr/>
              <w:t> </w:t>
            </w:r>
          </w:p>
        </w:tc>
        <w:tc>
          <w:tcPr>
            <w:tcW w:w="14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6" w:type="dxa"/>
            <w:tcBorders/>
            <w:shd w:fill="auto" w:val="clear"/>
            <w:vAlign w:val="center"/>
          </w:tcPr>
          <w:p>
            <w:pPr>
              <w:pStyle w:val="TableContents"/>
              <w:spacing w:before="0" w:after="0"/>
              <w:ind w:left="0" w:right="0" w:firstLine="30"/>
              <w:rPr/>
            </w:pPr>
            <w:r>
              <w:rPr/>
              <w:t> </w:t>
            </w:r>
          </w:p>
        </w:tc>
        <w:tc>
          <w:tcPr>
            <w:tcW w:w="13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715" w:type="dxa"/>
            <w:tcBorders/>
            <w:shd w:fill="auto" w:val="clear"/>
            <w:vAlign w:val="center"/>
          </w:tcPr>
          <w:p>
            <w:pPr>
              <w:pStyle w:val="TableContents"/>
              <w:spacing w:before="0" w:after="0"/>
              <w:ind w:left="0" w:right="0" w:firstLine="30"/>
              <w:jc w:val="left"/>
              <w:rPr/>
            </w:pPr>
            <w:r>
              <w:rPr/>
              <w:t> </w:t>
            </w:r>
          </w:p>
        </w:tc>
        <w:tc>
          <w:tcPr>
            <w:tcW w:w="1269" w:type="dxa"/>
            <w:gridSpan w:val="2"/>
            <w:tcBorders/>
            <w:shd w:fill="auto" w:val="clear"/>
            <w:vAlign w:val="center"/>
          </w:tcPr>
          <w:p>
            <w:pPr>
              <w:pStyle w:val="TableContents"/>
              <w:spacing w:before="0" w:after="0"/>
              <w:jc w:val="right"/>
              <w:rPr/>
            </w:pPr>
            <w:r>
              <w:rPr/>
              <w:t> </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468"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36" w:type="dxa"/>
            <w:tcBorders/>
            <w:shd w:fill="auto" w:val="clear"/>
            <w:vAlign w:val="center"/>
          </w:tcPr>
          <w:p>
            <w:pPr>
              <w:pStyle w:val="TableContents"/>
              <w:spacing w:before="0" w:after="0"/>
              <w:ind w:left="0" w:right="0" w:firstLine="30"/>
              <w:rPr/>
            </w:pPr>
            <w:r>
              <w:rPr/>
              <w:t> </w:t>
            </w:r>
          </w:p>
        </w:tc>
        <w:tc>
          <w:tcPr>
            <w:tcW w:w="1382" w:type="dxa"/>
            <w:gridSpan w:val="3"/>
            <w:tcBorders/>
            <w:shd w:fill="auto" w:val="clear"/>
            <w:vAlign w:val="center"/>
          </w:tcPr>
          <w:p>
            <w:pPr>
              <w:pStyle w:val="TableContents"/>
              <w:spacing w:before="0" w:after="0"/>
              <w:ind w:left="0" w:right="0" w:firstLine="30"/>
              <w:jc w:val="left"/>
              <w:rPr/>
            </w:pPr>
            <w:r>
              <w:rPr/>
              <w:t> </w:t>
            </w:r>
          </w:p>
        </w:tc>
      </w:tr>
      <w:tr>
        <w:trPr/>
        <w:tc>
          <w:tcPr>
            <w:tcW w:w="57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 expense in continuing operations</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CCEEFF" w:val="clear"/>
            <w:vAlign w:val="center"/>
          </w:tcPr>
          <w:p>
            <w:pPr>
              <w:pStyle w:val="TableContents"/>
              <w:spacing w:before="0" w:after="0"/>
              <w:jc w:val="right"/>
              <w:rPr>
                <w:rFonts w:ascii="inherit" w:hAnsi="inherit"/>
                <w:sz w:val="17"/>
              </w:rPr>
            </w:pPr>
            <w:r>
              <w:rPr>
                <w:rFonts w:ascii="inherit" w:hAnsi="inherit"/>
                <w:sz w:val="17"/>
              </w:rPr>
              <w:t>5,233</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shd w:fill="CCEEFF" w:val="clear"/>
            <w:vAlign w:val="center"/>
          </w:tcPr>
          <w:p>
            <w:pPr>
              <w:pStyle w:val="TableContents"/>
              <w:spacing w:before="0" w:after="0"/>
              <w:jc w:val="right"/>
              <w:rPr>
                <w:rFonts w:ascii="inherit" w:hAnsi="inherit"/>
                <w:sz w:val="17"/>
              </w:rPr>
            </w:pPr>
            <w:r>
              <w:rPr>
                <w:rFonts w:ascii="inherit" w:hAnsi="inherit"/>
                <w:sz w:val="17"/>
              </w:rPr>
              <w:t>1,956</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CCEEFF" w:val="clear"/>
            <w:vAlign w:val="center"/>
          </w:tcPr>
          <w:p>
            <w:pPr>
              <w:pStyle w:val="TableContents"/>
              <w:spacing w:before="0" w:after="0"/>
              <w:jc w:val="right"/>
              <w:rPr>
                <w:rFonts w:ascii="inherit" w:hAnsi="inherit"/>
                <w:sz w:val="17"/>
              </w:rPr>
            </w:pPr>
            <w:r>
              <w:rPr>
                <w:rFonts w:ascii="inherit" w:hAnsi="inherit"/>
                <w:sz w:val="17"/>
              </w:rPr>
              <w:t>834</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 expense in discontinued operations</w:t>
            </w:r>
          </w:p>
        </w:tc>
        <w:tc>
          <w:tcPr>
            <w:tcW w:w="12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3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3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138</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12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3,208</w:t>
            </w:r>
          </w:p>
        </w:tc>
        <w:tc>
          <w:tcPr>
            <w:tcW w:w="9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3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2,478</w:t>
            </w:r>
          </w:p>
        </w:tc>
        <w:tc>
          <w:tcPr>
            <w:tcW w:w="10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615</w:t>
            </w:r>
          </w:p>
        </w:tc>
        <w:tc>
          <w:tcPr>
            <w:tcW w:w="11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expense from the amortization of definite-lived intangible assets</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8,577</w:t>
            </w:r>
          </w:p>
        </w:tc>
        <w:tc>
          <w:tcPr>
            <w:tcW w:w="9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4,595</w:t>
            </w:r>
          </w:p>
        </w:tc>
        <w:tc>
          <w:tcPr>
            <w:tcW w:w="10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1,581</w:t>
            </w:r>
          </w:p>
        </w:tc>
        <w:tc>
          <w:tcPr>
            <w:tcW w:w="11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The following table presents our estimate of amortization expense for definite-lived intangible assets:</w:t>
      </w:r>
    </w:p>
    <w:tbl>
      <w:tblPr>
        <w:tblW w:w="10205" w:type="dxa"/>
        <w:jc w:val="center"/>
        <w:tblInd w:w="0" w:type="dxa"/>
        <w:tblCellMar>
          <w:top w:w="0" w:type="dxa"/>
          <w:left w:w="0" w:type="dxa"/>
          <w:bottom w:w="0" w:type="dxa"/>
          <w:right w:w="0" w:type="dxa"/>
        </w:tblCellMar>
      </w:tblPr>
      <w:tblGrid>
        <w:gridCol w:w="2227"/>
        <w:gridCol w:w="129"/>
        <w:gridCol w:w="332"/>
        <w:gridCol w:w="2221"/>
        <w:gridCol w:w="119"/>
        <w:gridCol w:w="129"/>
        <w:gridCol w:w="388"/>
        <w:gridCol w:w="2033"/>
        <w:gridCol w:w="133"/>
        <w:gridCol w:w="129"/>
        <w:gridCol w:w="266"/>
        <w:gridCol w:w="1962"/>
        <w:gridCol w:w="137"/>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222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20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96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27"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c>
          <w:tcPr>
            <w:tcW w:w="129" w:type="dxa"/>
            <w:tcBorders/>
            <w:shd w:fill="auto" w:val="clear"/>
            <w:vAlign w:val="center"/>
          </w:tcPr>
          <w:p>
            <w:pPr>
              <w:pStyle w:val="TableContents"/>
              <w:spacing w:before="0" w:after="0"/>
              <w:ind w:left="0" w:right="0" w:firstLine="30"/>
              <w:rPr/>
            </w:pPr>
            <w:r>
              <w:rPr/>
              <w:t> </w:t>
            </w:r>
          </w:p>
        </w:tc>
        <w:tc>
          <w:tcPr>
            <w:tcW w:w="267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Amortization expense</w:t>
            </w:r>
          </w:p>
        </w:tc>
        <w:tc>
          <w:tcPr>
            <w:tcW w:w="129" w:type="dxa"/>
            <w:tcBorders/>
            <w:shd w:fill="auto" w:val="clear"/>
            <w:vAlign w:val="center"/>
          </w:tcPr>
          <w:p>
            <w:pPr>
              <w:pStyle w:val="TableContents"/>
              <w:spacing w:before="0" w:after="0"/>
              <w:ind w:left="0" w:right="0" w:firstLine="30"/>
              <w:rPr/>
            </w:pPr>
            <w:r>
              <w:rPr/>
              <w:t> </w:t>
            </w:r>
          </w:p>
        </w:tc>
        <w:tc>
          <w:tcPr>
            <w:tcW w:w="25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Operations expense</w:t>
            </w:r>
          </w:p>
        </w:tc>
        <w:tc>
          <w:tcPr>
            <w:tcW w:w="129" w:type="dxa"/>
            <w:tcBorders/>
            <w:shd w:fill="auto" w:val="clear"/>
            <w:vAlign w:val="center"/>
          </w:tcPr>
          <w:p>
            <w:pPr>
              <w:pStyle w:val="TableContents"/>
              <w:spacing w:before="0" w:after="0"/>
              <w:ind w:left="0" w:right="0" w:firstLine="30"/>
              <w:rPr/>
            </w:pPr>
            <w:r>
              <w:rPr/>
              <w:t> </w:t>
            </w:r>
          </w:p>
        </w:tc>
        <w:tc>
          <w:tcPr>
            <w:tcW w:w="23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Interest expense</w:t>
            </w:r>
          </w:p>
        </w:tc>
      </w:tr>
      <w:tr>
        <w:trPr/>
        <w:tc>
          <w:tcPr>
            <w:tcW w:w="2227" w:type="dxa"/>
            <w:tcBorders/>
            <w:shd w:fill="auto" w:val="clear"/>
            <w:vAlign w:val="center"/>
          </w:tcPr>
          <w:p>
            <w:pPr>
              <w:pStyle w:val="TableContents"/>
              <w:spacing w:before="0" w:after="0"/>
              <w:ind w:left="0" w:right="0" w:firstLine="30"/>
              <w:jc w:val="left"/>
              <w:rPr/>
            </w:pPr>
            <w:r>
              <w:rPr/>
              <w:t> </w:t>
            </w:r>
          </w:p>
        </w:tc>
        <w:tc>
          <w:tcPr>
            <w:tcW w:w="129" w:type="dxa"/>
            <w:tcBorders/>
            <w:shd w:fill="auto" w:val="clear"/>
            <w:vAlign w:val="center"/>
          </w:tcPr>
          <w:p>
            <w:pPr>
              <w:pStyle w:val="TableContents"/>
              <w:spacing w:before="0" w:after="0"/>
              <w:ind w:left="0" w:right="0" w:firstLine="30"/>
              <w:rPr/>
            </w:pPr>
            <w:r>
              <w:rPr/>
              <w:t> </w:t>
            </w:r>
          </w:p>
        </w:tc>
        <w:tc>
          <w:tcPr>
            <w:tcW w:w="7849"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227"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2014</w:t>
            </w:r>
          </w:p>
        </w:tc>
        <w:tc>
          <w:tcPr>
            <w:tcW w:w="129" w:type="dxa"/>
            <w:tcBorders/>
            <w:shd w:fill="CCEEFF" w:val="clear"/>
            <w:vAlign w:val="center"/>
          </w:tcPr>
          <w:p>
            <w:pPr>
              <w:pStyle w:val="TableContents"/>
              <w:spacing w:before="0" w:after="0"/>
              <w:ind w:left="0" w:right="0" w:firstLine="30"/>
              <w:rPr/>
            </w:pPr>
            <w:r>
              <w:rPr/>
              <w:t> </w:t>
            </w:r>
          </w:p>
        </w:tc>
        <w:tc>
          <w:tcPr>
            <w:tcW w:w="3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221" w:type="dxa"/>
            <w:tcBorders/>
            <w:shd w:fill="CCEEFF" w:val="clear"/>
            <w:vAlign w:val="center"/>
          </w:tcPr>
          <w:p>
            <w:pPr>
              <w:pStyle w:val="TableContents"/>
              <w:spacing w:before="0" w:after="0"/>
              <w:jc w:val="right"/>
              <w:rPr>
                <w:rFonts w:ascii="inherit" w:hAnsi="inherit"/>
                <w:sz w:val="17"/>
              </w:rPr>
            </w:pPr>
            <w:r>
              <w:rPr>
                <w:rFonts w:ascii="inherit" w:hAnsi="inherit"/>
                <w:sz w:val="17"/>
              </w:rPr>
              <w:t>6,487</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38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033" w:type="dxa"/>
            <w:tcBorders/>
            <w:shd w:fill="CCEEFF" w:val="clear"/>
            <w:vAlign w:val="center"/>
          </w:tcPr>
          <w:p>
            <w:pPr>
              <w:pStyle w:val="TableContents"/>
              <w:spacing w:before="0" w:after="0"/>
              <w:jc w:val="right"/>
              <w:rPr>
                <w:rFonts w:ascii="inherit" w:hAnsi="inherit"/>
                <w:sz w:val="17"/>
              </w:rPr>
            </w:pPr>
            <w:r>
              <w:rPr>
                <w:rFonts w:ascii="inherit" w:hAnsi="inherit"/>
                <w:sz w:val="17"/>
              </w:rPr>
              <w:t>121</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2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962" w:type="dxa"/>
            <w:tcBorders/>
            <w:shd w:fill="CCEEFF" w:val="clear"/>
            <w:vAlign w:val="center"/>
          </w:tcPr>
          <w:p>
            <w:pPr>
              <w:pStyle w:val="TableContents"/>
              <w:spacing w:before="0" w:after="0"/>
              <w:jc w:val="right"/>
              <w:rPr>
                <w:rFonts w:ascii="inherit" w:hAnsi="inherit"/>
                <w:sz w:val="17"/>
              </w:rPr>
            </w:pPr>
            <w:r>
              <w:rPr>
                <w:rFonts w:ascii="inherit" w:hAnsi="inherit"/>
                <w:sz w:val="17"/>
              </w:rPr>
              <w:t>2,634</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27"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2015</w:t>
            </w:r>
          </w:p>
        </w:tc>
        <w:tc>
          <w:tcPr>
            <w:tcW w:w="129" w:type="dxa"/>
            <w:tcBorders/>
            <w:shd w:fill="auto" w:val="clear"/>
            <w:vAlign w:val="center"/>
          </w:tcPr>
          <w:p>
            <w:pPr>
              <w:pStyle w:val="TableContents"/>
              <w:spacing w:before="0" w:after="0"/>
              <w:ind w:left="0" w:right="0" w:firstLine="30"/>
              <w:rPr/>
            </w:pPr>
            <w:r>
              <w:rPr/>
              <w:t> </w:t>
            </w:r>
          </w:p>
        </w:tc>
        <w:tc>
          <w:tcPr>
            <w:tcW w:w="25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6,363</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24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22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1,425</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27"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2016</w:t>
            </w:r>
          </w:p>
        </w:tc>
        <w:tc>
          <w:tcPr>
            <w:tcW w:w="129" w:type="dxa"/>
            <w:tcBorders/>
            <w:shd w:fill="CCEEFF" w:val="clear"/>
            <w:vAlign w:val="center"/>
          </w:tcPr>
          <w:p>
            <w:pPr>
              <w:pStyle w:val="TableContents"/>
              <w:spacing w:before="0" w:after="0"/>
              <w:ind w:left="0" w:right="0" w:firstLine="30"/>
              <w:rPr/>
            </w:pPr>
            <w:r>
              <w:rPr/>
              <w:t> </w:t>
            </w:r>
          </w:p>
        </w:tc>
        <w:tc>
          <w:tcPr>
            <w:tcW w:w="25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6,306</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24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22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544</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27"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2017</w:t>
            </w:r>
          </w:p>
        </w:tc>
        <w:tc>
          <w:tcPr>
            <w:tcW w:w="129" w:type="dxa"/>
            <w:tcBorders/>
            <w:shd w:fill="auto" w:val="clear"/>
            <w:vAlign w:val="center"/>
          </w:tcPr>
          <w:p>
            <w:pPr>
              <w:pStyle w:val="TableContents"/>
              <w:spacing w:before="0" w:after="0"/>
              <w:ind w:left="0" w:right="0" w:firstLine="30"/>
              <w:rPr/>
            </w:pPr>
            <w:r>
              <w:rPr/>
              <w:t> </w:t>
            </w:r>
          </w:p>
        </w:tc>
        <w:tc>
          <w:tcPr>
            <w:tcW w:w="25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6,023</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24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110</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22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430</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27"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2018</w:t>
            </w:r>
          </w:p>
        </w:tc>
        <w:tc>
          <w:tcPr>
            <w:tcW w:w="129" w:type="dxa"/>
            <w:tcBorders/>
            <w:shd w:fill="CCEEFF" w:val="clear"/>
            <w:vAlign w:val="center"/>
          </w:tcPr>
          <w:p>
            <w:pPr>
              <w:pStyle w:val="TableContents"/>
              <w:spacing w:before="0" w:after="0"/>
              <w:ind w:left="0" w:right="0" w:firstLine="30"/>
              <w:rPr/>
            </w:pPr>
            <w:r>
              <w:rPr/>
              <w:t> </w:t>
            </w:r>
          </w:p>
        </w:tc>
        <w:tc>
          <w:tcPr>
            <w:tcW w:w="25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3,390</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24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2228" w:type="dxa"/>
            <w:gridSpan w:val="2"/>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As acquisitions and dispositions occur in the future, amortization expense may vary from these estimates.</w:t>
      </w:r>
    </w:p>
    <w:p>
      <w:pPr>
        <w:pStyle w:val="TextBody"/>
        <w:spacing w:lineRule="auto" w:line="288" w:before="0" w:after="0"/>
        <w:jc w:val="left"/>
        <w:rPr>
          <w:rFonts w:ascii="inherit" w:hAnsi="inherit"/>
          <w:b/>
          <w:sz w:val="17"/>
        </w:rPr>
      </w:pPr>
      <w:bookmarkStart w:id="73" w:name="s672E0DC9869EDEE16F5083E26D692B39"/>
      <w:bookmarkEnd w:id="73"/>
      <w:r>
        <w:rPr>
          <w:rFonts w:ascii="inherit" w:hAnsi="inherit"/>
          <w:b/>
          <w:sz w:val="17"/>
        </w:rPr>
        <w:t>NOTE 8: ACCOUNTS PAYABLE, OTHER ACCRUED EXPENSES, AND OTHER CURRENT LIABILITIES</w:t>
      </w:r>
    </w:p>
    <w:p>
      <w:pPr>
        <w:pStyle w:val="TextBody"/>
        <w:spacing w:lineRule="auto" w:line="288" w:before="0" w:after="0"/>
        <w:jc w:val="left"/>
        <w:rPr>
          <w:rFonts w:ascii="inherit" w:hAnsi="inherit"/>
          <w:sz w:val="17"/>
        </w:rPr>
      </w:pPr>
      <w:r>
        <w:rPr>
          <w:rFonts w:ascii="inherit" w:hAnsi="inherit"/>
          <w:sz w:val="17"/>
        </w:rPr>
        <w:t>Accounts payable and other accrued expenses consisted of the following:</w:t>
      </w:r>
    </w:p>
    <w:tbl>
      <w:tblPr>
        <w:tblW w:w="10205" w:type="dxa"/>
        <w:jc w:val="left"/>
        <w:tblInd w:w="0" w:type="dxa"/>
        <w:tblCellMar>
          <w:top w:w="0" w:type="dxa"/>
          <w:left w:w="0" w:type="dxa"/>
          <w:bottom w:w="0" w:type="dxa"/>
          <w:right w:w="0" w:type="dxa"/>
        </w:tblCellMar>
      </w:tblPr>
      <w:tblGrid>
        <w:gridCol w:w="7434"/>
        <w:gridCol w:w="125"/>
        <w:gridCol w:w="1097"/>
        <w:gridCol w:w="102"/>
        <w:gridCol w:w="116"/>
        <w:gridCol w:w="125"/>
        <w:gridCol w:w="1097"/>
        <w:gridCol w:w="109"/>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4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434" w:type="dxa"/>
            <w:tcBorders/>
            <w:shd w:fill="auto" w:val="clear"/>
            <w:vAlign w:val="center"/>
          </w:tcPr>
          <w:p>
            <w:pPr>
              <w:pStyle w:val="TableContents"/>
              <w:spacing w:before="0" w:after="0"/>
              <w:ind w:left="0" w:right="0" w:firstLine="30"/>
              <w:jc w:val="left"/>
              <w:rPr/>
            </w:pPr>
            <w:r>
              <w:rPr/>
              <w:t> </w:t>
            </w:r>
          </w:p>
        </w:tc>
        <w:tc>
          <w:tcPr>
            <w:tcW w:w="277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7434" w:type="dxa"/>
            <w:tcBorders/>
            <w:shd w:fill="auto" w:val="clear"/>
            <w:vAlign w:val="center"/>
          </w:tcPr>
          <w:p>
            <w:pPr>
              <w:pStyle w:val="TableContents"/>
              <w:spacing w:before="0" w:after="0"/>
              <w:ind w:left="0" w:right="0" w:firstLine="30"/>
              <w:jc w:val="left"/>
              <w:rPr/>
            </w:pPr>
            <w:r>
              <w:rPr/>
              <w:t> </w:t>
            </w:r>
          </w:p>
        </w:tc>
        <w:tc>
          <w:tcPr>
            <w:tcW w:w="13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16" w:type="dxa"/>
            <w:tcBorders/>
            <w:shd w:fill="auto" w:val="clear"/>
            <w:vAlign w:val="center"/>
          </w:tcPr>
          <w:p>
            <w:pPr>
              <w:pStyle w:val="TableContents"/>
              <w:spacing w:before="0" w:after="0"/>
              <w:ind w:left="0" w:right="0" w:firstLine="30"/>
              <w:rPr/>
            </w:pPr>
            <w:r>
              <w:rPr/>
              <w:t> </w:t>
            </w:r>
          </w:p>
        </w:tc>
        <w:tc>
          <w:tcPr>
            <w:tcW w:w="133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7434" w:type="dxa"/>
            <w:tcBorders/>
            <w:shd w:fill="auto" w:val="clear"/>
            <w:vAlign w:val="center"/>
          </w:tcPr>
          <w:p>
            <w:pPr>
              <w:pStyle w:val="TableContents"/>
              <w:spacing w:before="0" w:after="0"/>
              <w:ind w:left="0" w:right="0" w:firstLine="30"/>
              <w:jc w:val="left"/>
              <w:rPr/>
            </w:pPr>
            <w:r>
              <w:rPr/>
              <w:t> </w:t>
            </w:r>
          </w:p>
        </w:tc>
        <w:tc>
          <w:tcPr>
            <w:tcW w:w="2771"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4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Trade accounts payable</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7" w:type="dxa"/>
            <w:tcBorders/>
            <w:shd w:fill="CCEEFF" w:val="clear"/>
            <w:vAlign w:val="center"/>
          </w:tcPr>
          <w:p>
            <w:pPr>
              <w:pStyle w:val="TableContents"/>
              <w:spacing w:before="0" w:after="0"/>
              <w:jc w:val="right"/>
              <w:rPr>
                <w:rFonts w:ascii="inherit" w:hAnsi="inherit"/>
                <w:sz w:val="17"/>
              </w:rPr>
            </w:pPr>
            <w:r>
              <w:rPr>
                <w:rFonts w:ascii="inherit" w:hAnsi="inherit"/>
                <w:sz w:val="17"/>
              </w:rPr>
              <w:t>22,014</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7" w:type="dxa"/>
            <w:tcBorders/>
            <w:shd w:fill="CCEEFF" w:val="clear"/>
            <w:vAlign w:val="center"/>
          </w:tcPr>
          <w:p>
            <w:pPr>
              <w:pStyle w:val="TableContents"/>
              <w:spacing w:before="0" w:after="0"/>
              <w:jc w:val="right"/>
              <w:rPr>
                <w:rFonts w:ascii="inherit" w:hAnsi="inherit"/>
                <w:sz w:val="17"/>
              </w:rPr>
            </w:pPr>
            <w:r>
              <w:rPr>
                <w:rFonts w:ascii="inherit" w:hAnsi="inherit"/>
                <w:sz w:val="17"/>
              </w:rPr>
              <w:t>15,172</w:t>
            </w:r>
          </w:p>
        </w:tc>
        <w:tc>
          <w:tcPr>
            <w:tcW w:w="1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payroll</w:t>
            </w:r>
          </w:p>
        </w:tc>
        <w:tc>
          <w:tcPr>
            <w:tcW w:w="12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9,333</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2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7,736</w:t>
            </w:r>
          </w:p>
        </w:tc>
        <w:tc>
          <w:tcPr>
            <w:tcW w:w="1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Bonus accrual</w:t>
            </w:r>
          </w:p>
        </w:tc>
        <w:tc>
          <w:tcPr>
            <w:tcW w:w="12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7,528</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8,287</w:t>
            </w:r>
          </w:p>
        </w:tc>
        <w:tc>
          <w:tcPr>
            <w:tcW w:w="1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payroll related expenses</w:t>
            </w:r>
          </w:p>
        </w:tc>
        <w:tc>
          <w:tcPr>
            <w:tcW w:w="12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4,265</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2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2,455</w:t>
            </w:r>
          </w:p>
        </w:tc>
        <w:tc>
          <w:tcPr>
            <w:tcW w:w="1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Accrued interest</w:t>
            </w:r>
          </w:p>
        </w:tc>
        <w:tc>
          <w:tcPr>
            <w:tcW w:w="12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1,414</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953</w:t>
            </w:r>
          </w:p>
        </w:tc>
        <w:tc>
          <w:tcPr>
            <w:tcW w:w="1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rent and property taxes</w:t>
            </w:r>
          </w:p>
        </w:tc>
        <w:tc>
          <w:tcPr>
            <w:tcW w:w="12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13,350</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2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12,361</w:t>
            </w:r>
          </w:p>
        </w:tc>
        <w:tc>
          <w:tcPr>
            <w:tcW w:w="1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Accrual for expected losses on credit service letters of credit</w:t>
            </w:r>
          </w:p>
        </w:tc>
        <w:tc>
          <w:tcPr>
            <w:tcW w:w="12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2,623</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1,629</w:t>
            </w:r>
          </w:p>
        </w:tc>
        <w:tc>
          <w:tcPr>
            <w:tcW w:w="1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Collected funds payable to unaffiliated lenders under credit service programs</w:t>
            </w:r>
          </w:p>
        </w:tc>
        <w:tc>
          <w:tcPr>
            <w:tcW w:w="12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1,036</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2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2,325</w:t>
            </w:r>
          </w:p>
        </w:tc>
        <w:tc>
          <w:tcPr>
            <w:tcW w:w="1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revenues</w:t>
            </w:r>
          </w:p>
        </w:tc>
        <w:tc>
          <w:tcPr>
            <w:tcW w:w="12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5,252</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6,988</w:t>
            </w:r>
          </w:p>
        </w:tc>
        <w:tc>
          <w:tcPr>
            <w:tcW w:w="1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accrued expenses</w:t>
            </w:r>
          </w:p>
        </w:tc>
        <w:tc>
          <w:tcPr>
            <w:tcW w:w="12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13,152</w:t>
            </w:r>
          </w:p>
        </w:tc>
        <w:tc>
          <w:tcPr>
            <w:tcW w:w="10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2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6,198</w:t>
            </w:r>
          </w:p>
        </w:tc>
        <w:tc>
          <w:tcPr>
            <w:tcW w:w="10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34" w:type="dxa"/>
            <w:tcBorders/>
            <w:shd w:fill="CCEEFF" w:val="clear"/>
            <w:vAlign w:val="center"/>
          </w:tcPr>
          <w:p>
            <w:pPr>
              <w:pStyle w:val="TableContents"/>
              <w:spacing w:before="0" w:after="0"/>
              <w:ind w:left="0" w:right="0" w:firstLine="30"/>
              <w:jc w:val="left"/>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79,967</w:t>
            </w:r>
          </w:p>
        </w:tc>
        <w:tc>
          <w:tcPr>
            <w:tcW w:w="10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64,104</w:t>
            </w:r>
          </w:p>
        </w:tc>
        <w:tc>
          <w:tcPr>
            <w:tcW w:w="10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81</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Other current liabilities consisted of the following:</w:t>
      </w:r>
    </w:p>
    <w:tbl>
      <w:tblPr>
        <w:tblW w:w="10205" w:type="dxa"/>
        <w:jc w:val="left"/>
        <w:tblInd w:w="0" w:type="dxa"/>
        <w:tblCellMar>
          <w:top w:w="0" w:type="dxa"/>
          <w:left w:w="0" w:type="dxa"/>
          <w:bottom w:w="0" w:type="dxa"/>
          <w:right w:w="0" w:type="dxa"/>
        </w:tblCellMar>
      </w:tblPr>
      <w:tblGrid>
        <w:gridCol w:w="7421"/>
        <w:gridCol w:w="127"/>
        <w:gridCol w:w="1100"/>
        <w:gridCol w:w="102"/>
        <w:gridCol w:w="118"/>
        <w:gridCol w:w="127"/>
        <w:gridCol w:w="1100"/>
        <w:gridCol w:w="110"/>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42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421" w:type="dxa"/>
            <w:tcBorders/>
            <w:shd w:fill="auto" w:val="clear"/>
            <w:vAlign w:val="center"/>
          </w:tcPr>
          <w:p>
            <w:pPr>
              <w:pStyle w:val="TableContents"/>
              <w:spacing w:before="0" w:after="0"/>
              <w:ind w:left="0" w:right="0" w:firstLine="30"/>
              <w:jc w:val="left"/>
              <w:rPr/>
            </w:pPr>
            <w:r>
              <w:rPr/>
              <w:t> </w:t>
            </w:r>
          </w:p>
        </w:tc>
        <w:tc>
          <w:tcPr>
            <w:tcW w:w="278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7421" w:type="dxa"/>
            <w:tcBorders/>
            <w:shd w:fill="auto" w:val="clear"/>
            <w:vAlign w:val="center"/>
          </w:tcPr>
          <w:p>
            <w:pPr>
              <w:pStyle w:val="TableContents"/>
              <w:spacing w:before="0" w:after="0"/>
              <w:ind w:left="0" w:right="0" w:firstLine="30"/>
              <w:jc w:val="left"/>
              <w:rPr/>
            </w:pPr>
            <w:r>
              <w:rPr/>
              <w:t> </w:t>
            </w:r>
          </w:p>
        </w:tc>
        <w:tc>
          <w:tcPr>
            <w:tcW w:w="13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18" w:type="dxa"/>
            <w:tcBorders/>
            <w:shd w:fill="auto" w:val="clear"/>
            <w:vAlign w:val="center"/>
          </w:tcPr>
          <w:p>
            <w:pPr>
              <w:pStyle w:val="TableContents"/>
              <w:spacing w:before="0" w:after="0"/>
              <w:ind w:left="0" w:right="0" w:firstLine="30"/>
              <w:rPr/>
            </w:pPr>
            <w:r>
              <w:rPr/>
              <w:t> </w:t>
            </w:r>
          </w:p>
        </w:tc>
        <w:tc>
          <w:tcPr>
            <w:tcW w:w="133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7421" w:type="dxa"/>
            <w:tcBorders/>
            <w:shd w:fill="auto" w:val="clear"/>
            <w:vAlign w:val="center"/>
          </w:tcPr>
          <w:p>
            <w:pPr>
              <w:pStyle w:val="TableContents"/>
              <w:spacing w:before="0" w:after="0"/>
              <w:ind w:left="0" w:right="0" w:firstLine="30"/>
              <w:jc w:val="left"/>
              <w:rPr/>
            </w:pPr>
            <w:r>
              <w:rPr/>
              <w:t> </w:t>
            </w:r>
          </w:p>
        </w:tc>
        <w:tc>
          <w:tcPr>
            <w:tcW w:w="2784"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4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consideration payable</w:t>
            </w:r>
          </w:p>
        </w:tc>
        <w:tc>
          <w:tcPr>
            <w:tcW w:w="12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0" w:type="dxa"/>
            <w:tcBorders/>
            <w:shd w:fill="CCEEFF" w:val="clear"/>
            <w:vAlign w:val="center"/>
          </w:tcPr>
          <w:p>
            <w:pPr>
              <w:pStyle w:val="TableContents"/>
              <w:spacing w:before="0" w:after="0"/>
              <w:jc w:val="right"/>
              <w:rPr>
                <w:rFonts w:ascii="inherit" w:hAnsi="inherit"/>
                <w:sz w:val="17"/>
              </w:rPr>
            </w:pPr>
            <w:r>
              <w:rPr>
                <w:rFonts w:ascii="inherit" w:hAnsi="inherit"/>
                <w:sz w:val="17"/>
              </w:rPr>
              <w:t>11,524</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0" w:type="dxa"/>
            <w:tcBorders/>
            <w:shd w:fill="CCEEFF" w:val="clear"/>
            <w:vAlign w:val="center"/>
          </w:tcPr>
          <w:p>
            <w:pPr>
              <w:pStyle w:val="TableContents"/>
              <w:spacing w:before="0" w:after="0"/>
              <w:jc w:val="right"/>
              <w:rPr>
                <w:rFonts w:ascii="inherit" w:hAnsi="inherit"/>
                <w:sz w:val="17"/>
              </w:rPr>
            </w:pPr>
            <w:r>
              <w:rPr>
                <w:rFonts w:ascii="inherit" w:hAnsi="inherit"/>
                <w:sz w:val="17"/>
              </w:rPr>
              <w:t>2,920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Contingent consideration payable</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10,813</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11,901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421" w:type="dxa"/>
            <w:tcBorders/>
            <w:shd w:fill="CCEEFF" w:val="clear"/>
            <w:vAlign w:val="center"/>
          </w:tcPr>
          <w:p>
            <w:pPr>
              <w:pStyle w:val="TableContents"/>
              <w:spacing w:before="0" w:after="0"/>
              <w:ind w:left="0" w:right="0" w:firstLine="30"/>
              <w:jc w:val="left"/>
              <w:rPr/>
            </w:pPr>
            <w:r>
              <w:rPr/>
              <w:t> </w:t>
            </w:r>
          </w:p>
        </w:tc>
        <w:tc>
          <w:tcPr>
            <w:tcW w:w="12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22,337</w:t>
            </w:r>
          </w:p>
        </w:tc>
        <w:tc>
          <w:tcPr>
            <w:tcW w:w="10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2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14,821</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74" w:name="sC992C36E0BE0080E373C83E26D6F01BB"/>
      <w:bookmarkEnd w:id="74"/>
      <w:r>
        <w:rPr>
          <w:rFonts w:ascii="inherit" w:hAnsi="inherit"/>
          <w:b/>
          <w:sz w:val="17"/>
        </w:rPr>
        <w:t>NOTE 9: LONG-TERM DEBT AND CAPITAL LEASE OBLIGATIONS</w:t>
      </w:r>
    </w:p>
    <w:p>
      <w:pPr>
        <w:pStyle w:val="TextBody"/>
        <w:spacing w:lineRule="auto" w:line="288" w:before="0" w:after="0"/>
        <w:jc w:val="left"/>
        <w:rPr>
          <w:sz w:val="17"/>
        </w:rPr>
      </w:pPr>
      <w:r>
        <w:rPr>
          <w:rFonts w:ascii="inherit" w:hAnsi="inherit"/>
          <w:sz w:val="17"/>
        </w:rPr>
        <w:t xml:space="preserve">The following table presents our long-term debt instruments and balances under capital lease obligations outstanding at </w:t>
      </w:r>
      <w:r>
        <w:rPr>
          <w:rFonts w:ascii="Times New Roman" w:hAnsi="Times New Roman"/>
          <w:strike w:val="false"/>
          <w:dstrike w:val="false"/>
          <w:color w:val="000000"/>
          <w:sz w:val="17"/>
          <w:u w:val="none"/>
          <w:effect w:val="none"/>
        </w:rPr>
        <w:t>September 30, 2013</w:t>
      </w:r>
      <w:r>
        <w:rPr>
          <w:sz w:val="17"/>
        </w:rPr>
        <w:t xml:space="preserve"> </w:t>
      </w:r>
      <w:r>
        <w:rPr>
          <w:rFonts w:ascii="inherit" w:hAnsi="inherit"/>
          <w:sz w:val="17"/>
        </w:rPr>
        <w:t xml:space="preserve">and </w:t>
      </w:r>
      <w:r>
        <w:rPr>
          <w:rFonts w:ascii="Times New Roman" w:hAnsi="Times New Roman"/>
          <w:strike w:val="false"/>
          <w:dstrike w:val="false"/>
          <w:color w:val="000000"/>
          <w:sz w:val="17"/>
          <w:u w:val="none"/>
          <w:effect w:val="none"/>
        </w:rPr>
        <w:t>2012</w:t>
      </w:r>
      <w:r>
        <w:rPr>
          <w:rFonts w:ascii="inherit" w:hAnsi="inherit"/>
          <w:sz w:val="17"/>
        </w:rPr>
        <w:t>:</w:t>
      </w:r>
    </w:p>
    <w:tbl>
      <w:tblPr>
        <w:tblW w:w="10205" w:type="dxa"/>
        <w:jc w:val="center"/>
        <w:tblInd w:w="0" w:type="dxa"/>
        <w:tblCellMar>
          <w:top w:w="0" w:type="dxa"/>
          <w:left w:w="0" w:type="dxa"/>
          <w:bottom w:w="0" w:type="dxa"/>
          <w:right w:w="0" w:type="dxa"/>
        </w:tblCellMar>
      </w:tblPr>
      <w:tblGrid>
        <w:gridCol w:w="5021"/>
        <w:gridCol w:w="161"/>
        <w:gridCol w:w="995"/>
        <w:gridCol w:w="88"/>
        <w:gridCol w:w="134"/>
        <w:gridCol w:w="205"/>
        <w:gridCol w:w="833"/>
        <w:gridCol w:w="99"/>
        <w:gridCol w:w="134"/>
        <w:gridCol w:w="161"/>
        <w:gridCol w:w="995"/>
        <w:gridCol w:w="88"/>
        <w:gridCol w:w="134"/>
        <w:gridCol w:w="172"/>
        <w:gridCol w:w="872"/>
        <w:gridCol w:w="113"/>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502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021" w:type="dxa"/>
            <w:tcBorders/>
            <w:shd w:fill="auto" w:val="clear"/>
            <w:vAlign w:val="center"/>
          </w:tcPr>
          <w:p>
            <w:pPr>
              <w:pStyle w:val="TableContents"/>
              <w:spacing w:before="0" w:after="0"/>
              <w:ind w:left="0" w:right="0" w:firstLine="30"/>
              <w:jc w:val="left"/>
              <w:rPr/>
            </w:pPr>
            <w:r>
              <w:rPr/>
              <w:t> </w:t>
            </w:r>
          </w:p>
        </w:tc>
        <w:tc>
          <w:tcPr>
            <w:tcW w:w="251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2013</w:t>
            </w:r>
          </w:p>
        </w:tc>
        <w:tc>
          <w:tcPr>
            <w:tcW w:w="134" w:type="dxa"/>
            <w:tcBorders/>
            <w:shd w:fill="auto" w:val="clear"/>
            <w:vAlign w:val="center"/>
          </w:tcPr>
          <w:p>
            <w:pPr>
              <w:pStyle w:val="TableContents"/>
              <w:spacing w:before="0" w:after="0"/>
              <w:ind w:left="0" w:right="0" w:firstLine="30"/>
              <w:rPr/>
            </w:pPr>
            <w:r>
              <w:rPr/>
              <w:t> </w:t>
            </w:r>
          </w:p>
        </w:tc>
        <w:tc>
          <w:tcPr>
            <w:tcW w:w="253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2012</w:t>
            </w:r>
          </w:p>
        </w:tc>
      </w:tr>
      <w:tr>
        <w:trPr/>
        <w:tc>
          <w:tcPr>
            <w:tcW w:w="5021" w:type="dxa"/>
            <w:tcBorders/>
            <w:shd w:fill="auto" w:val="clear"/>
            <w:vAlign w:val="center"/>
          </w:tcPr>
          <w:p>
            <w:pPr>
              <w:pStyle w:val="TableContents"/>
              <w:spacing w:before="0" w:after="0"/>
              <w:ind w:left="0" w:right="0" w:firstLine="30"/>
              <w:jc w:val="left"/>
              <w:rPr/>
            </w:pPr>
            <w:r>
              <w:rPr/>
              <w:t> </w:t>
            </w:r>
          </w:p>
        </w:tc>
        <w:tc>
          <w:tcPr>
            <w:tcW w:w="124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34" w:type="dxa"/>
            <w:tcBorders/>
            <w:shd w:fill="auto" w:val="clear"/>
            <w:vAlign w:val="center"/>
          </w:tcPr>
          <w:p>
            <w:pPr>
              <w:pStyle w:val="TableContents"/>
              <w:spacing w:before="0" w:after="0"/>
              <w:ind w:left="0" w:right="0" w:firstLine="30"/>
              <w:rPr/>
            </w:pPr>
            <w:r>
              <w:rPr/>
              <w:t> </w:t>
            </w:r>
          </w:p>
        </w:tc>
        <w:tc>
          <w:tcPr>
            <w:tcW w:w="113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Debt Premium</w:t>
            </w:r>
          </w:p>
        </w:tc>
        <w:tc>
          <w:tcPr>
            <w:tcW w:w="134" w:type="dxa"/>
            <w:tcBorders/>
            <w:shd w:fill="auto" w:val="clear"/>
            <w:vAlign w:val="center"/>
          </w:tcPr>
          <w:p>
            <w:pPr>
              <w:pStyle w:val="TableContents"/>
              <w:spacing w:before="0" w:after="0"/>
              <w:ind w:left="0" w:right="0" w:firstLine="30"/>
              <w:rPr/>
            </w:pPr>
            <w:r>
              <w:rPr/>
              <w:t> </w:t>
            </w:r>
          </w:p>
        </w:tc>
        <w:tc>
          <w:tcPr>
            <w:tcW w:w="124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34" w:type="dxa"/>
            <w:tcBorders/>
            <w:shd w:fill="auto" w:val="clear"/>
            <w:vAlign w:val="center"/>
          </w:tcPr>
          <w:p>
            <w:pPr>
              <w:pStyle w:val="TableContents"/>
              <w:spacing w:before="0" w:after="0"/>
              <w:ind w:left="0" w:right="0" w:firstLine="30"/>
              <w:rPr/>
            </w:pPr>
            <w:r>
              <w:rPr/>
              <w:t> </w:t>
            </w:r>
          </w:p>
        </w:tc>
        <w:tc>
          <w:tcPr>
            <w:tcW w:w="115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Debt Premium</w:t>
            </w:r>
          </w:p>
        </w:tc>
      </w:tr>
      <w:tr>
        <w:trPr/>
        <w:tc>
          <w:tcPr>
            <w:tcW w:w="5021" w:type="dxa"/>
            <w:tcBorders/>
            <w:shd w:fill="auto" w:val="clear"/>
            <w:vAlign w:val="center"/>
          </w:tcPr>
          <w:p>
            <w:pPr>
              <w:pStyle w:val="TableContents"/>
              <w:spacing w:before="0" w:after="0"/>
              <w:ind w:left="0" w:right="0" w:firstLine="30"/>
              <w:rPr/>
            </w:pPr>
            <w:r>
              <w:rPr/>
              <w:t> </w:t>
            </w:r>
          </w:p>
        </w:tc>
        <w:tc>
          <w:tcPr>
            <w:tcW w:w="5184" w:type="dxa"/>
            <w:gridSpan w:val="15"/>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021"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Recourse to EZCORP:</w:t>
            </w:r>
          </w:p>
        </w:tc>
        <w:tc>
          <w:tcPr>
            <w:tcW w:w="1244"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137"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44"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157" w:type="dxa"/>
            <w:gridSpan w:val="3"/>
            <w:tcBorders/>
            <w:shd w:fill="CCEEFF" w:val="clear"/>
            <w:vAlign w:val="center"/>
          </w:tcPr>
          <w:p>
            <w:pPr>
              <w:pStyle w:val="TableContents"/>
              <w:spacing w:before="0" w:after="0"/>
              <w:ind w:left="0" w:right="0" w:firstLine="30"/>
              <w:rPr/>
            </w:pPr>
            <w:r>
              <w:rPr/>
              <w:t> </w:t>
            </w:r>
          </w:p>
        </w:tc>
      </w:tr>
      <w:tr>
        <w:trPr/>
        <w:tc>
          <w:tcPr>
            <w:tcW w:w="50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Domestic line of credit up to $200,000 due 2015</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5" w:type="dxa"/>
            <w:tcBorders/>
            <w:shd w:fill="auto" w:val="clear"/>
            <w:vAlign w:val="center"/>
          </w:tcPr>
          <w:p>
            <w:pPr>
              <w:pStyle w:val="TableContents"/>
              <w:spacing w:before="0" w:after="0"/>
              <w:jc w:val="right"/>
              <w:rPr>
                <w:rFonts w:ascii="inherit" w:hAnsi="inherit"/>
                <w:sz w:val="17"/>
              </w:rPr>
            </w:pPr>
            <w:r>
              <w:rPr>
                <w:rFonts w:ascii="inherit" w:hAnsi="inherit"/>
                <w:sz w:val="17"/>
              </w:rPr>
              <w:t>140,900</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20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33" w:type="dxa"/>
            <w:tcBorders/>
            <w:shd w:fill="auto" w:val="clear"/>
            <w:vAlign w:val="center"/>
          </w:tcPr>
          <w:p>
            <w:pPr>
              <w:pStyle w:val="TableContents"/>
              <w:spacing w:before="0" w:after="0"/>
              <w:jc w:val="right"/>
              <w:rPr/>
            </w:pPr>
            <w:r>
              <w:rPr/>
              <w:t>—</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5" w:type="dxa"/>
            <w:tcBorders/>
            <w:shd w:fill="auto" w:val="clear"/>
            <w:vAlign w:val="center"/>
          </w:tcPr>
          <w:p>
            <w:pPr>
              <w:pStyle w:val="TableContents"/>
              <w:spacing w:before="0" w:after="0"/>
              <w:jc w:val="right"/>
              <w:rPr>
                <w:rFonts w:ascii="inherit" w:hAnsi="inherit"/>
                <w:sz w:val="17"/>
              </w:rPr>
            </w:pPr>
            <w:r>
              <w:rPr>
                <w:rFonts w:ascii="inherit" w:hAnsi="inherit"/>
                <w:sz w:val="17"/>
              </w:rPr>
              <w:t>130,000</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72" w:type="dxa"/>
            <w:tcBorders/>
            <w:shd w:fill="auto" w:val="clear"/>
            <w:vAlign w:val="center"/>
          </w:tcPr>
          <w:p>
            <w:pPr>
              <w:pStyle w:val="TableContents"/>
              <w:spacing w:before="0" w:after="0"/>
              <w:jc w:val="right"/>
              <w:rPr/>
            </w:pPr>
            <w:r>
              <w:rPr/>
              <w:t>—</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Capital lease obligations</w:t>
            </w:r>
          </w:p>
        </w:tc>
        <w:tc>
          <w:tcPr>
            <w:tcW w:w="11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924</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1,589</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44" w:type="dxa"/>
            <w:gridSpan w:val="2"/>
            <w:tcBorders/>
            <w:shd w:fill="CCEEFF" w:val="clear"/>
            <w:vAlign w:val="center"/>
          </w:tcPr>
          <w:p>
            <w:pPr>
              <w:pStyle w:val="TableContents"/>
              <w:spacing w:before="0" w:after="0"/>
              <w:jc w:val="right"/>
              <w:rPr/>
            </w:pPr>
            <w:r>
              <w:rPr/>
              <w:t>—</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Non-recourse to EZCORP:</w:t>
            </w:r>
          </w:p>
        </w:tc>
        <w:tc>
          <w:tcPr>
            <w:tcW w:w="1244"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137"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44"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157" w:type="dxa"/>
            <w:gridSpan w:val="3"/>
            <w:tcBorders/>
            <w:shd w:fill="auto" w:val="clear"/>
            <w:vAlign w:val="center"/>
          </w:tcPr>
          <w:p>
            <w:pPr>
              <w:pStyle w:val="TableContents"/>
              <w:spacing w:before="0" w:after="0"/>
              <w:ind w:left="0" w:right="0" w:firstLine="30"/>
              <w:rPr/>
            </w:pPr>
            <w:r>
              <w:rPr/>
              <w:t> </w:t>
            </w:r>
          </w:p>
        </w:tc>
      </w:tr>
      <w:tr>
        <w:trPr/>
        <w:tc>
          <w:tcPr>
            <w:tcW w:w="50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Secured foreign currency line of credit up to $4 million due 2014</w:t>
            </w:r>
          </w:p>
        </w:tc>
        <w:tc>
          <w:tcPr>
            <w:tcW w:w="11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1,207</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2,629</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199</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Secured foreign currency line of credit up to $19 million due 2015</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6,281</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pPr>
            <w:r>
              <w:rPr/>
              <w:t>—</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16,073</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44" w:type="dxa"/>
            <w:gridSpan w:val="2"/>
            <w:tcBorders/>
            <w:shd w:fill="auto" w:val="clear"/>
            <w:vAlign w:val="center"/>
          </w:tcPr>
          <w:p>
            <w:pPr>
              <w:pStyle w:val="TableContents"/>
              <w:spacing w:before="0" w:after="0"/>
              <w:jc w:val="right"/>
              <w:rPr/>
            </w:pPr>
            <w:r>
              <w:rPr/>
              <w:t>—</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Secured foreign currency line of credit up to $23 million due 2017</w:t>
            </w:r>
          </w:p>
        </w:tc>
        <w:tc>
          <w:tcPr>
            <w:tcW w:w="11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22,822</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11,263</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44" w:type="dxa"/>
            <w:gridSpan w:val="2"/>
            <w:tcBorders/>
            <w:shd w:fill="CCEEFF" w:val="clear"/>
            <w:vAlign w:val="center"/>
          </w:tcPr>
          <w:p>
            <w:pPr>
              <w:pStyle w:val="TableContents"/>
              <w:spacing w:before="0" w:after="0"/>
              <w:jc w:val="right"/>
              <w:rPr/>
            </w:pPr>
            <w:r>
              <w:rPr/>
              <w:t>—</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facility due 2017</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31,951</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pPr>
            <w:r>
              <w:rPr/>
              <w:t>—</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32,679</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44" w:type="dxa"/>
            <w:gridSpan w:val="2"/>
            <w:tcBorders/>
            <w:shd w:fill="auto" w:val="clear"/>
            <w:vAlign w:val="center"/>
          </w:tcPr>
          <w:p>
            <w:pPr>
              <w:pStyle w:val="TableContents"/>
              <w:spacing w:before="0" w:after="0"/>
              <w:jc w:val="right"/>
              <w:rPr/>
            </w:pPr>
            <w:r>
              <w:rPr/>
              <w:t>—</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2013</w:t>
            </w:r>
          </w:p>
        </w:tc>
        <w:tc>
          <w:tcPr>
            <w:tcW w:w="11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503</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1,766</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44" w:type="dxa"/>
            <w:gridSpan w:val="2"/>
            <w:tcBorders/>
            <w:shd w:fill="CCEEFF" w:val="clear"/>
            <w:vAlign w:val="center"/>
          </w:tcPr>
          <w:p>
            <w:pPr>
              <w:pStyle w:val="TableContents"/>
              <w:spacing w:before="0" w:after="0"/>
              <w:jc w:val="right"/>
              <w:rPr/>
            </w:pPr>
            <w:r>
              <w:rPr/>
              <w:t>—</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15% unsecured notes due 2013</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12,884</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244</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14,262</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1,334</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16% unsecured notes due 2013</w:t>
            </w:r>
          </w:p>
        </w:tc>
        <w:tc>
          <w:tcPr>
            <w:tcW w:w="1156" w:type="dxa"/>
            <w:gridSpan w:val="2"/>
            <w:tcBorders/>
            <w:shd w:fill="CCEEFF" w:val="clear"/>
            <w:vAlign w:val="center"/>
          </w:tcPr>
          <w:p>
            <w:pPr>
              <w:pStyle w:val="TableContents"/>
              <w:spacing w:before="0" w:after="0"/>
              <w:jc w:val="right"/>
              <w:rPr/>
            </w:pPr>
            <w:r>
              <w:rPr/>
              <w:t>—</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5,248</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2014</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8,925</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pPr>
            <w:r>
              <w:rPr/>
              <w:t>—</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963</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44" w:type="dxa"/>
            <w:gridSpan w:val="2"/>
            <w:tcBorders/>
            <w:shd w:fill="auto" w:val="clear"/>
            <w:vAlign w:val="center"/>
          </w:tcPr>
          <w:p>
            <w:pPr>
              <w:pStyle w:val="TableContents"/>
              <w:spacing w:before="0" w:after="0"/>
              <w:jc w:val="right"/>
              <w:rPr/>
            </w:pPr>
            <w:r>
              <w:rPr/>
              <w:t>—</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11% unsecured notes due 2014</w:t>
            </w:r>
          </w:p>
        </w:tc>
        <w:tc>
          <w:tcPr>
            <w:tcW w:w="11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56" w:type="dxa"/>
            <w:gridSpan w:val="2"/>
            <w:tcBorders/>
            <w:shd w:fill="CCEEFF" w:val="clear"/>
            <w:vAlign w:val="center"/>
          </w:tcPr>
          <w:p>
            <w:pPr>
              <w:pStyle w:val="TableContents"/>
              <w:spacing w:before="0" w:after="0"/>
              <w:jc w:val="right"/>
              <w:rPr/>
            </w:pPr>
            <w:r>
              <w:rPr/>
              <w:t>—</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44" w:type="dxa"/>
            <w:gridSpan w:val="2"/>
            <w:tcBorders/>
            <w:shd w:fill="CCEEFF" w:val="clear"/>
            <w:vAlign w:val="center"/>
          </w:tcPr>
          <w:p>
            <w:pPr>
              <w:pStyle w:val="TableContents"/>
              <w:spacing w:before="0" w:after="0"/>
              <w:jc w:val="right"/>
              <w:rPr/>
            </w:pPr>
            <w:r>
              <w:rPr/>
              <w:t>—</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9% unsecured notes due 2015</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16,068</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pPr>
            <w:r>
              <w:rPr/>
              <w:t>—</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pPr>
            <w:r>
              <w:rPr/>
              <w:t>—</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44" w:type="dxa"/>
            <w:gridSpan w:val="2"/>
            <w:tcBorders/>
            <w:shd w:fill="auto" w:val="clear"/>
            <w:vAlign w:val="center"/>
          </w:tcPr>
          <w:p>
            <w:pPr>
              <w:pStyle w:val="TableContents"/>
              <w:spacing w:before="0" w:after="0"/>
              <w:jc w:val="right"/>
              <w:rPr/>
            </w:pPr>
            <w:r>
              <w:rPr/>
              <w:t>—</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2015</w:t>
            </w:r>
          </w:p>
        </w:tc>
        <w:tc>
          <w:tcPr>
            <w:tcW w:w="11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418</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427</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44" w:type="dxa"/>
            <w:gridSpan w:val="2"/>
            <w:tcBorders/>
            <w:shd w:fill="CCEEFF" w:val="clear"/>
            <w:vAlign w:val="center"/>
          </w:tcPr>
          <w:p>
            <w:pPr>
              <w:pStyle w:val="TableContents"/>
              <w:spacing w:before="0" w:after="0"/>
              <w:jc w:val="right"/>
              <w:rPr/>
            </w:pPr>
            <w:r>
              <w:rPr/>
              <w:t>—</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15% secured notes due 2015</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4,185</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381</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4,488</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597</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2016</w:t>
            </w:r>
          </w:p>
        </w:tc>
        <w:tc>
          <w:tcPr>
            <w:tcW w:w="115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121</w:t>
            </w:r>
          </w:p>
        </w:tc>
        <w:tc>
          <w:tcPr>
            <w:tcW w:w="8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5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123</w:t>
            </w:r>
          </w:p>
        </w:tc>
        <w:tc>
          <w:tcPr>
            <w:tcW w:w="8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4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long-term obligations</w:t>
            </w:r>
          </w:p>
        </w:tc>
        <w:tc>
          <w:tcPr>
            <w:tcW w:w="1156"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247,299</w:t>
            </w:r>
          </w:p>
        </w:tc>
        <w:tc>
          <w:tcPr>
            <w:tcW w:w="8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724</w:t>
            </w:r>
          </w:p>
        </w:tc>
        <w:tc>
          <w:tcPr>
            <w:tcW w:w="99"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221,510</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2,238</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 current portion</w:t>
            </w:r>
          </w:p>
        </w:tc>
        <w:tc>
          <w:tcPr>
            <w:tcW w:w="115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30,969</w:t>
            </w:r>
          </w:p>
        </w:tc>
        <w:tc>
          <w:tcPr>
            <w:tcW w:w="8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543</w:t>
            </w:r>
          </w:p>
        </w:tc>
        <w:tc>
          <w:tcPr>
            <w:tcW w:w="9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5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21,679</w:t>
            </w:r>
          </w:p>
        </w:tc>
        <w:tc>
          <w:tcPr>
            <w:tcW w:w="8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4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long-term and capital lease obligations</w:t>
            </w:r>
          </w:p>
        </w:tc>
        <w:tc>
          <w:tcPr>
            <w:tcW w:w="1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216,330</w:t>
            </w:r>
          </w:p>
        </w:tc>
        <w:tc>
          <w:tcPr>
            <w:tcW w:w="8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2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3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181</w:t>
            </w:r>
          </w:p>
        </w:tc>
        <w:tc>
          <w:tcPr>
            <w:tcW w:w="9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199,831</w:t>
            </w:r>
          </w:p>
        </w:tc>
        <w:tc>
          <w:tcPr>
            <w:tcW w:w="8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2,238</w:t>
            </w:r>
          </w:p>
        </w:tc>
        <w:tc>
          <w:tcPr>
            <w:tcW w:w="11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May 10, 2011</w:t>
      </w:r>
      <w:r>
        <w:rPr>
          <w:rFonts w:ascii="inherit" w:hAnsi="inherit"/>
          <w:sz w:val="17"/>
        </w:rPr>
        <w:t xml:space="preserve">, we entered into a new senior secured credit agreement with a syndicate of </w:t>
      </w:r>
      <w:r>
        <w:rPr>
          <w:rFonts w:ascii="inherit" w:hAnsi="inherit"/>
          <w:strike w:val="false"/>
          <w:dstrike w:val="false"/>
          <w:color w:val="000000"/>
          <w:sz w:val="17"/>
          <w:u w:val="none"/>
          <w:effect w:val="none"/>
        </w:rPr>
        <w:t>five</w:t>
      </w:r>
      <w:r>
        <w:rPr>
          <w:sz w:val="17"/>
        </w:rPr>
        <w:t xml:space="preserve"> </w:t>
      </w:r>
      <w:r>
        <w:rPr>
          <w:rFonts w:ascii="inherit" w:hAnsi="inherit"/>
          <w:sz w:val="17"/>
        </w:rPr>
        <w:t xml:space="preserve">banks, replacing our previous credit agreement. Among other things, the new credit agreement provides for a </w:t>
      </w:r>
      <w:r>
        <w:rPr>
          <w:rFonts w:ascii="inherit" w:hAnsi="inherit"/>
          <w:strike w:val="false"/>
          <w:dstrike w:val="false"/>
          <w:color w:val="000000"/>
          <w:sz w:val="17"/>
          <w:u w:val="none"/>
          <w:effect w:val="none"/>
        </w:rPr>
        <w:t>four</w:t>
      </w:r>
      <w:r>
        <w:rPr>
          <w:rFonts w:ascii="inherit" w:hAnsi="inherit"/>
          <w:sz w:val="17"/>
        </w:rPr>
        <w:t xml:space="preserve">-year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revolving credit facility that we may, under the terms of the agreement, request to be increased to a total of </w:t>
      </w:r>
      <w:r>
        <w:rPr>
          <w:rFonts w:ascii="inherit" w:hAnsi="inherit"/>
          <w:strike w:val="false"/>
          <w:dstrike w:val="false"/>
          <w:color w:val="000000"/>
          <w:sz w:val="17"/>
          <w:u w:val="none"/>
          <w:effect w:val="none"/>
        </w:rPr>
        <w:t>$225 million</w:t>
      </w:r>
      <w:r>
        <w:rPr>
          <w:rFonts w:ascii="inherit" w:hAnsi="inherit"/>
          <w:sz w:val="17"/>
        </w:rPr>
        <w:t xml:space="preserve">. Upon entering the new credit agreement, we repaid and retired our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outstanding debt. On </w:t>
      </w:r>
      <w:r>
        <w:rPr>
          <w:rFonts w:ascii="inherit" w:hAnsi="inherit"/>
          <w:strike w:val="false"/>
          <w:dstrike w:val="false"/>
          <w:color w:val="000000"/>
          <w:sz w:val="17"/>
          <w:u w:val="none"/>
          <w:effect w:val="none"/>
        </w:rPr>
        <w:t>May 31, 2013</w:t>
      </w:r>
      <w:r>
        <w:rPr>
          <w:rFonts w:ascii="inherit" w:hAnsi="inherit"/>
          <w:sz w:val="17"/>
        </w:rPr>
        <w:t xml:space="preserve">, we amended the senior secured credit agreement to increase our revolving credit facility from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$200 million</w:t>
      </w:r>
      <w:r>
        <w:rPr>
          <w:rFonts w:ascii="inherit" w:hAnsi="inherit"/>
          <w:sz w:val="17"/>
        </w:rPr>
        <w:t>. The new credit facility increases our available credit and provides greater flexibility to make investments and acquisitions both domestically and internationally. No other terms of our senior secured credit agreement were modified.</w:t>
      </w:r>
    </w:p>
    <w:p>
      <w:pPr>
        <w:pStyle w:val="TextBody"/>
        <w:spacing w:lineRule="auto" w:line="288" w:before="0" w:after="0"/>
        <w:rPr>
          <w:sz w:val="17"/>
        </w:rPr>
      </w:pPr>
      <w:r>
        <w:rPr>
          <w:rFonts w:ascii="inherit" w:hAnsi="inherit"/>
          <w:sz w:val="17"/>
        </w:rPr>
        <w:t xml:space="preserve">Pursuant to the credit agreement, we may choose to pay interest to the lenders for outstanding borrowings at </w:t>
      </w:r>
      <w:r>
        <w:rPr>
          <w:rFonts w:ascii="inherit" w:hAnsi="inherit"/>
          <w:strike w:val="false"/>
          <w:dstrike w:val="false"/>
          <w:color w:val="000000"/>
          <w:sz w:val="17"/>
          <w:u w:val="none"/>
          <w:effect w:val="none"/>
        </w:rPr>
        <w:t>LIBOR plus 200 to 275 basis points or the banks' base rate plus 100 to 175 basis points</w:t>
      </w:r>
      <w:r>
        <w:rPr>
          <w:rFonts w:ascii="inherit" w:hAnsi="inherit"/>
          <w:sz w:val="17"/>
        </w:rPr>
        <w:t xml:space="preserve">, depending on our leverage ratio computed at the end of each calendar quarter. On the unused amount of the credit facility, we pay a </w:t>
      </w:r>
      <w:r>
        <w:rPr>
          <w:rFonts w:ascii="inherit" w:hAnsi="inherit"/>
          <w:strike w:val="false"/>
          <w:dstrike w:val="false"/>
          <w:color w:val="000000"/>
          <w:sz w:val="17"/>
          <w:u w:val="none"/>
          <w:effect w:val="none"/>
        </w:rPr>
        <w:t>commitment fee of 37.5 to 50 basis points depending on our leverage ratio calculated at the end of each quarter</w:t>
      </w:r>
      <w:r>
        <w:rPr>
          <w:rFonts w:ascii="inherit" w:hAnsi="inherit"/>
          <w:sz w:val="17"/>
        </w:rPr>
        <w:t xml:space="preserve">. Terms of the credit agreement require, among other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82</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things, that we meet certain financial covenants, restrict dividend payments and limit other and non-recourse debt. At </w:t>
      </w:r>
      <w:r>
        <w:rPr>
          <w:rFonts w:ascii="inherit" w:hAnsi="inherit"/>
          <w:strike w:val="false"/>
          <w:dstrike w:val="false"/>
          <w:color w:val="000000"/>
          <w:sz w:val="17"/>
          <w:u w:val="none"/>
          <w:effect w:val="none"/>
        </w:rPr>
        <w:t>September 30, 2013</w:t>
      </w:r>
      <w:r>
        <w:rPr>
          <w:rFonts w:ascii="inherit" w:hAnsi="inherit"/>
          <w:sz w:val="17"/>
        </w:rPr>
        <w:t xml:space="preserve">, we were in compliance with all covenants. </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September 30, 2013</w:t>
      </w:r>
      <w:r>
        <w:rPr>
          <w:rFonts w:ascii="inherit" w:hAnsi="inherit"/>
          <w:sz w:val="17"/>
        </w:rPr>
        <w:t>, $140.9 million</w:t>
      </w:r>
      <w:r>
        <w:rPr>
          <w:sz w:val="17"/>
        </w:rPr>
        <w:t xml:space="preserve"> </w:t>
      </w:r>
      <w:r>
        <w:rPr>
          <w:rFonts w:ascii="inherit" w:hAnsi="inherit"/>
          <w:sz w:val="17"/>
        </w:rPr>
        <w:t>was outstanding under our revolving credit agreement. This facility is collateralized with EZCORP’s total assets. We also issued a $1.8 million</w:t>
      </w:r>
      <w:r>
        <w:rPr>
          <w:sz w:val="17"/>
        </w:rPr>
        <w:t xml:space="preserve"> </w:t>
      </w:r>
      <w:r>
        <w:rPr>
          <w:rFonts w:ascii="inherit" w:hAnsi="inherit"/>
          <w:sz w:val="17"/>
        </w:rPr>
        <w:t xml:space="preserve">letter of credit, leaving </w:t>
      </w:r>
      <w:r>
        <w:rPr>
          <w:rFonts w:ascii="inherit" w:hAnsi="inherit"/>
          <w:strike w:val="false"/>
          <w:dstrike w:val="false"/>
          <w:color w:val="000000"/>
          <w:sz w:val="17"/>
          <w:u w:val="none"/>
          <w:effect w:val="none"/>
        </w:rPr>
        <w:t>$57.3 million</w:t>
      </w:r>
      <w:r>
        <w:rPr>
          <w:sz w:val="17"/>
        </w:rPr>
        <w:t xml:space="preserve"> </w:t>
      </w:r>
      <w:r>
        <w:rPr>
          <w:rFonts w:ascii="inherit" w:hAnsi="inherit"/>
          <w:sz w:val="17"/>
        </w:rPr>
        <w:t xml:space="preserve">available on our revolving credit facility. The outstanding bank letters of credit were required under our workers' compensation insurance program and for our international office in Miami, Florida. </w:t>
      </w:r>
    </w:p>
    <w:p>
      <w:pPr>
        <w:pStyle w:val="TextBody"/>
        <w:spacing w:lineRule="auto" w:line="288" w:before="0" w:after="0"/>
        <w:rPr>
          <w:rFonts w:ascii="inherit" w:hAnsi="inherit"/>
          <w:sz w:val="17"/>
        </w:rPr>
      </w:pPr>
      <w:r>
        <w:rPr>
          <w:rFonts w:ascii="inherit" w:hAnsi="inherit"/>
          <w:sz w:val="17"/>
        </w:rPr>
        <w:t>Deferred financing costs related to our credit agreement are included in intangible assets, net on our consolidated balance sheets and are being amortized to interest expense over the term of the agreement.</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January 30, 2012</w:t>
      </w:r>
      <w:r>
        <w:rPr>
          <w:rFonts w:ascii="inherit" w:hAnsi="inherit"/>
          <w:sz w:val="17"/>
        </w:rPr>
        <w:t>, we acquired a 60%</w:t>
      </w:r>
      <w:r>
        <w:rPr>
          <w:sz w:val="17"/>
        </w:rPr>
        <w:t xml:space="preserve"> </w:t>
      </w:r>
      <w:r>
        <w:rPr>
          <w:rFonts w:ascii="inherit" w:hAnsi="inherit"/>
          <w:sz w:val="17"/>
        </w:rPr>
        <w:t xml:space="preserve">ownership interest in Grupo Finmart. Non-recourse debt amounts in the table above represent Grupo Finmart’s third party debt. All unsecured notes are collateralized with Grupo Finmart’s assets. All lines of credit are guaranteed by Grupo Finmart's loan portfolio. Interest on lines of credit due 2014 and 2015 is charged at the Mexican Interbank Equilibrium ("TIIE") plus a margin varying from </w:t>
      </w:r>
      <w:r>
        <w:rPr>
          <w:rFonts w:ascii="inherit" w:hAnsi="inherit"/>
          <w:strike w:val="false"/>
          <w:dstrike w:val="false"/>
          <w:color w:val="000000"/>
          <w:sz w:val="17"/>
          <w:u w:val="none"/>
          <w:effect w:val="none"/>
        </w:rPr>
        <w:t>6%</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9%</w:t>
      </w:r>
      <w:r>
        <w:rPr>
          <w:rFonts w:ascii="inherit" w:hAnsi="inherit"/>
          <w:sz w:val="17"/>
        </w:rPr>
        <w:t xml:space="preserve">. The line of credit due 2014 requires </w:t>
      </w:r>
      <w:r>
        <w:rPr>
          <w:rFonts w:ascii="inherit" w:hAnsi="inherit"/>
          <w:strike w:val="false"/>
          <w:dstrike w:val="false"/>
          <w:color w:val="000000"/>
          <w:sz w:val="17"/>
          <w:u w:val="none"/>
          <w:effect w:val="none"/>
        </w:rPr>
        <w:t>monthly payments</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with remaining principal due at maturity. The line of credit due 2015 requires </w:t>
      </w:r>
      <w:r>
        <w:rPr>
          <w:rFonts w:ascii="inherit" w:hAnsi="inherit"/>
          <w:strike w:val="false"/>
          <w:dstrike w:val="false"/>
          <w:color w:val="000000"/>
          <w:sz w:val="17"/>
          <w:u w:val="none"/>
          <w:effect w:val="none"/>
        </w:rPr>
        <w:t>monthly payments</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$0.9 million</w:t>
      </w:r>
      <w:r>
        <w:rPr>
          <w:sz w:val="17"/>
        </w:rPr>
        <w:t xml:space="preserve"> </w:t>
      </w:r>
      <w:r>
        <w:rPr>
          <w:rFonts w:ascii="inherit" w:hAnsi="inherit"/>
          <w:sz w:val="17"/>
        </w:rPr>
        <w:t xml:space="preserve">with the remaining principal due at maturity. The </w:t>
      </w:r>
      <w:r>
        <w:rPr>
          <w:rFonts w:ascii="inherit" w:hAnsi="inherit"/>
          <w:strike w:val="false"/>
          <w:dstrike w:val="false"/>
          <w:color w:val="000000"/>
          <w:sz w:val="17"/>
          <w:u w:val="none"/>
          <w:effect w:val="none"/>
        </w:rPr>
        <w:t>15%</w:t>
      </w:r>
      <w:r>
        <w:rPr>
          <w:sz w:val="17"/>
        </w:rPr>
        <w:t xml:space="preserve"> </w:t>
      </w:r>
      <w:r>
        <w:rPr>
          <w:rFonts w:ascii="inherit" w:hAnsi="inherit"/>
          <w:sz w:val="17"/>
        </w:rPr>
        <w:t xml:space="preserve">secured notes require </w:t>
      </w:r>
      <w:r>
        <w:rPr>
          <w:rFonts w:ascii="inherit" w:hAnsi="inherit"/>
          <w:strike w:val="false"/>
          <w:dstrike w:val="false"/>
          <w:color w:val="000000"/>
          <w:sz w:val="17"/>
          <w:u w:val="none"/>
          <w:effect w:val="none"/>
        </w:rPr>
        <w:t>monthly payments</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with remaining principal due at maturity. </w:t>
      </w:r>
    </w:p>
    <w:p>
      <w:pPr>
        <w:pStyle w:val="TextBody"/>
        <w:spacing w:lineRule="auto" w:line="288" w:before="0" w:after="0"/>
        <w:rPr>
          <w:rFonts w:ascii="inherit" w:hAnsi="inherit"/>
          <w:sz w:val="17"/>
        </w:rPr>
      </w:pPr>
      <w:r>
        <w:rPr>
          <w:rFonts w:ascii="inherit" w:hAnsi="inherit"/>
          <w:sz w:val="17"/>
        </w:rPr>
        <w:t xml:space="preserve">At acquisition, we performed a valuation to determine the fair value of Grupo Finmart's debt. As a result, we recorded a debt premium on Grupo Finmart’s debt of $17.3 million. This debt premium is being amortized as a reduction of interest expense over the life of the debt. The acquisition date fair value was determined by using an income approach, specifically the discounted cash flows method based on the contractual terms of the debt and risk adjusted discount rates. </w:t>
      </w:r>
    </w:p>
    <w:p>
      <w:pPr>
        <w:pStyle w:val="TextBody"/>
        <w:spacing w:lineRule="auto" w:line="288" w:before="0" w:after="0"/>
        <w:jc w:val="left"/>
        <w:rPr>
          <w:sz w:val="17"/>
        </w:rPr>
      </w:pPr>
      <w:r>
        <w:rPr>
          <w:rFonts w:ascii="inherit" w:hAnsi="inherit"/>
          <w:sz w:val="17"/>
        </w:rPr>
        <w:t xml:space="preserve">On June 29, 2012 Grupo Finmart renegotiated their revolving line of credit originally due 2016. The interest rate was decreased from </w:t>
      </w:r>
      <w:r>
        <w:rPr>
          <w:rFonts w:ascii="inherit" w:hAnsi="inherit"/>
          <w:strike w:val="false"/>
          <w:dstrike w:val="false"/>
          <w:color w:val="000000"/>
          <w:sz w:val="17"/>
          <w:u w:val="none"/>
          <w:effect w:val="none"/>
        </w:rPr>
        <w:t>20%</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14.5%</w:t>
      </w:r>
      <w:r>
        <w:rPr>
          <w:sz w:val="17"/>
        </w:rPr>
        <w:t xml:space="preserve"> </w:t>
      </w:r>
      <w:r>
        <w:rPr>
          <w:rFonts w:ascii="inherit" w:hAnsi="inherit"/>
          <w:sz w:val="17"/>
        </w:rPr>
        <w:t xml:space="preserve">and the term was extended </w:t>
      </w:r>
      <w:r>
        <w:rPr>
          <w:rFonts w:ascii="inherit" w:hAnsi="inherit"/>
          <w:strike w:val="false"/>
          <w:dstrike w:val="false"/>
          <w:color w:val="000000"/>
          <w:sz w:val="17"/>
          <w:u w:val="none"/>
          <w:effect w:val="none"/>
        </w:rPr>
        <w:t>6 months</w:t>
      </w:r>
      <w:r>
        <w:rPr>
          <w:rFonts w:ascii="inherit" w:hAnsi="inherit"/>
          <w:sz w:val="17"/>
        </w:rPr>
        <w:t xml:space="preserve">, now being due at the end of April 2017. The maximum borrowing capacity was also raised from </w:t>
      </w:r>
      <w:r>
        <w:rPr>
          <w:rFonts w:ascii="inherit" w:hAnsi="inherit"/>
          <w:strike w:val="false"/>
          <w:dstrike w:val="false"/>
          <w:color w:val="000000"/>
          <w:sz w:val="17"/>
          <w:u w:val="none"/>
          <w:effect w:val="none"/>
        </w:rPr>
        <w:t>$14.6 million</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$22.0 million</w:t>
      </w:r>
      <w:r>
        <w:rPr>
          <w:rFonts w:ascii="inherit" w:hAnsi="inherit"/>
          <w:sz w:val="17"/>
        </w:rPr>
        <w:t xml:space="preserve">. Due to the substantial improvement in the renegotiated terms, the remaining unamortized premium of </w:t>
      </w:r>
      <w:r>
        <w:rPr>
          <w:rFonts w:ascii="inherit" w:hAnsi="inherit"/>
          <w:strike w:val="false"/>
          <w:dstrike w:val="false"/>
          <w:color w:val="000000"/>
          <w:sz w:val="17"/>
          <w:u w:val="none"/>
          <w:effect w:val="none"/>
        </w:rPr>
        <w:t>$2.8 million</w:t>
      </w:r>
      <w:r>
        <w:rPr>
          <w:rFonts w:ascii="inherit" w:hAnsi="inherit"/>
          <w:sz w:val="17"/>
        </w:rPr>
        <w:t xml:space="preserve">, valued at acquisition, was accelerated and recognized as a reduction to interest expense in our third quarter of fiscal </w:t>
      </w:r>
      <w:r>
        <w:rPr>
          <w:rFonts w:ascii="inherit" w:hAnsi="inherit"/>
          <w:strike w:val="false"/>
          <w:dstrike w:val="false"/>
          <w:color w:val="000000"/>
          <w:sz w:val="17"/>
          <w:u w:val="none"/>
          <w:effect w:val="none"/>
        </w:rPr>
        <w:t>2012</w:t>
      </w:r>
      <w:r>
        <w:rPr>
          <w:rFonts w:ascii="inherit" w:hAnsi="inherit"/>
          <w:sz w:val="17"/>
        </w:rPr>
        <w:t>.</w:t>
      </w:r>
    </w:p>
    <w:p>
      <w:pPr>
        <w:pStyle w:val="TextBody"/>
        <w:spacing w:lineRule="auto" w:line="288" w:before="0" w:after="0"/>
        <w:jc w:val="left"/>
        <w:rPr>
          <w:sz w:val="17"/>
        </w:rPr>
      </w:pPr>
      <w:r>
        <w:rPr>
          <w:rFonts w:ascii="inherit" w:hAnsi="inherit"/>
          <w:sz w:val="17"/>
        </w:rPr>
        <w:t xml:space="preserve">On July 10, 2012, Grupo Finmart entered into a securitization transaction to transfer the collection rights of certain eligible consumer loans to a bankruptcy remote trust in exchange for cash on a non-recourse basis. The trust received financing as a result of the issuance of debt securities and delivered the proceeds of the financing to Grupo Finmart. The securitization agreement calls for a </w:t>
      </w:r>
      <w:r>
        <w:rPr>
          <w:rFonts w:ascii="inherit" w:hAnsi="inherit"/>
          <w:strike w:val="false"/>
          <w:dstrike w:val="false"/>
          <w:color w:val="000000"/>
          <w:sz w:val="17"/>
          <w:u w:val="none"/>
          <w:effect w:val="none"/>
        </w:rPr>
        <w:t>two</w:t>
      </w:r>
      <w:r>
        <w:rPr>
          <w:rFonts w:ascii="inherit" w:hAnsi="inherit"/>
          <w:sz w:val="17"/>
        </w:rPr>
        <w:t>-year revolving period in which the trust will use principal collections of the consumer loan portfolio to acquire additional collection rights up to $114.1 million</w:t>
      </w:r>
      <w:r>
        <w:rPr>
          <w:sz w:val="17"/>
        </w:rPr>
        <w:t xml:space="preserve"> </w:t>
      </w:r>
      <w:r>
        <w:rPr>
          <w:rFonts w:ascii="inherit" w:hAnsi="inherit"/>
          <w:sz w:val="17"/>
        </w:rPr>
        <w:t>in eligible loans from Grupo Finmart. Upon the termination of the revolving period, the collection received by the trust will be used to repay the debt. Grupo Finmart will continue to service the underlying loans in the trust.</w:t>
      </w:r>
    </w:p>
    <w:p>
      <w:pPr>
        <w:pStyle w:val="TextBody"/>
        <w:spacing w:lineRule="auto" w:line="288" w:before="0" w:after="0"/>
        <w:jc w:val="left"/>
        <w:rPr>
          <w:sz w:val="17"/>
        </w:rPr>
      </w:pPr>
      <w:r>
        <w:rPr>
          <w:rFonts w:ascii="inherit" w:hAnsi="inherit"/>
          <w:sz w:val="17"/>
        </w:rPr>
        <w:t>In September 2012, Grupo Finmart renegotiated their revolving line of credit due 2015. Effective October 1, 2012 the interest rate was decreased from 18%</w:t>
      </w:r>
      <w:r>
        <w:rPr>
          <w:sz w:val="17"/>
        </w:rPr>
        <w:t xml:space="preserve"> </w:t>
      </w:r>
      <w:r>
        <w:rPr>
          <w:rFonts w:ascii="inherit" w:hAnsi="inherit"/>
          <w:sz w:val="17"/>
        </w:rPr>
        <w:t>to TIIE plus a 6%</w:t>
      </w:r>
      <w:r>
        <w:rPr>
          <w:sz w:val="17"/>
        </w:rPr>
        <w:t xml:space="preserve"> </w:t>
      </w:r>
      <w:r>
        <w:rPr>
          <w:rFonts w:ascii="inherit" w:hAnsi="inherit"/>
          <w:sz w:val="17"/>
        </w:rPr>
        <w:t>margin, total of 10.2%</w:t>
      </w:r>
      <w:r>
        <w:rPr>
          <w:sz w:val="17"/>
        </w:rPr>
        <w:t xml:space="preserve"> </w:t>
      </w:r>
      <w:r>
        <w:rPr>
          <w:rFonts w:ascii="inherit" w:hAnsi="inherit"/>
          <w:sz w:val="17"/>
        </w:rPr>
        <w:t xml:space="preserve">at September 30, 2013. Due to the substantial improvement in the renegotiated terms, the remaining unamortized premium of </w:t>
      </w:r>
      <w:r>
        <w:rPr>
          <w:rFonts w:ascii="inherit" w:hAnsi="inherit"/>
          <w:strike w:val="false"/>
          <w:dstrike w:val="false"/>
          <w:color w:val="000000"/>
          <w:sz w:val="17"/>
          <w:u w:val="none"/>
          <w:effect w:val="none"/>
        </w:rPr>
        <w:t>$4.4 million</w:t>
      </w:r>
      <w:r>
        <w:rPr>
          <w:rFonts w:ascii="inherit" w:hAnsi="inherit"/>
          <w:sz w:val="17"/>
        </w:rPr>
        <w:t xml:space="preserve">, valued at acquisition, was accelerated and recognized as a reduction to interest expense in our fourth quarter of fiscal </w:t>
      </w:r>
      <w:r>
        <w:rPr>
          <w:rFonts w:ascii="inherit" w:hAnsi="inherit"/>
          <w:strike w:val="false"/>
          <w:dstrike w:val="false"/>
          <w:color w:val="000000"/>
          <w:sz w:val="17"/>
          <w:u w:val="none"/>
          <w:effect w:val="none"/>
        </w:rPr>
        <w:t>2012</w:t>
      </w:r>
      <w:r>
        <w:rPr>
          <w:rFonts w:ascii="inherit" w:hAnsi="inherit"/>
          <w:sz w:val="17"/>
        </w:rPr>
        <w:t xml:space="preserve">. </w:t>
      </w:r>
    </w:p>
    <w:p>
      <w:pPr>
        <w:pStyle w:val="TextBody"/>
        <w:spacing w:lineRule="auto" w:line="288" w:before="0" w:after="0"/>
        <w:jc w:val="left"/>
        <w:rPr>
          <w:rFonts w:ascii="inherit" w:hAnsi="inherit"/>
          <w:sz w:val="17"/>
        </w:rPr>
      </w:pPr>
      <w:r>
        <w:rPr>
          <w:rFonts w:ascii="inherit" w:hAnsi="inherit"/>
          <w:sz w:val="17"/>
        </w:rPr>
        <w:t>Grupo Finmart is the primary beneficiary of the securitization trust because Grupo Finmart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w:t>
      </w:r>
    </w:p>
    <w:p>
      <w:pPr>
        <w:pStyle w:val="TextBody"/>
        <w:spacing w:lineRule="auto" w:line="288" w:before="0" w:after="0"/>
        <w:jc w:val="left"/>
        <w:rPr>
          <w:sz w:val="17"/>
        </w:rPr>
      </w:pPr>
      <w:r>
        <w:rPr>
          <w:rFonts w:ascii="inherit" w:hAnsi="inherit"/>
          <w:sz w:val="17"/>
        </w:rPr>
        <w:t xml:space="preserve">As of </w:t>
      </w:r>
      <w:r>
        <w:rPr>
          <w:rFonts w:ascii="inherit" w:hAnsi="inherit"/>
          <w:strike w:val="false"/>
          <w:dstrike w:val="false"/>
          <w:color w:val="000000"/>
          <w:sz w:val="17"/>
          <w:u w:val="none"/>
          <w:effect w:val="none"/>
        </w:rPr>
        <w:t>September 30, 2013</w:t>
      </w:r>
      <w:r>
        <w:rPr>
          <w:rFonts w:ascii="inherit" w:hAnsi="inherit"/>
          <w:sz w:val="17"/>
        </w:rPr>
        <w:t>, borrowings under the securitization borrowing facility amounted to $32.0 million. Interest is charged at TIIE plus a 2.5%</w:t>
      </w:r>
      <w:r>
        <w:rPr>
          <w:sz w:val="17"/>
        </w:rPr>
        <w:t xml:space="preserve"> </w:t>
      </w:r>
      <w:r>
        <w:rPr>
          <w:rFonts w:ascii="inherit" w:hAnsi="inherit"/>
          <w:sz w:val="17"/>
        </w:rPr>
        <w:t xml:space="preserve">margin, or a total of </w:t>
      </w:r>
      <w:r>
        <w:rPr>
          <w:rFonts w:ascii="inherit" w:hAnsi="inherit"/>
          <w:strike w:val="false"/>
          <w:dstrike w:val="false"/>
          <w:color w:val="000000"/>
          <w:sz w:val="17"/>
          <w:u w:val="none"/>
          <w:effect w:val="none"/>
        </w:rPr>
        <w:t>6.5%</w:t>
      </w:r>
      <w:r>
        <w:rPr>
          <w:sz w:val="17"/>
        </w:rPr>
        <w:t xml:space="preserve"> </w:t>
      </w:r>
      <w:r>
        <w:rPr>
          <w:rFonts w:ascii="inherit" w:hAnsi="inherit"/>
          <w:sz w:val="17"/>
        </w:rPr>
        <w:t xml:space="preserve">as of </w:t>
      </w:r>
      <w:r>
        <w:rPr>
          <w:rFonts w:ascii="inherit" w:hAnsi="inherit"/>
          <w:strike w:val="false"/>
          <w:dstrike w:val="false"/>
          <w:color w:val="000000"/>
          <w:sz w:val="17"/>
          <w:u w:val="none"/>
          <w:effect w:val="none"/>
        </w:rPr>
        <w:t>September 30, 2013</w:t>
      </w:r>
      <w:r>
        <w:rPr>
          <w:rFonts w:ascii="inherit" w:hAnsi="inherit"/>
          <w:sz w:val="17"/>
        </w:rPr>
        <w:t>. The debt issued by the trust will be paid solely from the collections of the consumer loans transferred to the trust, and therefore there is no recourse to Grupo Finmart or EZCORP.</w:t>
      </w:r>
    </w:p>
    <w:p>
      <w:pPr>
        <w:pStyle w:val="TextBody"/>
        <w:spacing w:lineRule="auto" w:line="288" w:before="0" w:after="0"/>
        <w:rPr>
          <w:sz w:val="17"/>
        </w:rPr>
      </w:pPr>
      <w:r>
        <w:rPr>
          <w:rFonts w:ascii="inherit" w:hAnsi="inherit"/>
          <w:sz w:val="17"/>
        </w:rPr>
        <w:t>On May 15, 2013, Grupo Finmart issued and sold $30.0 million</w:t>
      </w:r>
      <w:r>
        <w:rPr>
          <w:sz w:val="17"/>
        </w:rPr>
        <w:t xml:space="preserve"> </w:t>
      </w:r>
      <w:r>
        <w:rPr>
          <w:rFonts w:ascii="inherit" w:hAnsi="inherit"/>
          <w:sz w:val="17"/>
        </w:rPr>
        <w:t>of 9%</w:t>
      </w:r>
      <w:r>
        <w:rPr>
          <w:sz w:val="17"/>
        </w:rPr>
        <w:t xml:space="preserve"> </w:t>
      </w:r>
      <w:r>
        <w:rPr>
          <w:rFonts w:ascii="inherit" w:hAnsi="inherit"/>
          <w:sz w:val="17"/>
        </w:rPr>
        <w:t>Global Registered Notes due November 16, 2015. Notes with an aggregate principal amount of $14.0 million</w:t>
      </w:r>
      <w:r>
        <w:rPr>
          <w:sz w:val="17"/>
        </w:rPr>
        <w:t xml:space="preserve"> </w:t>
      </w:r>
      <w:r>
        <w:rPr>
          <w:rFonts w:ascii="inherit" w:hAnsi="inherit"/>
          <w:sz w:val="17"/>
        </w:rPr>
        <w:t>were purchased by EZCORP and therefore eliminated in consolidation. Grupo Finmart used a portion of the net proceeds of the offering to repay existing indebtedness, and used the remaining portion for general operating purposes.</w:t>
      </w:r>
    </w:p>
    <w:p>
      <w:pPr>
        <w:pStyle w:val="TextBody"/>
        <w:spacing w:lineRule="auto" w:line="288" w:before="0" w:after="0"/>
        <w:jc w:val="left"/>
        <w:rPr>
          <w:rFonts w:ascii="inherit" w:hAnsi="inherit"/>
          <w:b/>
          <w:sz w:val="17"/>
        </w:rPr>
      </w:pPr>
      <w:bookmarkStart w:id="75" w:name="s7EBB86C0C0F8E57C612083E26DC9B3BE"/>
      <w:bookmarkEnd w:id="75"/>
      <w:r>
        <w:rPr>
          <w:rFonts w:ascii="inherit" w:hAnsi="inherit"/>
          <w:b/>
          <w:sz w:val="17"/>
        </w:rPr>
        <w:t>NOTE 10: COMMON STOCK, OPTIONS AND STOCK COMPENSATION</w:t>
      </w:r>
    </w:p>
    <w:p>
      <w:pPr>
        <w:pStyle w:val="TextBody"/>
        <w:spacing w:lineRule="auto" w:line="288" w:before="0" w:after="0"/>
        <w:jc w:val="left"/>
        <w:rPr>
          <w:sz w:val="17"/>
        </w:rPr>
      </w:pPr>
      <w:r>
        <w:rPr>
          <w:rFonts w:ascii="inherit" w:hAnsi="inherit"/>
          <w:sz w:val="17"/>
        </w:rPr>
        <w:t xml:space="preserve">Our capital stock consists of </w:t>
      </w:r>
      <w:r>
        <w:rPr>
          <w:rFonts w:ascii="inherit" w:hAnsi="inherit"/>
          <w:strike w:val="false"/>
          <w:dstrike w:val="false"/>
          <w:color w:val="000000"/>
          <w:sz w:val="17"/>
          <w:u w:val="none"/>
          <w:effect w:val="none"/>
        </w:rPr>
        <w:t>two</w:t>
      </w:r>
      <w:r>
        <w:rPr>
          <w:sz w:val="17"/>
        </w:rPr>
        <w:t xml:space="preserve"> </w:t>
      </w:r>
      <w:r>
        <w:rPr>
          <w:rFonts w:ascii="inherit" w:hAnsi="inherit"/>
          <w:sz w:val="17"/>
        </w:rPr>
        <w:t xml:space="preserve">classes of common stock designated as Class A Non-voting Common Stock (“Class A Common Stock”) and Class B Voting Common Stock (“Class B Common Stock”). The rights, preferences and privileges of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83</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Class A and Class B Common Stock are similar except that each share of Class B Common Stock has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vote and each share of Class A Common Stock has </w:t>
      </w:r>
      <w:r>
        <w:rPr>
          <w:rFonts w:ascii="inherit" w:hAnsi="inherit"/>
          <w:strike w:val="false"/>
          <w:dstrike w:val="false"/>
          <w:color w:val="000000"/>
          <w:sz w:val="17"/>
          <w:u w:val="none"/>
          <w:effect w:val="none"/>
        </w:rPr>
        <w:t>no</w:t>
      </w:r>
      <w:r>
        <w:rPr>
          <w:sz w:val="17"/>
        </w:rPr>
        <w:t xml:space="preserve"> </w:t>
      </w:r>
      <w:r>
        <w:rPr>
          <w:rFonts w:ascii="inherit" w:hAnsi="inherit"/>
          <w:sz w:val="17"/>
        </w:rPr>
        <w:t xml:space="preserve">voting privileges, except as required by law. All Class A Common Stock is publicly held. Holders of Class B Common Stock may, individually or as a class, convert some or all of their shares into Class A Common Stock on a </w:t>
      </w:r>
      <w:r>
        <w:rPr>
          <w:rFonts w:ascii="inherit" w:hAnsi="inherit"/>
          <w:strike w:val="false"/>
          <w:dstrike w:val="false"/>
          <w:color w:val="000000"/>
          <w:sz w:val="17"/>
          <w:u w:val="none"/>
          <w:effect w:val="none"/>
        </w:rPr>
        <w:t>one</w:t>
      </w:r>
      <w:r>
        <w:rPr>
          <w:rFonts w:ascii="inherit" w:hAnsi="inherit"/>
          <w:sz w:val="17"/>
        </w:rPr>
        <w:t>-to-one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pStyle w:val="TextBody"/>
        <w:spacing w:lineRule="auto" w:line="288" w:before="0" w:after="0"/>
        <w:jc w:val="left"/>
        <w:rPr>
          <w:rFonts w:ascii="inherit" w:hAnsi="inherit"/>
          <w:sz w:val="17"/>
        </w:rPr>
      </w:pPr>
      <w:r>
        <w:rPr>
          <w:rFonts w:ascii="inherit" w:hAnsi="inherit"/>
          <w:sz w:val="17"/>
        </w:rPr>
        <w:t>The following table presents information on shares of our Class A Common Stock issued as acquisition consideration. All of these shares were registered on a "shelf" Registration Statement on Form S-4 that was declared effective in January 2011.</w:t>
      </w:r>
    </w:p>
    <w:tbl>
      <w:tblPr>
        <w:tblW w:w="10205" w:type="dxa"/>
        <w:jc w:val="left"/>
        <w:tblInd w:w="0" w:type="dxa"/>
        <w:tblCellMar>
          <w:top w:w="0" w:type="dxa"/>
          <w:left w:w="0" w:type="dxa"/>
          <w:bottom w:w="0" w:type="dxa"/>
          <w:right w:w="0" w:type="dxa"/>
        </w:tblCellMar>
      </w:tblPr>
      <w:tblGrid>
        <w:gridCol w:w="6122"/>
        <w:gridCol w:w="1200"/>
        <w:gridCol w:w="102"/>
        <w:gridCol w:w="129"/>
        <w:gridCol w:w="1154"/>
        <w:gridCol w:w="102"/>
        <w:gridCol w:w="129"/>
        <w:gridCol w:w="1154"/>
        <w:gridCol w:w="113"/>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6122"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22" w:type="dxa"/>
            <w:tcBorders/>
            <w:shd w:fill="auto" w:val="clear"/>
            <w:vAlign w:val="center"/>
          </w:tcPr>
          <w:p>
            <w:pPr>
              <w:pStyle w:val="TableContents"/>
              <w:spacing w:before="0" w:after="0"/>
              <w:ind w:left="0" w:right="0" w:firstLine="30"/>
              <w:jc w:val="left"/>
              <w:rPr/>
            </w:pPr>
            <w:r>
              <w:rPr/>
              <w:t> </w:t>
            </w:r>
          </w:p>
        </w:tc>
        <w:tc>
          <w:tcPr>
            <w:tcW w:w="4083"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Years Ended September 30,</w:t>
            </w:r>
          </w:p>
        </w:tc>
      </w:tr>
      <w:tr>
        <w:trPr/>
        <w:tc>
          <w:tcPr>
            <w:tcW w:w="6122" w:type="dxa"/>
            <w:tcBorders/>
            <w:shd w:fill="auto" w:val="clear"/>
            <w:vAlign w:val="center"/>
          </w:tcPr>
          <w:p>
            <w:pPr>
              <w:pStyle w:val="TableContents"/>
              <w:spacing w:before="0" w:after="0"/>
              <w:ind w:left="0" w:right="0" w:firstLine="30"/>
              <w:jc w:val="left"/>
              <w:rPr/>
            </w:pPr>
            <w:r>
              <w:rPr/>
              <w:t> </w:t>
            </w:r>
          </w:p>
        </w:tc>
        <w:tc>
          <w:tcPr>
            <w:tcW w:w="130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9" w:type="dxa"/>
            <w:tcBorders/>
            <w:shd w:fill="auto" w:val="clear"/>
            <w:vAlign w:val="center"/>
          </w:tcPr>
          <w:p>
            <w:pPr>
              <w:pStyle w:val="TableContents"/>
              <w:spacing w:before="0" w:after="0"/>
              <w:ind w:left="0" w:right="0" w:firstLine="30"/>
              <w:rPr/>
            </w:pPr>
            <w:r>
              <w:rPr/>
              <w:t> </w:t>
            </w:r>
          </w:p>
        </w:tc>
        <w:tc>
          <w:tcPr>
            <w:tcW w:w="1256"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29" w:type="dxa"/>
            <w:tcBorders/>
            <w:shd w:fill="auto" w:val="clear"/>
            <w:vAlign w:val="center"/>
          </w:tcPr>
          <w:p>
            <w:pPr>
              <w:pStyle w:val="TableContents"/>
              <w:spacing w:before="0" w:after="0"/>
              <w:ind w:left="0" w:right="0" w:firstLine="30"/>
              <w:rPr/>
            </w:pPr>
            <w:r>
              <w:rPr/>
              <w:t> </w:t>
            </w:r>
          </w:p>
        </w:tc>
        <w:tc>
          <w:tcPr>
            <w:tcW w:w="126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122" w:type="dxa"/>
            <w:tcBorders/>
            <w:shd w:fill="auto" w:val="clear"/>
            <w:vAlign w:val="center"/>
          </w:tcPr>
          <w:p>
            <w:pPr>
              <w:pStyle w:val="TableContents"/>
              <w:spacing w:before="0" w:after="0"/>
              <w:ind w:left="0" w:right="0" w:firstLine="30"/>
              <w:rPr/>
            </w:pPr>
            <w:r>
              <w:rPr/>
              <w:t> </w:t>
            </w:r>
          </w:p>
        </w:tc>
        <w:tc>
          <w:tcPr>
            <w:tcW w:w="4083" w:type="dxa"/>
            <w:gridSpan w:val="8"/>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Shares issued due to acquisitions</w:t>
            </w:r>
          </w:p>
        </w:tc>
        <w:tc>
          <w:tcPr>
            <w:tcW w:w="1200" w:type="dxa"/>
            <w:tcBorders/>
            <w:shd w:fill="CCEEFF" w:val="clear"/>
            <w:vAlign w:val="center"/>
          </w:tcPr>
          <w:p>
            <w:pPr>
              <w:pStyle w:val="TableContents"/>
              <w:spacing w:before="0" w:after="0"/>
              <w:jc w:val="right"/>
              <w:rPr>
                <w:rFonts w:ascii="inherit" w:hAnsi="inherit"/>
                <w:sz w:val="17"/>
              </w:rPr>
            </w:pPr>
            <w:r>
              <w:rPr>
                <w:rFonts w:ascii="inherit" w:hAnsi="inherit"/>
                <w:sz w:val="17"/>
              </w:rPr>
              <w:t>1,965</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54" w:type="dxa"/>
            <w:tcBorders/>
            <w:shd w:fill="CCEEFF" w:val="clear"/>
            <w:vAlign w:val="center"/>
          </w:tcPr>
          <w:p>
            <w:pPr>
              <w:pStyle w:val="TableContents"/>
              <w:spacing w:before="0" w:after="0"/>
              <w:jc w:val="right"/>
              <w:rPr>
                <w:rFonts w:ascii="inherit" w:hAnsi="inherit"/>
                <w:sz w:val="17"/>
              </w:rPr>
            </w:pPr>
            <w:r>
              <w:rPr>
                <w:rFonts w:ascii="inherit" w:hAnsi="inherit"/>
                <w:sz w:val="17"/>
              </w:rPr>
              <w:t>635</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154" w:type="dxa"/>
            <w:tcBorders/>
            <w:shd w:fill="CCEEFF" w:val="clear"/>
            <w:vAlign w:val="center"/>
          </w:tcPr>
          <w:p>
            <w:pPr>
              <w:pStyle w:val="TableContents"/>
              <w:spacing w:before="0" w:after="0"/>
              <w:jc w:val="right"/>
              <w:rPr>
                <w:rFonts w:ascii="inherit" w:hAnsi="inherit"/>
                <w:sz w:val="17"/>
              </w:rPr>
            </w:pPr>
            <w:r>
              <w:rPr>
                <w:rFonts w:ascii="inherit" w:hAnsi="inherit"/>
                <w:sz w:val="17"/>
              </w:rPr>
              <w:t>209</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Shares issued due to purchase of subsidiary shares from noncontrolling interest</w:t>
            </w:r>
          </w:p>
        </w:tc>
        <w:tc>
          <w:tcPr>
            <w:tcW w:w="1200" w:type="dxa"/>
            <w:tcBorders/>
            <w:shd w:fill="auto" w:val="clear"/>
            <w:vAlign w:val="center"/>
          </w:tcPr>
          <w:p>
            <w:pPr>
              <w:pStyle w:val="TableContents"/>
              <w:spacing w:before="0" w:after="0"/>
              <w:jc w:val="right"/>
              <w:rPr>
                <w:rFonts w:ascii="inherit" w:hAnsi="inherit"/>
                <w:sz w:val="17"/>
              </w:rPr>
            </w:pPr>
            <w:r>
              <w:rPr>
                <w:rFonts w:ascii="inherit" w:hAnsi="inherit"/>
                <w:sz w:val="17"/>
              </w:rPr>
              <w:t>592</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54" w:type="dxa"/>
            <w:tcBorders/>
            <w:shd w:fill="auto" w:val="clear"/>
            <w:vAlign w:val="center"/>
          </w:tcPr>
          <w:p>
            <w:pPr>
              <w:pStyle w:val="TableContents"/>
              <w:spacing w:before="0" w:after="0"/>
              <w:jc w:val="right"/>
              <w:rPr/>
            </w:pPr>
            <w:r>
              <w:rPr/>
              <w:t>—</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154" w:type="dxa"/>
            <w:tcBorders/>
            <w:shd w:fill="auto" w:val="clear"/>
            <w:vAlign w:val="center"/>
          </w:tcPr>
          <w:p>
            <w:pPr>
              <w:pStyle w:val="TableContents"/>
              <w:spacing w:before="0" w:after="0"/>
              <w:jc w:val="right"/>
              <w:rPr/>
            </w:pPr>
            <w:r>
              <w:rPr/>
              <w:t>—</w:t>
            </w:r>
          </w:p>
        </w:tc>
        <w:tc>
          <w:tcPr>
            <w:tcW w:w="113"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We account for stock compensation in accordance with the fair value recognition and measurement provisions of FASB ASC 718-10-25 (Compensation-Stock Compensation). Compensation cost recognized includes compensation cost for all unvested stock compensation payments, based on the closing market price of our stock on the date of grant. We amortize the fair value of grants to compensation expense on a ratable basis over the vesting period for both cliff vesting and pro-rata vesting grants. We have not granted any stock options since fiscal 2007.</w:t>
      </w:r>
    </w:p>
    <w:p>
      <w:pPr>
        <w:pStyle w:val="TextBody"/>
        <w:spacing w:lineRule="auto" w:line="288" w:before="0" w:after="0"/>
        <w:jc w:val="left"/>
        <w:rPr>
          <w:rFonts w:ascii="inherit" w:hAnsi="inherit"/>
          <w:sz w:val="17"/>
        </w:rPr>
      </w:pPr>
      <w:r>
        <w:rPr>
          <w:rFonts w:ascii="inherit" w:hAnsi="inherit"/>
          <w:sz w:val="17"/>
        </w:rPr>
        <w:t>Our net income includes the following compensation costs related to our stock compensation arrangements:</w:t>
      </w:r>
    </w:p>
    <w:tbl>
      <w:tblPr>
        <w:tblW w:w="10205" w:type="dxa"/>
        <w:jc w:val="left"/>
        <w:tblInd w:w="0" w:type="dxa"/>
        <w:tblCellMar>
          <w:top w:w="0" w:type="dxa"/>
          <w:left w:w="0" w:type="dxa"/>
          <w:bottom w:w="0" w:type="dxa"/>
          <w:right w:w="0" w:type="dxa"/>
        </w:tblCellMar>
      </w:tblPr>
      <w:tblGrid>
        <w:gridCol w:w="5525"/>
        <w:gridCol w:w="167"/>
        <w:gridCol w:w="1101"/>
        <w:gridCol w:w="155"/>
        <w:gridCol w:w="140"/>
        <w:gridCol w:w="167"/>
        <w:gridCol w:w="1101"/>
        <w:gridCol w:w="155"/>
        <w:gridCol w:w="140"/>
        <w:gridCol w:w="167"/>
        <w:gridCol w:w="1101"/>
        <w:gridCol w:w="286"/>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52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525" w:type="dxa"/>
            <w:tcBorders/>
            <w:shd w:fill="auto" w:val="clear"/>
            <w:vAlign w:val="center"/>
          </w:tcPr>
          <w:p>
            <w:pPr>
              <w:pStyle w:val="TableContents"/>
              <w:spacing w:before="0" w:after="0"/>
              <w:ind w:left="0" w:right="0" w:firstLine="30"/>
              <w:jc w:val="left"/>
              <w:rPr/>
            </w:pPr>
            <w:r>
              <w:rPr/>
              <w:t> </w:t>
            </w:r>
          </w:p>
        </w:tc>
        <w:tc>
          <w:tcPr>
            <w:tcW w:w="468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525" w:type="dxa"/>
            <w:tcBorders/>
            <w:shd w:fill="auto" w:val="clear"/>
            <w:vAlign w:val="center"/>
          </w:tcPr>
          <w:p>
            <w:pPr>
              <w:pStyle w:val="TableContents"/>
              <w:spacing w:before="0" w:after="0"/>
              <w:ind w:left="0" w:right="0" w:firstLine="30"/>
              <w:jc w:val="left"/>
              <w:rPr/>
            </w:pPr>
            <w:r>
              <w:rPr/>
              <w:t> </w:t>
            </w:r>
          </w:p>
        </w:tc>
        <w:tc>
          <w:tcPr>
            <w:tcW w:w="14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0" w:type="dxa"/>
            <w:tcBorders/>
            <w:shd w:fill="auto" w:val="clear"/>
            <w:vAlign w:val="center"/>
          </w:tcPr>
          <w:p>
            <w:pPr>
              <w:pStyle w:val="TableContents"/>
              <w:spacing w:before="0" w:after="0"/>
              <w:ind w:left="0" w:right="0" w:firstLine="30"/>
              <w:rPr/>
            </w:pPr>
            <w:r>
              <w:rPr/>
              <w:t> </w:t>
            </w:r>
          </w:p>
        </w:tc>
        <w:tc>
          <w:tcPr>
            <w:tcW w:w="14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0" w:type="dxa"/>
            <w:tcBorders/>
            <w:shd w:fill="auto" w:val="clear"/>
            <w:vAlign w:val="center"/>
          </w:tcPr>
          <w:p>
            <w:pPr>
              <w:pStyle w:val="TableContents"/>
              <w:spacing w:before="0" w:after="0"/>
              <w:ind w:left="0" w:right="0" w:firstLine="30"/>
              <w:rPr/>
            </w:pPr>
            <w:r>
              <w:rPr/>
              <w:t> </w:t>
            </w:r>
          </w:p>
        </w:tc>
        <w:tc>
          <w:tcPr>
            <w:tcW w:w="15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525" w:type="dxa"/>
            <w:tcBorders/>
            <w:shd w:fill="auto" w:val="clear"/>
            <w:vAlign w:val="center"/>
          </w:tcPr>
          <w:p>
            <w:pPr>
              <w:pStyle w:val="TableContents"/>
              <w:spacing w:before="0" w:after="0"/>
              <w:ind w:left="0" w:right="0" w:firstLine="30"/>
              <w:jc w:val="left"/>
              <w:rPr/>
            </w:pPr>
            <w:r>
              <w:rPr/>
              <w:t> </w:t>
            </w:r>
          </w:p>
        </w:tc>
        <w:tc>
          <w:tcPr>
            <w:tcW w:w="4680"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5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compensation costs</w:t>
            </w:r>
          </w:p>
        </w:tc>
        <w:tc>
          <w:tcPr>
            <w:tcW w:w="1423" w:type="dxa"/>
            <w:gridSpan w:val="3"/>
            <w:tcBorders/>
            <w:shd w:fill="CCEEFF" w:val="clear"/>
            <w:vAlign w:val="center"/>
          </w:tcPr>
          <w:p>
            <w:pPr>
              <w:pStyle w:val="TableContents"/>
              <w:spacing w:before="0" w:after="0"/>
              <w:ind w:left="0" w:right="0" w:firstLine="30"/>
              <w:jc w:val="left"/>
              <w:rPr/>
            </w:pPr>
            <w:r>
              <w:rPr/>
              <w:t> </w:t>
            </w:r>
          </w:p>
        </w:tc>
        <w:tc>
          <w:tcPr>
            <w:tcW w:w="140" w:type="dxa"/>
            <w:tcBorders/>
            <w:shd w:fill="CCEEFF" w:val="clear"/>
            <w:vAlign w:val="center"/>
          </w:tcPr>
          <w:p>
            <w:pPr>
              <w:pStyle w:val="TableContents"/>
              <w:spacing w:before="0" w:after="0"/>
              <w:ind w:left="0" w:right="0" w:firstLine="30"/>
              <w:rPr/>
            </w:pPr>
            <w:r>
              <w:rPr/>
              <w:t> </w:t>
            </w:r>
          </w:p>
        </w:tc>
        <w:tc>
          <w:tcPr>
            <w:tcW w:w="1423" w:type="dxa"/>
            <w:gridSpan w:val="3"/>
            <w:tcBorders/>
            <w:shd w:fill="CCEEFF" w:val="clear"/>
            <w:vAlign w:val="center"/>
          </w:tcPr>
          <w:p>
            <w:pPr>
              <w:pStyle w:val="TableContents"/>
              <w:spacing w:before="0" w:after="0"/>
              <w:ind w:left="0" w:right="0" w:firstLine="30"/>
              <w:jc w:val="left"/>
              <w:rPr/>
            </w:pPr>
            <w:r>
              <w:rPr/>
              <w:t> </w:t>
            </w:r>
          </w:p>
        </w:tc>
        <w:tc>
          <w:tcPr>
            <w:tcW w:w="140" w:type="dxa"/>
            <w:tcBorders/>
            <w:shd w:fill="CCEEFF" w:val="clear"/>
            <w:vAlign w:val="center"/>
          </w:tcPr>
          <w:p>
            <w:pPr>
              <w:pStyle w:val="TableContents"/>
              <w:spacing w:before="0" w:after="0"/>
              <w:ind w:left="0" w:right="0" w:firstLine="30"/>
              <w:rPr/>
            </w:pPr>
            <w:r>
              <w:rPr/>
              <w:t> </w:t>
            </w:r>
          </w:p>
        </w:tc>
        <w:tc>
          <w:tcPr>
            <w:tcW w:w="1554" w:type="dxa"/>
            <w:gridSpan w:val="3"/>
            <w:tcBorders/>
            <w:shd w:fill="CCEEFF" w:val="clear"/>
            <w:vAlign w:val="center"/>
          </w:tcPr>
          <w:p>
            <w:pPr>
              <w:pStyle w:val="TableContents"/>
              <w:spacing w:before="0" w:after="0"/>
              <w:ind w:left="0" w:right="0" w:firstLine="180"/>
              <w:jc w:val="left"/>
              <w:rPr/>
            </w:pPr>
            <w:r>
              <w:rPr/>
              <w:t> </w:t>
            </w:r>
          </w:p>
        </w:tc>
      </w:tr>
      <w:tr>
        <w:trPr/>
        <w:tc>
          <w:tcPr>
            <w:tcW w:w="55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Stock options</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shd w:fill="auto" w:val="clear"/>
            <w:vAlign w:val="center"/>
          </w:tcPr>
          <w:p>
            <w:pPr>
              <w:pStyle w:val="TableContents"/>
              <w:spacing w:before="0" w:after="0"/>
              <w:jc w:val="right"/>
              <w:rPr/>
            </w:pPr>
            <w:r>
              <w:rPr/>
              <w:t>—</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shd w:fill="auto" w:val="clear"/>
            <w:vAlign w:val="center"/>
          </w:tcPr>
          <w:p>
            <w:pPr>
              <w:pStyle w:val="TableContents"/>
              <w:spacing w:before="0" w:after="0"/>
              <w:jc w:val="right"/>
              <w:rPr/>
            </w:pPr>
            <w:r>
              <w:rPr/>
              <w:t>—</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shd w:fill="auto" w:val="clear"/>
            <w:vAlign w:val="center"/>
          </w:tcPr>
          <w:p>
            <w:pPr>
              <w:pStyle w:val="TableContents"/>
              <w:spacing w:before="0" w:after="0"/>
              <w:jc w:val="right"/>
              <w:rPr/>
            </w:pPr>
            <w:r>
              <w:rPr/>
              <w:t>—</w:t>
            </w:r>
          </w:p>
        </w:tc>
        <w:tc>
          <w:tcPr>
            <w:tcW w:w="286"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5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Restricted stock</w:t>
            </w:r>
          </w:p>
        </w:tc>
        <w:tc>
          <w:tcPr>
            <w:tcW w:w="12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7,314</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6,714</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13,208</w:t>
            </w:r>
          </w:p>
        </w:tc>
        <w:tc>
          <w:tcPr>
            <w:tcW w:w="286"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5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gross compensation costs</w:t>
            </w:r>
          </w:p>
        </w:tc>
        <w:tc>
          <w:tcPr>
            <w:tcW w:w="12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7,314</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6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6,714</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13,208</w:t>
            </w:r>
          </w:p>
        </w:tc>
        <w:tc>
          <w:tcPr>
            <w:tcW w:w="2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benefits</w:t>
            </w:r>
          </w:p>
        </w:tc>
        <w:tc>
          <w:tcPr>
            <w:tcW w:w="1423" w:type="dxa"/>
            <w:gridSpan w:val="3"/>
            <w:tcBorders/>
            <w:shd w:fill="CCEEFF" w:val="clear"/>
            <w:vAlign w:val="center"/>
          </w:tcPr>
          <w:p>
            <w:pPr>
              <w:pStyle w:val="TableContents"/>
              <w:spacing w:before="0" w:after="0"/>
              <w:ind w:left="0" w:right="0" w:firstLine="30"/>
              <w:jc w:val="left"/>
              <w:rPr/>
            </w:pPr>
            <w:r>
              <w:rPr/>
              <w:t> </w:t>
            </w:r>
          </w:p>
        </w:tc>
        <w:tc>
          <w:tcPr>
            <w:tcW w:w="140" w:type="dxa"/>
            <w:tcBorders/>
            <w:shd w:fill="CCEEFF" w:val="clear"/>
            <w:vAlign w:val="center"/>
          </w:tcPr>
          <w:p>
            <w:pPr>
              <w:pStyle w:val="TableContents"/>
              <w:spacing w:before="0" w:after="0"/>
              <w:ind w:left="0" w:right="0" w:firstLine="30"/>
              <w:rPr/>
            </w:pPr>
            <w:r>
              <w:rPr/>
              <w:t> </w:t>
            </w:r>
          </w:p>
        </w:tc>
        <w:tc>
          <w:tcPr>
            <w:tcW w:w="1423" w:type="dxa"/>
            <w:gridSpan w:val="3"/>
            <w:tcBorders/>
            <w:shd w:fill="CCEEFF" w:val="clear"/>
            <w:vAlign w:val="center"/>
          </w:tcPr>
          <w:p>
            <w:pPr>
              <w:pStyle w:val="TableContents"/>
              <w:spacing w:before="0" w:after="0"/>
              <w:ind w:left="0" w:right="0" w:firstLine="30"/>
              <w:jc w:val="left"/>
              <w:rPr/>
            </w:pPr>
            <w:r>
              <w:rPr/>
              <w:t> </w:t>
            </w:r>
          </w:p>
        </w:tc>
        <w:tc>
          <w:tcPr>
            <w:tcW w:w="140" w:type="dxa"/>
            <w:tcBorders/>
            <w:shd w:fill="CCEEFF" w:val="clear"/>
            <w:vAlign w:val="center"/>
          </w:tcPr>
          <w:p>
            <w:pPr>
              <w:pStyle w:val="TableContents"/>
              <w:spacing w:before="0" w:after="0"/>
              <w:ind w:left="0" w:right="0" w:firstLine="30"/>
              <w:rPr/>
            </w:pPr>
            <w:r>
              <w:rPr/>
              <w:t> </w:t>
            </w:r>
          </w:p>
        </w:tc>
        <w:tc>
          <w:tcPr>
            <w:tcW w:w="1554" w:type="dxa"/>
            <w:gridSpan w:val="3"/>
            <w:tcBorders/>
            <w:shd w:fill="CCEEFF" w:val="clear"/>
            <w:vAlign w:val="center"/>
          </w:tcPr>
          <w:p>
            <w:pPr>
              <w:pStyle w:val="TableContents"/>
              <w:spacing w:before="0" w:after="0"/>
              <w:ind w:left="0" w:right="0" w:firstLine="180"/>
              <w:jc w:val="left"/>
              <w:rPr/>
            </w:pPr>
            <w:r>
              <w:rPr/>
              <w:t> </w:t>
            </w:r>
          </w:p>
        </w:tc>
      </w:tr>
      <w:tr>
        <w:trPr/>
        <w:tc>
          <w:tcPr>
            <w:tcW w:w="55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Stock options</w:t>
            </w:r>
          </w:p>
        </w:tc>
        <w:tc>
          <w:tcPr>
            <w:tcW w:w="1268" w:type="dxa"/>
            <w:gridSpan w:val="2"/>
            <w:tcBorders/>
            <w:shd w:fill="auto" w:val="clear"/>
            <w:vAlign w:val="center"/>
          </w:tcPr>
          <w:p>
            <w:pPr>
              <w:pStyle w:val="TableContents"/>
              <w:spacing w:before="0" w:after="0"/>
              <w:jc w:val="right"/>
              <w:rPr/>
            </w:pPr>
            <w:r>
              <w:rPr/>
              <w:t>—</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2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286"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5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Restricted stock</w:t>
            </w:r>
          </w:p>
        </w:tc>
        <w:tc>
          <w:tcPr>
            <w:tcW w:w="12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(2,460</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CCEEFF" w:val="clear"/>
            <w:vAlign w:val="center"/>
          </w:tcPr>
          <w:p>
            <w:pPr>
              <w:pStyle w:val="TableContents"/>
              <w:spacing w:before="0" w:after="0"/>
              <w:ind w:left="0" w:right="0" w:firstLine="30"/>
              <w:rPr/>
            </w:pPr>
            <w:r>
              <w:rPr/>
              <w:t> </w:t>
            </w:r>
          </w:p>
        </w:tc>
        <w:tc>
          <w:tcPr>
            <w:tcW w:w="12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(2,164</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CCEEFF" w:val="clear"/>
            <w:vAlign w:val="center"/>
          </w:tcPr>
          <w:p>
            <w:pPr>
              <w:pStyle w:val="TableContents"/>
              <w:spacing w:before="0" w:after="0"/>
              <w:ind w:left="0" w:right="0" w:firstLine="30"/>
              <w:rPr/>
            </w:pPr>
            <w:r>
              <w:rPr/>
              <w:t> </w:t>
            </w:r>
          </w:p>
        </w:tc>
        <w:tc>
          <w:tcPr>
            <w:tcW w:w="12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(4,508</w:t>
            </w:r>
          </w:p>
        </w:tc>
        <w:tc>
          <w:tcPr>
            <w:tcW w:w="286" w:type="dxa"/>
            <w:tcBorders>
              <w:bottom w:val="single" w:sz="2" w:space="0" w:color="000000"/>
            </w:tcBorders>
            <w:shd w:fill="CCEEFF" w:val="clear"/>
            <w:tcMar>
              <w:bottom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5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income tax benefits</w:t>
            </w:r>
          </w:p>
        </w:tc>
        <w:tc>
          <w:tcPr>
            <w:tcW w:w="12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(2,460</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2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(2,203</w:t>
            </w:r>
          </w:p>
        </w:tc>
        <w:tc>
          <w:tcPr>
            <w:tcW w:w="1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2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(4,509</w:t>
            </w:r>
          </w:p>
        </w:tc>
        <w:tc>
          <w:tcPr>
            <w:tcW w:w="28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5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compensation expense</w:t>
            </w:r>
          </w:p>
        </w:tc>
        <w:tc>
          <w:tcPr>
            <w:tcW w:w="1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4,854</w:t>
            </w:r>
          </w:p>
        </w:tc>
        <w:tc>
          <w:tcPr>
            <w:tcW w:w="15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4,511</w:t>
            </w:r>
          </w:p>
        </w:tc>
        <w:tc>
          <w:tcPr>
            <w:tcW w:w="15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8,699</w:t>
            </w:r>
          </w:p>
        </w:tc>
        <w:tc>
          <w:tcPr>
            <w:tcW w:w="286"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All options and restricted stock relate to our Class A Common Stock.</w:t>
      </w:r>
    </w:p>
    <w:p>
      <w:pPr>
        <w:pStyle w:val="TextBody"/>
        <w:spacing w:lineRule="auto" w:line="288" w:before="0" w:after="0"/>
        <w:jc w:val="left"/>
        <w:rPr>
          <w:sz w:val="17"/>
        </w:rPr>
      </w:pPr>
      <w:r>
        <w:rPr>
          <w:rFonts w:ascii="inherit" w:hAnsi="inherit"/>
          <w:sz w:val="17"/>
        </w:rPr>
        <w:t xml:space="preserve">Our non-employee directors are eligible for grants of restricted stock awards and non-qualified stock options. No options have been granted to the non-employee directors since fiscal 2007. The restricted stock awards that have been granted to the non-employee directors in fiscal 2013, 2012 and 2011 vest over </w:t>
      </w:r>
      <w:r>
        <w:rPr>
          <w:rFonts w:ascii="inherit" w:hAnsi="inherit"/>
          <w:strike w:val="false"/>
          <w:dstrike w:val="false"/>
          <w:color w:val="000000"/>
          <w:sz w:val="17"/>
          <w:u w:val="none"/>
          <w:effect w:val="none"/>
        </w:rPr>
        <w:t>two</w:t>
      </w:r>
      <w:r>
        <w:rPr>
          <w:sz w:val="17"/>
        </w:rPr>
        <w:t xml:space="preserve"> </w:t>
      </w:r>
      <w:r>
        <w:rPr>
          <w:rFonts w:ascii="inherit" w:hAnsi="inherit"/>
          <w:sz w:val="17"/>
        </w:rPr>
        <w:t>years from the date of grant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on the first anniversary of the date of grant and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on the second anniversary). Restricted stock awards, non-qualified options and incentive stock options have been granted to our officers and employees under our 1998, 2003, 2006 and 2010 Incentive Plans. A portion of the restricted stock awards granted in fiscal 2013, 2012 and 2011 contain both performance and graded vesting provisions. Most options have a contractual life of </w:t>
      </w:r>
      <w:r>
        <w:rPr>
          <w:rFonts w:ascii="inherit" w:hAnsi="inherit"/>
          <w:strike w:val="false"/>
          <w:dstrike w:val="false"/>
          <w:color w:val="000000"/>
          <w:sz w:val="17"/>
          <w:u w:val="none"/>
          <w:effect w:val="none"/>
        </w:rPr>
        <w:t>ten</w:t>
      </w:r>
      <w:r>
        <w:rPr>
          <w:sz w:val="17"/>
        </w:rPr>
        <w:t xml:space="preserve"> </w:t>
      </w:r>
      <w:r>
        <w:rPr>
          <w:rFonts w:ascii="inherit" w:hAnsi="inherit"/>
          <w:sz w:val="17"/>
        </w:rPr>
        <w:t>years and provide for pro-rata vesting over five</w:t>
      </w:r>
      <w:r>
        <w:rPr>
          <w:sz w:val="17"/>
        </w:rPr>
        <w:t xml:space="preserve"> </w:t>
      </w:r>
      <w:r>
        <w:rPr>
          <w:rFonts w:ascii="inherit" w:hAnsi="inherit"/>
          <w:sz w:val="17"/>
        </w:rPr>
        <w:t>years, but some provide for cliff vesting. Outstanding options have been granted with a strike price equal to $2.95</w:t>
      </w:r>
      <w:r>
        <w:rPr>
          <w:sz w:val="17"/>
        </w:rPr>
        <w:t xml:space="preserve"> </w:t>
      </w:r>
      <w:r>
        <w:rPr>
          <w:rFonts w:ascii="inherit" w:hAnsi="inherit"/>
          <w:sz w:val="17"/>
        </w:rPr>
        <w:t xml:space="preserve">per share. These were granted at or above the market price at the time of grant, and had </w:t>
      </w:r>
      <w:r>
        <w:rPr>
          <w:rFonts w:ascii="inherit" w:hAnsi="inherit"/>
          <w:strike w:val="false"/>
          <w:dstrike w:val="false"/>
          <w:color w:val="000000"/>
          <w:sz w:val="17"/>
          <w:u w:val="none"/>
          <w:effect w:val="none"/>
        </w:rPr>
        <w:t>no</w:t>
      </w:r>
      <w:r>
        <w:rPr>
          <w:sz w:val="17"/>
        </w:rPr>
        <w:t xml:space="preserve"> </w:t>
      </w:r>
      <w:r>
        <w:rPr>
          <w:rFonts w:ascii="inherit" w:hAnsi="inherit"/>
          <w:sz w:val="17"/>
        </w:rPr>
        <w:t>intrinsic value on the grant date.</w:t>
      </w:r>
    </w:p>
    <w:p>
      <w:pPr>
        <w:pStyle w:val="TextBody"/>
        <w:spacing w:lineRule="auto" w:line="288" w:before="0" w:after="0"/>
        <w:jc w:val="left"/>
        <w:rPr>
          <w:sz w:val="17"/>
        </w:rPr>
      </w:pPr>
      <w:r>
        <w:rPr>
          <w:rFonts w:ascii="inherit" w:hAnsi="inherit"/>
          <w:sz w:val="17"/>
        </w:rPr>
        <w:t xml:space="preserve">On May 1, 2010 our Board of Directors approved the adoption of the EZCORP, Inc. 2010 Long-Term Incentive Plan (the “2010 Plan”). The 2010 Plan permits grants of options, restricted stock awards and stock appreciation rights covering up to </w:t>
      </w:r>
      <w:r>
        <w:rPr>
          <w:rFonts w:ascii="inherit" w:hAnsi="inherit"/>
          <w:strike w:val="false"/>
          <w:dstrike w:val="false"/>
          <w:color w:val="000000"/>
          <w:sz w:val="17"/>
          <w:u w:val="none"/>
          <w:effect w:val="none"/>
        </w:rPr>
        <w:t>1,575,750</w:t>
      </w:r>
      <w:r>
        <w:rPr>
          <w:sz w:val="17"/>
        </w:rPr>
        <w:t xml:space="preserve"> </w:t>
      </w:r>
      <w:r>
        <w:rPr>
          <w:rFonts w:ascii="inherit" w:hAnsi="inherit"/>
          <w:sz w:val="17"/>
        </w:rPr>
        <w:t xml:space="preserve">shares of our Class A Common Stock plus any shares that become available for issuance either under the 2010 Plan or prior plans as a result of forfeitures or cancellations of awards , without delivery of shares or as a result of withholding shares to satisfy tax withholding obligations. We generally issue newly issued shares to satisfy stock option exercises and restricted stock awards. At </w:t>
      </w:r>
      <w:r>
        <w:rPr>
          <w:rFonts w:ascii="inherit" w:hAnsi="inherit"/>
          <w:strike w:val="false"/>
          <w:dstrike w:val="false"/>
          <w:color w:val="000000"/>
          <w:sz w:val="17"/>
          <w:u w:val="none"/>
          <w:effect w:val="none"/>
        </w:rPr>
        <w:t>September 30, 2013</w:t>
      </w:r>
      <w:r>
        <w:rPr>
          <w:rFonts w:ascii="inherit" w:hAnsi="inherit"/>
          <w:sz w:val="17"/>
        </w:rPr>
        <w:t>, 421,187</w:t>
      </w:r>
      <w:r>
        <w:rPr>
          <w:sz w:val="17"/>
        </w:rPr>
        <w:t xml:space="preserve"> </w:t>
      </w:r>
      <w:r>
        <w:rPr>
          <w:rFonts w:ascii="inherit" w:hAnsi="inherit"/>
          <w:sz w:val="17"/>
        </w:rPr>
        <w:t>shares were available for grant under the 2010 Plan. We measure the fair value of restricted stock awards based on the closing market price of our common stock as of the grant date.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84</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The following is a summary of the restricted stock award activity for the fiscal year ended </w:t>
      </w:r>
      <w:r>
        <w:rPr>
          <w:rFonts w:ascii="inherit" w:hAnsi="inherit"/>
          <w:strike w:val="false"/>
          <w:dstrike w:val="false"/>
          <w:color w:val="000000"/>
          <w:sz w:val="17"/>
          <w:u w:val="none"/>
          <w:effect w:val="none"/>
        </w:rPr>
        <w:t>September 30, 2013</w:t>
      </w:r>
      <w:r>
        <w:rPr>
          <w:rFonts w:ascii="inherit" w:hAnsi="inherit"/>
          <w:sz w:val="17"/>
        </w:rPr>
        <w:t>:</w:t>
      </w:r>
    </w:p>
    <w:tbl>
      <w:tblPr>
        <w:tblW w:w="10205" w:type="dxa"/>
        <w:jc w:val="left"/>
        <w:tblInd w:w="0" w:type="dxa"/>
        <w:tblCellMar>
          <w:top w:w="0" w:type="dxa"/>
          <w:left w:w="0" w:type="dxa"/>
          <w:bottom w:w="0" w:type="dxa"/>
          <w:right w:w="0" w:type="dxa"/>
        </w:tblCellMar>
      </w:tblPr>
      <w:tblGrid>
        <w:gridCol w:w="7004"/>
        <w:gridCol w:w="1426"/>
        <w:gridCol w:w="148"/>
        <w:gridCol w:w="137"/>
        <w:gridCol w:w="157"/>
        <w:gridCol w:w="1132"/>
        <w:gridCol w:w="201"/>
      </w:tblGrid>
      <w:tr>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7004"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004" w:type="dxa"/>
            <w:tcBorders/>
            <w:shd w:fill="auto" w:val="clear"/>
            <w:vAlign w:val="center"/>
          </w:tcPr>
          <w:p>
            <w:pPr>
              <w:pStyle w:val="TableContents"/>
              <w:spacing w:before="0" w:after="0"/>
              <w:rPr/>
            </w:pPr>
            <w:r>
              <w:rPr/>
              <w:t> </w:t>
            </w:r>
          </w:p>
        </w:tc>
        <w:tc>
          <w:tcPr>
            <w:tcW w:w="157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Shares</w:t>
            </w:r>
          </w:p>
        </w:tc>
        <w:tc>
          <w:tcPr>
            <w:tcW w:w="137" w:type="dxa"/>
            <w:tcBorders/>
            <w:shd w:fill="auto" w:val="clear"/>
            <w:vAlign w:val="center"/>
          </w:tcPr>
          <w:p>
            <w:pPr>
              <w:pStyle w:val="TableContents"/>
              <w:spacing w:before="0" w:after="0"/>
              <w:ind w:left="0" w:right="0" w:firstLine="30"/>
              <w:rPr/>
            </w:pPr>
            <w:r>
              <w:rPr/>
              <w:t> </w:t>
            </w:r>
          </w:p>
        </w:tc>
        <w:tc>
          <w:tcPr>
            <w:tcW w:w="149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Weighted</w:t>
            </w:r>
          </w:p>
          <w:p>
            <w:pPr>
              <w:pStyle w:val="TableContents"/>
              <w:spacing w:before="0" w:after="0"/>
              <w:jc w:val="center"/>
              <w:rPr>
                <w:rFonts w:ascii="inherit" w:hAnsi="inherit"/>
                <w:b/>
                <w:sz w:val="13"/>
              </w:rPr>
            </w:pPr>
            <w:r>
              <w:rPr>
                <w:rFonts w:ascii="inherit" w:hAnsi="inherit"/>
                <w:b/>
                <w:sz w:val="13"/>
              </w:rPr>
              <w:t>Average</w:t>
            </w:r>
          </w:p>
          <w:p>
            <w:pPr>
              <w:pStyle w:val="TableContents"/>
              <w:spacing w:before="0" w:after="0"/>
              <w:jc w:val="center"/>
              <w:rPr>
                <w:rFonts w:ascii="inherit" w:hAnsi="inherit"/>
                <w:b/>
                <w:sz w:val="13"/>
              </w:rPr>
            </w:pPr>
            <w:r>
              <w:rPr>
                <w:rFonts w:ascii="inherit" w:hAnsi="inherit"/>
                <w:b/>
                <w:sz w:val="13"/>
              </w:rPr>
              <w:t>Grant Date</w:t>
            </w:r>
          </w:p>
          <w:p>
            <w:pPr>
              <w:pStyle w:val="TableContents"/>
              <w:spacing w:before="0" w:after="0"/>
              <w:ind w:left="0" w:right="0" w:firstLine="30"/>
              <w:jc w:val="center"/>
              <w:rPr>
                <w:rFonts w:ascii="inherit" w:hAnsi="inherit"/>
                <w:b/>
                <w:sz w:val="13"/>
              </w:rPr>
            </w:pPr>
            <w:r>
              <w:rPr>
                <w:rFonts w:ascii="inherit" w:hAnsi="inherit"/>
                <w:b/>
                <w:sz w:val="13"/>
              </w:rPr>
              <w:t>Fair Value</w:t>
            </w:r>
          </w:p>
        </w:tc>
      </w:tr>
      <w:tr>
        <w:trPr/>
        <w:tc>
          <w:tcPr>
            <w:tcW w:w="70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beginning of year</w:t>
            </w:r>
          </w:p>
        </w:tc>
        <w:tc>
          <w:tcPr>
            <w:tcW w:w="1426" w:type="dxa"/>
            <w:tcBorders/>
            <w:shd w:fill="CCEEFF" w:val="clear"/>
            <w:vAlign w:val="center"/>
          </w:tcPr>
          <w:p>
            <w:pPr>
              <w:pStyle w:val="TableContents"/>
              <w:spacing w:before="0" w:after="0"/>
              <w:jc w:val="right"/>
              <w:rPr>
                <w:rFonts w:ascii="inherit" w:hAnsi="inherit"/>
                <w:sz w:val="17"/>
              </w:rPr>
            </w:pPr>
            <w:r>
              <w:rPr>
                <w:rFonts w:ascii="inherit" w:hAnsi="inherit"/>
                <w:sz w:val="17"/>
              </w:rPr>
              <w:t>1,448,833</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2" w:type="dxa"/>
            <w:tcBorders/>
            <w:shd w:fill="CCEEFF" w:val="clear"/>
            <w:vAlign w:val="center"/>
          </w:tcPr>
          <w:p>
            <w:pPr>
              <w:pStyle w:val="TableContents"/>
              <w:spacing w:before="0" w:after="0"/>
              <w:jc w:val="right"/>
              <w:rPr>
                <w:rFonts w:ascii="inherit" w:hAnsi="inherit"/>
                <w:sz w:val="17"/>
              </w:rPr>
            </w:pPr>
            <w:r>
              <w:rPr>
                <w:rFonts w:ascii="inherit" w:hAnsi="inherit"/>
                <w:sz w:val="17"/>
              </w:rPr>
              <w:t>18.47</w:t>
            </w:r>
          </w:p>
        </w:tc>
        <w:tc>
          <w:tcPr>
            <w:tcW w:w="20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0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Granted</w:t>
            </w:r>
          </w:p>
        </w:tc>
        <w:tc>
          <w:tcPr>
            <w:tcW w:w="1426" w:type="dxa"/>
            <w:tcBorders/>
            <w:shd w:fill="auto" w:val="clear"/>
            <w:vAlign w:val="center"/>
          </w:tcPr>
          <w:p>
            <w:pPr>
              <w:pStyle w:val="TableContents"/>
              <w:spacing w:before="0" w:after="0"/>
              <w:jc w:val="right"/>
              <w:rPr>
                <w:rFonts w:ascii="inherit" w:hAnsi="inherit"/>
                <w:sz w:val="17"/>
              </w:rPr>
            </w:pPr>
            <w:r>
              <w:rPr>
                <w:rFonts w:ascii="inherit" w:hAnsi="inherit"/>
                <w:sz w:val="17"/>
              </w:rPr>
              <w:t>431,160</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2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20.43</w:t>
            </w:r>
          </w:p>
        </w:tc>
        <w:tc>
          <w:tcPr>
            <w:tcW w:w="20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0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Released*</w:t>
            </w:r>
          </w:p>
        </w:tc>
        <w:tc>
          <w:tcPr>
            <w:tcW w:w="1426" w:type="dxa"/>
            <w:tcBorders/>
            <w:shd w:fill="CCEEFF" w:val="clear"/>
            <w:vAlign w:val="center"/>
          </w:tcPr>
          <w:p>
            <w:pPr>
              <w:pStyle w:val="TableContents"/>
              <w:spacing w:before="0" w:after="0"/>
              <w:jc w:val="right"/>
              <w:rPr>
                <w:rFonts w:ascii="inherit" w:hAnsi="inherit"/>
                <w:sz w:val="17"/>
              </w:rPr>
            </w:pPr>
            <w:r>
              <w:rPr>
                <w:rFonts w:ascii="inherit" w:hAnsi="inherit"/>
                <w:sz w:val="17"/>
              </w:rPr>
              <w:t>(597,454</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7" w:type="dxa"/>
            <w:tcBorders/>
            <w:shd w:fill="CCEEFF" w:val="clear"/>
            <w:vAlign w:val="center"/>
          </w:tcPr>
          <w:p>
            <w:pPr>
              <w:pStyle w:val="TableContents"/>
              <w:spacing w:before="0" w:after="0"/>
              <w:ind w:left="0" w:right="0" w:firstLine="30"/>
              <w:rPr/>
            </w:pPr>
            <w:r>
              <w:rPr/>
              <w:t> </w:t>
            </w:r>
          </w:p>
        </w:tc>
        <w:tc>
          <w:tcPr>
            <w:tcW w:w="12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17.95</w:t>
            </w:r>
          </w:p>
        </w:tc>
        <w:tc>
          <w:tcPr>
            <w:tcW w:w="20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0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Forfeited</w:t>
            </w:r>
          </w:p>
        </w:tc>
        <w:tc>
          <w:tcPr>
            <w:tcW w:w="1426"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(77,226</w:t>
            </w:r>
          </w:p>
        </w:tc>
        <w:tc>
          <w:tcPr>
            <w:tcW w:w="14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7" w:type="dxa"/>
            <w:tcBorders/>
            <w:shd w:fill="auto" w:val="clear"/>
            <w:vAlign w:val="center"/>
          </w:tcPr>
          <w:p>
            <w:pPr>
              <w:pStyle w:val="TableContents"/>
              <w:spacing w:before="0" w:after="0"/>
              <w:ind w:left="0" w:right="0" w:firstLine="30"/>
              <w:rPr/>
            </w:pPr>
            <w:r>
              <w:rPr/>
              <w:t> </w:t>
            </w:r>
          </w:p>
        </w:tc>
        <w:tc>
          <w:tcPr>
            <w:tcW w:w="128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24.08</w:t>
            </w:r>
          </w:p>
        </w:tc>
        <w:tc>
          <w:tcPr>
            <w:tcW w:w="20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end of year</w:t>
            </w:r>
          </w:p>
        </w:tc>
        <w:tc>
          <w:tcPr>
            <w:tcW w:w="1426" w:type="dxa"/>
            <w:tcBorders/>
            <w:shd w:fill="CCEEFF" w:val="clear"/>
            <w:vAlign w:val="center"/>
          </w:tcPr>
          <w:p>
            <w:pPr>
              <w:pStyle w:val="TableContents"/>
              <w:spacing w:before="0" w:after="0"/>
              <w:jc w:val="right"/>
              <w:rPr>
                <w:rFonts w:ascii="inherit" w:hAnsi="inherit"/>
                <w:sz w:val="17"/>
              </w:rPr>
            </w:pPr>
            <w:r>
              <w:rPr>
                <w:rFonts w:ascii="inherit" w:hAnsi="inherit"/>
                <w:sz w:val="17"/>
              </w:rPr>
              <w:t>1,205,313</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2" w:type="dxa"/>
            <w:tcBorders/>
            <w:shd w:fill="CCEEFF" w:val="clear"/>
            <w:vAlign w:val="center"/>
          </w:tcPr>
          <w:p>
            <w:pPr>
              <w:pStyle w:val="TableContents"/>
              <w:spacing w:before="0" w:after="0"/>
              <w:jc w:val="right"/>
              <w:rPr>
                <w:rFonts w:ascii="inherit" w:hAnsi="inherit"/>
                <w:sz w:val="17"/>
              </w:rPr>
            </w:pPr>
            <w:r>
              <w:rPr>
                <w:rFonts w:ascii="inherit" w:hAnsi="inherit"/>
                <w:sz w:val="17"/>
              </w:rPr>
              <w:t>19.06</w:t>
            </w:r>
          </w:p>
        </w:tc>
        <w:tc>
          <w:tcPr>
            <w:tcW w:w="20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3"/>
        </w:rPr>
      </w:pPr>
      <w:r>
        <w:rPr>
          <w:rFonts w:ascii="inherit" w:hAnsi="inherit"/>
          <w:sz w:val="13"/>
        </w:rPr>
        <w:t>* Approximately 188,000</w:t>
      </w:r>
      <w:r>
        <w:rPr>
          <w:sz w:val="13"/>
        </w:rPr>
        <w:t xml:space="preserve"> </w:t>
      </w:r>
      <w:r>
        <w:rPr>
          <w:rFonts w:ascii="inherit" w:hAnsi="inherit"/>
          <w:sz w:val="13"/>
        </w:rPr>
        <w:t>shares were withheld to satisfy related federal income tax withholding.</w:t>
      </w:r>
    </w:p>
    <w:tbl>
      <w:tblPr>
        <w:tblW w:w="10205" w:type="dxa"/>
        <w:jc w:val="left"/>
        <w:tblInd w:w="0" w:type="dxa"/>
        <w:tblCellMar>
          <w:top w:w="0" w:type="dxa"/>
          <w:left w:w="0" w:type="dxa"/>
          <w:bottom w:w="0" w:type="dxa"/>
          <w:right w:w="0" w:type="dxa"/>
        </w:tblCellMar>
      </w:tblPr>
      <w:tblGrid>
        <w:gridCol w:w="5867"/>
        <w:gridCol w:w="147"/>
        <w:gridCol w:w="1107"/>
        <w:gridCol w:w="101"/>
        <w:gridCol w:w="130"/>
        <w:gridCol w:w="147"/>
        <w:gridCol w:w="1107"/>
        <w:gridCol w:w="101"/>
        <w:gridCol w:w="130"/>
        <w:gridCol w:w="147"/>
        <w:gridCol w:w="1107"/>
        <w:gridCol w:w="114"/>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86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867" w:type="dxa"/>
            <w:tcBorders/>
            <w:shd w:fill="auto" w:val="clear"/>
            <w:vAlign w:val="center"/>
          </w:tcPr>
          <w:p>
            <w:pPr>
              <w:pStyle w:val="TableContents"/>
              <w:spacing w:before="0" w:after="0"/>
              <w:ind w:left="0" w:right="0" w:firstLine="30"/>
              <w:jc w:val="left"/>
              <w:rPr/>
            </w:pPr>
            <w:r>
              <w:rPr/>
              <w:t> </w:t>
            </w:r>
          </w:p>
        </w:tc>
        <w:tc>
          <w:tcPr>
            <w:tcW w:w="433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867" w:type="dxa"/>
            <w:tcBorders/>
            <w:shd w:fill="auto" w:val="clear"/>
            <w:vAlign w:val="center"/>
          </w:tcPr>
          <w:p>
            <w:pPr>
              <w:pStyle w:val="TableContents"/>
              <w:spacing w:before="0" w:after="0"/>
              <w:ind w:left="0" w:right="0" w:firstLine="30"/>
              <w:jc w:val="left"/>
              <w:rPr/>
            </w:pPr>
            <w:r>
              <w:rPr/>
              <w:t> </w:t>
            </w:r>
          </w:p>
        </w:tc>
        <w:tc>
          <w:tcPr>
            <w:tcW w:w="13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0" w:type="dxa"/>
            <w:tcBorders/>
            <w:shd w:fill="auto" w:val="clear"/>
            <w:vAlign w:val="center"/>
          </w:tcPr>
          <w:p>
            <w:pPr>
              <w:pStyle w:val="TableContents"/>
              <w:spacing w:before="0" w:after="0"/>
              <w:ind w:left="0" w:right="0" w:firstLine="30"/>
              <w:rPr/>
            </w:pPr>
            <w:r>
              <w:rPr/>
              <w:t> </w:t>
            </w:r>
          </w:p>
        </w:tc>
        <w:tc>
          <w:tcPr>
            <w:tcW w:w="13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0" w:type="dxa"/>
            <w:tcBorders/>
            <w:shd w:fill="auto" w:val="clear"/>
            <w:vAlign w:val="center"/>
          </w:tcPr>
          <w:p>
            <w:pPr>
              <w:pStyle w:val="TableContents"/>
              <w:spacing w:before="0" w:after="0"/>
              <w:ind w:left="0" w:right="0" w:firstLine="30"/>
              <w:rPr/>
            </w:pPr>
            <w:r>
              <w:rPr/>
              <w:t> </w:t>
            </w:r>
          </w:p>
        </w:tc>
        <w:tc>
          <w:tcPr>
            <w:tcW w:w="13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867" w:type="dxa"/>
            <w:tcBorders/>
            <w:shd w:fill="auto" w:val="clear"/>
            <w:vAlign w:val="center"/>
          </w:tcPr>
          <w:p>
            <w:pPr>
              <w:pStyle w:val="TableContents"/>
              <w:spacing w:before="0" w:after="0"/>
              <w:ind w:left="0" w:right="0" w:firstLine="30"/>
              <w:jc w:val="left"/>
              <w:rPr/>
            </w:pPr>
            <w:r>
              <w:rPr/>
              <w:t> </w:t>
            </w:r>
          </w:p>
        </w:tc>
        <w:tc>
          <w:tcPr>
            <w:tcW w:w="4338"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 except per share amounts)</w:t>
            </w:r>
          </w:p>
        </w:tc>
      </w:tr>
      <w:tr>
        <w:trPr/>
        <w:tc>
          <w:tcPr>
            <w:tcW w:w="58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grant-date fair value per share granted</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7" w:type="dxa"/>
            <w:tcBorders/>
            <w:shd w:fill="CCEEFF" w:val="clear"/>
            <w:vAlign w:val="center"/>
          </w:tcPr>
          <w:p>
            <w:pPr>
              <w:pStyle w:val="TableContents"/>
              <w:spacing w:before="0" w:after="0"/>
              <w:jc w:val="right"/>
              <w:rPr>
                <w:rFonts w:ascii="inherit" w:hAnsi="inherit"/>
                <w:sz w:val="17"/>
              </w:rPr>
            </w:pPr>
            <w:r>
              <w:rPr>
                <w:rFonts w:ascii="inherit" w:hAnsi="inherit"/>
                <w:sz w:val="17"/>
              </w:rPr>
              <w:t>20.43</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7" w:type="dxa"/>
            <w:tcBorders/>
            <w:shd w:fill="CCEEFF" w:val="clear"/>
            <w:vAlign w:val="center"/>
          </w:tcPr>
          <w:p>
            <w:pPr>
              <w:pStyle w:val="TableContents"/>
              <w:spacing w:before="0" w:after="0"/>
              <w:jc w:val="right"/>
              <w:rPr>
                <w:rFonts w:ascii="inherit" w:hAnsi="inherit"/>
                <w:sz w:val="17"/>
              </w:rPr>
            </w:pPr>
            <w:r>
              <w:rPr>
                <w:rFonts w:ascii="inherit" w:hAnsi="inherit"/>
                <w:sz w:val="17"/>
              </w:rPr>
              <w:t>29.22</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7" w:type="dxa"/>
            <w:tcBorders/>
            <w:shd w:fill="CCEEFF" w:val="clear"/>
            <w:vAlign w:val="center"/>
          </w:tcPr>
          <w:p>
            <w:pPr>
              <w:pStyle w:val="TableContents"/>
              <w:spacing w:before="0" w:after="0"/>
              <w:jc w:val="right"/>
              <w:rPr>
                <w:rFonts w:ascii="inherit" w:hAnsi="inherit"/>
                <w:sz w:val="17"/>
              </w:rPr>
            </w:pPr>
            <w:r>
              <w:rPr>
                <w:rFonts w:ascii="inherit" w:hAnsi="inherit"/>
                <w:sz w:val="17"/>
              </w:rPr>
              <w:t>20.34</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grant date fair value of shares vested</w:t>
            </w:r>
          </w:p>
        </w:tc>
        <w:tc>
          <w:tcPr>
            <w:tcW w:w="12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13.5</w:t>
            </w:r>
          </w:p>
        </w:tc>
        <w:tc>
          <w:tcPr>
            <w:tcW w:w="114"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At </w:t>
      </w:r>
      <w:r>
        <w:rPr>
          <w:rFonts w:ascii="inherit" w:hAnsi="inherit"/>
          <w:strike w:val="false"/>
          <w:dstrike w:val="false"/>
          <w:color w:val="000000"/>
          <w:sz w:val="17"/>
          <w:u w:val="none"/>
          <w:effect w:val="none"/>
        </w:rPr>
        <w:t>September 30, 2013</w:t>
      </w:r>
      <w:r>
        <w:rPr>
          <w:rFonts w:ascii="inherit" w:hAnsi="inherit"/>
          <w:sz w:val="17"/>
        </w:rPr>
        <w:t>, the unamortized fair value of restricted stock awards to be amortized over their remaining vesting periods was approximately $18.0 million</w:t>
      </w:r>
      <w:r>
        <w:rPr>
          <w:sz w:val="17"/>
        </w:rPr>
        <w:t xml:space="preserve"> </w:t>
      </w:r>
      <w:r>
        <w:rPr>
          <w:rFonts w:ascii="inherit" w:hAnsi="inherit"/>
          <w:sz w:val="17"/>
        </w:rPr>
        <w:t>and the fair value of all options had been fully amortized to expense. The weighted average period over which these costs will be amortized is two</w:t>
      </w:r>
      <w:r>
        <w:rPr>
          <w:sz w:val="17"/>
        </w:rPr>
        <w:t xml:space="preserve"> </w:t>
      </w:r>
      <w:r>
        <w:rPr>
          <w:rFonts w:ascii="inherit" w:hAnsi="inherit"/>
          <w:sz w:val="17"/>
        </w:rPr>
        <w:t>years.</w:t>
      </w:r>
    </w:p>
    <w:p>
      <w:pPr>
        <w:pStyle w:val="TextBody"/>
        <w:spacing w:lineRule="auto" w:line="288" w:before="0" w:after="0"/>
        <w:jc w:val="left"/>
        <w:rPr>
          <w:rFonts w:ascii="inherit" w:hAnsi="inherit"/>
          <w:sz w:val="17"/>
        </w:rPr>
      </w:pPr>
      <w:r>
        <w:rPr>
          <w:rFonts w:ascii="inherit" w:hAnsi="inherit"/>
          <w:sz w:val="17"/>
        </w:rPr>
        <w:t>The following is a summary of the option activity for the current fiscal year:</w:t>
      </w:r>
    </w:p>
    <w:tbl>
      <w:tblPr>
        <w:tblW w:w="10205" w:type="dxa"/>
        <w:jc w:val="left"/>
        <w:tblInd w:w="0" w:type="dxa"/>
        <w:tblCellMar>
          <w:top w:w="0" w:type="dxa"/>
          <w:left w:w="0" w:type="dxa"/>
          <w:bottom w:w="0" w:type="dxa"/>
          <w:right w:w="0" w:type="dxa"/>
        </w:tblCellMar>
      </w:tblPr>
      <w:tblGrid>
        <w:gridCol w:w="4012"/>
        <w:gridCol w:w="1254"/>
        <w:gridCol w:w="158"/>
        <w:gridCol w:w="140"/>
        <w:gridCol w:w="209"/>
        <w:gridCol w:w="1073"/>
        <w:gridCol w:w="99"/>
        <w:gridCol w:w="140"/>
        <w:gridCol w:w="1513"/>
        <w:gridCol w:w="140"/>
        <w:gridCol w:w="362"/>
        <w:gridCol w:w="926"/>
        <w:gridCol w:w="179"/>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4012"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12" w:type="dxa"/>
            <w:tcBorders/>
            <w:shd w:fill="auto" w:val="clear"/>
            <w:vAlign w:val="center"/>
          </w:tcPr>
          <w:p>
            <w:pPr>
              <w:pStyle w:val="TableContents"/>
              <w:spacing w:before="0" w:after="0"/>
              <w:rPr/>
            </w:pPr>
            <w:r>
              <w:rPr/>
              <w:t> </w:t>
            </w:r>
          </w:p>
        </w:tc>
        <w:tc>
          <w:tcPr>
            <w:tcW w:w="141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Shares</w:t>
            </w:r>
          </w:p>
        </w:tc>
        <w:tc>
          <w:tcPr>
            <w:tcW w:w="140" w:type="dxa"/>
            <w:tcBorders/>
            <w:shd w:fill="auto" w:val="clear"/>
            <w:vAlign w:val="center"/>
          </w:tcPr>
          <w:p>
            <w:pPr>
              <w:pStyle w:val="TableContents"/>
              <w:spacing w:before="0" w:after="0"/>
              <w:ind w:left="0" w:right="0" w:firstLine="30"/>
              <w:rPr/>
            </w:pPr>
            <w:r>
              <w:rPr/>
              <w:t> </w:t>
            </w:r>
          </w:p>
        </w:tc>
        <w:tc>
          <w:tcPr>
            <w:tcW w:w="138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Weighted</w:t>
            </w:r>
          </w:p>
          <w:p>
            <w:pPr>
              <w:pStyle w:val="TableContents"/>
              <w:spacing w:before="0" w:after="0"/>
              <w:jc w:val="center"/>
              <w:rPr>
                <w:rFonts w:ascii="inherit" w:hAnsi="inherit"/>
                <w:b/>
                <w:sz w:val="13"/>
              </w:rPr>
            </w:pPr>
            <w:r>
              <w:rPr>
                <w:rFonts w:ascii="inherit" w:hAnsi="inherit"/>
                <w:b/>
                <w:sz w:val="13"/>
              </w:rPr>
              <w:t>Average</w:t>
            </w:r>
          </w:p>
          <w:p>
            <w:pPr>
              <w:pStyle w:val="TableContents"/>
              <w:spacing w:before="0" w:after="0"/>
              <w:jc w:val="center"/>
              <w:rPr>
                <w:rFonts w:ascii="inherit" w:hAnsi="inherit"/>
                <w:b/>
                <w:sz w:val="13"/>
              </w:rPr>
            </w:pPr>
            <w:r>
              <w:rPr>
                <w:rFonts w:ascii="inherit" w:hAnsi="inherit"/>
                <w:b/>
                <w:sz w:val="13"/>
              </w:rPr>
              <w:t>Exercise</w:t>
            </w:r>
          </w:p>
          <w:p>
            <w:pPr>
              <w:pStyle w:val="TableContents"/>
              <w:spacing w:before="0" w:after="0"/>
              <w:ind w:left="0" w:right="0" w:firstLine="30"/>
              <w:jc w:val="center"/>
              <w:rPr>
                <w:rFonts w:ascii="inherit" w:hAnsi="inherit"/>
                <w:b/>
                <w:sz w:val="13"/>
              </w:rPr>
            </w:pPr>
            <w:r>
              <w:rPr>
                <w:rFonts w:ascii="inherit" w:hAnsi="inherit"/>
                <w:b/>
                <w:sz w:val="13"/>
              </w:rPr>
              <w:t>Price</w:t>
            </w:r>
          </w:p>
        </w:tc>
        <w:tc>
          <w:tcPr>
            <w:tcW w:w="140" w:type="dxa"/>
            <w:tcBorders/>
            <w:shd w:fill="auto" w:val="clear"/>
            <w:vAlign w:val="center"/>
          </w:tcPr>
          <w:p>
            <w:pPr>
              <w:pStyle w:val="TableContents"/>
              <w:spacing w:before="0" w:after="0"/>
              <w:ind w:left="0" w:right="0" w:firstLine="30"/>
              <w:rPr/>
            </w:pPr>
            <w:r>
              <w:rPr/>
              <w:t> </w:t>
            </w:r>
          </w:p>
        </w:tc>
        <w:tc>
          <w:tcPr>
            <w:tcW w:w="1513"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Weighted</w:t>
            </w:r>
          </w:p>
          <w:p>
            <w:pPr>
              <w:pStyle w:val="TableContents"/>
              <w:spacing w:before="0" w:after="0"/>
              <w:jc w:val="center"/>
              <w:rPr>
                <w:rFonts w:ascii="inherit" w:hAnsi="inherit"/>
                <w:b/>
                <w:sz w:val="13"/>
              </w:rPr>
            </w:pPr>
            <w:r>
              <w:rPr>
                <w:rFonts w:ascii="inherit" w:hAnsi="inherit"/>
                <w:b/>
                <w:sz w:val="13"/>
              </w:rPr>
              <w:t>Average</w:t>
            </w:r>
          </w:p>
          <w:p>
            <w:pPr>
              <w:pStyle w:val="TableContents"/>
              <w:spacing w:before="0" w:after="0"/>
              <w:jc w:val="center"/>
              <w:rPr>
                <w:rFonts w:ascii="inherit" w:hAnsi="inherit"/>
                <w:b/>
                <w:sz w:val="13"/>
              </w:rPr>
            </w:pPr>
            <w:r>
              <w:rPr>
                <w:rFonts w:ascii="inherit" w:hAnsi="inherit"/>
                <w:b/>
                <w:sz w:val="13"/>
              </w:rPr>
              <w:t>Remaining</w:t>
            </w:r>
          </w:p>
          <w:p>
            <w:pPr>
              <w:pStyle w:val="TableContents"/>
              <w:spacing w:before="0" w:after="0"/>
              <w:jc w:val="center"/>
              <w:rPr>
                <w:rFonts w:ascii="inherit" w:hAnsi="inherit"/>
                <w:b/>
                <w:sz w:val="13"/>
              </w:rPr>
            </w:pPr>
            <w:r>
              <w:rPr>
                <w:rFonts w:ascii="inherit" w:hAnsi="inherit"/>
                <w:b/>
                <w:sz w:val="13"/>
              </w:rPr>
              <w:t>Contractual</w:t>
            </w:r>
          </w:p>
          <w:p>
            <w:pPr>
              <w:pStyle w:val="TableContents"/>
              <w:spacing w:before="0" w:after="0"/>
              <w:jc w:val="center"/>
              <w:rPr>
                <w:rFonts w:ascii="inherit" w:hAnsi="inherit"/>
                <w:b/>
                <w:sz w:val="13"/>
              </w:rPr>
            </w:pPr>
            <w:r>
              <w:rPr>
                <w:rFonts w:ascii="inherit" w:hAnsi="inherit"/>
                <w:b/>
                <w:sz w:val="13"/>
              </w:rPr>
              <w:t>Term</w:t>
            </w:r>
          </w:p>
          <w:p>
            <w:pPr>
              <w:pStyle w:val="TableContents"/>
              <w:spacing w:before="0" w:after="0"/>
              <w:ind w:left="0" w:right="0" w:firstLine="30"/>
              <w:jc w:val="center"/>
              <w:rPr>
                <w:rFonts w:ascii="inherit" w:hAnsi="inherit"/>
                <w:b/>
                <w:i/>
                <w:sz w:val="13"/>
              </w:rPr>
            </w:pPr>
            <w:r>
              <w:rPr>
                <w:rFonts w:ascii="inherit" w:hAnsi="inherit"/>
                <w:b/>
                <w:i/>
                <w:sz w:val="13"/>
              </w:rPr>
              <w:t>(in years)</w:t>
            </w:r>
          </w:p>
        </w:tc>
        <w:tc>
          <w:tcPr>
            <w:tcW w:w="140" w:type="dxa"/>
            <w:tcBorders/>
            <w:shd w:fill="auto" w:val="clear"/>
            <w:vAlign w:val="center"/>
          </w:tcPr>
          <w:p>
            <w:pPr>
              <w:pStyle w:val="TableContents"/>
              <w:spacing w:before="0" w:after="0"/>
              <w:ind w:left="0" w:right="0" w:firstLine="30"/>
              <w:rPr/>
            </w:pPr>
            <w:r>
              <w:rPr/>
              <w:t> </w:t>
            </w:r>
          </w:p>
        </w:tc>
        <w:tc>
          <w:tcPr>
            <w:tcW w:w="146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Aggregate</w:t>
            </w:r>
          </w:p>
          <w:p>
            <w:pPr>
              <w:pStyle w:val="TableContents"/>
              <w:spacing w:before="0" w:after="0"/>
              <w:jc w:val="center"/>
              <w:rPr>
                <w:rFonts w:ascii="inherit" w:hAnsi="inherit"/>
                <w:b/>
                <w:sz w:val="13"/>
              </w:rPr>
            </w:pPr>
            <w:r>
              <w:rPr>
                <w:rFonts w:ascii="inherit" w:hAnsi="inherit"/>
                <w:b/>
                <w:sz w:val="13"/>
              </w:rPr>
              <w:t>Intrinsic</w:t>
            </w:r>
          </w:p>
          <w:p>
            <w:pPr>
              <w:pStyle w:val="TableContents"/>
              <w:spacing w:before="0" w:after="0"/>
              <w:jc w:val="center"/>
              <w:rPr>
                <w:rFonts w:ascii="inherit" w:hAnsi="inherit"/>
                <w:b/>
                <w:sz w:val="13"/>
              </w:rPr>
            </w:pPr>
            <w:r>
              <w:rPr>
                <w:rFonts w:ascii="inherit" w:hAnsi="inherit"/>
                <w:b/>
                <w:sz w:val="13"/>
              </w:rPr>
              <w:t>Value</w:t>
            </w:r>
          </w:p>
          <w:p>
            <w:pPr>
              <w:pStyle w:val="TableContents"/>
              <w:spacing w:before="0" w:after="0"/>
              <w:ind w:left="0" w:right="0" w:firstLine="30"/>
              <w:jc w:val="center"/>
              <w:rPr>
                <w:rFonts w:ascii="inherit" w:hAnsi="inherit"/>
                <w:b/>
                <w:i/>
                <w:sz w:val="13"/>
              </w:rPr>
            </w:pPr>
            <w:r>
              <w:rPr>
                <w:rFonts w:ascii="inherit" w:hAnsi="inherit"/>
                <w:b/>
                <w:i/>
                <w:sz w:val="13"/>
              </w:rPr>
              <w:t>(in thousands)</w:t>
            </w:r>
          </w:p>
        </w:tc>
      </w:tr>
      <w:tr>
        <w:trPr/>
        <w:tc>
          <w:tcPr>
            <w:tcW w:w="40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September 30, 2012</w:t>
            </w:r>
          </w:p>
        </w:tc>
        <w:tc>
          <w:tcPr>
            <w:tcW w:w="125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18,100</w:t>
            </w:r>
          </w:p>
        </w:tc>
        <w:tc>
          <w:tcPr>
            <w:tcW w:w="15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209"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2.52</w:t>
            </w:r>
          </w:p>
        </w:tc>
        <w:tc>
          <w:tcPr>
            <w:tcW w:w="9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513"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p>
        </w:tc>
        <w:tc>
          <w:tcPr>
            <w:tcW w:w="140" w:type="dxa"/>
            <w:tcBorders/>
            <w:shd w:fill="CCEEFF" w:val="clear"/>
            <w:vAlign w:val="center"/>
          </w:tcPr>
          <w:p>
            <w:pPr>
              <w:pStyle w:val="TableContents"/>
              <w:spacing w:before="0" w:after="0"/>
              <w:ind w:left="0" w:right="0" w:firstLine="30"/>
              <w:rPr/>
            </w:pPr>
            <w:r>
              <w:rPr/>
              <w:t> </w:t>
            </w:r>
          </w:p>
        </w:tc>
        <w:tc>
          <w:tcPr>
            <w:tcW w:w="1467" w:type="dxa"/>
            <w:gridSpan w:val="3"/>
            <w:tcBorders/>
            <w:shd w:fill="CCEEFF" w:val="clear"/>
            <w:vAlign w:val="center"/>
          </w:tcPr>
          <w:p>
            <w:pPr>
              <w:pStyle w:val="TableContents"/>
              <w:spacing w:before="0" w:after="0"/>
              <w:ind w:left="0" w:right="0" w:firstLine="180"/>
              <w:jc w:val="left"/>
              <w:rPr/>
            </w:pPr>
            <w:r>
              <w:rPr/>
              <w:t> </w:t>
            </w:r>
          </w:p>
        </w:tc>
      </w:tr>
      <w:tr>
        <w:trPr/>
        <w:tc>
          <w:tcPr>
            <w:tcW w:w="40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Granted</w:t>
            </w:r>
          </w:p>
        </w:tc>
        <w:tc>
          <w:tcPr>
            <w:tcW w:w="1254" w:type="dxa"/>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82" w:type="dxa"/>
            <w:gridSpan w:val="2"/>
            <w:tcBorders/>
            <w:shd w:fill="auto" w:val="clear"/>
            <w:vAlign w:val="center"/>
          </w:tcPr>
          <w:p>
            <w:pPr>
              <w:pStyle w:val="TableContents"/>
              <w:spacing w:before="0" w:after="0"/>
              <w:jc w:val="right"/>
              <w:rPr/>
            </w:pPr>
            <w:r>
              <w:rPr/>
              <w:t>—</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513" w:type="dxa"/>
            <w:tcBorders/>
            <w:shd w:fill="auto" w:val="clear"/>
            <w:vAlign w:val="center"/>
          </w:tcPr>
          <w:p>
            <w:pPr>
              <w:pStyle w:val="TableContents"/>
              <w:spacing w:before="0" w:after="0"/>
              <w:ind w:left="0" w:right="0" w:firstLine="30"/>
              <w:jc w:val="left"/>
              <w:rPr/>
            </w:pPr>
            <w:r>
              <w:rPr/>
              <w:t> </w:t>
            </w:r>
          </w:p>
        </w:tc>
        <w:tc>
          <w:tcPr>
            <w:tcW w:w="140" w:type="dxa"/>
            <w:tcBorders/>
            <w:shd w:fill="auto" w:val="clear"/>
            <w:vAlign w:val="center"/>
          </w:tcPr>
          <w:p>
            <w:pPr>
              <w:pStyle w:val="TableContents"/>
              <w:spacing w:before="0" w:after="0"/>
              <w:ind w:left="0" w:right="0" w:firstLine="30"/>
              <w:rPr/>
            </w:pPr>
            <w:r>
              <w:rPr/>
              <w:t> </w:t>
            </w:r>
          </w:p>
        </w:tc>
        <w:tc>
          <w:tcPr>
            <w:tcW w:w="1467" w:type="dxa"/>
            <w:gridSpan w:val="3"/>
            <w:tcBorders/>
            <w:shd w:fill="auto" w:val="clear"/>
            <w:vAlign w:val="center"/>
          </w:tcPr>
          <w:p>
            <w:pPr>
              <w:pStyle w:val="TableContents"/>
              <w:spacing w:before="0" w:after="0"/>
              <w:ind w:left="0" w:right="0" w:firstLine="180"/>
              <w:jc w:val="left"/>
              <w:rPr/>
            </w:pPr>
            <w:r>
              <w:rPr/>
              <w:t> </w:t>
            </w:r>
          </w:p>
        </w:tc>
      </w:tr>
      <w:tr>
        <w:trPr/>
        <w:tc>
          <w:tcPr>
            <w:tcW w:w="40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Forfeited</w:t>
            </w:r>
          </w:p>
        </w:tc>
        <w:tc>
          <w:tcPr>
            <w:tcW w:w="1254" w:type="dxa"/>
            <w:tcBorders/>
            <w:shd w:fill="CCEEFF" w:val="clear"/>
            <w:vAlign w:val="center"/>
          </w:tcPr>
          <w:p>
            <w:pPr>
              <w:pStyle w:val="TableContents"/>
              <w:spacing w:before="0" w:after="0"/>
              <w:jc w:val="right"/>
              <w:rPr/>
            </w:pPr>
            <w:r>
              <w:rPr/>
              <w:t>—</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82" w:type="dxa"/>
            <w:gridSpan w:val="2"/>
            <w:tcBorders/>
            <w:shd w:fill="CCEEFF" w:val="clear"/>
            <w:vAlign w:val="center"/>
          </w:tcPr>
          <w:p>
            <w:pPr>
              <w:pStyle w:val="TableContents"/>
              <w:spacing w:before="0" w:after="0"/>
              <w:jc w:val="right"/>
              <w:rPr/>
            </w:pPr>
            <w:r>
              <w:rPr/>
              <w:t>—</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513" w:type="dxa"/>
            <w:tcBorders/>
            <w:shd w:fill="CCEEFF" w:val="clear"/>
            <w:vAlign w:val="center"/>
          </w:tcPr>
          <w:p>
            <w:pPr>
              <w:pStyle w:val="TableContents"/>
              <w:spacing w:before="0" w:after="0"/>
              <w:ind w:left="0" w:right="0" w:firstLine="30"/>
              <w:jc w:val="left"/>
              <w:rPr/>
            </w:pPr>
            <w:r>
              <w:rPr/>
              <w:t> </w:t>
            </w:r>
          </w:p>
        </w:tc>
        <w:tc>
          <w:tcPr>
            <w:tcW w:w="140" w:type="dxa"/>
            <w:tcBorders/>
            <w:shd w:fill="CCEEFF" w:val="clear"/>
            <w:vAlign w:val="center"/>
          </w:tcPr>
          <w:p>
            <w:pPr>
              <w:pStyle w:val="TableContents"/>
              <w:spacing w:before="0" w:after="0"/>
              <w:ind w:left="0" w:right="0" w:firstLine="30"/>
              <w:rPr/>
            </w:pPr>
            <w:r>
              <w:rPr/>
              <w:t> </w:t>
            </w:r>
          </w:p>
        </w:tc>
        <w:tc>
          <w:tcPr>
            <w:tcW w:w="1467" w:type="dxa"/>
            <w:gridSpan w:val="3"/>
            <w:tcBorders/>
            <w:shd w:fill="CCEEFF" w:val="clear"/>
            <w:vAlign w:val="center"/>
          </w:tcPr>
          <w:p>
            <w:pPr>
              <w:pStyle w:val="TableContents"/>
              <w:spacing w:before="0" w:after="0"/>
              <w:ind w:left="0" w:right="0" w:firstLine="180"/>
              <w:jc w:val="left"/>
              <w:rPr/>
            </w:pPr>
            <w:r>
              <w:rPr/>
              <w:t> </w:t>
            </w:r>
          </w:p>
        </w:tc>
      </w:tr>
      <w:tr>
        <w:trPr/>
        <w:tc>
          <w:tcPr>
            <w:tcW w:w="40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Expired</w:t>
            </w:r>
          </w:p>
        </w:tc>
        <w:tc>
          <w:tcPr>
            <w:tcW w:w="1254" w:type="dxa"/>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82" w:type="dxa"/>
            <w:gridSpan w:val="2"/>
            <w:tcBorders/>
            <w:shd w:fill="auto" w:val="clear"/>
            <w:vAlign w:val="center"/>
          </w:tcPr>
          <w:p>
            <w:pPr>
              <w:pStyle w:val="TableContents"/>
              <w:spacing w:before="0" w:after="0"/>
              <w:jc w:val="right"/>
              <w:rPr/>
            </w:pPr>
            <w:r>
              <w:rPr/>
              <w:t>—</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513" w:type="dxa"/>
            <w:tcBorders/>
            <w:shd w:fill="auto" w:val="clear"/>
            <w:vAlign w:val="center"/>
          </w:tcPr>
          <w:p>
            <w:pPr>
              <w:pStyle w:val="TableContents"/>
              <w:spacing w:before="0" w:after="0"/>
              <w:ind w:left="0" w:right="0" w:firstLine="30"/>
              <w:jc w:val="left"/>
              <w:rPr/>
            </w:pPr>
            <w:r>
              <w:rPr/>
              <w:t> </w:t>
            </w:r>
          </w:p>
        </w:tc>
        <w:tc>
          <w:tcPr>
            <w:tcW w:w="140" w:type="dxa"/>
            <w:tcBorders/>
            <w:shd w:fill="auto" w:val="clear"/>
            <w:vAlign w:val="center"/>
          </w:tcPr>
          <w:p>
            <w:pPr>
              <w:pStyle w:val="TableContents"/>
              <w:spacing w:before="0" w:after="0"/>
              <w:ind w:left="0" w:right="0" w:firstLine="30"/>
              <w:rPr/>
            </w:pPr>
            <w:r>
              <w:rPr/>
              <w:t> </w:t>
            </w:r>
          </w:p>
        </w:tc>
        <w:tc>
          <w:tcPr>
            <w:tcW w:w="1467" w:type="dxa"/>
            <w:gridSpan w:val="3"/>
            <w:tcBorders/>
            <w:shd w:fill="auto" w:val="clear"/>
            <w:vAlign w:val="center"/>
          </w:tcPr>
          <w:p>
            <w:pPr>
              <w:pStyle w:val="TableContents"/>
              <w:spacing w:before="0" w:after="0"/>
              <w:ind w:left="0" w:right="0" w:firstLine="180"/>
              <w:jc w:val="left"/>
              <w:rPr/>
            </w:pPr>
            <w:r>
              <w:rPr/>
              <w:t> </w:t>
            </w:r>
          </w:p>
        </w:tc>
      </w:tr>
      <w:tr>
        <w:trPr/>
        <w:tc>
          <w:tcPr>
            <w:tcW w:w="40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Exercised</w:t>
            </w:r>
          </w:p>
        </w:tc>
        <w:tc>
          <w:tcPr>
            <w:tcW w:w="125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(18,000</w:t>
            </w:r>
          </w:p>
        </w:tc>
        <w:tc>
          <w:tcPr>
            <w:tcW w:w="15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CCEEFF" w:val="clear"/>
            <w:vAlign w:val="center"/>
          </w:tcPr>
          <w:p>
            <w:pPr>
              <w:pStyle w:val="TableContents"/>
              <w:spacing w:before="0" w:after="0"/>
              <w:ind w:left="0" w:right="0" w:firstLine="30"/>
              <w:rPr/>
            </w:pPr>
            <w:r>
              <w:rPr/>
              <w:t> </w:t>
            </w:r>
          </w:p>
        </w:tc>
        <w:tc>
          <w:tcPr>
            <w:tcW w:w="12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2.52</w:t>
            </w:r>
          </w:p>
        </w:tc>
        <w:tc>
          <w:tcPr>
            <w:tcW w:w="9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513" w:type="dxa"/>
            <w:tcBorders/>
            <w:shd w:fill="CCEEFF" w:val="clear"/>
            <w:vAlign w:val="center"/>
          </w:tcPr>
          <w:p>
            <w:pPr>
              <w:pStyle w:val="TableContents"/>
              <w:spacing w:before="0" w:after="0"/>
              <w:ind w:left="0" w:right="0" w:firstLine="30"/>
              <w:jc w:val="left"/>
              <w:rPr/>
            </w:pPr>
            <w:r>
              <w:rPr/>
              <w:t> </w:t>
            </w:r>
          </w:p>
        </w:tc>
        <w:tc>
          <w:tcPr>
            <w:tcW w:w="140" w:type="dxa"/>
            <w:tcBorders/>
            <w:shd w:fill="CCEEFF" w:val="clear"/>
            <w:vAlign w:val="center"/>
          </w:tcPr>
          <w:p>
            <w:pPr>
              <w:pStyle w:val="TableContents"/>
              <w:spacing w:before="0" w:after="0"/>
              <w:ind w:left="0" w:right="0" w:firstLine="30"/>
              <w:rPr/>
            </w:pPr>
            <w:r>
              <w:rPr/>
              <w:t> </w:t>
            </w:r>
          </w:p>
        </w:tc>
        <w:tc>
          <w:tcPr>
            <w:tcW w:w="1467" w:type="dxa"/>
            <w:gridSpan w:val="3"/>
            <w:tcBorders/>
            <w:shd w:fill="CCEEFF" w:val="clear"/>
            <w:vAlign w:val="center"/>
          </w:tcPr>
          <w:p>
            <w:pPr>
              <w:pStyle w:val="TableContents"/>
              <w:spacing w:before="0" w:after="0"/>
              <w:ind w:left="0" w:right="0" w:firstLine="30"/>
              <w:jc w:val="left"/>
              <w:rPr/>
            </w:pPr>
            <w:r>
              <w:rPr/>
              <w:t> </w:t>
            </w:r>
          </w:p>
        </w:tc>
      </w:tr>
      <w:tr>
        <w:trPr/>
        <w:tc>
          <w:tcPr>
            <w:tcW w:w="40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September 30, 2013</w:t>
            </w:r>
          </w:p>
        </w:tc>
        <w:tc>
          <w:tcPr>
            <w:tcW w:w="1254" w:type="dxa"/>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shd w:fill="auto" w:val="clear"/>
            <w:vAlign w:val="center"/>
          </w:tcPr>
          <w:p>
            <w:pPr>
              <w:pStyle w:val="TableContents"/>
              <w:spacing w:before="0" w:after="0"/>
              <w:jc w:val="right"/>
              <w:rPr>
                <w:rFonts w:ascii="inherit" w:hAnsi="inherit"/>
                <w:sz w:val="17"/>
              </w:rPr>
            </w:pPr>
            <w:r>
              <w:rPr>
                <w:rFonts w:ascii="inherit" w:hAnsi="inherit"/>
                <w:sz w:val="17"/>
              </w:rPr>
              <w:t>2.95</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513"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1.00</w:t>
            </w:r>
          </w:p>
        </w:tc>
        <w:tc>
          <w:tcPr>
            <w:tcW w:w="140" w:type="dxa"/>
            <w:tcBorders/>
            <w:shd w:fill="auto" w:val="clear"/>
            <w:vAlign w:val="center"/>
          </w:tcPr>
          <w:p>
            <w:pPr>
              <w:pStyle w:val="TableContents"/>
              <w:spacing w:before="0" w:after="0"/>
              <w:ind w:left="0" w:right="0" w:firstLine="30"/>
              <w:rPr/>
            </w:pPr>
            <w:r>
              <w:rPr/>
              <w:t> </w:t>
            </w:r>
          </w:p>
        </w:tc>
        <w:tc>
          <w:tcPr>
            <w:tcW w:w="3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26" w:type="dxa"/>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Vested and expected to vest</w:t>
            </w:r>
          </w:p>
        </w:tc>
        <w:tc>
          <w:tcPr>
            <w:tcW w:w="1254" w:type="dxa"/>
            <w:tcBorders/>
            <w:shd w:fill="CCEEFF" w:val="clear"/>
            <w:vAlign w:val="center"/>
          </w:tcPr>
          <w:p>
            <w:pPr>
              <w:pStyle w:val="TableContents"/>
              <w:spacing w:before="0" w:after="0"/>
              <w:jc w:val="right"/>
              <w:rPr>
                <w:rFonts w:ascii="inherit" w:hAnsi="inherit"/>
                <w:sz w:val="17"/>
              </w:rPr>
            </w:pPr>
            <w:r>
              <w:rPr>
                <w:rFonts w:ascii="inherit" w:hAnsi="inherit"/>
                <w:sz w:val="17"/>
              </w:rPr>
              <w:t>100</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20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shd w:fill="CCEEFF" w:val="clear"/>
            <w:vAlign w:val="center"/>
          </w:tcPr>
          <w:p>
            <w:pPr>
              <w:pStyle w:val="TableContents"/>
              <w:spacing w:before="0" w:after="0"/>
              <w:jc w:val="right"/>
              <w:rPr>
                <w:rFonts w:ascii="inherit" w:hAnsi="inherit"/>
                <w:sz w:val="17"/>
              </w:rPr>
            </w:pPr>
            <w:r>
              <w:rPr>
                <w:rFonts w:ascii="inherit" w:hAnsi="inherit"/>
                <w:sz w:val="17"/>
              </w:rPr>
              <w:t>2.95</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513"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1.00</w:t>
            </w:r>
          </w:p>
        </w:tc>
        <w:tc>
          <w:tcPr>
            <w:tcW w:w="140" w:type="dxa"/>
            <w:tcBorders/>
            <w:shd w:fill="CCEEFF" w:val="clear"/>
            <w:vAlign w:val="center"/>
          </w:tcPr>
          <w:p>
            <w:pPr>
              <w:pStyle w:val="TableContents"/>
              <w:spacing w:before="0" w:after="0"/>
              <w:ind w:left="0" w:right="0" w:firstLine="30"/>
              <w:rPr/>
            </w:pPr>
            <w:r>
              <w:rPr/>
              <w:t> </w:t>
            </w:r>
          </w:p>
        </w:tc>
        <w:tc>
          <w:tcPr>
            <w:tcW w:w="36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6"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Vested at September 30, 2013</w:t>
            </w:r>
          </w:p>
        </w:tc>
        <w:tc>
          <w:tcPr>
            <w:tcW w:w="1254" w:type="dxa"/>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3" w:type="dxa"/>
            <w:tcBorders/>
            <w:shd w:fill="auto" w:val="clear"/>
            <w:vAlign w:val="center"/>
          </w:tcPr>
          <w:p>
            <w:pPr>
              <w:pStyle w:val="TableContents"/>
              <w:spacing w:before="0" w:after="0"/>
              <w:jc w:val="right"/>
              <w:rPr>
                <w:rFonts w:ascii="inherit" w:hAnsi="inherit"/>
                <w:sz w:val="17"/>
              </w:rPr>
            </w:pPr>
            <w:r>
              <w:rPr>
                <w:rFonts w:ascii="inherit" w:hAnsi="inherit"/>
                <w:sz w:val="17"/>
              </w:rPr>
              <w:t>2.95</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513"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1.00</w:t>
            </w:r>
          </w:p>
        </w:tc>
        <w:tc>
          <w:tcPr>
            <w:tcW w:w="140" w:type="dxa"/>
            <w:tcBorders/>
            <w:shd w:fill="auto" w:val="clear"/>
            <w:vAlign w:val="center"/>
          </w:tcPr>
          <w:p>
            <w:pPr>
              <w:pStyle w:val="TableContents"/>
              <w:spacing w:before="0" w:after="0"/>
              <w:ind w:left="0" w:right="0" w:firstLine="30"/>
              <w:rPr/>
            </w:pPr>
            <w:r>
              <w:rPr/>
              <w:t> </w:t>
            </w:r>
          </w:p>
        </w:tc>
        <w:tc>
          <w:tcPr>
            <w:tcW w:w="3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26" w:type="dxa"/>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79"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5808"/>
        <w:gridCol w:w="179"/>
        <w:gridCol w:w="1075"/>
        <w:gridCol w:w="101"/>
        <w:gridCol w:w="132"/>
        <w:gridCol w:w="179"/>
        <w:gridCol w:w="1130"/>
        <w:gridCol w:w="101"/>
        <w:gridCol w:w="132"/>
        <w:gridCol w:w="179"/>
        <w:gridCol w:w="1075"/>
        <w:gridCol w:w="114"/>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80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808" w:type="dxa"/>
            <w:tcBorders/>
            <w:shd w:fill="auto" w:val="clear"/>
            <w:vAlign w:val="center"/>
          </w:tcPr>
          <w:p>
            <w:pPr>
              <w:pStyle w:val="TableContents"/>
              <w:spacing w:before="0" w:after="0"/>
              <w:ind w:left="0" w:right="0" w:firstLine="30"/>
              <w:jc w:val="left"/>
              <w:rPr/>
            </w:pPr>
            <w:r>
              <w:rPr/>
              <w:t> </w:t>
            </w:r>
          </w:p>
        </w:tc>
        <w:tc>
          <w:tcPr>
            <w:tcW w:w="4397"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808" w:type="dxa"/>
            <w:tcBorders/>
            <w:shd w:fill="auto" w:val="clear"/>
            <w:vAlign w:val="center"/>
          </w:tcPr>
          <w:p>
            <w:pPr>
              <w:pStyle w:val="TableContents"/>
              <w:spacing w:before="0" w:after="0"/>
              <w:ind w:left="0" w:right="0" w:firstLine="30"/>
              <w:jc w:val="left"/>
              <w:rPr/>
            </w:pPr>
            <w:r>
              <w:rPr/>
              <w:t> </w:t>
            </w:r>
          </w:p>
        </w:tc>
        <w:tc>
          <w:tcPr>
            <w:tcW w:w="13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2" w:type="dxa"/>
            <w:tcBorders/>
            <w:shd w:fill="auto" w:val="clear"/>
            <w:vAlign w:val="center"/>
          </w:tcPr>
          <w:p>
            <w:pPr>
              <w:pStyle w:val="TableContents"/>
              <w:spacing w:before="0" w:after="0"/>
              <w:ind w:left="0" w:right="0" w:firstLine="30"/>
              <w:rPr/>
            </w:pPr>
            <w:r>
              <w:rPr/>
              <w:t> </w:t>
            </w:r>
          </w:p>
        </w:tc>
        <w:tc>
          <w:tcPr>
            <w:tcW w:w="14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2" w:type="dxa"/>
            <w:tcBorders/>
            <w:shd w:fill="auto" w:val="clear"/>
            <w:vAlign w:val="center"/>
          </w:tcPr>
          <w:p>
            <w:pPr>
              <w:pStyle w:val="TableContents"/>
              <w:spacing w:before="0" w:after="0"/>
              <w:ind w:left="0" w:right="0" w:firstLine="30"/>
              <w:rPr/>
            </w:pPr>
            <w:r>
              <w:rPr/>
              <w:t> </w:t>
            </w:r>
          </w:p>
        </w:tc>
        <w:tc>
          <w:tcPr>
            <w:tcW w:w="13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808" w:type="dxa"/>
            <w:tcBorders/>
            <w:shd w:fill="auto" w:val="clear"/>
            <w:vAlign w:val="center"/>
          </w:tcPr>
          <w:p>
            <w:pPr>
              <w:pStyle w:val="TableContents"/>
              <w:spacing w:before="0" w:after="0"/>
              <w:ind w:left="0" w:right="0" w:firstLine="30"/>
              <w:jc w:val="left"/>
              <w:rPr/>
            </w:pPr>
            <w:r>
              <w:rPr/>
              <w:t> </w:t>
            </w:r>
          </w:p>
        </w:tc>
        <w:tc>
          <w:tcPr>
            <w:tcW w:w="4397"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 except share amounts)</w:t>
            </w:r>
          </w:p>
        </w:tc>
      </w:tr>
      <w:tr>
        <w:trPr/>
        <w:tc>
          <w:tcPr>
            <w:tcW w:w="58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Shares issued due to stock option exercises</w:t>
            </w:r>
          </w:p>
        </w:tc>
        <w:tc>
          <w:tcPr>
            <w:tcW w:w="12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18,000</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204,298</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62,173</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Proceeds due to stock option exercises</w:t>
            </w:r>
          </w:p>
        </w:tc>
        <w:tc>
          <w:tcPr>
            <w:tcW w:w="17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shd w:fill="auto" w:val="clear"/>
            <w:vAlign w:val="center"/>
          </w:tcPr>
          <w:p>
            <w:pPr>
              <w:pStyle w:val="TableContents"/>
              <w:spacing w:before="0" w:after="0"/>
              <w:jc w:val="right"/>
              <w:rPr>
                <w:rFonts w:ascii="inherit" w:hAnsi="inherit"/>
                <w:sz w:val="17"/>
              </w:rPr>
            </w:pPr>
            <w:r>
              <w:rPr>
                <w:rFonts w:ascii="inherit" w:hAnsi="inherit"/>
                <w:sz w:val="17"/>
              </w:rPr>
              <w:t>0.05</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7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auto" w:val="clear"/>
            <w:vAlign w:val="center"/>
          </w:tcPr>
          <w:p>
            <w:pPr>
              <w:pStyle w:val="TableContents"/>
              <w:spacing w:before="0" w:after="0"/>
              <w:jc w:val="right"/>
              <w:rPr>
                <w:rFonts w:ascii="inherit" w:hAnsi="inherit"/>
                <w:sz w:val="17"/>
              </w:rPr>
            </w:pPr>
            <w:r>
              <w:rPr>
                <w:rFonts w:ascii="inherit" w:hAnsi="inherit"/>
                <w:sz w:val="17"/>
              </w:rPr>
              <w:t>0.65</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7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shd w:fill="auto" w:val="clear"/>
            <w:vAlign w:val="center"/>
          </w:tcPr>
          <w:p>
            <w:pPr>
              <w:pStyle w:val="TableContents"/>
              <w:spacing w:before="0" w:after="0"/>
              <w:jc w:val="right"/>
              <w:rPr>
                <w:rFonts w:ascii="inherit" w:hAnsi="inherit"/>
                <w:sz w:val="17"/>
              </w:rPr>
            </w:pPr>
            <w:r>
              <w:rPr>
                <w:rFonts w:ascii="inherit" w:hAnsi="inherit"/>
                <w:sz w:val="17"/>
              </w:rPr>
              <w:t>0.40</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Tax benefit from stock option exercises</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shd w:fill="CCEEFF" w:val="clear"/>
            <w:vAlign w:val="center"/>
          </w:tcPr>
          <w:p>
            <w:pPr>
              <w:pStyle w:val="TableContents"/>
              <w:spacing w:before="0" w:after="0"/>
              <w:jc w:val="right"/>
              <w:rPr/>
            </w:pPr>
            <w:r>
              <w:rPr/>
              <w:t>—</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rFonts w:ascii="inherit" w:hAnsi="inherit"/>
                <w:sz w:val="17"/>
              </w:rPr>
            </w:pPr>
            <w:r>
              <w:rPr>
                <w:rFonts w:ascii="inherit" w:hAnsi="inherit"/>
                <w:sz w:val="17"/>
              </w:rPr>
              <w:t>1.10</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shd w:fill="CCEEFF" w:val="clear"/>
            <w:vAlign w:val="center"/>
          </w:tcPr>
          <w:p>
            <w:pPr>
              <w:pStyle w:val="TableContents"/>
              <w:spacing w:before="0" w:after="0"/>
              <w:jc w:val="right"/>
              <w:rPr>
                <w:rFonts w:ascii="inherit" w:hAnsi="inherit"/>
                <w:sz w:val="17"/>
              </w:rPr>
            </w:pPr>
            <w:r>
              <w:rPr>
                <w:rFonts w:ascii="inherit" w:hAnsi="inherit"/>
                <w:sz w:val="17"/>
              </w:rPr>
              <w:t>0.20</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Intrinsic value of stock options exercised</w:t>
            </w:r>
          </w:p>
        </w:tc>
        <w:tc>
          <w:tcPr>
            <w:tcW w:w="17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shd w:fill="auto" w:val="clear"/>
            <w:vAlign w:val="center"/>
          </w:tcPr>
          <w:p>
            <w:pPr>
              <w:pStyle w:val="TableContents"/>
              <w:spacing w:before="0" w:after="0"/>
              <w:jc w:val="right"/>
              <w:rPr>
                <w:rFonts w:ascii="inherit" w:hAnsi="inherit"/>
                <w:sz w:val="17"/>
              </w:rPr>
            </w:pPr>
            <w:r>
              <w:rPr>
                <w:rFonts w:ascii="inherit" w:hAnsi="inherit"/>
                <w:sz w:val="17"/>
              </w:rPr>
              <w:t>0.28</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7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auto" w:val="clear"/>
            <w:vAlign w:val="center"/>
          </w:tcPr>
          <w:p>
            <w:pPr>
              <w:pStyle w:val="TableContents"/>
              <w:spacing w:before="0" w:after="0"/>
              <w:jc w:val="right"/>
              <w:rPr>
                <w:rFonts w:ascii="inherit" w:hAnsi="inherit"/>
                <w:sz w:val="17"/>
              </w:rPr>
            </w:pPr>
            <w:r>
              <w:rPr>
                <w:rFonts w:ascii="inherit" w:hAnsi="inherit"/>
                <w:sz w:val="17"/>
              </w:rPr>
              <w:t>5.65</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7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shd w:fill="auto" w:val="clear"/>
            <w:vAlign w:val="center"/>
          </w:tcPr>
          <w:p>
            <w:pPr>
              <w:pStyle w:val="TableContents"/>
              <w:spacing w:before="0" w:after="0"/>
              <w:jc w:val="right"/>
              <w:rPr>
                <w:rFonts w:ascii="inherit" w:hAnsi="inherit"/>
                <w:sz w:val="17"/>
              </w:rPr>
            </w:pPr>
            <w:r>
              <w:rPr>
                <w:rFonts w:ascii="inherit" w:hAnsi="inherit"/>
                <w:sz w:val="17"/>
              </w:rPr>
              <w:t>1.50</w:t>
            </w:r>
          </w:p>
        </w:tc>
        <w:tc>
          <w:tcPr>
            <w:tcW w:w="114"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bookmarkStart w:id="76" w:name="s2389A39859004F53D31683E26DED58AC"/>
      <w:bookmarkStart w:id="77" w:name="s2389A39859004F53D31683E26DED58AC"/>
      <w:bookmarkEnd w:id="77"/>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85</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NOTE 11: REDEEMABLE NONCONTROLLING INTEREST</w:t>
      </w:r>
    </w:p>
    <w:p>
      <w:pPr>
        <w:pStyle w:val="TextBody"/>
        <w:spacing w:lineRule="auto" w:line="288" w:before="0" w:after="0"/>
        <w:jc w:val="left"/>
        <w:rPr>
          <w:sz w:val="17"/>
        </w:rPr>
      </w:pPr>
      <w:r>
        <w:rPr>
          <w:rFonts w:ascii="inherit" w:hAnsi="inherit"/>
          <w:sz w:val="17"/>
        </w:rPr>
        <w:t xml:space="preserve">The following table provides a summary of the activities in our redeemable noncontrolling interests as of </w:t>
      </w:r>
      <w:r>
        <w:rPr>
          <w:rFonts w:ascii="inherit" w:hAnsi="inherit"/>
          <w:strike w:val="false"/>
          <w:dstrike w:val="false"/>
          <w:color w:val="000000"/>
          <w:sz w:val="17"/>
          <w:u w:val="none"/>
          <w:effect w:val="none"/>
        </w:rPr>
        <w:t>September 30,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rFonts w:ascii="inherit" w:hAnsi="inherit"/>
          <w:sz w:val="17"/>
        </w:rPr>
        <w:t>:</w:t>
      </w:r>
    </w:p>
    <w:tbl>
      <w:tblPr>
        <w:tblW w:w="10205" w:type="dxa"/>
        <w:jc w:val="center"/>
        <w:tblInd w:w="0" w:type="dxa"/>
        <w:tblCellMar>
          <w:top w:w="0" w:type="dxa"/>
          <w:left w:w="0" w:type="dxa"/>
          <w:bottom w:w="0" w:type="dxa"/>
          <w:right w:w="0" w:type="dxa"/>
        </w:tblCellMar>
      </w:tblPr>
      <w:tblGrid>
        <w:gridCol w:w="7710"/>
        <w:gridCol w:w="198"/>
        <w:gridCol w:w="1838"/>
        <w:gridCol w:w="459"/>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771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710" w:type="dxa"/>
            <w:tcBorders/>
            <w:shd w:fill="auto" w:val="clear"/>
            <w:vAlign w:val="center"/>
          </w:tcPr>
          <w:p>
            <w:pPr>
              <w:pStyle w:val="TableContents"/>
              <w:spacing w:before="0" w:after="0"/>
              <w:ind w:left="0" w:right="0" w:firstLine="30"/>
              <w:rPr/>
            </w:pPr>
            <w:r>
              <w:rPr/>
              <w:t> </w:t>
            </w:r>
          </w:p>
        </w:tc>
        <w:tc>
          <w:tcPr>
            <w:tcW w:w="24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Redeemable Noncontrolling Interests</w:t>
            </w:r>
          </w:p>
        </w:tc>
      </w:tr>
      <w:tr>
        <w:trPr/>
        <w:tc>
          <w:tcPr>
            <w:tcW w:w="7710" w:type="dxa"/>
            <w:tcBorders/>
            <w:shd w:fill="auto" w:val="clear"/>
            <w:vAlign w:val="center"/>
          </w:tcPr>
          <w:p>
            <w:pPr>
              <w:pStyle w:val="TableContents"/>
              <w:spacing w:before="0" w:after="0"/>
              <w:ind w:left="0" w:right="0" w:firstLine="30"/>
              <w:rPr/>
            </w:pPr>
            <w:r>
              <w:rPr/>
              <w:t> </w:t>
            </w:r>
          </w:p>
        </w:tc>
        <w:tc>
          <w:tcPr>
            <w:tcW w:w="2495"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as of September 30, 2011</w:t>
            </w:r>
          </w:p>
        </w:tc>
        <w:tc>
          <w:tcPr>
            <w:tcW w:w="19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838" w:type="dxa"/>
            <w:tcBorders/>
            <w:shd w:fill="CCEEFF" w:val="clear"/>
            <w:vAlign w:val="center"/>
          </w:tcPr>
          <w:p>
            <w:pPr>
              <w:pStyle w:val="TableContents"/>
              <w:spacing w:before="0" w:after="0"/>
              <w:jc w:val="right"/>
              <w:rPr/>
            </w:pPr>
            <w:r>
              <w:rPr/>
              <w:t>—</w:t>
            </w:r>
          </w:p>
        </w:tc>
        <w:tc>
          <w:tcPr>
            <w:tcW w:w="4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Acquisition of redeemable noncontrolling interests </w:t>
            </w:r>
          </w:p>
        </w:tc>
        <w:tc>
          <w:tcPr>
            <w:tcW w:w="2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45,857</w:t>
            </w:r>
          </w:p>
        </w:tc>
        <w:tc>
          <w:tcPr>
            <w:tcW w:w="4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interests</w:t>
            </w:r>
          </w:p>
        </w:tc>
        <w:tc>
          <w:tcPr>
            <w:tcW w:w="2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6,869</w:t>
            </w:r>
          </w:p>
        </w:tc>
        <w:tc>
          <w:tcPr>
            <w:tcW w:w="4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adjustment attributable to noncontrolling interests</w:t>
            </w:r>
          </w:p>
        </w:tc>
        <w:tc>
          <w:tcPr>
            <w:tcW w:w="203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955</w:t>
            </w:r>
          </w:p>
        </w:tc>
        <w:tc>
          <w:tcPr>
            <w:tcW w:w="45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as of September 30, 2012</w:t>
            </w:r>
          </w:p>
        </w:tc>
        <w:tc>
          <w:tcPr>
            <w:tcW w:w="2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53,681</w:t>
            </w:r>
          </w:p>
        </w:tc>
        <w:tc>
          <w:tcPr>
            <w:tcW w:w="4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Acquisition of redeemable noncontrolling interest</w:t>
            </w:r>
          </w:p>
        </w:tc>
        <w:tc>
          <w:tcPr>
            <w:tcW w:w="2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2,836</w:t>
            </w:r>
          </w:p>
        </w:tc>
        <w:tc>
          <w:tcPr>
            <w:tcW w:w="4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Sale of additional shares to parent</w:t>
            </w:r>
          </w:p>
        </w:tc>
        <w:tc>
          <w:tcPr>
            <w:tcW w:w="2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(9,531</w:t>
            </w:r>
          </w:p>
        </w:tc>
        <w:tc>
          <w:tcPr>
            <w:tcW w:w="4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interests</w:t>
            </w:r>
          </w:p>
        </w:tc>
        <w:tc>
          <w:tcPr>
            <w:tcW w:w="2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4,348</w:t>
            </w:r>
          </w:p>
        </w:tc>
        <w:tc>
          <w:tcPr>
            <w:tcW w:w="4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Contribution to maintain ownership percentage</w:t>
            </w:r>
          </w:p>
        </w:tc>
        <w:tc>
          <w:tcPr>
            <w:tcW w:w="2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6,135</w:t>
            </w:r>
          </w:p>
        </w:tc>
        <w:tc>
          <w:tcPr>
            <w:tcW w:w="4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adjustment attributable to noncontrolling interests</w:t>
            </w:r>
          </w:p>
        </w:tc>
        <w:tc>
          <w:tcPr>
            <w:tcW w:w="2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(2,017</w:t>
            </w:r>
          </w:p>
        </w:tc>
        <w:tc>
          <w:tcPr>
            <w:tcW w:w="4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Effective portion of cash flow hedge</w:t>
            </w:r>
          </w:p>
        </w:tc>
        <w:tc>
          <w:tcPr>
            <w:tcW w:w="2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w:t>
            </w:r>
          </w:p>
        </w:tc>
        <w:tc>
          <w:tcPr>
            <w:tcW w:w="4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Balance as of September 30, 2013</w:t>
            </w:r>
          </w:p>
        </w:tc>
        <w:tc>
          <w:tcPr>
            <w:tcW w:w="19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8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55,393</w:t>
            </w:r>
          </w:p>
        </w:tc>
        <w:tc>
          <w:tcPr>
            <w:tcW w:w="45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sz w:val="17"/>
        </w:rPr>
      </w:pPr>
      <w:r>
        <w:rPr>
          <w:rFonts w:ascii="inherit" w:hAnsi="inherit"/>
          <w:sz w:val="17"/>
        </w:rPr>
        <w:t xml:space="preserve">On November 1, 2012, we acquired a </w:t>
      </w:r>
      <w:r>
        <w:rPr>
          <w:rFonts w:ascii="inherit" w:hAnsi="inherit"/>
          <w:strike w:val="false"/>
          <w:dstrike w:val="false"/>
          <w:color w:val="000000"/>
          <w:sz w:val="17"/>
          <w:u w:val="none"/>
          <w:effect w:val="none"/>
        </w:rPr>
        <w:t>51%</w:t>
      </w:r>
      <w:r>
        <w:rPr>
          <w:sz w:val="17"/>
        </w:rPr>
        <w:t xml:space="preserve"> </w:t>
      </w:r>
      <w:r>
        <w:rPr>
          <w:rFonts w:ascii="inherit" w:hAnsi="inherit"/>
          <w:sz w:val="17"/>
        </w:rPr>
        <w:t>interest in TUYO. See Note 3, "Acquisitions", for further details.</w:t>
      </w:r>
    </w:p>
    <w:p>
      <w:pPr>
        <w:pStyle w:val="TextBody"/>
        <w:spacing w:lineRule="auto" w:line="288" w:before="0" w:after="0"/>
        <w:jc w:val="both"/>
        <w:rPr>
          <w:sz w:val="17"/>
        </w:rPr>
      </w:pPr>
      <w:r>
        <w:rPr>
          <w:rFonts w:ascii="inherit" w:hAnsi="inherit"/>
          <w:sz w:val="17"/>
        </w:rPr>
        <w:t xml:space="preserve">On November 14, 2012, we acquired an additional </w:t>
      </w:r>
      <w:r>
        <w:rPr>
          <w:rFonts w:ascii="inherit" w:hAnsi="inherit"/>
          <w:strike w:val="false"/>
          <w:dstrike w:val="false"/>
          <w:color w:val="000000"/>
          <w:sz w:val="17"/>
          <w:u w:val="none"/>
          <w:effect w:val="none"/>
        </w:rPr>
        <w:t>23%</w:t>
      </w:r>
      <w:r>
        <w:rPr>
          <w:sz w:val="17"/>
        </w:rPr>
        <w:t xml:space="preserve"> </w:t>
      </w:r>
      <w:r>
        <w:rPr>
          <w:rFonts w:ascii="inherit" w:hAnsi="inherit"/>
          <w:sz w:val="17"/>
        </w:rPr>
        <w:t xml:space="preserve">of the ordinary shares outstanding of Cash Genie, our U.K. online lending business, for </w:t>
      </w:r>
      <w:r>
        <w:rPr>
          <w:rFonts w:ascii="inherit" w:hAnsi="inherit"/>
          <w:strike w:val="false"/>
          <w:dstrike w:val="false"/>
          <w:color w:val="000000"/>
          <w:sz w:val="17"/>
          <w:u w:val="none"/>
          <w:effect w:val="none"/>
        </w:rPr>
        <w:t>$10.4 million</w:t>
      </w:r>
      <w:r>
        <w:rPr>
          <w:rFonts w:ascii="inherit" w:hAnsi="inherit"/>
          <w:sz w:val="17"/>
        </w:rPr>
        <w:t xml:space="preserve">, increasing our ownership percentage from </w:t>
      </w:r>
      <w:r>
        <w:rPr>
          <w:rFonts w:ascii="inherit" w:hAnsi="inherit"/>
          <w:strike w:val="false"/>
          <w:dstrike w:val="false"/>
          <w:color w:val="000000"/>
          <w:sz w:val="17"/>
          <w:u w:val="none"/>
          <w:effect w:val="none"/>
        </w:rPr>
        <w:t>72%</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95%</w:t>
      </w:r>
      <w:r>
        <w:rPr>
          <w:rFonts w:ascii="inherit" w:hAnsi="inherit"/>
          <w:sz w:val="17"/>
        </w:rPr>
        <w:t xml:space="preserve">, with the remaining </w:t>
      </w:r>
      <w:r>
        <w:rPr>
          <w:rFonts w:ascii="inherit" w:hAnsi="inherit"/>
          <w:strike w:val="false"/>
          <w:dstrike w:val="false"/>
          <w:color w:val="000000"/>
          <w:sz w:val="17"/>
          <w:u w:val="none"/>
          <w:effect w:val="none"/>
        </w:rPr>
        <w:t>5%</w:t>
      </w:r>
      <w:r>
        <w:rPr>
          <w:sz w:val="17"/>
        </w:rPr>
        <w:t xml:space="preserve"> </w:t>
      </w:r>
      <w:r>
        <w:rPr>
          <w:rFonts w:ascii="inherit" w:hAnsi="inherit"/>
          <w:sz w:val="17"/>
        </w:rPr>
        <w:t xml:space="preserve">held by local management. The consideration paid to the selling shareholder was paid in the form of </w:t>
      </w:r>
      <w:r>
        <w:rPr>
          <w:rFonts w:ascii="inherit" w:hAnsi="inherit"/>
          <w:strike w:val="false"/>
          <w:dstrike w:val="false"/>
          <w:color w:val="000000"/>
          <w:sz w:val="17"/>
          <w:u w:val="none"/>
          <w:effect w:val="none"/>
        </w:rPr>
        <w:t>592,461</w:t>
      </w:r>
      <w:r>
        <w:rPr>
          <w:sz w:val="17"/>
        </w:rPr>
        <w:t xml:space="preserve"> </w:t>
      </w:r>
      <w:r>
        <w:rPr>
          <w:rFonts w:ascii="inherit" w:hAnsi="inherit"/>
          <w:sz w:val="17"/>
        </w:rPr>
        <w:t>shares of EZCORP Class A Non-Voting Common Stock. This transaction was treated as an equity transaction and not an adjustment to the purchase price of the initial controlling interest acquisition of Cash Genie. On August 1, 2013, we acquired the remaining ordinary shares that were held by local management for $0.6 million. As of September 30, 2013, we own 100%</w:t>
      </w:r>
      <w:r>
        <w:rPr>
          <w:sz w:val="17"/>
        </w:rPr>
        <w:t xml:space="preserve"> </w:t>
      </w:r>
      <w:r>
        <w:rPr>
          <w:rFonts w:ascii="inherit" w:hAnsi="inherit"/>
          <w:sz w:val="17"/>
        </w:rPr>
        <w:t xml:space="preserve">of Cash Genie's ordinary shares. </w:t>
      </w:r>
    </w:p>
    <w:p>
      <w:pPr>
        <w:pStyle w:val="TextBody"/>
        <w:spacing w:lineRule="auto" w:line="288" w:before="0" w:after="0"/>
        <w:rPr>
          <w:sz w:val="17"/>
        </w:rPr>
      </w:pPr>
      <w:r>
        <w:rPr>
          <w:rFonts w:ascii="inherit" w:hAnsi="inherit"/>
          <w:sz w:val="17"/>
        </w:rPr>
        <w:t xml:space="preserve">On April 1, 2013, Grupo Finmart completed a </w:t>
      </w:r>
      <w:r>
        <w:rPr>
          <w:rFonts w:ascii="inherit" w:hAnsi="inherit"/>
          <w:strike w:val="false"/>
          <w:dstrike w:val="false"/>
          <w:color w:val="000000"/>
          <w:sz w:val="17"/>
          <w:u w:val="none"/>
          <w:effect w:val="none"/>
        </w:rPr>
        <w:t>$15.3 million</w:t>
      </w:r>
      <w:r>
        <w:rPr>
          <w:sz w:val="17"/>
        </w:rPr>
        <w:t xml:space="preserve"> </w:t>
      </w:r>
      <w:r>
        <w:rPr>
          <w:rFonts w:ascii="inherit" w:hAnsi="inherit"/>
          <w:sz w:val="17"/>
        </w:rPr>
        <w:t xml:space="preserve">equity offering to its existing shareholders for the purpose of strengthening its balance sheet as it continues to seek additional debt to fund loan originations. EZCORP invested </w:t>
      </w:r>
      <w:r>
        <w:rPr>
          <w:rFonts w:ascii="inherit" w:hAnsi="inherit"/>
          <w:strike w:val="false"/>
          <w:dstrike w:val="false"/>
          <w:color w:val="000000"/>
          <w:sz w:val="17"/>
          <w:u w:val="none"/>
          <w:effect w:val="none"/>
        </w:rPr>
        <w:t>$9.2 million</w:t>
      </w:r>
      <w:r>
        <w:rPr>
          <w:sz w:val="17"/>
        </w:rPr>
        <w:t xml:space="preserve"> </w:t>
      </w:r>
      <w:r>
        <w:rPr>
          <w:rFonts w:ascii="inherit" w:hAnsi="inherit"/>
          <w:sz w:val="17"/>
        </w:rPr>
        <w:t xml:space="preserve">with the noncontrolling interest shareholders investing the remaining </w:t>
      </w:r>
      <w:r>
        <w:rPr>
          <w:rFonts w:ascii="inherit" w:hAnsi="inherit"/>
          <w:strike w:val="false"/>
          <w:dstrike w:val="false"/>
          <w:color w:val="000000"/>
          <w:sz w:val="17"/>
          <w:u w:val="none"/>
          <w:effect w:val="none"/>
        </w:rPr>
        <w:t>$6.1 million</w:t>
      </w:r>
      <w:r>
        <w:rPr>
          <w:rFonts w:ascii="inherit" w:hAnsi="inherit"/>
          <w:sz w:val="17"/>
        </w:rPr>
        <w:t>, which maintained our ownership at 60%</w:t>
      </w:r>
      <w:r>
        <w:rPr>
          <w:sz w:val="17"/>
        </w:rPr>
        <w:t xml:space="preserve"> </w:t>
      </w:r>
      <w:r>
        <w:rPr>
          <w:rFonts w:ascii="inherit" w:hAnsi="inherit"/>
          <w:sz w:val="17"/>
        </w:rPr>
        <w:t xml:space="preserve">and the noncontrolling shareholders' ownership at 40%.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86</w:t>
      </w:r>
      <w:r>
        <w:br w:type="page"/>
      </w:r>
    </w:p>
    <w:p>
      <w:pPr>
        <w:pStyle w:val="TextBody"/>
        <w:spacing w:lineRule="auto" w:line="288" w:before="0" w:after="0"/>
        <w:rPr/>
      </w:pPr>
      <w:hyperlink w:anchor="sA13583D437E20DC41B4583E2BD74AA47">
        <w:bookmarkStart w:id="78" w:name="s763AEA86C85CC1E1940983E26DF1A662"/>
        <w:bookmarkEnd w:id="78"/>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NOTE 12: INCOME TAXES</w:t>
      </w:r>
    </w:p>
    <w:p>
      <w:pPr>
        <w:pStyle w:val="TextBody"/>
        <w:spacing w:lineRule="auto" w:line="288" w:before="0" w:after="0"/>
        <w:jc w:val="left"/>
        <w:rPr>
          <w:rFonts w:ascii="inherit" w:hAnsi="inherit"/>
          <w:sz w:val="17"/>
        </w:rPr>
      </w:pPr>
      <w:r>
        <w:rPr>
          <w:rFonts w:ascii="inherit" w:hAnsi="inherit"/>
          <w:sz w:val="17"/>
        </w:rPr>
        <w:t>The following table shows the significant components of the income tax provision from continuing operations:</w:t>
      </w:r>
    </w:p>
    <w:tbl>
      <w:tblPr>
        <w:tblW w:w="10205" w:type="dxa"/>
        <w:jc w:val="left"/>
        <w:tblInd w:w="0" w:type="dxa"/>
        <w:tblCellMar>
          <w:top w:w="0" w:type="dxa"/>
          <w:left w:w="0" w:type="dxa"/>
          <w:bottom w:w="0" w:type="dxa"/>
          <w:right w:w="0" w:type="dxa"/>
        </w:tblCellMar>
      </w:tblPr>
      <w:tblGrid>
        <w:gridCol w:w="5493"/>
        <w:gridCol w:w="155"/>
        <w:gridCol w:w="1161"/>
        <w:gridCol w:w="146"/>
        <w:gridCol w:w="134"/>
        <w:gridCol w:w="155"/>
        <w:gridCol w:w="1161"/>
        <w:gridCol w:w="146"/>
        <w:gridCol w:w="134"/>
        <w:gridCol w:w="155"/>
        <w:gridCol w:w="1161"/>
        <w:gridCol w:w="204"/>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49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93" w:type="dxa"/>
            <w:tcBorders/>
            <w:shd w:fill="auto" w:val="clear"/>
            <w:vAlign w:val="center"/>
          </w:tcPr>
          <w:p>
            <w:pPr>
              <w:pStyle w:val="TableContents"/>
              <w:spacing w:before="0" w:after="0"/>
              <w:ind w:left="0" w:right="0" w:firstLine="30"/>
              <w:jc w:val="left"/>
              <w:rPr/>
            </w:pPr>
            <w:r>
              <w:rPr/>
              <w:t> </w:t>
            </w:r>
          </w:p>
        </w:tc>
        <w:tc>
          <w:tcPr>
            <w:tcW w:w="471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493" w:type="dxa"/>
            <w:tcBorders/>
            <w:shd w:fill="auto" w:val="clear"/>
            <w:vAlign w:val="center"/>
          </w:tcPr>
          <w:p>
            <w:pPr>
              <w:pStyle w:val="TableContents"/>
              <w:spacing w:before="0" w:after="0"/>
              <w:ind w:left="0" w:right="0" w:firstLine="30"/>
              <w:jc w:val="left"/>
              <w:rPr/>
            </w:pPr>
            <w:r>
              <w:rPr/>
              <w:t> </w:t>
            </w:r>
          </w:p>
        </w:tc>
        <w:tc>
          <w:tcPr>
            <w:tcW w:w="146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4"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46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4"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52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493" w:type="dxa"/>
            <w:tcBorders/>
            <w:shd w:fill="auto" w:val="clear"/>
            <w:vAlign w:val="center"/>
          </w:tcPr>
          <w:p>
            <w:pPr>
              <w:pStyle w:val="TableContents"/>
              <w:spacing w:before="0" w:after="0"/>
              <w:ind w:left="0" w:right="0" w:firstLine="30"/>
              <w:jc w:val="left"/>
              <w:rPr/>
            </w:pPr>
            <w:r>
              <w:rPr/>
              <w:t> </w:t>
            </w:r>
          </w:p>
        </w:tc>
        <w:tc>
          <w:tcPr>
            <w:tcW w:w="4712"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4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w:t>
            </w:r>
          </w:p>
        </w:tc>
        <w:tc>
          <w:tcPr>
            <w:tcW w:w="1462" w:type="dxa"/>
            <w:gridSpan w:val="3"/>
            <w:tcBorders/>
            <w:shd w:fill="CCEEFF" w:val="clear"/>
            <w:vAlign w:val="center"/>
          </w:tcPr>
          <w:p>
            <w:pPr>
              <w:pStyle w:val="TableContents"/>
              <w:spacing w:before="0" w:after="0"/>
              <w:ind w:left="0" w:right="0" w:firstLine="30"/>
              <w:jc w:val="left"/>
              <w:rPr/>
            </w:pPr>
            <w:r>
              <w:rPr/>
              <w:t> </w:t>
            </w:r>
          </w:p>
        </w:tc>
        <w:tc>
          <w:tcPr>
            <w:tcW w:w="134" w:type="dxa"/>
            <w:tcBorders/>
            <w:shd w:fill="CCEEFF" w:val="clear"/>
            <w:vAlign w:val="center"/>
          </w:tcPr>
          <w:p>
            <w:pPr>
              <w:pStyle w:val="TableContents"/>
              <w:spacing w:before="0" w:after="0"/>
              <w:ind w:left="0" w:right="0" w:firstLine="30"/>
              <w:rPr/>
            </w:pPr>
            <w:r>
              <w:rPr/>
              <w:t> </w:t>
            </w:r>
          </w:p>
        </w:tc>
        <w:tc>
          <w:tcPr>
            <w:tcW w:w="1462" w:type="dxa"/>
            <w:gridSpan w:val="3"/>
            <w:tcBorders/>
            <w:shd w:fill="CCEEFF" w:val="clear"/>
            <w:vAlign w:val="center"/>
          </w:tcPr>
          <w:p>
            <w:pPr>
              <w:pStyle w:val="TableContents"/>
              <w:spacing w:before="0" w:after="0"/>
              <w:ind w:left="0" w:right="0" w:firstLine="30"/>
              <w:jc w:val="left"/>
              <w:rPr/>
            </w:pPr>
            <w:r>
              <w:rPr/>
              <w:t> </w:t>
            </w:r>
          </w:p>
        </w:tc>
        <w:tc>
          <w:tcPr>
            <w:tcW w:w="134" w:type="dxa"/>
            <w:tcBorders/>
            <w:shd w:fill="CCEEFF" w:val="clear"/>
            <w:vAlign w:val="center"/>
          </w:tcPr>
          <w:p>
            <w:pPr>
              <w:pStyle w:val="TableContents"/>
              <w:spacing w:before="0" w:after="0"/>
              <w:ind w:left="0" w:right="0" w:firstLine="30"/>
              <w:rPr/>
            </w:pPr>
            <w:r>
              <w:rPr/>
              <w:t> </w:t>
            </w:r>
          </w:p>
        </w:tc>
        <w:tc>
          <w:tcPr>
            <w:tcW w:w="1520" w:type="dxa"/>
            <w:gridSpan w:val="3"/>
            <w:tcBorders/>
            <w:shd w:fill="CCEEFF" w:val="clear"/>
            <w:vAlign w:val="center"/>
          </w:tcPr>
          <w:p>
            <w:pPr>
              <w:pStyle w:val="TableContents"/>
              <w:spacing w:before="0" w:after="0"/>
              <w:ind w:left="0" w:right="0" w:firstLine="180"/>
              <w:jc w:val="left"/>
              <w:rPr/>
            </w:pPr>
            <w:r>
              <w:rPr/>
              <w:t> </w:t>
            </w:r>
          </w:p>
        </w:tc>
      </w:tr>
      <w:tr>
        <w:trPr/>
        <w:tc>
          <w:tcPr>
            <w:tcW w:w="54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Federal</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61" w:type="dxa"/>
            <w:tcBorders/>
            <w:shd w:fill="auto" w:val="clear"/>
            <w:vAlign w:val="center"/>
          </w:tcPr>
          <w:p>
            <w:pPr>
              <w:pStyle w:val="TableContents"/>
              <w:spacing w:before="0" w:after="0"/>
              <w:jc w:val="right"/>
              <w:rPr>
                <w:rFonts w:ascii="inherit" w:hAnsi="inherit"/>
                <w:sz w:val="17"/>
              </w:rPr>
            </w:pPr>
            <w:r>
              <w:rPr>
                <w:rFonts w:ascii="inherit" w:hAnsi="inherit"/>
                <w:sz w:val="17"/>
              </w:rPr>
              <w:t>38,599</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61" w:type="dxa"/>
            <w:tcBorders/>
            <w:shd w:fill="auto" w:val="clear"/>
            <w:vAlign w:val="center"/>
          </w:tcPr>
          <w:p>
            <w:pPr>
              <w:pStyle w:val="TableContents"/>
              <w:spacing w:before="0" w:after="0"/>
              <w:jc w:val="right"/>
              <w:rPr>
                <w:rFonts w:ascii="inherit" w:hAnsi="inherit"/>
                <w:sz w:val="17"/>
              </w:rPr>
            </w:pPr>
            <w:r>
              <w:rPr>
                <w:rFonts w:ascii="inherit" w:hAnsi="inherit"/>
                <w:sz w:val="17"/>
              </w:rPr>
              <w:t>60,343</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61" w:type="dxa"/>
            <w:tcBorders/>
            <w:shd w:fill="auto" w:val="clear"/>
            <w:vAlign w:val="center"/>
          </w:tcPr>
          <w:p>
            <w:pPr>
              <w:pStyle w:val="TableContents"/>
              <w:spacing w:before="0" w:after="0"/>
              <w:jc w:val="right"/>
              <w:rPr>
                <w:rFonts w:ascii="inherit" w:hAnsi="inherit"/>
                <w:sz w:val="17"/>
              </w:rPr>
            </w:pPr>
            <w:r>
              <w:rPr>
                <w:rFonts w:ascii="inherit" w:hAnsi="inherit"/>
                <w:sz w:val="17"/>
              </w:rPr>
              <w:t>49,744</w:t>
            </w:r>
          </w:p>
        </w:tc>
        <w:tc>
          <w:tcPr>
            <w:tcW w:w="20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4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State and foreign</w:t>
            </w:r>
          </w:p>
        </w:tc>
        <w:tc>
          <w:tcPr>
            <w:tcW w:w="13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5,954</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9,108</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3,052</w:t>
            </w:r>
          </w:p>
        </w:tc>
        <w:tc>
          <w:tcPr>
            <w:tcW w:w="2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93" w:type="dxa"/>
            <w:tcBorders/>
            <w:shd w:fill="auto" w:val="clear"/>
            <w:vAlign w:val="center"/>
          </w:tcPr>
          <w:p>
            <w:pPr>
              <w:pStyle w:val="TableContents"/>
              <w:spacing w:before="0" w:after="0"/>
              <w:ind w:left="0" w:right="0" w:firstLine="30"/>
              <w:jc w:val="left"/>
              <w:rPr/>
            </w:pPr>
            <w:r>
              <w:rPr/>
              <w:t> </w:t>
            </w:r>
          </w:p>
        </w:tc>
        <w:tc>
          <w:tcPr>
            <w:tcW w:w="13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44,553</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69,451</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52,796</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w:t>
            </w:r>
          </w:p>
        </w:tc>
        <w:tc>
          <w:tcPr>
            <w:tcW w:w="1462" w:type="dxa"/>
            <w:gridSpan w:val="3"/>
            <w:tcBorders/>
            <w:shd w:fill="CCEEFF" w:val="clear"/>
            <w:vAlign w:val="center"/>
          </w:tcPr>
          <w:p>
            <w:pPr>
              <w:pStyle w:val="TableContents"/>
              <w:spacing w:before="0" w:after="0"/>
              <w:ind w:left="0" w:right="0" w:firstLine="30"/>
              <w:jc w:val="left"/>
              <w:rPr/>
            </w:pPr>
            <w:r>
              <w:rPr/>
              <w:t> </w:t>
            </w:r>
          </w:p>
        </w:tc>
        <w:tc>
          <w:tcPr>
            <w:tcW w:w="134" w:type="dxa"/>
            <w:tcBorders/>
            <w:shd w:fill="CCEEFF" w:val="clear"/>
            <w:vAlign w:val="center"/>
          </w:tcPr>
          <w:p>
            <w:pPr>
              <w:pStyle w:val="TableContents"/>
              <w:spacing w:before="0" w:after="0"/>
              <w:ind w:left="0" w:right="0" w:firstLine="30"/>
              <w:rPr/>
            </w:pPr>
            <w:r>
              <w:rPr/>
              <w:t> </w:t>
            </w:r>
          </w:p>
        </w:tc>
        <w:tc>
          <w:tcPr>
            <w:tcW w:w="1462" w:type="dxa"/>
            <w:gridSpan w:val="3"/>
            <w:tcBorders/>
            <w:shd w:fill="CCEEFF" w:val="clear"/>
            <w:vAlign w:val="center"/>
          </w:tcPr>
          <w:p>
            <w:pPr>
              <w:pStyle w:val="TableContents"/>
              <w:spacing w:before="0" w:after="0"/>
              <w:ind w:left="0" w:right="0" w:firstLine="30"/>
              <w:jc w:val="left"/>
              <w:rPr/>
            </w:pPr>
            <w:r>
              <w:rPr/>
              <w:t> </w:t>
            </w:r>
          </w:p>
        </w:tc>
        <w:tc>
          <w:tcPr>
            <w:tcW w:w="134" w:type="dxa"/>
            <w:tcBorders/>
            <w:shd w:fill="CCEEFF" w:val="clear"/>
            <w:vAlign w:val="center"/>
          </w:tcPr>
          <w:p>
            <w:pPr>
              <w:pStyle w:val="TableContents"/>
              <w:spacing w:before="0" w:after="0"/>
              <w:ind w:left="0" w:right="0" w:firstLine="30"/>
              <w:rPr/>
            </w:pPr>
            <w:r>
              <w:rPr/>
              <w:t> </w:t>
            </w:r>
          </w:p>
        </w:tc>
        <w:tc>
          <w:tcPr>
            <w:tcW w:w="1520" w:type="dxa"/>
            <w:gridSpan w:val="3"/>
            <w:tcBorders/>
            <w:shd w:fill="CCEEFF" w:val="clear"/>
            <w:vAlign w:val="center"/>
          </w:tcPr>
          <w:p>
            <w:pPr>
              <w:pStyle w:val="TableContents"/>
              <w:spacing w:before="0" w:after="0"/>
              <w:ind w:left="0" w:right="0" w:firstLine="180"/>
              <w:jc w:val="left"/>
              <w:rPr/>
            </w:pPr>
            <w:r>
              <w:rPr/>
              <w:t> </w:t>
            </w:r>
          </w:p>
        </w:tc>
      </w:tr>
      <w:tr>
        <w:trPr/>
        <w:tc>
          <w:tcPr>
            <w:tcW w:w="54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Federal</w:t>
            </w:r>
          </w:p>
        </w:tc>
        <w:tc>
          <w:tcPr>
            <w:tcW w:w="13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(17,772</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3,337</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13,408</w:t>
            </w:r>
          </w:p>
        </w:tc>
        <w:tc>
          <w:tcPr>
            <w:tcW w:w="20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4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State and foreign</w:t>
            </w:r>
          </w:p>
        </w:tc>
        <w:tc>
          <w:tcPr>
            <w:tcW w:w="13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2,794</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(1,536</w:t>
            </w:r>
          </w:p>
        </w:tc>
        <w:tc>
          <w:tcPr>
            <w:tcW w:w="14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CCEEFF" w:val="clear"/>
            <w:vAlign w:val="center"/>
          </w:tcPr>
          <w:p>
            <w:pPr>
              <w:pStyle w:val="TableContents"/>
              <w:spacing w:before="0" w:after="0"/>
              <w:ind w:left="0" w:right="0" w:firstLine="30"/>
              <w:rPr/>
            </w:pPr>
            <w:r>
              <w:rPr/>
              <w:t> </w:t>
            </w:r>
          </w:p>
        </w:tc>
        <w:tc>
          <w:tcPr>
            <w:tcW w:w="13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268</w:t>
            </w:r>
          </w:p>
        </w:tc>
        <w:tc>
          <w:tcPr>
            <w:tcW w:w="2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93" w:type="dxa"/>
            <w:tcBorders/>
            <w:shd w:fill="auto" w:val="clear"/>
            <w:vAlign w:val="center"/>
          </w:tcPr>
          <w:p>
            <w:pPr>
              <w:pStyle w:val="TableContents"/>
              <w:spacing w:before="0" w:after="0"/>
              <w:ind w:left="0" w:right="0" w:firstLine="30"/>
              <w:jc w:val="left"/>
              <w:rPr/>
            </w:pPr>
            <w:r>
              <w:rPr/>
              <w:t> </w:t>
            </w:r>
          </w:p>
        </w:tc>
        <w:tc>
          <w:tcPr>
            <w:tcW w:w="13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(14,978</w:t>
            </w:r>
          </w:p>
        </w:tc>
        <w:tc>
          <w:tcPr>
            <w:tcW w:w="14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auto" w:val="clear"/>
            <w:vAlign w:val="center"/>
          </w:tcPr>
          <w:p>
            <w:pPr>
              <w:pStyle w:val="TableContents"/>
              <w:spacing w:before="0" w:after="0"/>
              <w:ind w:left="0" w:right="0" w:firstLine="30"/>
              <w:rPr/>
            </w:pPr>
            <w:r>
              <w:rPr/>
              <w:t> </w:t>
            </w:r>
          </w:p>
        </w:tc>
        <w:tc>
          <w:tcPr>
            <w:tcW w:w="13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1,801</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13,676</w:t>
            </w:r>
          </w:p>
        </w:tc>
        <w:tc>
          <w:tcPr>
            <w:tcW w:w="20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93" w:type="dxa"/>
            <w:tcBorders/>
            <w:shd w:fill="CCEEFF" w:val="clear"/>
            <w:vAlign w:val="center"/>
          </w:tcPr>
          <w:p>
            <w:pPr>
              <w:pStyle w:val="TableContents"/>
              <w:spacing w:before="0" w:after="0"/>
              <w:ind w:left="0" w:right="0" w:firstLine="30"/>
              <w:jc w:val="left"/>
              <w:rPr/>
            </w:pPr>
            <w:r>
              <w:rPr/>
              <w:t> </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6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29,575</w:t>
            </w:r>
          </w:p>
        </w:tc>
        <w:tc>
          <w:tcPr>
            <w:tcW w:w="14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6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71,252</w:t>
            </w:r>
          </w:p>
        </w:tc>
        <w:tc>
          <w:tcPr>
            <w:tcW w:w="14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6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66,472</w:t>
            </w:r>
          </w:p>
        </w:tc>
        <w:tc>
          <w:tcPr>
            <w:tcW w:w="204"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The following table shows a reconciliation of income taxes calculated at the statutory rate and the provision for income taxes attributable to continuing operations:</w:t>
      </w:r>
    </w:p>
    <w:tbl>
      <w:tblPr>
        <w:tblW w:w="10205" w:type="dxa"/>
        <w:jc w:val="left"/>
        <w:tblInd w:w="0" w:type="dxa"/>
        <w:tblCellMar>
          <w:top w:w="0" w:type="dxa"/>
          <w:left w:w="0" w:type="dxa"/>
          <w:bottom w:w="0" w:type="dxa"/>
          <w:right w:w="0" w:type="dxa"/>
        </w:tblCellMar>
      </w:tblPr>
      <w:tblGrid>
        <w:gridCol w:w="5514"/>
        <w:gridCol w:w="153"/>
        <w:gridCol w:w="1123"/>
        <w:gridCol w:w="200"/>
        <w:gridCol w:w="131"/>
        <w:gridCol w:w="153"/>
        <w:gridCol w:w="1123"/>
        <w:gridCol w:w="200"/>
        <w:gridCol w:w="131"/>
        <w:gridCol w:w="153"/>
        <w:gridCol w:w="1123"/>
        <w:gridCol w:w="201"/>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51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514" w:type="dxa"/>
            <w:tcBorders/>
            <w:shd w:fill="auto" w:val="clear"/>
            <w:vAlign w:val="center"/>
          </w:tcPr>
          <w:p>
            <w:pPr>
              <w:pStyle w:val="TableContents"/>
              <w:spacing w:before="0" w:after="0"/>
              <w:ind w:left="0" w:right="0" w:firstLine="30"/>
              <w:jc w:val="left"/>
              <w:rPr/>
            </w:pPr>
            <w:r>
              <w:rPr/>
              <w:t> </w:t>
            </w:r>
          </w:p>
        </w:tc>
        <w:tc>
          <w:tcPr>
            <w:tcW w:w="469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514" w:type="dxa"/>
            <w:tcBorders/>
            <w:shd w:fill="auto" w:val="clear"/>
            <w:vAlign w:val="center"/>
          </w:tcPr>
          <w:p>
            <w:pPr>
              <w:pStyle w:val="TableContents"/>
              <w:spacing w:before="0" w:after="0"/>
              <w:ind w:left="0" w:right="0" w:firstLine="30"/>
              <w:jc w:val="left"/>
              <w:rPr/>
            </w:pPr>
            <w:r>
              <w:rPr/>
              <w:t> </w:t>
            </w:r>
          </w:p>
        </w:tc>
        <w:tc>
          <w:tcPr>
            <w:tcW w:w="147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1"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47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1"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47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514" w:type="dxa"/>
            <w:tcBorders/>
            <w:shd w:fill="auto" w:val="clear"/>
            <w:vAlign w:val="center"/>
          </w:tcPr>
          <w:p>
            <w:pPr>
              <w:pStyle w:val="TableContents"/>
              <w:spacing w:before="0" w:after="0"/>
              <w:ind w:left="0" w:right="0" w:firstLine="30"/>
              <w:jc w:val="left"/>
              <w:rPr/>
            </w:pPr>
            <w:r>
              <w:rPr/>
              <w:t> </w:t>
            </w:r>
          </w:p>
        </w:tc>
        <w:tc>
          <w:tcPr>
            <w:tcW w:w="4691"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5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taxes at the federal statutory rate</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CCEEFF" w:val="clear"/>
            <w:vAlign w:val="center"/>
          </w:tcPr>
          <w:p>
            <w:pPr>
              <w:pStyle w:val="TableContents"/>
              <w:spacing w:before="0" w:after="0"/>
              <w:jc w:val="right"/>
              <w:rPr>
                <w:rFonts w:ascii="inherit" w:hAnsi="inherit"/>
                <w:sz w:val="17"/>
              </w:rPr>
            </w:pPr>
            <w:r>
              <w:rPr>
                <w:rFonts w:ascii="inherit" w:hAnsi="inherit"/>
                <w:sz w:val="17"/>
              </w:rPr>
              <w:t>31,959</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CCEEFF" w:val="clear"/>
            <w:vAlign w:val="center"/>
          </w:tcPr>
          <w:p>
            <w:pPr>
              <w:pStyle w:val="TableContents"/>
              <w:spacing w:before="0" w:after="0"/>
              <w:jc w:val="right"/>
              <w:rPr>
                <w:rFonts w:ascii="inherit" w:hAnsi="inherit"/>
                <w:sz w:val="17"/>
              </w:rPr>
            </w:pPr>
            <w:r>
              <w:rPr>
                <w:rFonts w:ascii="inherit" w:hAnsi="inherit"/>
                <w:sz w:val="17"/>
              </w:rPr>
              <w:t>77,789</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CCEEFF" w:val="clear"/>
            <w:vAlign w:val="center"/>
          </w:tcPr>
          <w:p>
            <w:pPr>
              <w:pStyle w:val="TableContents"/>
              <w:spacing w:before="0" w:after="0"/>
              <w:jc w:val="right"/>
              <w:rPr>
                <w:rFonts w:ascii="inherit" w:hAnsi="inherit"/>
                <w:sz w:val="17"/>
              </w:rPr>
            </w:pPr>
            <w:r>
              <w:rPr>
                <w:rFonts w:ascii="inherit" w:hAnsi="inherit"/>
                <w:sz w:val="17"/>
              </w:rPr>
              <w:t>65,969</w:t>
            </w:r>
          </w:p>
        </w:tc>
        <w:tc>
          <w:tcPr>
            <w:tcW w:w="2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Non-deductible expense related to incentive stock options</w:t>
            </w:r>
          </w:p>
        </w:tc>
        <w:tc>
          <w:tcPr>
            <w:tcW w:w="1276" w:type="dxa"/>
            <w:gridSpan w:val="2"/>
            <w:tcBorders/>
            <w:shd w:fill="auto" w:val="clear"/>
            <w:vAlign w:val="center"/>
          </w:tcPr>
          <w:p>
            <w:pPr>
              <w:pStyle w:val="TableContents"/>
              <w:spacing w:before="0" w:after="0"/>
              <w:jc w:val="right"/>
              <w:rPr/>
            </w:pPr>
            <w:r>
              <w:rPr/>
              <w:t>—</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(633</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shd w:fill="auto" w:val="clear"/>
            <w:vAlign w:val="center"/>
          </w:tcPr>
          <w:p>
            <w:pPr>
              <w:pStyle w:val="TableContents"/>
              <w:spacing w:before="0" w:after="0"/>
              <w:jc w:val="right"/>
              <w:rPr/>
            </w:pPr>
            <w:r>
              <w:rPr/>
              <w:t>—</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State income tax, net of federal benefit</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1,093</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349</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2,728</w:t>
            </w:r>
          </w:p>
        </w:tc>
        <w:tc>
          <w:tcPr>
            <w:tcW w:w="2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in valuation allowance</w:t>
            </w:r>
          </w:p>
        </w:tc>
        <w:tc>
          <w:tcPr>
            <w:tcW w:w="12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659</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2,242</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1,425</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Federal tax credits</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(314</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(922</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w:t>
            </w:r>
          </w:p>
        </w:tc>
        <w:tc>
          <w:tcPr>
            <w:tcW w:w="2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5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tax credit</w:t>
            </w:r>
          </w:p>
        </w:tc>
        <w:tc>
          <w:tcPr>
            <w:tcW w:w="12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(3,263</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(4,342</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(4,356</w:t>
            </w:r>
          </w:p>
        </w:tc>
        <w:tc>
          <w:tcPr>
            <w:tcW w:w="2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5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Effect of permanently reinvesting foreign earnings</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(606</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2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(3,820</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276" w:type="dxa"/>
            <w:gridSpan w:val="2"/>
            <w:tcBorders/>
            <w:shd w:fill="CCEEFF" w:val="clear"/>
            <w:vAlign w:val="center"/>
          </w:tcPr>
          <w:p>
            <w:pPr>
              <w:pStyle w:val="TableContents"/>
              <w:spacing w:before="0" w:after="0"/>
              <w:jc w:val="right"/>
              <w:rPr/>
            </w:pPr>
            <w:r>
              <w:rPr/>
              <w:t>—</w:t>
            </w:r>
          </w:p>
        </w:tc>
        <w:tc>
          <w:tcPr>
            <w:tcW w:w="2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2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47</w:t>
            </w:r>
          </w:p>
        </w:tc>
        <w:tc>
          <w:tcPr>
            <w:tcW w:w="2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589</w:t>
            </w:r>
          </w:p>
        </w:tc>
        <w:tc>
          <w:tcPr>
            <w:tcW w:w="2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873</w:t>
            </w:r>
          </w:p>
        </w:tc>
        <w:tc>
          <w:tcPr>
            <w:tcW w:w="201"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5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provision</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29,575</w:t>
            </w:r>
          </w:p>
        </w:tc>
        <w:tc>
          <w:tcPr>
            <w:tcW w:w="20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CCEEFF" w:val="clear"/>
            <w:vAlign w:val="center"/>
          </w:tcPr>
          <w:p>
            <w:pPr>
              <w:pStyle w:val="TableContents"/>
              <w:spacing w:before="0" w:after="0"/>
              <w:jc w:val="right"/>
              <w:rPr>
                <w:rFonts w:ascii="inherit" w:hAnsi="inherit"/>
                <w:sz w:val="17"/>
              </w:rPr>
            </w:pPr>
            <w:r>
              <w:rPr>
                <w:rFonts w:ascii="inherit" w:hAnsi="inherit"/>
                <w:sz w:val="17"/>
              </w:rPr>
              <w:t>71,252</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66,472</w:t>
            </w:r>
          </w:p>
        </w:tc>
        <w:tc>
          <w:tcPr>
            <w:tcW w:w="20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Effective tax rate</w:t>
            </w:r>
          </w:p>
        </w:tc>
        <w:tc>
          <w:tcPr>
            <w:tcW w:w="1276" w:type="dxa"/>
            <w:gridSpan w:val="2"/>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32</w:t>
            </w:r>
          </w:p>
        </w:tc>
        <w:tc>
          <w:tcPr>
            <w:tcW w:w="200"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32</w:t>
            </w:r>
          </w:p>
        </w:tc>
        <w:tc>
          <w:tcPr>
            <w:tcW w:w="200"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76" w:type="dxa"/>
            <w:gridSpan w:val="2"/>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w:t>
            </w:r>
          </w:p>
        </w:tc>
        <w:tc>
          <w:tcPr>
            <w:tcW w:w="201"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sz w:val="17"/>
        </w:rPr>
      </w:pPr>
      <w:r>
        <w:rPr>
          <w:rFonts w:ascii="inherit" w:hAnsi="inherit"/>
          <w:sz w:val="17"/>
        </w:rPr>
        <w:t>Our effective tax rates were approximately 32%, 32%, and 35%</w:t>
      </w:r>
      <w:r>
        <w:rPr>
          <w:sz w:val="17"/>
        </w:rPr>
        <w:t xml:space="preserve"> </w:t>
      </w:r>
      <w:r>
        <w:rPr>
          <w:rFonts w:ascii="inherit" w:hAnsi="inherit"/>
          <w:sz w:val="17"/>
        </w:rPr>
        <w:t>for the fiscal years ended September 30, 2013, 2012</w:t>
      </w:r>
      <w:r>
        <w:rPr>
          <w:sz w:val="17"/>
        </w:rPr>
        <w:t xml:space="preserve"> </w:t>
      </w:r>
      <w:r>
        <w:rPr>
          <w:rFonts w:ascii="inherit" w:hAnsi="inherit"/>
          <w:sz w:val="17"/>
        </w:rPr>
        <w:t xml:space="preserve">and 2011, respectively.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87</w:t>
      </w:r>
      <w:r>
        <w:br w:type="page"/>
      </w:r>
    </w:p>
    <w:p>
      <w:pPr>
        <w:pStyle w:val="TextBody"/>
        <w:spacing w:lineRule="auto" w:line="288" w:before="0" w:after="0"/>
        <w:rPr/>
      </w:pPr>
      <w:hyperlink w:anchor="sA13583D437E20DC41B4583E2BD74AA47">
        <w:bookmarkStart w:id="79" w:name="s763AEA86C85CC1E1940983E26DF1A6621"/>
        <w:bookmarkEnd w:id="79"/>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following table shows significant components of our deferred tax assets and liabilities:</w:t>
      </w:r>
    </w:p>
    <w:tbl>
      <w:tblPr>
        <w:tblW w:w="10205" w:type="dxa"/>
        <w:jc w:val="left"/>
        <w:tblInd w:w="0" w:type="dxa"/>
        <w:tblCellMar>
          <w:top w:w="0" w:type="dxa"/>
          <w:left w:w="0" w:type="dxa"/>
          <w:bottom w:w="0" w:type="dxa"/>
          <w:right w:w="0" w:type="dxa"/>
        </w:tblCellMar>
      </w:tblPr>
      <w:tblGrid>
        <w:gridCol w:w="7111"/>
        <w:gridCol w:w="155"/>
        <w:gridCol w:w="1182"/>
        <w:gridCol w:w="146"/>
        <w:gridCol w:w="135"/>
        <w:gridCol w:w="155"/>
        <w:gridCol w:w="1122"/>
        <w:gridCol w:w="199"/>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1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111" w:type="dxa"/>
            <w:tcBorders/>
            <w:shd w:fill="auto" w:val="clear"/>
            <w:vAlign w:val="center"/>
          </w:tcPr>
          <w:p>
            <w:pPr>
              <w:pStyle w:val="TableContents"/>
              <w:spacing w:before="0" w:after="0"/>
              <w:ind w:left="0" w:right="0" w:firstLine="30"/>
              <w:jc w:val="left"/>
              <w:rPr/>
            </w:pPr>
            <w:r>
              <w:rPr/>
              <w:t> </w:t>
            </w:r>
          </w:p>
        </w:tc>
        <w:tc>
          <w:tcPr>
            <w:tcW w:w="309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7111" w:type="dxa"/>
            <w:tcBorders/>
            <w:shd w:fill="auto" w:val="clear"/>
            <w:vAlign w:val="center"/>
          </w:tcPr>
          <w:p>
            <w:pPr>
              <w:pStyle w:val="TableContents"/>
              <w:spacing w:before="0" w:after="0"/>
              <w:ind w:left="0" w:right="0" w:firstLine="30"/>
              <w:jc w:val="left"/>
              <w:rPr/>
            </w:pPr>
            <w:r>
              <w:rPr/>
              <w:t> </w:t>
            </w:r>
          </w:p>
        </w:tc>
        <w:tc>
          <w:tcPr>
            <w:tcW w:w="148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5"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47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7111" w:type="dxa"/>
            <w:tcBorders/>
            <w:shd w:fill="auto" w:val="clear"/>
            <w:vAlign w:val="center"/>
          </w:tcPr>
          <w:p>
            <w:pPr>
              <w:pStyle w:val="TableContents"/>
              <w:spacing w:before="0" w:after="0"/>
              <w:ind w:left="0" w:right="0" w:firstLine="30"/>
              <w:jc w:val="left"/>
              <w:rPr/>
            </w:pPr>
            <w:r>
              <w:rPr/>
              <w:t> </w:t>
            </w:r>
          </w:p>
        </w:tc>
        <w:tc>
          <w:tcPr>
            <w:tcW w:w="3094"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assets:</w:t>
            </w:r>
          </w:p>
        </w:tc>
        <w:tc>
          <w:tcPr>
            <w:tcW w:w="1483" w:type="dxa"/>
            <w:gridSpan w:val="3"/>
            <w:tcBorders/>
            <w:shd w:fill="CCEEFF" w:val="clear"/>
            <w:vAlign w:val="center"/>
          </w:tcPr>
          <w:p>
            <w:pPr>
              <w:pStyle w:val="TableContents"/>
              <w:spacing w:before="0" w:after="0"/>
              <w:ind w:left="0" w:right="0" w:firstLine="30"/>
              <w:jc w:val="left"/>
              <w:rPr/>
            </w:pPr>
            <w:r>
              <w:rPr/>
              <w:t> </w:t>
            </w:r>
          </w:p>
        </w:tc>
        <w:tc>
          <w:tcPr>
            <w:tcW w:w="135" w:type="dxa"/>
            <w:tcBorders/>
            <w:shd w:fill="CCEEFF" w:val="clear"/>
            <w:vAlign w:val="center"/>
          </w:tcPr>
          <w:p>
            <w:pPr>
              <w:pStyle w:val="TableContents"/>
              <w:spacing w:before="0" w:after="0"/>
              <w:ind w:left="0" w:right="0" w:firstLine="30"/>
              <w:rPr/>
            </w:pPr>
            <w:r>
              <w:rPr/>
              <w:t> </w:t>
            </w:r>
          </w:p>
        </w:tc>
        <w:tc>
          <w:tcPr>
            <w:tcW w:w="1476" w:type="dxa"/>
            <w:gridSpan w:val="3"/>
            <w:tcBorders/>
            <w:shd w:fill="CCEEFF" w:val="clear"/>
            <w:vAlign w:val="center"/>
          </w:tcPr>
          <w:p>
            <w:pPr>
              <w:pStyle w:val="TableContents"/>
              <w:spacing w:before="0" w:after="0"/>
              <w:ind w:left="0" w:right="0" w:firstLine="180"/>
              <w:jc w:val="left"/>
              <w:rPr/>
            </w:pPr>
            <w:r>
              <w:rPr/>
              <w:t> </w:t>
            </w:r>
          </w:p>
        </w:tc>
      </w:tr>
      <w:tr>
        <w:trPr/>
        <w:tc>
          <w:tcPr>
            <w:tcW w:w="7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Albemarle &amp; Bond write-down reversal</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2" w:type="dxa"/>
            <w:tcBorders/>
            <w:shd w:fill="auto" w:val="clear"/>
            <w:vAlign w:val="center"/>
          </w:tcPr>
          <w:p>
            <w:pPr>
              <w:pStyle w:val="TableContents"/>
              <w:spacing w:before="0" w:after="0"/>
              <w:jc w:val="right"/>
              <w:rPr>
                <w:rFonts w:ascii="inherit" w:hAnsi="inherit"/>
                <w:sz w:val="17"/>
              </w:rPr>
            </w:pPr>
            <w:r>
              <w:rPr>
                <w:rFonts w:ascii="inherit" w:hAnsi="inherit"/>
                <w:sz w:val="17"/>
              </w:rPr>
              <w:t>15,921</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2" w:type="dxa"/>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Tax over book inventory</w:t>
            </w:r>
          </w:p>
        </w:tc>
        <w:tc>
          <w:tcPr>
            <w:tcW w:w="13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12,521</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3,904</w:t>
            </w:r>
          </w:p>
        </w:tc>
        <w:tc>
          <w:tcPr>
            <w:tcW w:w="19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liabilities</w:t>
            </w:r>
          </w:p>
        </w:tc>
        <w:tc>
          <w:tcPr>
            <w:tcW w:w="13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13,879</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14,334</w:t>
            </w:r>
          </w:p>
        </w:tc>
        <w:tc>
          <w:tcPr>
            <w:tcW w:w="19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w:t>
            </w:r>
          </w:p>
        </w:tc>
        <w:tc>
          <w:tcPr>
            <w:tcW w:w="13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3,450</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3,937</w:t>
            </w:r>
          </w:p>
        </w:tc>
        <w:tc>
          <w:tcPr>
            <w:tcW w:w="19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Stock compensation</w:t>
            </w:r>
          </w:p>
        </w:tc>
        <w:tc>
          <w:tcPr>
            <w:tcW w:w="1337"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974</w:t>
            </w:r>
          </w:p>
        </w:tc>
        <w:tc>
          <w:tcPr>
            <w:tcW w:w="19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State and foreign net operating loss carry-forwards</w:t>
            </w:r>
          </w:p>
        </w:tc>
        <w:tc>
          <w:tcPr>
            <w:tcW w:w="133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659</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3,845</w:t>
            </w:r>
          </w:p>
        </w:tc>
        <w:tc>
          <w:tcPr>
            <w:tcW w:w="19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deferred tax assets</w:t>
            </w:r>
          </w:p>
        </w:tc>
        <w:tc>
          <w:tcPr>
            <w:tcW w:w="13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46,430</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26,994</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liabilities:</w:t>
            </w:r>
          </w:p>
        </w:tc>
        <w:tc>
          <w:tcPr>
            <w:tcW w:w="1483" w:type="dxa"/>
            <w:gridSpan w:val="3"/>
            <w:tcBorders/>
            <w:shd w:fill="CCEEFF" w:val="clear"/>
            <w:vAlign w:val="center"/>
          </w:tcPr>
          <w:p>
            <w:pPr>
              <w:pStyle w:val="TableContents"/>
              <w:spacing w:before="0" w:after="0"/>
              <w:ind w:left="0" w:right="0" w:firstLine="30"/>
              <w:jc w:val="left"/>
              <w:rPr/>
            </w:pPr>
            <w:r>
              <w:rPr/>
              <w:t> </w:t>
            </w:r>
          </w:p>
        </w:tc>
        <w:tc>
          <w:tcPr>
            <w:tcW w:w="135" w:type="dxa"/>
            <w:tcBorders/>
            <w:shd w:fill="CCEEFF" w:val="clear"/>
            <w:vAlign w:val="center"/>
          </w:tcPr>
          <w:p>
            <w:pPr>
              <w:pStyle w:val="TableContents"/>
              <w:spacing w:before="0" w:after="0"/>
              <w:ind w:left="0" w:right="0" w:firstLine="30"/>
              <w:rPr/>
            </w:pPr>
            <w:r>
              <w:rPr/>
              <w:t> </w:t>
            </w:r>
          </w:p>
        </w:tc>
        <w:tc>
          <w:tcPr>
            <w:tcW w:w="1476" w:type="dxa"/>
            <w:gridSpan w:val="3"/>
            <w:tcBorders/>
            <w:shd w:fill="CCEEFF" w:val="clear"/>
            <w:vAlign w:val="center"/>
          </w:tcPr>
          <w:p>
            <w:pPr>
              <w:pStyle w:val="TableContents"/>
              <w:spacing w:before="0" w:after="0"/>
              <w:ind w:left="0" w:right="0" w:firstLine="180"/>
              <w:jc w:val="left"/>
              <w:rPr/>
            </w:pPr>
            <w:r>
              <w:rPr/>
              <w:t> </w:t>
            </w:r>
          </w:p>
        </w:tc>
      </w:tr>
      <w:tr>
        <w:trPr/>
        <w:tc>
          <w:tcPr>
            <w:tcW w:w="7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Tax over book amortization</w:t>
            </w:r>
          </w:p>
        </w:tc>
        <w:tc>
          <w:tcPr>
            <w:tcW w:w="13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12,593</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10,833</w:t>
            </w:r>
          </w:p>
        </w:tc>
        <w:tc>
          <w:tcPr>
            <w:tcW w:w="19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income and dividends</w:t>
            </w:r>
          </w:p>
        </w:tc>
        <w:tc>
          <w:tcPr>
            <w:tcW w:w="13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5,411</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3,864</w:t>
            </w:r>
          </w:p>
        </w:tc>
        <w:tc>
          <w:tcPr>
            <w:tcW w:w="19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Tax over book depreciation</w:t>
            </w:r>
          </w:p>
        </w:tc>
        <w:tc>
          <w:tcPr>
            <w:tcW w:w="13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2,928</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1,912</w:t>
            </w:r>
          </w:p>
        </w:tc>
        <w:tc>
          <w:tcPr>
            <w:tcW w:w="19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 compensation</w:t>
            </w:r>
          </w:p>
        </w:tc>
        <w:tc>
          <w:tcPr>
            <w:tcW w:w="13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1,441</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77" w:type="dxa"/>
            <w:gridSpan w:val="2"/>
            <w:tcBorders/>
            <w:shd w:fill="CCEEFF" w:val="clear"/>
            <w:vAlign w:val="center"/>
          </w:tcPr>
          <w:p>
            <w:pPr>
              <w:pStyle w:val="TableContents"/>
              <w:spacing w:before="0" w:after="0"/>
              <w:jc w:val="right"/>
              <w:rPr/>
            </w:pPr>
            <w:r>
              <w:rPr/>
              <w:t>—</w:t>
            </w:r>
          </w:p>
        </w:tc>
        <w:tc>
          <w:tcPr>
            <w:tcW w:w="19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w:t>
            </w:r>
          </w:p>
        </w:tc>
        <w:tc>
          <w:tcPr>
            <w:tcW w:w="133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1,359</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1,082</w:t>
            </w:r>
          </w:p>
        </w:tc>
        <w:tc>
          <w:tcPr>
            <w:tcW w:w="19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deferred tax liabilities</w:t>
            </w:r>
          </w:p>
        </w:tc>
        <w:tc>
          <w:tcPr>
            <w:tcW w:w="133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23,732</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17,691</w:t>
            </w:r>
          </w:p>
        </w:tc>
        <w:tc>
          <w:tcPr>
            <w:tcW w:w="19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deferred tax asset</w:t>
            </w:r>
          </w:p>
        </w:tc>
        <w:tc>
          <w:tcPr>
            <w:tcW w:w="13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22,698</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7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9,303</w:t>
            </w:r>
          </w:p>
        </w:tc>
        <w:tc>
          <w:tcPr>
            <w:tcW w:w="199"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Valuation allowance</w:t>
            </w:r>
          </w:p>
        </w:tc>
        <w:tc>
          <w:tcPr>
            <w:tcW w:w="133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(659</w:t>
            </w:r>
          </w:p>
        </w:tc>
        <w:tc>
          <w:tcPr>
            <w:tcW w:w="14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12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(2,242</w:t>
            </w:r>
          </w:p>
        </w:tc>
        <w:tc>
          <w:tcPr>
            <w:tcW w:w="19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deferred tax asset</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22,039</w:t>
            </w:r>
          </w:p>
        </w:tc>
        <w:tc>
          <w:tcPr>
            <w:tcW w:w="14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7,061</w:t>
            </w:r>
          </w:p>
        </w:tc>
        <w:tc>
          <w:tcPr>
            <w:tcW w:w="199"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Deferred taxes are not provided for temporary differences of approximately $14.3 million</w:t>
      </w:r>
      <w:r>
        <w:rPr>
          <w:sz w:val="17"/>
        </w:rPr>
        <w:t xml:space="preserve"> </w:t>
      </w:r>
      <w:r>
        <w:rPr>
          <w:rFonts w:ascii="inherit" w:hAnsi="inherit"/>
          <w:sz w:val="17"/>
        </w:rPr>
        <w:t>representing earnings of non-U.S. subsidiaries intended to be permanently reinvested outside the U.S. We estimate that, upon distribution of our share of these earnings, we would be subject to U.S. income taxes of approximately $2.7 million</w:t>
      </w:r>
      <w:r>
        <w:rPr>
          <w:sz w:val="17"/>
        </w:rPr>
        <w:t xml:space="preserve"> </w:t>
      </w:r>
      <w:r>
        <w:rPr>
          <w:rFonts w:ascii="inherit" w:hAnsi="inherit"/>
          <w:sz w:val="17"/>
        </w:rPr>
        <w:t>as of September 30, 2013. At September 30, 2013</w:t>
      </w:r>
      <w:r>
        <w:rPr>
          <w:sz w:val="17"/>
        </w:rPr>
        <w:t xml:space="preserve"> </w:t>
      </w:r>
      <w:r>
        <w:rPr>
          <w:rFonts w:ascii="inherit" w:hAnsi="inherit"/>
          <w:sz w:val="17"/>
        </w:rPr>
        <w:t>and 2012, we provided deferred income taxes on all undistributed earnings from Albemarle &amp; Bond, and received dividends of approximately $3.3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$3.3 million</w:t>
      </w:r>
      <w:r>
        <w:rPr>
          <w:rFonts w:ascii="inherit" w:hAnsi="inherit"/>
          <w:sz w:val="17"/>
        </w:rPr>
        <w:t>, respectively. At September 30, 2013</w:t>
      </w:r>
      <w:r>
        <w:rPr>
          <w:sz w:val="17"/>
        </w:rPr>
        <w:t xml:space="preserve"> </w:t>
      </w:r>
      <w:r>
        <w:rPr>
          <w:rFonts w:ascii="inherit" w:hAnsi="inherit"/>
          <w:sz w:val="17"/>
        </w:rPr>
        <w:t>and 2012, we provided deferred income taxes on all undistributed earnings from Cash Converters International, and recorded dividends of approximately $5.1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$4.4 million</w:t>
      </w:r>
      <w:r>
        <w:rPr>
          <w:rFonts w:ascii="inherit" w:hAnsi="inherit"/>
          <w:sz w:val="17"/>
        </w:rPr>
        <w:t>, respectively. Any taxes paid to foreign governments on these earnings may be used in whole or in part as credits against the U.S. tax on any dividends distributed from such earnings.</w:t>
      </w:r>
    </w:p>
    <w:p>
      <w:pPr>
        <w:pStyle w:val="TextBody"/>
        <w:spacing w:lineRule="auto" w:line="288" w:before="0" w:after="0"/>
        <w:jc w:val="left"/>
        <w:rPr>
          <w:rFonts w:ascii="inherit" w:hAnsi="inherit"/>
          <w:sz w:val="17"/>
        </w:rPr>
      </w:pPr>
      <w:r>
        <w:rPr>
          <w:rFonts w:ascii="inherit" w:hAnsi="inherit"/>
          <w:sz w:val="17"/>
        </w:rPr>
        <w:t xml:space="preserve">Under FASB ASC 740-10-25 (“Accounting for Uncertainty in Income Taxes”), a tax position must be more-likely-than-not to be sustained upon examination, based on the technical merits of the position to be recognized in the financial statements. In making the determination of sustainability, we must presume the appropriate taxing authority with full knowledge of all relevant information will examine tax positions. FASB ASC 740-10-25 also prescribes how the benefit should be measured, including the consideration of any penalties and interest. It requires that the standard be applied to the balances of tax assets and liabilities as of the beginning of the period of adoption and that a corresponding adjustment be made to the opening balance of equity. </w:t>
      </w:r>
    </w:p>
    <w:p>
      <w:pPr>
        <w:pStyle w:val="TextBody"/>
        <w:spacing w:lineRule="auto" w:line="288" w:before="0" w:after="0"/>
        <w:jc w:val="left"/>
        <w:rPr>
          <w:rFonts w:ascii="inherit" w:hAnsi="inherit"/>
          <w:sz w:val="17"/>
        </w:rPr>
      </w:pPr>
      <w:r>
        <w:rPr>
          <w:rFonts w:ascii="inherit" w:hAnsi="inherit"/>
          <w:sz w:val="17"/>
        </w:rPr>
        <w:t>We recognize interest and penalties related to unrecognized tax benefits as federal income tax expense on our statement of operations.</w:t>
      </w:r>
    </w:p>
    <w:p>
      <w:pPr>
        <w:pStyle w:val="TextBody"/>
        <w:spacing w:lineRule="auto" w:line="288" w:before="0" w:after="0"/>
        <w:jc w:val="left"/>
        <w:rPr>
          <w:rFonts w:ascii="inherit" w:hAnsi="inherit"/>
          <w:sz w:val="17"/>
        </w:rPr>
      </w:pPr>
      <w:r>
        <w:rPr>
          <w:rFonts w:ascii="inherit" w:hAnsi="inherit"/>
          <w:sz w:val="17"/>
        </w:rPr>
        <w:t xml:space="preserve">We are subject to U.S., Mexico and Canada income taxes as well as to income taxes levied by various state and local jurisdictions. With few exceptions, we are no longer subject to examinations by tax authorities for years before the tax year ended September 30, 2008. The Internal Revenue Service has completed its field audit of the our federal income tax return for the fiscal year ended September 30, 2010 and proposed certain adjustments. Management believes that adequate provisions have been made for any adjustments that may result from tax examinations. </w:t>
      </w:r>
    </w:p>
    <w:p>
      <w:pPr>
        <w:pStyle w:val="TextBody"/>
        <w:spacing w:lineRule="auto" w:line="288" w:before="0" w:after="0"/>
        <w:jc w:val="left"/>
        <w:rPr>
          <w:rFonts w:ascii="inherit" w:hAnsi="inherit"/>
          <w:b/>
          <w:sz w:val="17"/>
        </w:rPr>
      </w:pPr>
      <w:bookmarkStart w:id="80" w:name="s12C9B6270989DC85C5FB83E26E0A6DA9"/>
      <w:bookmarkEnd w:id="80"/>
      <w:r>
        <w:rPr>
          <w:rFonts w:ascii="inherit" w:hAnsi="inherit"/>
          <w:b/>
          <w:sz w:val="17"/>
        </w:rPr>
        <w:t>NOTE 13: RELATED PARTY TRANSACTIONS</w:t>
      </w:r>
    </w:p>
    <w:p>
      <w:pPr>
        <w:pStyle w:val="TextBody"/>
        <w:spacing w:lineRule="auto" w:line="288" w:before="0" w:after="0"/>
        <w:jc w:val="left"/>
        <w:rPr>
          <w:sz w:val="17"/>
        </w:rPr>
      </w:pPr>
      <w:r>
        <w:rPr>
          <w:rFonts w:ascii="inherit" w:hAnsi="inherit"/>
          <w:sz w:val="17"/>
        </w:rPr>
        <w:t xml:space="preserve">For each of the past three fiscal years, we have entered into </w:t>
      </w:r>
      <w:r>
        <w:rPr>
          <w:rFonts w:ascii="inherit" w:hAnsi="inherit"/>
          <w:strike w:val="false"/>
          <w:dstrike w:val="false"/>
          <w:color w:val="000000"/>
          <w:sz w:val="17"/>
          <w:u w:val="none"/>
          <w:effect w:val="none"/>
        </w:rPr>
        <w:t>one</w:t>
      </w:r>
      <w:r>
        <w:rPr>
          <w:rFonts w:ascii="inherit" w:hAnsi="inherit"/>
          <w:sz w:val="17"/>
        </w:rPr>
        <w:t xml:space="preserve">-year advisory services agreements with Madison Park, LLC, a business and financial advisory firm wholly owned by Phillip E. Cohen, the beneficial owner of all of our outstanding Class B Common Stock, pursuant to which, Madison Park provides advisory services related to our business and long-term strategic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88</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plan, including (a) identifying, evaluating and negotiating potential acquisitions and strategic alliances, (b) assessing operating and strategic objectives, including new business development, (c) assisting in international business development and strategic investment opportunities, (d) analyzing financial condition and results of operations, evaluating strengths and weaknesses of financial performance and recommending measures to improve performance, (e) advising on dividend policy and corporate transactions, (f) providing briefings on business strategy, (g) advising on investor relations and relations with investment bankers, securities analysts and other members of the financial services industry and (h) performing such other services as we may reasonably request. The annual fee for the services was </w:t>
      </w:r>
      <w:r>
        <w:rPr>
          <w:rFonts w:ascii="inherit" w:hAnsi="inherit"/>
          <w:strike w:val="false"/>
          <w:dstrike w:val="false"/>
          <w:color w:val="000000"/>
          <w:sz w:val="17"/>
          <w:u w:val="none"/>
          <w:effect w:val="none"/>
        </w:rPr>
        <w:t>$7.2 million</w:t>
      </w:r>
      <w:r>
        <w:rPr>
          <w:sz w:val="17"/>
        </w:rPr>
        <w:t xml:space="preserve"> </w:t>
      </w:r>
      <w:r>
        <w:rPr>
          <w:rFonts w:ascii="inherit" w:hAnsi="inherit"/>
          <w:sz w:val="17"/>
        </w:rPr>
        <w:t xml:space="preserve">in fiscal 2013, </w:t>
      </w:r>
      <w:r>
        <w:rPr>
          <w:rFonts w:ascii="inherit" w:hAnsi="inherit"/>
          <w:strike w:val="false"/>
          <w:dstrike w:val="false"/>
          <w:color w:val="000000"/>
          <w:sz w:val="17"/>
          <w:u w:val="none"/>
          <w:effect w:val="none"/>
        </w:rPr>
        <w:t>$6.0 million</w:t>
      </w:r>
      <w:r>
        <w:rPr>
          <w:sz w:val="17"/>
        </w:rPr>
        <w:t xml:space="preserve"> </w:t>
      </w:r>
      <w:r>
        <w:rPr>
          <w:rFonts w:ascii="inherit" w:hAnsi="inherit"/>
          <w:sz w:val="17"/>
        </w:rPr>
        <w:t xml:space="preserve">in fiscal 2012 and </w:t>
      </w:r>
      <w:r>
        <w:rPr>
          <w:rFonts w:ascii="inherit" w:hAnsi="inherit"/>
          <w:strike w:val="false"/>
          <w:dstrike w:val="false"/>
          <w:color w:val="000000"/>
          <w:sz w:val="17"/>
          <w:u w:val="none"/>
          <w:effect w:val="none"/>
        </w:rPr>
        <w:t>$4.8 million</w:t>
      </w:r>
      <w:r>
        <w:rPr>
          <w:sz w:val="17"/>
        </w:rPr>
        <w:t xml:space="preserve"> </w:t>
      </w:r>
      <w:r>
        <w:rPr>
          <w:rFonts w:ascii="inherit" w:hAnsi="inherit"/>
          <w:sz w:val="17"/>
        </w:rPr>
        <w:t>in fiscal 2011.</w:t>
      </w:r>
    </w:p>
    <w:p>
      <w:pPr>
        <w:pStyle w:val="TextBody"/>
        <w:spacing w:lineRule="auto" w:line="288" w:before="0" w:after="0"/>
        <w:jc w:val="left"/>
        <w:rPr>
          <w:rFonts w:ascii="inherit" w:hAnsi="inherit"/>
          <w:sz w:val="17"/>
        </w:rPr>
      </w:pPr>
      <w:r>
        <w:rPr>
          <w:rFonts w:ascii="inherit" w:hAnsi="inherit"/>
          <w:sz w:val="17"/>
        </w:rPr>
        <w:t>On October 9, 2013, we and Madison Park agreed to extend the engagement of Madison Park for an additional year (through September 30, 2014) on the same terms and conditions (including those relating to fees and expenses) as applicable to the fiscal 2013 engagement.</w:t>
      </w:r>
    </w:p>
    <w:p>
      <w:pPr>
        <w:pStyle w:val="TextBody"/>
        <w:spacing w:lineRule="auto" w:line="288" w:before="0" w:after="0"/>
        <w:jc w:val="left"/>
        <w:rPr>
          <w:rFonts w:ascii="inherit" w:hAnsi="inherit"/>
          <w:sz w:val="17"/>
        </w:rPr>
      </w:pPr>
      <w:r>
        <w:rPr>
          <w:rFonts w:ascii="inherit" w:hAnsi="inherit"/>
          <w:sz w:val="17"/>
        </w:rPr>
        <w:t>Prior to approval of the extension of the Madison Park agreement and pursuant to our Policy for Review and Evaluation of Related Party Transactions, the Audit Committee of our Board of Directors implemented measures designed to ensure that the extended engagement was considered, analyzed, negotiated and approved objectively. Those measures included the engagement of an independent financial advisory firm to counsel and advise the committee in the course of its consideration and evaluation of the Madison Park relationship and the proposed extension agreement and the receipt of a fairness opinion with respect to the consideration to be paid to Madison Park pursuant to the extension agreement.</w:t>
      </w:r>
    </w:p>
    <w:p>
      <w:pPr>
        <w:pStyle w:val="TextBody"/>
        <w:spacing w:lineRule="auto" w:line="288" w:before="0" w:after="0"/>
        <w:jc w:val="left"/>
        <w:rPr>
          <w:rFonts w:ascii="inherit" w:hAnsi="inherit"/>
          <w:sz w:val="17"/>
        </w:rPr>
      </w:pPr>
      <w:r>
        <w:rPr>
          <w:rFonts w:ascii="inherit" w:hAnsi="inherit"/>
          <w:sz w:val="17"/>
        </w:rPr>
        <w:t>After consideration and discussion of a number of factors, the information and fairness opinion provided by its independent financial advisory firm, and the relationships and the interests of Mr. Cohen, the Audit Committee concluded that the proposed extended engagement for fiscal 2014 was fair to, and in the best interests of, the company and its stockholders and, on that basis, approved the extended engagement of Madison Park pursuant to the extension agreement.</w:t>
      </w:r>
    </w:p>
    <w:p>
      <w:pPr>
        <w:pStyle w:val="TextBody"/>
        <w:spacing w:lineRule="auto" w:line="288" w:before="0" w:after="0"/>
        <w:jc w:val="left"/>
        <w:rPr>
          <w:rFonts w:ascii="inherit" w:hAnsi="inherit"/>
          <w:b/>
          <w:sz w:val="17"/>
        </w:rPr>
      </w:pPr>
      <w:bookmarkStart w:id="81" w:name="s5DF6996F6C066F2B322F83E26E1139AC"/>
      <w:bookmarkEnd w:id="81"/>
      <w:r>
        <w:rPr>
          <w:rFonts w:ascii="inherit" w:hAnsi="inherit"/>
          <w:b/>
          <w:sz w:val="17"/>
        </w:rPr>
        <w:t>NOTE 14: LEASES</w:t>
      </w:r>
    </w:p>
    <w:p>
      <w:pPr>
        <w:pStyle w:val="TextBody"/>
        <w:spacing w:lineRule="auto" w:line="288" w:before="0" w:after="0"/>
        <w:jc w:val="left"/>
        <w:rPr>
          <w:rFonts w:ascii="inherit" w:hAnsi="inherit"/>
          <w:sz w:val="17"/>
        </w:rPr>
      </w:pPr>
      <w:r>
        <w:rPr>
          <w:rFonts w:ascii="inherit" w:hAnsi="inherit"/>
          <w:sz w:val="17"/>
        </w:rPr>
        <w:t>We lease various facilities and certain equipment under capital and operating leases. We also sublease some of the above facilities. Future minimum rentals due under non-cancelable leases and annual future minimum rentals expected under subleases are as follows:</w:t>
      </w:r>
    </w:p>
    <w:tbl>
      <w:tblPr>
        <w:tblW w:w="10205" w:type="dxa"/>
        <w:jc w:val="left"/>
        <w:tblInd w:w="0" w:type="dxa"/>
        <w:tblCellMar>
          <w:top w:w="0" w:type="dxa"/>
          <w:left w:w="0" w:type="dxa"/>
          <w:bottom w:w="0" w:type="dxa"/>
          <w:right w:w="0" w:type="dxa"/>
        </w:tblCellMar>
      </w:tblPr>
      <w:tblGrid>
        <w:gridCol w:w="5807"/>
        <w:gridCol w:w="174"/>
        <w:gridCol w:w="1150"/>
        <w:gridCol w:w="98"/>
        <w:gridCol w:w="146"/>
        <w:gridCol w:w="196"/>
        <w:gridCol w:w="1069"/>
        <w:gridCol w:w="104"/>
        <w:gridCol w:w="146"/>
        <w:gridCol w:w="214"/>
        <w:gridCol w:w="969"/>
        <w:gridCol w:w="132"/>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80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807" w:type="dxa"/>
            <w:tcBorders/>
            <w:shd w:fill="auto" w:val="clear"/>
            <w:vAlign w:val="center"/>
          </w:tcPr>
          <w:p>
            <w:pPr>
              <w:pStyle w:val="TableContents"/>
              <w:spacing w:before="0" w:after="0"/>
              <w:ind w:left="0" w:right="0" w:firstLine="30"/>
              <w:jc w:val="left"/>
              <w:rPr/>
            </w:pPr>
            <w:r>
              <w:rPr/>
              <w:t> </w:t>
            </w:r>
          </w:p>
        </w:tc>
        <w:tc>
          <w:tcPr>
            <w:tcW w:w="439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2013</w:t>
            </w:r>
          </w:p>
        </w:tc>
      </w:tr>
      <w:tr>
        <w:trPr/>
        <w:tc>
          <w:tcPr>
            <w:tcW w:w="5807" w:type="dxa"/>
            <w:tcBorders/>
            <w:shd w:fill="auto" w:val="clear"/>
            <w:vAlign w:val="center"/>
          </w:tcPr>
          <w:p>
            <w:pPr>
              <w:pStyle w:val="TableContents"/>
              <w:spacing w:before="0" w:after="0"/>
              <w:ind w:left="0" w:right="0" w:firstLine="30"/>
              <w:rPr/>
            </w:pPr>
            <w:r>
              <w:rPr/>
              <w:t> </w:t>
            </w:r>
          </w:p>
        </w:tc>
        <w:tc>
          <w:tcPr>
            <w:tcW w:w="142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Operating Lease</w:t>
            </w:r>
          </w:p>
          <w:p>
            <w:pPr>
              <w:pStyle w:val="TableContents"/>
              <w:spacing w:before="0" w:after="0"/>
              <w:ind w:left="0" w:right="0" w:firstLine="30"/>
              <w:jc w:val="center"/>
              <w:rPr>
                <w:rFonts w:ascii="inherit" w:hAnsi="inherit"/>
                <w:b/>
                <w:sz w:val="13"/>
              </w:rPr>
            </w:pPr>
            <w:r>
              <w:rPr>
                <w:rFonts w:ascii="inherit" w:hAnsi="inherit"/>
                <w:b/>
                <w:sz w:val="13"/>
              </w:rPr>
              <w:t>Payments</w:t>
            </w:r>
          </w:p>
        </w:tc>
        <w:tc>
          <w:tcPr>
            <w:tcW w:w="146" w:type="dxa"/>
            <w:tcBorders/>
            <w:shd w:fill="auto" w:val="clear"/>
            <w:vAlign w:val="center"/>
          </w:tcPr>
          <w:p>
            <w:pPr>
              <w:pStyle w:val="TableContents"/>
              <w:spacing w:before="0" w:after="0"/>
              <w:ind w:left="0" w:right="0" w:firstLine="30"/>
              <w:rPr/>
            </w:pPr>
            <w:r>
              <w:rPr/>
              <w:t> </w:t>
            </w:r>
          </w:p>
        </w:tc>
        <w:tc>
          <w:tcPr>
            <w:tcW w:w="136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Capital Lease Payments</w:t>
            </w:r>
          </w:p>
        </w:tc>
        <w:tc>
          <w:tcPr>
            <w:tcW w:w="146"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1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Sublease</w:t>
            </w:r>
          </w:p>
          <w:p>
            <w:pPr>
              <w:pStyle w:val="TableContents"/>
              <w:spacing w:before="0" w:after="0"/>
              <w:ind w:left="0" w:right="0" w:firstLine="30"/>
              <w:jc w:val="center"/>
              <w:rPr>
                <w:rFonts w:ascii="inherit" w:hAnsi="inherit"/>
                <w:b/>
                <w:sz w:val="13"/>
              </w:rPr>
            </w:pPr>
            <w:r>
              <w:rPr>
                <w:rFonts w:ascii="inherit" w:hAnsi="inherit"/>
                <w:b/>
                <w:sz w:val="13"/>
              </w:rPr>
              <w:t>Revenue</w:t>
            </w:r>
          </w:p>
        </w:tc>
      </w:tr>
      <w:tr>
        <w:trPr/>
        <w:tc>
          <w:tcPr>
            <w:tcW w:w="5807" w:type="dxa"/>
            <w:tcBorders/>
            <w:shd w:fill="auto" w:val="clear"/>
            <w:vAlign w:val="center"/>
          </w:tcPr>
          <w:p>
            <w:pPr>
              <w:pStyle w:val="TableContents"/>
              <w:spacing w:before="0" w:after="0"/>
              <w:ind w:left="0" w:right="0" w:firstLine="30"/>
              <w:jc w:val="left"/>
              <w:rPr/>
            </w:pPr>
            <w:r>
              <w:rPr/>
              <w:t> </w:t>
            </w:r>
          </w:p>
        </w:tc>
        <w:tc>
          <w:tcPr>
            <w:tcW w:w="4398"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2014</w:t>
            </w:r>
          </w:p>
        </w:tc>
        <w:tc>
          <w:tcPr>
            <w:tcW w:w="17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shd w:fill="CCEEFF" w:val="clear"/>
            <w:vAlign w:val="center"/>
          </w:tcPr>
          <w:p>
            <w:pPr>
              <w:pStyle w:val="TableContents"/>
              <w:spacing w:before="0" w:after="0"/>
              <w:jc w:val="right"/>
              <w:rPr>
                <w:rFonts w:ascii="inherit" w:hAnsi="inherit"/>
                <w:sz w:val="17"/>
              </w:rPr>
            </w:pPr>
            <w:r>
              <w:rPr>
                <w:rFonts w:ascii="inherit" w:hAnsi="inherit"/>
                <w:sz w:val="17"/>
              </w:rPr>
              <w:t>58,908</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69" w:type="dxa"/>
            <w:tcBorders/>
            <w:shd w:fill="CCEEFF" w:val="clear"/>
            <w:vAlign w:val="center"/>
          </w:tcPr>
          <w:p>
            <w:pPr>
              <w:pStyle w:val="TableContents"/>
              <w:spacing w:before="0" w:after="0"/>
              <w:jc w:val="right"/>
              <w:rPr>
                <w:rFonts w:ascii="inherit" w:hAnsi="inherit"/>
                <w:sz w:val="17"/>
              </w:rPr>
            </w:pPr>
            <w:r>
              <w:rPr>
                <w:rFonts w:ascii="inherit" w:hAnsi="inherit"/>
                <w:sz w:val="17"/>
              </w:rPr>
              <w:t>613</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21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9" w:type="dxa"/>
            <w:tcBorders/>
            <w:shd w:fill="CCEEFF" w:val="clear"/>
            <w:vAlign w:val="center"/>
          </w:tcPr>
          <w:p>
            <w:pPr>
              <w:pStyle w:val="TableContents"/>
              <w:spacing w:before="0" w:after="0"/>
              <w:jc w:val="right"/>
              <w:rPr>
                <w:rFonts w:ascii="inherit" w:hAnsi="inherit"/>
                <w:sz w:val="17"/>
              </w:rPr>
            </w:pPr>
            <w:r>
              <w:rPr>
                <w:rFonts w:ascii="inherit" w:hAnsi="inherit"/>
                <w:sz w:val="17"/>
              </w:rPr>
              <w:t>181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2015</w:t>
            </w:r>
          </w:p>
        </w:tc>
        <w:tc>
          <w:tcPr>
            <w:tcW w:w="13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52,259</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392</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1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156</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2016</w:t>
            </w:r>
          </w:p>
        </w:tc>
        <w:tc>
          <w:tcPr>
            <w:tcW w:w="13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42,695</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65" w:type="dxa"/>
            <w:gridSpan w:val="2"/>
            <w:tcBorders/>
            <w:shd w:fill="CCEEFF" w:val="clear"/>
            <w:vAlign w:val="center"/>
          </w:tcPr>
          <w:p>
            <w:pPr>
              <w:pStyle w:val="TableContents"/>
              <w:spacing w:before="0" w:after="0"/>
              <w:jc w:val="right"/>
              <w:rPr/>
            </w:pPr>
            <w:r>
              <w:rPr/>
              <w:t>—</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1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2017</w:t>
            </w:r>
          </w:p>
        </w:tc>
        <w:tc>
          <w:tcPr>
            <w:tcW w:w="13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30,893</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265" w:type="dxa"/>
            <w:gridSpan w:val="2"/>
            <w:tcBorders/>
            <w:shd w:fill="auto" w:val="clear"/>
            <w:vAlign w:val="center"/>
          </w:tcPr>
          <w:p>
            <w:pPr>
              <w:pStyle w:val="TableContents"/>
              <w:spacing w:before="0" w:after="0"/>
              <w:jc w:val="right"/>
              <w:rPr/>
            </w:pPr>
            <w:r>
              <w:rPr/>
              <w:t>—</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183"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2018</w:t>
            </w:r>
          </w:p>
        </w:tc>
        <w:tc>
          <w:tcPr>
            <w:tcW w:w="13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20,671</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265" w:type="dxa"/>
            <w:gridSpan w:val="2"/>
            <w:tcBorders/>
            <w:shd w:fill="CCEEFF" w:val="clear"/>
            <w:vAlign w:val="center"/>
          </w:tcPr>
          <w:p>
            <w:pPr>
              <w:pStyle w:val="TableContents"/>
              <w:spacing w:before="0" w:after="0"/>
              <w:jc w:val="right"/>
              <w:rPr/>
            </w:pPr>
            <w:r>
              <w:rPr/>
              <w:t>—</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183"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Thereafter</w:t>
            </w:r>
          </w:p>
        </w:tc>
        <w:tc>
          <w:tcPr>
            <w:tcW w:w="13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52,108</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26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0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18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807" w:type="dxa"/>
            <w:tcBorders/>
            <w:shd w:fill="CCEEFF" w:val="clear"/>
            <w:vAlign w:val="center"/>
          </w:tcPr>
          <w:p>
            <w:pPr>
              <w:pStyle w:val="TableContents"/>
              <w:spacing w:before="0" w:after="0"/>
              <w:ind w:left="0" w:right="0" w:firstLine="30"/>
              <w:jc w:val="left"/>
              <w:rPr/>
            </w:pPr>
            <w:r>
              <w:rPr/>
              <w:t> </w:t>
            </w:r>
          </w:p>
        </w:tc>
        <w:tc>
          <w:tcPr>
            <w:tcW w:w="17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257,534</w:t>
            </w:r>
          </w:p>
        </w:tc>
        <w:tc>
          <w:tcPr>
            <w:tcW w:w="9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9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6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1,005</w:t>
            </w:r>
          </w:p>
        </w:tc>
        <w:tc>
          <w:tcPr>
            <w:tcW w:w="10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21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395</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Future minimum capital lease payments total $1.0 million, of which $0.1 million</w:t>
      </w:r>
      <w:r>
        <w:rPr>
          <w:sz w:val="17"/>
        </w:rPr>
        <w:t xml:space="preserve"> </w:t>
      </w:r>
      <w:r>
        <w:rPr>
          <w:rFonts w:ascii="inherit" w:hAnsi="inherit"/>
          <w:sz w:val="17"/>
        </w:rPr>
        <w:t>represents interest. The present value of net minimum capital lease payments as of September 30, 2013 was $0.8 million.</w:t>
      </w:r>
    </w:p>
    <w:p>
      <w:pPr>
        <w:pStyle w:val="TextBody"/>
        <w:spacing w:lineRule="auto" w:line="288" w:before="0" w:after="0"/>
        <w:jc w:val="left"/>
        <w:rPr>
          <w:rFonts w:ascii="inherit" w:hAnsi="inherit"/>
          <w:sz w:val="17"/>
        </w:rPr>
      </w:pPr>
      <w:r>
        <w:rPr>
          <w:rFonts w:ascii="inherit" w:hAnsi="inherit"/>
          <w:sz w:val="17"/>
        </w:rPr>
        <w:t>After an initial lease term of generally three to ten years, our lease agreements typically allow renewals in three to five-year increments. Our lease agreements generally include rent escalations throughout the initial lease term. Rent escalations are included in the above numbers. For financial reporting purposes, the aggregate rentals over the lease term, including lease renewal options that are reasonably assured, are expensed on a straight-line basis.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89</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981"/>
        <w:gridCol w:w="125"/>
        <w:gridCol w:w="1081"/>
        <w:gridCol w:w="121"/>
        <w:gridCol w:w="116"/>
        <w:gridCol w:w="125"/>
        <w:gridCol w:w="1081"/>
        <w:gridCol w:w="121"/>
        <w:gridCol w:w="116"/>
        <w:gridCol w:w="125"/>
        <w:gridCol w:w="1081"/>
        <w:gridCol w:w="132"/>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98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81" w:type="dxa"/>
            <w:tcBorders/>
            <w:shd w:fill="auto" w:val="clear"/>
            <w:vAlign w:val="center"/>
          </w:tcPr>
          <w:p>
            <w:pPr>
              <w:pStyle w:val="TableContents"/>
              <w:spacing w:before="0" w:after="0"/>
              <w:ind w:left="0" w:right="0" w:firstLine="30"/>
              <w:jc w:val="left"/>
              <w:rPr/>
            </w:pPr>
            <w:r>
              <w:rPr/>
              <w:t> </w:t>
            </w:r>
          </w:p>
        </w:tc>
        <w:tc>
          <w:tcPr>
            <w:tcW w:w="4224"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5981" w:type="dxa"/>
            <w:tcBorders/>
            <w:shd w:fill="auto" w:val="clear"/>
            <w:vAlign w:val="center"/>
          </w:tcPr>
          <w:p>
            <w:pPr>
              <w:pStyle w:val="TableContents"/>
              <w:spacing w:before="0" w:after="0"/>
              <w:ind w:left="0" w:right="0" w:firstLine="30"/>
              <w:jc w:val="left"/>
              <w:rPr/>
            </w:pPr>
            <w:r>
              <w:rPr/>
              <w:t> </w:t>
            </w:r>
          </w:p>
        </w:tc>
        <w:tc>
          <w:tcPr>
            <w:tcW w:w="13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16" w:type="dxa"/>
            <w:tcBorders/>
            <w:shd w:fill="auto" w:val="clear"/>
            <w:vAlign w:val="center"/>
          </w:tcPr>
          <w:p>
            <w:pPr>
              <w:pStyle w:val="TableContents"/>
              <w:spacing w:before="0" w:after="0"/>
              <w:ind w:left="0" w:right="0" w:firstLine="30"/>
              <w:rPr/>
            </w:pPr>
            <w:r>
              <w:rPr/>
              <w:t> </w:t>
            </w:r>
          </w:p>
        </w:tc>
        <w:tc>
          <w:tcPr>
            <w:tcW w:w="13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6" w:type="dxa"/>
            <w:tcBorders/>
            <w:shd w:fill="auto" w:val="clear"/>
            <w:vAlign w:val="center"/>
          </w:tcPr>
          <w:p>
            <w:pPr>
              <w:pStyle w:val="TableContents"/>
              <w:spacing w:before="0" w:after="0"/>
              <w:ind w:left="0" w:right="0" w:firstLine="30"/>
              <w:rPr/>
            </w:pPr>
            <w:r>
              <w:rPr/>
              <w:t> </w:t>
            </w:r>
          </w:p>
        </w:tc>
        <w:tc>
          <w:tcPr>
            <w:tcW w:w="13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981" w:type="dxa"/>
            <w:tcBorders/>
            <w:shd w:fill="auto" w:val="clear"/>
            <w:vAlign w:val="center"/>
          </w:tcPr>
          <w:p>
            <w:pPr>
              <w:pStyle w:val="TableContents"/>
              <w:spacing w:before="0" w:after="0"/>
              <w:ind w:left="0" w:right="0" w:firstLine="30"/>
              <w:jc w:val="left"/>
              <w:rPr/>
            </w:pPr>
            <w:r>
              <w:rPr/>
              <w:t> </w:t>
            </w:r>
          </w:p>
        </w:tc>
        <w:tc>
          <w:tcPr>
            <w:tcW w:w="4224"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9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rent expense from continuing operations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1" w:type="dxa"/>
            <w:tcBorders/>
            <w:shd w:fill="CCEEFF" w:val="clear"/>
            <w:vAlign w:val="center"/>
          </w:tcPr>
          <w:p>
            <w:pPr>
              <w:pStyle w:val="TableContents"/>
              <w:spacing w:before="0" w:after="0"/>
              <w:jc w:val="right"/>
              <w:rPr>
                <w:rFonts w:ascii="inherit" w:hAnsi="inherit"/>
                <w:sz w:val="17"/>
              </w:rPr>
            </w:pPr>
            <w:r>
              <w:rPr>
                <w:rFonts w:ascii="inherit" w:hAnsi="inherit"/>
                <w:sz w:val="17"/>
              </w:rPr>
              <w:t>63,017</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1" w:type="dxa"/>
            <w:tcBorders/>
            <w:shd w:fill="CCEEFF" w:val="clear"/>
            <w:vAlign w:val="center"/>
          </w:tcPr>
          <w:p>
            <w:pPr>
              <w:pStyle w:val="TableContents"/>
              <w:spacing w:before="0" w:after="0"/>
              <w:jc w:val="right"/>
              <w:rPr>
                <w:rFonts w:ascii="inherit" w:hAnsi="inherit"/>
                <w:sz w:val="17"/>
              </w:rPr>
            </w:pPr>
            <w:r>
              <w:rPr>
                <w:rFonts w:ascii="inherit" w:hAnsi="inherit"/>
                <w:sz w:val="17"/>
              </w:rPr>
              <w:t>53,484</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1" w:type="dxa"/>
            <w:tcBorders/>
            <w:shd w:fill="CCEEFF" w:val="clear"/>
            <w:vAlign w:val="center"/>
          </w:tcPr>
          <w:p>
            <w:pPr>
              <w:pStyle w:val="TableContents"/>
              <w:spacing w:before="0" w:after="0"/>
              <w:jc w:val="right"/>
              <w:rPr>
                <w:rFonts w:ascii="inherit" w:hAnsi="inherit"/>
                <w:sz w:val="17"/>
              </w:rPr>
            </w:pPr>
            <w:r>
              <w:rPr>
                <w:rFonts w:ascii="inherit" w:hAnsi="inherit"/>
                <w:sz w:val="17"/>
              </w:rPr>
              <w:t>44,618</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Sublease rent revenue from continuing operations</w:t>
            </w:r>
          </w:p>
        </w:tc>
        <w:tc>
          <w:tcPr>
            <w:tcW w:w="120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(217</w:t>
            </w:r>
          </w:p>
        </w:tc>
        <w:tc>
          <w:tcPr>
            <w:tcW w:w="12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20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(181</w:t>
            </w:r>
          </w:p>
        </w:tc>
        <w:tc>
          <w:tcPr>
            <w:tcW w:w="12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20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(141</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9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rent expense from continuing operations</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62,800</w:t>
            </w:r>
          </w:p>
        </w:tc>
        <w:tc>
          <w:tcPr>
            <w:tcW w:w="12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53,303</w:t>
            </w:r>
          </w:p>
        </w:tc>
        <w:tc>
          <w:tcPr>
            <w:tcW w:w="12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44,477</w:t>
            </w:r>
          </w:p>
        </w:tc>
        <w:tc>
          <w:tcPr>
            <w:tcW w:w="132"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Prior to fiscal 2008, we completed several sale-leaseback transactions of previously owned facilities. Losses on sales were recognized immediately, and gains were deferred and are being amortized as a reduction of lease expense over the terms of the related leases. The remaining unamortized long-term portion of these deferred gains, amounting to $1.4 million</w:t>
      </w:r>
      <w:r>
        <w:rPr>
          <w:sz w:val="17"/>
        </w:rPr>
        <w:t xml:space="preserve"> </w:t>
      </w:r>
      <w:r>
        <w:rPr>
          <w:rFonts w:ascii="inherit" w:hAnsi="inherit"/>
          <w:sz w:val="17"/>
        </w:rPr>
        <w:t>and $1.8 million</w:t>
      </w:r>
      <w:r>
        <w:rPr>
          <w:sz w:val="17"/>
        </w:rPr>
        <w:t xml:space="preserve"> </w:t>
      </w:r>
      <w:r>
        <w:rPr>
          <w:rFonts w:ascii="inherit" w:hAnsi="inherit"/>
          <w:sz w:val="17"/>
        </w:rPr>
        <w:t>at September 30, 2013 and 2012, respectively, is included in “Deferred gains and other long-term liabilities” in our consolidated balance sheets. The short-term portion, included in “Accounts payable and other accrued expenses” was $0.4 million</w:t>
      </w:r>
      <w:r>
        <w:rPr>
          <w:sz w:val="17"/>
        </w:rPr>
        <w:t xml:space="preserve"> </w:t>
      </w:r>
      <w:r>
        <w:rPr>
          <w:rFonts w:ascii="inherit" w:hAnsi="inherit"/>
          <w:sz w:val="17"/>
        </w:rPr>
        <w:t>at September 30, 2013 and 2012. Future rentals on these sale-leasebacks are included in the above schedule of future minimum rentals. Terms of these leases are consistent with the terms on our other lease agreements.</w:t>
      </w:r>
    </w:p>
    <w:p>
      <w:pPr>
        <w:pStyle w:val="TextBody"/>
        <w:spacing w:lineRule="auto" w:line="288" w:before="0" w:after="0"/>
        <w:jc w:val="left"/>
        <w:rPr>
          <w:rFonts w:ascii="inherit" w:hAnsi="inherit"/>
          <w:b/>
          <w:sz w:val="17"/>
        </w:rPr>
      </w:pPr>
      <w:bookmarkStart w:id="82" w:name="s8E3F2D3719FB75B03A3183E26E1EF2CA"/>
      <w:bookmarkEnd w:id="82"/>
      <w:r>
        <w:rPr>
          <w:rFonts w:ascii="inherit" w:hAnsi="inherit"/>
          <w:b/>
          <w:sz w:val="17"/>
        </w:rPr>
        <w:t>NOTE 15: EMPLOYMENT AGREEMENTS</w:t>
      </w:r>
    </w:p>
    <w:p>
      <w:pPr>
        <w:pStyle w:val="TextBody"/>
        <w:spacing w:lineRule="auto" w:line="288" w:before="0" w:after="0"/>
        <w:jc w:val="left"/>
        <w:rPr>
          <w:sz w:val="17"/>
        </w:rPr>
      </w:pPr>
      <w:r>
        <w:rPr>
          <w:rFonts w:ascii="inherit" w:hAnsi="inherit"/>
          <w:sz w:val="17"/>
        </w:rPr>
        <w:t xml:space="preserve">On August 3, 2009, we entered into an employment agreement with Paul E. Rothamel, who became President in February 2010 and Chief Executive Officer on November 1, 2010. The agreement provides for certain benefits (principally, a payment equal to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year of then-current base salary) if (a) Mr. Rothamel terminates his employment for good reason (including a change in control), (b) we terminate Mr. Rothamel’s employment without cause, or (c) Mr. Rothamel dies or becomes totally and permanently disabled during his active employment. Mr. Rothamel is subject to confidentiality obligations and, for a period of </w:t>
      </w:r>
      <w:r>
        <w:rPr>
          <w:rFonts w:ascii="inherit" w:hAnsi="inherit"/>
          <w:strike w:val="false"/>
          <w:dstrike w:val="false"/>
          <w:color w:val="000000"/>
          <w:sz w:val="17"/>
          <w:u w:val="none"/>
          <w:effect w:val="none"/>
        </w:rPr>
        <w:t>two</w:t>
      </w:r>
      <w:r>
        <w:rPr>
          <w:sz w:val="17"/>
        </w:rPr>
        <w:t xml:space="preserve"> </w:t>
      </w:r>
      <w:r>
        <w:rPr>
          <w:rFonts w:ascii="inherit" w:hAnsi="inherit"/>
          <w:sz w:val="17"/>
        </w:rPr>
        <w:t xml:space="preserve">years following the termination of his employment, is prohibited from competing with us, soliciting our customers or soliciting our employees. The agreement had an initial term of </w:t>
      </w:r>
      <w:r>
        <w:rPr>
          <w:rFonts w:ascii="inherit" w:hAnsi="inherit"/>
          <w:strike w:val="false"/>
          <w:dstrike w:val="false"/>
          <w:color w:val="000000"/>
          <w:sz w:val="17"/>
          <w:u w:val="none"/>
          <w:effect w:val="none"/>
        </w:rPr>
        <w:t>two</w:t>
      </w:r>
      <w:r>
        <w:rPr>
          <w:sz w:val="17"/>
        </w:rPr>
        <w:t xml:space="preserve"> </w:t>
      </w:r>
      <w:r>
        <w:rPr>
          <w:rFonts w:ascii="inherit" w:hAnsi="inherit"/>
          <w:sz w:val="17"/>
        </w:rPr>
        <w:t xml:space="preserve">years, which expired on August 3, 2011, but under its terms, has been renewed for additional </w:t>
      </w:r>
      <w:r>
        <w:rPr>
          <w:rFonts w:ascii="inherit" w:hAnsi="inherit"/>
          <w:strike w:val="false"/>
          <w:dstrike w:val="false"/>
          <w:color w:val="000000"/>
          <w:sz w:val="17"/>
          <w:u w:val="none"/>
          <w:effect w:val="none"/>
        </w:rPr>
        <w:t>one</w:t>
      </w:r>
      <w:r>
        <w:rPr>
          <w:rFonts w:ascii="inherit" w:hAnsi="inherit"/>
          <w:sz w:val="17"/>
        </w:rPr>
        <w:t xml:space="preserve">-year terms and will </w:t>
      </w:r>
      <w:r>
        <w:rPr>
          <w:rFonts w:ascii="inherit" w:hAnsi="inherit"/>
          <w:strike w:val="false"/>
          <w:dstrike w:val="false"/>
          <w:color w:val="000000"/>
          <w:sz w:val="17"/>
          <w:u w:val="none"/>
          <w:effect w:val="none"/>
        </w:rPr>
        <w:t>continue to be renewed for successive one-year terms unless either party gives 90-days’ notice to terminate</w:t>
      </w:r>
      <w:r>
        <w:rPr>
          <w:rFonts w:ascii="inherit" w:hAnsi="inherit"/>
          <w:sz w:val="17"/>
        </w:rPr>
        <w:t>.</w:t>
      </w:r>
    </w:p>
    <w:p>
      <w:pPr>
        <w:pStyle w:val="TextBody"/>
        <w:spacing w:lineRule="auto" w:line="288" w:before="0" w:after="0"/>
        <w:jc w:val="left"/>
        <w:rPr>
          <w:rFonts w:ascii="inherit" w:hAnsi="inherit"/>
          <w:sz w:val="17"/>
        </w:rPr>
      </w:pPr>
      <w:r>
        <w:rPr>
          <w:rFonts w:ascii="inherit" w:hAnsi="inherit"/>
          <w:sz w:val="17"/>
        </w:rPr>
        <w:t>We provide the following additional severance or change-in-control benefits to its executive officers:</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10050" w:type="dxa"/>
            <w:tcBorders/>
            <w:shd w:fill="auto" w:val="clear"/>
            <w:vAlign w:val="center"/>
          </w:tcPr>
          <w:p>
            <w:pPr>
              <w:pStyle w:val="TableContents"/>
              <w:spacing w:lineRule="auto" w:line="288" w:before="0" w:after="0"/>
              <w:rPr>
                <w:sz w:val="17"/>
              </w:rPr>
            </w:pPr>
            <w:r>
              <w:rPr>
                <w:rFonts w:ascii="inherit" w:hAnsi="inherit"/>
                <w:sz w:val="17"/>
              </w:rPr>
              <w:t xml:space="preserve">The terms of employment for certain of our executive officers provide that the executive officer will receive salary continuation for </w:t>
            </w:r>
            <w:r>
              <w:rPr>
                <w:rFonts w:ascii="inherit" w:hAnsi="inherit"/>
                <w:strike w:val="false"/>
                <w:dstrike w:val="false"/>
                <w:color w:val="000000"/>
                <w:sz w:val="17"/>
                <w:u w:val="none"/>
                <w:effect w:val="none"/>
              </w:rPr>
              <w:t>one year</w:t>
            </w:r>
            <w:r>
              <w:rPr>
                <w:sz w:val="17"/>
              </w:rPr>
              <w:t xml:space="preserve"> </w:t>
            </w:r>
            <w:r>
              <w:rPr>
                <w:rFonts w:ascii="inherit" w:hAnsi="inherit"/>
                <w:sz w:val="17"/>
              </w:rPr>
              <w:t>if his or her employment is terminated by without cause.</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100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Sterling B. Brinkley, Chairman of the Board, received a restricted stock award on October 2, 2006 that provides for accelerated vesting of some or all of the unvested shares under certain circumstances, including death or disability, failure to be re-elected to his current position or termination of employment without cause.</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100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Generally, restricted stock awards, including those granted to the executive officers, provide for accelerated vesting of some or all of the unvested shares in the event of the holder’s death or disability.</w:t>
            </w:r>
          </w:p>
        </w:tc>
      </w:tr>
    </w:tbl>
    <w:p>
      <w:pPr>
        <w:pStyle w:val="TextBody"/>
        <w:spacing w:lineRule="auto" w:line="288" w:before="0" w:after="0"/>
        <w:jc w:val="left"/>
        <w:rPr>
          <w:rFonts w:ascii="inherit" w:hAnsi="inherit"/>
          <w:b/>
          <w:sz w:val="17"/>
        </w:rPr>
      </w:pPr>
      <w:bookmarkStart w:id="83" w:name="sC476F052206F672A700E83E26E29823D"/>
      <w:bookmarkEnd w:id="83"/>
      <w:r>
        <w:rPr>
          <w:rFonts w:ascii="inherit" w:hAnsi="inherit"/>
          <w:b/>
          <w:sz w:val="17"/>
        </w:rPr>
        <w:t>NOTE 16: RETIREMENT PLANS</w:t>
      </w:r>
    </w:p>
    <w:p>
      <w:pPr>
        <w:pStyle w:val="TextBody"/>
        <w:spacing w:lineRule="auto" w:line="288" w:before="0" w:after="0"/>
        <w:jc w:val="left"/>
        <w:rPr>
          <w:sz w:val="17"/>
        </w:rPr>
      </w:pPr>
      <w:r>
        <w:rPr>
          <w:rFonts w:ascii="inherit" w:hAnsi="inherit"/>
          <w:sz w:val="17"/>
        </w:rPr>
        <w:t>We sponsor a 401(k) retirement savings plan under which eligible employees may contribute a portion of pre-tax earnings. In our sole discretion, we may match employee contributions in the form of either cash or our Class A Common Stock. Prior to July 1, 2013, a participant vested in the matching contributions pro rata over their first five</w:t>
      </w:r>
      <w:r>
        <w:rPr>
          <w:sz w:val="17"/>
        </w:rPr>
        <w:t xml:space="preserve"> </w:t>
      </w:r>
      <w:r>
        <w:rPr>
          <w:rFonts w:ascii="inherit" w:hAnsi="inherit"/>
          <w:sz w:val="17"/>
        </w:rPr>
        <w:t>years of service. As of July 1, 2013, a participant vests in the matching contributions pro rata over their first three</w:t>
      </w:r>
      <w:r>
        <w:rPr>
          <w:sz w:val="17"/>
        </w:rPr>
        <w:t xml:space="preserve"> </w:t>
      </w:r>
      <w:r>
        <w:rPr>
          <w:rFonts w:ascii="inherit" w:hAnsi="inherit"/>
          <w:sz w:val="17"/>
        </w:rPr>
        <w:t>years of service. All of a participant’s matching contributions vest 100%</w:t>
      </w:r>
      <w:r>
        <w:rPr>
          <w:sz w:val="17"/>
        </w:rPr>
        <w:t xml:space="preserve"> </w:t>
      </w:r>
      <w:r>
        <w:rPr>
          <w:rFonts w:ascii="inherit" w:hAnsi="inherit"/>
          <w:sz w:val="17"/>
        </w:rPr>
        <w:t>in the event of the participant’s death or disability or the termination of the plan due to a change in control.</w:t>
      </w:r>
    </w:p>
    <w:p>
      <w:pPr>
        <w:pStyle w:val="TextBody"/>
        <w:spacing w:lineRule="auto" w:line="288" w:before="0" w:after="0"/>
        <w:jc w:val="left"/>
        <w:rPr>
          <w:rFonts w:ascii="inherit" w:hAnsi="inherit"/>
          <w:sz w:val="17"/>
        </w:rPr>
      </w:pPr>
      <w:r>
        <w:rPr>
          <w:rFonts w:ascii="inherit" w:hAnsi="inherit"/>
          <w:sz w:val="17"/>
        </w:rPr>
        <w:t>The following table presents matching contribution information to our 401(k) Plan:</w:t>
      </w:r>
    </w:p>
    <w:tbl>
      <w:tblPr>
        <w:tblW w:w="10205" w:type="dxa"/>
        <w:jc w:val="left"/>
        <w:tblInd w:w="0" w:type="dxa"/>
        <w:tblCellMar>
          <w:top w:w="0" w:type="dxa"/>
          <w:left w:w="0" w:type="dxa"/>
          <w:bottom w:w="0" w:type="dxa"/>
          <w:right w:w="0" w:type="dxa"/>
        </w:tblCellMar>
      </w:tblPr>
      <w:tblGrid>
        <w:gridCol w:w="6010"/>
        <w:gridCol w:w="153"/>
        <w:gridCol w:w="1048"/>
        <w:gridCol w:w="102"/>
        <w:gridCol w:w="135"/>
        <w:gridCol w:w="153"/>
        <w:gridCol w:w="1048"/>
        <w:gridCol w:w="102"/>
        <w:gridCol w:w="135"/>
        <w:gridCol w:w="153"/>
        <w:gridCol w:w="1048"/>
        <w:gridCol w:w="118"/>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601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10" w:type="dxa"/>
            <w:tcBorders/>
            <w:shd w:fill="auto" w:val="clear"/>
            <w:vAlign w:val="center"/>
          </w:tcPr>
          <w:p>
            <w:pPr>
              <w:pStyle w:val="TableContents"/>
              <w:spacing w:before="0" w:after="0"/>
              <w:ind w:left="0" w:right="0" w:firstLine="30"/>
              <w:jc w:val="left"/>
              <w:rPr/>
            </w:pPr>
            <w:r>
              <w:rPr/>
              <w:t> </w:t>
            </w:r>
          </w:p>
        </w:tc>
        <w:tc>
          <w:tcPr>
            <w:tcW w:w="419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010" w:type="dxa"/>
            <w:tcBorders/>
            <w:shd w:fill="auto" w:val="clear"/>
            <w:vAlign w:val="center"/>
          </w:tcPr>
          <w:p>
            <w:pPr>
              <w:pStyle w:val="TableContents"/>
              <w:spacing w:before="0" w:after="0"/>
              <w:ind w:left="0" w:right="0" w:firstLine="30"/>
              <w:jc w:val="left"/>
              <w:rPr/>
            </w:pPr>
            <w:r>
              <w:rPr/>
              <w:t> </w:t>
            </w:r>
          </w:p>
        </w:tc>
        <w:tc>
          <w:tcPr>
            <w:tcW w:w="130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5" w:type="dxa"/>
            <w:tcBorders/>
            <w:shd w:fill="auto" w:val="clear"/>
            <w:vAlign w:val="center"/>
          </w:tcPr>
          <w:p>
            <w:pPr>
              <w:pStyle w:val="TableContents"/>
              <w:spacing w:before="0" w:after="0"/>
              <w:ind w:left="0" w:right="0" w:firstLine="30"/>
              <w:rPr/>
            </w:pPr>
            <w:r>
              <w:rPr/>
              <w:t> </w:t>
            </w:r>
          </w:p>
        </w:tc>
        <w:tc>
          <w:tcPr>
            <w:tcW w:w="13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5" w:type="dxa"/>
            <w:tcBorders/>
            <w:shd w:fill="auto" w:val="clear"/>
            <w:vAlign w:val="center"/>
          </w:tcPr>
          <w:p>
            <w:pPr>
              <w:pStyle w:val="TableContents"/>
              <w:spacing w:before="0" w:after="0"/>
              <w:ind w:left="0" w:right="0" w:firstLine="30"/>
              <w:rPr/>
            </w:pPr>
            <w:r>
              <w:rPr/>
              <w:t> </w:t>
            </w:r>
          </w:p>
        </w:tc>
        <w:tc>
          <w:tcPr>
            <w:tcW w:w="13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010" w:type="dxa"/>
            <w:tcBorders/>
            <w:shd w:fill="auto" w:val="clear"/>
            <w:vAlign w:val="center"/>
          </w:tcPr>
          <w:p>
            <w:pPr>
              <w:pStyle w:val="TableContents"/>
              <w:spacing w:before="0" w:after="0"/>
              <w:ind w:left="0" w:right="0" w:firstLine="30"/>
              <w:jc w:val="left"/>
              <w:rPr/>
            </w:pPr>
            <w:r>
              <w:rPr/>
              <w:t> </w:t>
            </w:r>
          </w:p>
        </w:tc>
        <w:tc>
          <w:tcPr>
            <w:tcW w:w="4195"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0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Matching contributions to EZCORP 401(k) Plan</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8" w:type="dxa"/>
            <w:tcBorders/>
            <w:shd w:fill="CCEEFF" w:val="clear"/>
            <w:vAlign w:val="center"/>
          </w:tcPr>
          <w:p>
            <w:pPr>
              <w:pStyle w:val="TableContents"/>
              <w:spacing w:before="0" w:after="0"/>
              <w:jc w:val="right"/>
              <w:rPr>
                <w:rFonts w:ascii="inherit" w:hAnsi="inherit"/>
                <w:sz w:val="17"/>
              </w:rPr>
            </w:pPr>
            <w:r>
              <w:rPr>
                <w:rFonts w:ascii="inherit" w:hAnsi="inherit"/>
                <w:sz w:val="17"/>
              </w:rPr>
              <w:t>557</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8" w:type="dxa"/>
            <w:tcBorders/>
            <w:shd w:fill="CCEEFF" w:val="clear"/>
            <w:vAlign w:val="center"/>
          </w:tcPr>
          <w:p>
            <w:pPr>
              <w:pStyle w:val="TableContents"/>
              <w:spacing w:before="0" w:after="0"/>
              <w:jc w:val="right"/>
              <w:rPr>
                <w:rFonts w:ascii="inherit" w:hAnsi="inherit"/>
                <w:sz w:val="17"/>
              </w:rPr>
            </w:pPr>
            <w:r>
              <w:rPr>
                <w:rFonts w:ascii="inherit" w:hAnsi="inherit"/>
                <w:sz w:val="17"/>
              </w:rPr>
              <w:t>459</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8" w:type="dxa"/>
            <w:tcBorders/>
            <w:shd w:fill="CCEEFF" w:val="clear"/>
            <w:vAlign w:val="center"/>
          </w:tcPr>
          <w:p>
            <w:pPr>
              <w:pStyle w:val="TableContents"/>
              <w:spacing w:before="0" w:after="0"/>
              <w:jc w:val="right"/>
              <w:rPr>
                <w:rFonts w:ascii="inherit" w:hAnsi="inherit"/>
                <w:sz w:val="17"/>
              </w:rPr>
            </w:pPr>
            <w:r>
              <w:rPr>
                <w:rFonts w:ascii="inherit" w:hAnsi="inherit"/>
                <w:sz w:val="17"/>
              </w:rPr>
              <w:t>377</w:t>
            </w:r>
          </w:p>
        </w:tc>
        <w:tc>
          <w:tcPr>
            <w:tcW w:w="118"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sz w:val="17"/>
        </w:rPr>
        <w:t xml:space="preserve">We also provide a non-qualified Supplemental Executive Retirement Plan for selected executives. Funds in the Supplemental Executive Retirement Plan vest over </w:t>
      </w:r>
      <w:r>
        <w:rPr>
          <w:rFonts w:ascii="inherit" w:hAnsi="inherit"/>
          <w:strike w:val="false"/>
          <w:dstrike w:val="false"/>
          <w:color w:val="000000"/>
          <w:sz w:val="17"/>
          <w:u w:val="none"/>
          <w:effect w:val="none"/>
        </w:rPr>
        <w:t>three</w:t>
      </w:r>
      <w:r>
        <w:rPr>
          <w:sz w:val="17"/>
        </w:rPr>
        <w:t xml:space="preserve"> </w:t>
      </w:r>
      <w:r>
        <w:rPr>
          <w:rFonts w:ascii="inherit" w:hAnsi="inherit"/>
          <w:sz w:val="17"/>
        </w:rPr>
        <w:t xml:space="preserve">years from the grant date, with </w:t>
      </w:r>
      <w:r>
        <w:rPr>
          <w:rFonts w:ascii="inherit" w:hAnsi="inherit"/>
          <w:strike w:val="false"/>
          <w:dstrike w:val="false"/>
          <w:color w:val="000000"/>
          <w:sz w:val="17"/>
          <w:u w:val="none"/>
          <w:effect w:val="none"/>
        </w:rPr>
        <w:t>one-third vesting each year</w:t>
      </w:r>
      <w:r>
        <w:rPr>
          <w:rFonts w:ascii="inherit" w:hAnsi="inherit"/>
          <w:sz w:val="17"/>
        </w:rPr>
        <w:t xml:space="preserve">. All of a participant’s Supplemental Executive Retirement Plan funds from all grants vest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in the event of the participant’s death or disability or the termination of the plan due to a change in control. In addition, the Supplemental Executive Retirement Plan funds are </w:t>
      </w:r>
      <w:r>
        <w:rPr>
          <w:rFonts w:ascii="inherit" w:hAnsi="inherit"/>
          <w:strike w:val="false"/>
          <w:dstrike w:val="false"/>
          <w:color w:val="000000"/>
          <w:sz w:val="17"/>
          <w:u w:val="none"/>
          <w:effect w:val="none"/>
        </w:rPr>
        <w:t>100%</w:t>
      </w:r>
      <w:r>
        <w:rPr>
          <w:sz w:val="17"/>
        </w:rPr>
        <w:t xml:space="preserv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90</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vested when a participant attains his or her normal retirement age (</w:t>
      </w:r>
      <w:r>
        <w:rPr>
          <w:rFonts w:ascii="inherit" w:hAnsi="inherit"/>
          <w:strike w:val="false"/>
          <w:dstrike w:val="false"/>
          <w:color w:val="000000"/>
          <w:sz w:val="17"/>
          <w:u w:val="none"/>
          <w:effect w:val="none"/>
        </w:rPr>
        <w:t>60 years old and five years of active service</w:t>
      </w:r>
      <w:r>
        <w:rPr>
          <w:rFonts w:ascii="inherit" w:hAnsi="inherit"/>
          <w:sz w:val="17"/>
        </w:rPr>
        <w:t>) while actively employed by us. Expense of contributions to the Supplemental Executive Retirement Plan is recognized based on the vesting schedule.</w:t>
      </w:r>
    </w:p>
    <w:p>
      <w:pPr>
        <w:pStyle w:val="TextBody"/>
        <w:spacing w:lineRule="auto" w:line="288" w:before="0" w:after="0"/>
        <w:jc w:val="left"/>
        <w:rPr>
          <w:rFonts w:ascii="inherit" w:hAnsi="inherit"/>
          <w:sz w:val="17"/>
        </w:rPr>
      </w:pPr>
      <w:r>
        <w:rPr>
          <w:rFonts w:ascii="inherit" w:hAnsi="inherit"/>
          <w:sz w:val="17"/>
        </w:rPr>
        <w:t>The following table provides contribution and amortized expense amounts related to the Supplemental Executive Retirement Plan:</w:t>
      </w:r>
    </w:p>
    <w:tbl>
      <w:tblPr>
        <w:tblW w:w="10205" w:type="dxa"/>
        <w:jc w:val="left"/>
        <w:tblInd w:w="0" w:type="dxa"/>
        <w:tblCellMar>
          <w:top w:w="0" w:type="dxa"/>
          <w:left w:w="0" w:type="dxa"/>
          <w:bottom w:w="0" w:type="dxa"/>
          <w:right w:w="0" w:type="dxa"/>
        </w:tblCellMar>
      </w:tblPr>
      <w:tblGrid>
        <w:gridCol w:w="6005"/>
        <w:gridCol w:w="147"/>
        <w:gridCol w:w="1109"/>
        <w:gridCol w:w="101"/>
        <w:gridCol w:w="130"/>
        <w:gridCol w:w="147"/>
        <w:gridCol w:w="1036"/>
        <w:gridCol w:w="101"/>
        <w:gridCol w:w="130"/>
        <w:gridCol w:w="147"/>
        <w:gridCol w:w="1036"/>
        <w:gridCol w:w="116"/>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600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05" w:type="dxa"/>
            <w:tcBorders/>
            <w:shd w:fill="auto" w:val="clear"/>
            <w:vAlign w:val="center"/>
          </w:tcPr>
          <w:p>
            <w:pPr>
              <w:pStyle w:val="TableContents"/>
              <w:spacing w:before="0" w:after="0"/>
              <w:ind w:left="0" w:right="0" w:firstLine="30"/>
              <w:jc w:val="left"/>
              <w:rPr/>
            </w:pPr>
            <w:r>
              <w:rPr/>
              <w:t> </w:t>
            </w:r>
          </w:p>
        </w:tc>
        <w:tc>
          <w:tcPr>
            <w:tcW w:w="420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005" w:type="dxa"/>
            <w:tcBorders/>
            <w:shd w:fill="auto" w:val="clear"/>
            <w:vAlign w:val="center"/>
          </w:tcPr>
          <w:p>
            <w:pPr>
              <w:pStyle w:val="TableContents"/>
              <w:spacing w:before="0" w:after="0"/>
              <w:ind w:left="0" w:right="0" w:firstLine="30"/>
              <w:jc w:val="left"/>
              <w:rPr/>
            </w:pPr>
            <w:r>
              <w:rPr/>
              <w:t> </w:t>
            </w:r>
          </w:p>
        </w:tc>
        <w:tc>
          <w:tcPr>
            <w:tcW w:w="135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8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9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005" w:type="dxa"/>
            <w:tcBorders/>
            <w:shd w:fill="auto" w:val="clear"/>
            <w:vAlign w:val="center"/>
          </w:tcPr>
          <w:p>
            <w:pPr>
              <w:pStyle w:val="TableContents"/>
              <w:spacing w:before="0" w:after="0"/>
              <w:ind w:left="0" w:right="0" w:firstLine="30"/>
              <w:jc w:val="left"/>
              <w:rPr/>
            </w:pPr>
            <w:r>
              <w:rPr/>
              <w:t> </w:t>
            </w:r>
          </w:p>
        </w:tc>
        <w:tc>
          <w:tcPr>
            <w:tcW w:w="4200"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Contributions to the Supplemental Executive Retirement Plan</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9" w:type="dxa"/>
            <w:tcBorders/>
            <w:shd w:fill="CCEEFF" w:val="clear"/>
            <w:vAlign w:val="center"/>
          </w:tcPr>
          <w:p>
            <w:pPr>
              <w:pStyle w:val="TableContents"/>
              <w:spacing w:before="0" w:after="0"/>
              <w:jc w:val="right"/>
              <w:rPr>
                <w:rFonts w:ascii="inherit" w:hAnsi="inherit"/>
                <w:sz w:val="17"/>
              </w:rPr>
            </w:pPr>
            <w:r>
              <w:rPr>
                <w:rFonts w:ascii="inherit" w:hAnsi="inherit"/>
                <w:sz w:val="17"/>
              </w:rPr>
              <w:t>1,069</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CCEEFF" w:val="clear"/>
            <w:vAlign w:val="center"/>
          </w:tcPr>
          <w:p>
            <w:pPr>
              <w:pStyle w:val="TableContents"/>
              <w:spacing w:before="0" w:after="0"/>
              <w:jc w:val="right"/>
              <w:rPr>
                <w:rFonts w:ascii="inherit" w:hAnsi="inherit"/>
                <w:sz w:val="17"/>
              </w:rPr>
            </w:pPr>
            <w:r>
              <w:rPr>
                <w:rFonts w:ascii="inherit" w:hAnsi="inherit"/>
                <w:sz w:val="17"/>
              </w:rPr>
              <w:t>938</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CCEEFF" w:val="clear"/>
            <w:vAlign w:val="center"/>
          </w:tcPr>
          <w:p>
            <w:pPr>
              <w:pStyle w:val="TableContents"/>
              <w:spacing w:before="0" w:after="0"/>
              <w:jc w:val="right"/>
              <w:rPr>
                <w:rFonts w:ascii="inherit" w:hAnsi="inherit"/>
                <w:sz w:val="17"/>
              </w:rPr>
            </w:pPr>
            <w:r>
              <w:rPr>
                <w:rFonts w:ascii="inherit" w:hAnsi="inherit"/>
                <w:sz w:val="17"/>
              </w:rPr>
              <w:t>701</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Amortized expense due to Supplemental Executive Retirement Plan</w:t>
            </w:r>
          </w:p>
        </w:tc>
        <w:tc>
          <w:tcPr>
            <w:tcW w:w="14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9" w:type="dxa"/>
            <w:tcBorders/>
            <w:shd w:fill="auto" w:val="clear"/>
            <w:vAlign w:val="center"/>
          </w:tcPr>
          <w:p>
            <w:pPr>
              <w:pStyle w:val="TableContents"/>
              <w:spacing w:before="0" w:after="0"/>
              <w:jc w:val="right"/>
              <w:rPr>
                <w:rFonts w:ascii="inherit" w:hAnsi="inherit"/>
                <w:sz w:val="17"/>
              </w:rPr>
            </w:pPr>
            <w:r>
              <w:rPr>
                <w:rFonts w:ascii="inherit" w:hAnsi="inherit"/>
                <w:sz w:val="17"/>
              </w:rPr>
              <w:t>988</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auto" w:val="clear"/>
            <w:vAlign w:val="center"/>
          </w:tcPr>
          <w:p>
            <w:pPr>
              <w:pStyle w:val="TableContents"/>
              <w:spacing w:before="0" w:after="0"/>
              <w:jc w:val="right"/>
              <w:rPr>
                <w:rFonts w:ascii="inherit" w:hAnsi="inherit"/>
                <w:sz w:val="17"/>
              </w:rPr>
            </w:pPr>
            <w:r>
              <w:rPr>
                <w:rFonts w:ascii="inherit" w:hAnsi="inherit"/>
                <w:sz w:val="17"/>
              </w:rPr>
              <w:t>807</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6" w:type="dxa"/>
            <w:tcBorders/>
            <w:shd w:fill="auto" w:val="clear"/>
            <w:vAlign w:val="center"/>
          </w:tcPr>
          <w:p>
            <w:pPr>
              <w:pStyle w:val="TableContents"/>
              <w:spacing w:before="0" w:after="0"/>
              <w:jc w:val="right"/>
              <w:rPr>
                <w:rFonts w:ascii="inherit" w:hAnsi="inherit"/>
                <w:sz w:val="17"/>
              </w:rPr>
            </w:pPr>
            <w:r>
              <w:rPr>
                <w:rFonts w:ascii="inherit" w:hAnsi="inherit"/>
                <w:sz w:val="17"/>
              </w:rPr>
              <w:t>526</w:t>
            </w:r>
          </w:p>
        </w:tc>
        <w:tc>
          <w:tcPr>
            <w:tcW w:w="116"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7"/>
        </w:rPr>
      </w:pPr>
      <w:bookmarkStart w:id="84" w:name="s425DCB0DB29B629D783A83E26E310079"/>
      <w:bookmarkEnd w:id="84"/>
      <w:r>
        <w:rPr>
          <w:rFonts w:ascii="inherit" w:hAnsi="inherit"/>
          <w:b/>
          <w:sz w:val="17"/>
        </w:rPr>
        <w:t>NOTE 17: CONTINGENCIES</w:t>
      </w:r>
    </w:p>
    <w:p>
      <w:pPr>
        <w:pStyle w:val="TextBody"/>
        <w:spacing w:lineRule="auto" w:line="288" w:before="0" w:after="0"/>
        <w:jc w:val="left"/>
        <w:rPr>
          <w:rFonts w:ascii="inherit" w:hAnsi="inherit"/>
          <w:sz w:val="17"/>
        </w:rPr>
      </w:pPr>
      <w:r>
        <w:rPr>
          <w:rFonts w:ascii="inherit" w:hAnsi="inherit"/>
          <w:sz w:val="17"/>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91</w:t>
      </w:r>
      <w:r>
        <w:br w:type="page"/>
      </w:r>
    </w:p>
    <w:p>
      <w:pPr>
        <w:pStyle w:val="TextBody"/>
        <w:spacing w:lineRule="auto" w:line="288" w:before="0" w:after="0"/>
        <w:rPr/>
      </w:pPr>
      <w:hyperlink w:anchor="sA13583D437E20DC41B4583E2BD74AA47">
        <w:bookmarkStart w:id="85" w:name="s9915355909EDF0AE8F5D83E26E32CAD7"/>
        <w:bookmarkEnd w:id="85"/>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NOTE 18: QUARTERLY INFORMATION (UNAUDITED)</w:t>
      </w:r>
    </w:p>
    <w:tbl>
      <w:tblPr>
        <w:tblW w:w="10205" w:type="dxa"/>
        <w:jc w:val="center"/>
        <w:tblInd w:w="0" w:type="dxa"/>
        <w:tblCellMar>
          <w:top w:w="0" w:type="dxa"/>
          <w:left w:w="0" w:type="dxa"/>
          <w:bottom w:w="0" w:type="dxa"/>
          <w:right w:w="0" w:type="dxa"/>
        </w:tblCellMar>
      </w:tblPr>
      <w:tblGrid>
        <w:gridCol w:w="4337"/>
        <w:gridCol w:w="140"/>
        <w:gridCol w:w="1042"/>
        <w:gridCol w:w="132"/>
        <w:gridCol w:w="122"/>
        <w:gridCol w:w="140"/>
        <w:gridCol w:w="1192"/>
        <w:gridCol w:w="132"/>
        <w:gridCol w:w="122"/>
        <w:gridCol w:w="140"/>
        <w:gridCol w:w="1042"/>
        <w:gridCol w:w="132"/>
        <w:gridCol w:w="122"/>
        <w:gridCol w:w="140"/>
        <w:gridCol w:w="1117"/>
        <w:gridCol w:w="153"/>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33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37" w:type="dxa"/>
            <w:tcBorders/>
            <w:shd w:fill="auto" w:val="clear"/>
            <w:vAlign w:val="center"/>
          </w:tcPr>
          <w:p>
            <w:pPr>
              <w:pStyle w:val="TableContents"/>
              <w:spacing w:before="0" w:after="0"/>
              <w:rPr/>
            </w:pPr>
            <w:r>
              <w:rPr/>
              <w:t> </w:t>
            </w:r>
          </w:p>
        </w:tc>
        <w:tc>
          <w:tcPr>
            <w:tcW w:w="131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First Quarter</w:t>
            </w:r>
          </w:p>
        </w:tc>
        <w:tc>
          <w:tcPr>
            <w:tcW w:w="122" w:type="dxa"/>
            <w:tcBorders/>
            <w:shd w:fill="auto" w:val="clear"/>
            <w:vAlign w:val="center"/>
          </w:tcPr>
          <w:p>
            <w:pPr>
              <w:pStyle w:val="TableContents"/>
              <w:spacing w:before="0" w:after="0"/>
              <w:rPr/>
            </w:pPr>
            <w:r>
              <w:rPr/>
              <w:t> </w:t>
            </w:r>
          </w:p>
        </w:tc>
        <w:tc>
          <w:tcPr>
            <w:tcW w:w="14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Second Quarter</w:t>
            </w:r>
          </w:p>
        </w:tc>
        <w:tc>
          <w:tcPr>
            <w:tcW w:w="122" w:type="dxa"/>
            <w:tcBorders/>
            <w:shd w:fill="auto" w:val="clear"/>
            <w:vAlign w:val="center"/>
          </w:tcPr>
          <w:p>
            <w:pPr>
              <w:pStyle w:val="TableContents"/>
              <w:spacing w:before="0" w:after="0"/>
              <w:rPr/>
            </w:pPr>
            <w:r>
              <w:rPr/>
              <w:t> </w:t>
            </w:r>
          </w:p>
        </w:tc>
        <w:tc>
          <w:tcPr>
            <w:tcW w:w="131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Third Quarter</w:t>
            </w:r>
          </w:p>
        </w:tc>
        <w:tc>
          <w:tcPr>
            <w:tcW w:w="122" w:type="dxa"/>
            <w:tcBorders/>
            <w:shd w:fill="auto" w:val="clear"/>
            <w:vAlign w:val="center"/>
          </w:tcPr>
          <w:p>
            <w:pPr>
              <w:pStyle w:val="TableContents"/>
              <w:spacing w:before="0" w:after="0"/>
              <w:rPr/>
            </w:pPr>
            <w:r>
              <w:rPr/>
              <w:t> </w:t>
            </w:r>
          </w:p>
        </w:tc>
        <w:tc>
          <w:tcPr>
            <w:tcW w:w="14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Fourth Quarter</w:t>
            </w:r>
          </w:p>
        </w:tc>
      </w:tr>
      <w:tr>
        <w:trPr/>
        <w:tc>
          <w:tcPr>
            <w:tcW w:w="4337" w:type="dxa"/>
            <w:tcBorders/>
            <w:shd w:fill="auto" w:val="clear"/>
            <w:vAlign w:val="center"/>
          </w:tcPr>
          <w:p>
            <w:pPr>
              <w:pStyle w:val="TableContents"/>
              <w:spacing w:before="0" w:after="0"/>
              <w:ind w:left="0" w:right="0" w:firstLine="30"/>
              <w:jc w:val="left"/>
              <w:rPr/>
            </w:pPr>
            <w:r>
              <w:rPr/>
              <w:t> </w:t>
            </w:r>
          </w:p>
        </w:tc>
        <w:tc>
          <w:tcPr>
            <w:tcW w:w="5868"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4337"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Year Ended September 30, 2013</w:t>
            </w:r>
          </w:p>
        </w:tc>
        <w:tc>
          <w:tcPr>
            <w:tcW w:w="1314" w:type="dxa"/>
            <w:gridSpan w:val="3"/>
            <w:tcBorders/>
            <w:shd w:fill="CCEEFF" w:val="clear"/>
            <w:vAlign w:val="center"/>
          </w:tcPr>
          <w:p>
            <w:pPr>
              <w:pStyle w:val="TableContents"/>
              <w:spacing w:before="0" w:after="0"/>
              <w:ind w:left="0" w:right="0" w:firstLine="30"/>
              <w:jc w:val="left"/>
              <w:rPr/>
            </w:pPr>
            <w:r>
              <w:rPr/>
              <w:t> </w:t>
            </w:r>
          </w:p>
        </w:tc>
        <w:tc>
          <w:tcPr>
            <w:tcW w:w="122" w:type="dxa"/>
            <w:tcBorders/>
            <w:shd w:fill="CCEEFF" w:val="clear"/>
            <w:vAlign w:val="center"/>
          </w:tcPr>
          <w:p>
            <w:pPr>
              <w:pStyle w:val="TableContents"/>
              <w:spacing w:before="0" w:after="0"/>
              <w:ind w:left="0" w:right="0" w:firstLine="30"/>
              <w:rPr/>
            </w:pPr>
            <w:r>
              <w:rPr/>
              <w:t> </w:t>
            </w:r>
          </w:p>
        </w:tc>
        <w:tc>
          <w:tcPr>
            <w:tcW w:w="1464" w:type="dxa"/>
            <w:gridSpan w:val="3"/>
            <w:tcBorders/>
            <w:shd w:fill="CCEEFF" w:val="clear"/>
            <w:vAlign w:val="center"/>
          </w:tcPr>
          <w:p>
            <w:pPr>
              <w:pStyle w:val="TableContents"/>
              <w:spacing w:before="0" w:after="0"/>
              <w:ind w:left="0" w:right="0" w:firstLine="30"/>
              <w:jc w:val="left"/>
              <w:rPr/>
            </w:pPr>
            <w:r>
              <w:rPr/>
              <w:t> </w:t>
            </w:r>
          </w:p>
        </w:tc>
        <w:tc>
          <w:tcPr>
            <w:tcW w:w="122" w:type="dxa"/>
            <w:tcBorders/>
            <w:shd w:fill="CCEEFF" w:val="clear"/>
            <w:vAlign w:val="center"/>
          </w:tcPr>
          <w:p>
            <w:pPr>
              <w:pStyle w:val="TableContents"/>
              <w:spacing w:before="0" w:after="0"/>
              <w:ind w:left="0" w:right="0" w:firstLine="30"/>
              <w:rPr/>
            </w:pPr>
            <w:r>
              <w:rPr/>
              <w:t> </w:t>
            </w:r>
          </w:p>
        </w:tc>
        <w:tc>
          <w:tcPr>
            <w:tcW w:w="1314" w:type="dxa"/>
            <w:gridSpan w:val="3"/>
            <w:tcBorders/>
            <w:shd w:fill="CCEEFF" w:val="clear"/>
            <w:vAlign w:val="center"/>
          </w:tcPr>
          <w:p>
            <w:pPr>
              <w:pStyle w:val="TableContents"/>
              <w:spacing w:before="0" w:after="0"/>
              <w:ind w:left="0" w:right="0" w:firstLine="30"/>
              <w:jc w:val="left"/>
              <w:rPr/>
            </w:pPr>
            <w:r>
              <w:rPr/>
              <w:t> </w:t>
            </w:r>
          </w:p>
        </w:tc>
        <w:tc>
          <w:tcPr>
            <w:tcW w:w="122" w:type="dxa"/>
            <w:tcBorders/>
            <w:shd w:fill="CCEEFF" w:val="clear"/>
            <w:vAlign w:val="center"/>
          </w:tcPr>
          <w:p>
            <w:pPr>
              <w:pStyle w:val="TableContents"/>
              <w:spacing w:before="0" w:after="0"/>
              <w:ind w:left="0" w:right="0" w:firstLine="30"/>
              <w:rPr/>
            </w:pPr>
            <w:r>
              <w:rPr/>
              <w:t> </w:t>
            </w:r>
          </w:p>
        </w:tc>
        <w:tc>
          <w:tcPr>
            <w:tcW w:w="1410" w:type="dxa"/>
            <w:gridSpan w:val="3"/>
            <w:tcBorders/>
            <w:shd w:fill="CCEEFF" w:val="clear"/>
            <w:vAlign w:val="center"/>
          </w:tcPr>
          <w:p>
            <w:pPr>
              <w:pStyle w:val="TableContents"/>
              <w:spacing w:before="0" w:after="0"/>
              <w:ind w:left="0" w:right="0" w:firstLine="30"/>
              <w:jc w:val="left"/>
              <w:rPr/>
            </w:pPr>
            <w:r>
              <w:rPr/>
              <w:t> </w:t>
            </w:r>
          </w:p>
        </w:tc>
      </w:tr>
      <w:tr>
        <w:trPr/>
        <w:tc>
          <w:tcPr>
            <w:tcW w:w="43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revenues</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auto" w:val="clear"/>
            <w:vAlign w:val="center"/>
          </w:tcPr>
          <w:p>
            <w:pPr>
              <w:pStyle w:val="TableContents"/>
              <w:spacing w:before="0" w:after="0"/>
              <w:jc w:val="right"/>
              <w:rPr>
                <w:rFonts w:ascii="inherit" w:hAnsi="inherit"/>
                <w:sz w:val="17"/>
              </w:rPr>
            </w:pPr>
            <w:r>
              <w:rPr>
                <w:rFonts w:ascii="inherit" w:hAnsi="inherit"/>
                <w:sz w:val="17"/>
              </w:rPr>
              <w:t>272,661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auto" w:val="clear"/>
            <w:vAlign w:val="center"/>
          </w:tcPr>
          <w:p>
            <w:pPr>
              <w:pStyle w:val="TableContents"/>
              <w:spacing w:before="0" w:after="0"/>
              <w:jc w:val="right"/>
              <w:rPr>
                <w:rFonts w:ascii="inherit" w:hAnsi="inherit"/>
                <w:sz w:val="17"/>
              </w:rPr>
            </w:pPr>
            <w:r>
              <w:rPr>
                <w:rFonts w:ascii="inherit" w:hAnsi="inherit"/>
                <w:sz w:val="17"/>
              </w:rPr>
              <w:t>268,114</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auto" w:val="clear"/>
            <w:vAlign w:val="center"/>
          </w:tcPr>
          <w:p>
            <w:pPr>
              <w:pStyle w:val="TableContents"/>
              <w:spacing w:before="0" w:after="0"/>
              <w:jc w:val="right"/>
              <w:rPr>
                <w:rFonts w:ascii="inherit" w:hAnsi="inherit"/>
                <w:sz w:val="17"/>
              </w:rPr>
            </w:pPr>
            <w:r>
              <w:rPr>
                <w:rFonts w:ascii="inherit" w:hAnsi="inherit"/>
                <w:sz w:val="17"/>
              </w:rPr>
              <w:t>235,166</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7" w:type="dxa"/>
            <w:tcBorders/>
            <w:shd w:fill="auto" w:val="clear"/>
            <w:vAlign w:val="center"/>
          </w:tcPr>
          <w:p>
            <w:pPr>
              <w:pStyle w:val="TableContents"/>
              <w:spacing w:before="0" w:after="0"/>
              <w:jc w:val="right"/>
              <w:rPr>
                <w:rFonts w:ascii="inherit" w:hAnsi="inherit"/>
                <w:sz w:val="17"/>
              </w:rPr>
            </w:pPr>
            <w:r>
              <w:rPr>
                <w:rFonts w:ascii="inherit" w:hAnsi="inherit"/>
                <w:sz w:val="17"/>
              </w:rPr>
              <w:t>234,366</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revenues</w:t>
            </w:r>
          </w:p>
        </w:tc>
        <w:tc>
          <w:tcPr>
            <w:tcW w:w="11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172,890</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171,630</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151,221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144,943</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(loss) from continuing operations, net of tax</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33,861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36,490</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16,657</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(25,273</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(Loss) income from discontinued operations, net of tax</w:t>
            </w:r>
          </w:p>
        </w:tc>
        <w:tc>
          <w:tcPr>
            <w:tcW w:w="11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(1,706</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33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(1,610</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(21,497</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25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1,503</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 (loss)</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32,155</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34,880</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(4,840</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(23,770</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income from continuing operations attributable to redeemable noncontrolling interest</w:t>
            </w:r>
          </w:p>
        </w:tc>
        <w:tc>
          <w:tcPr>
            <w:tcW w:w="11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1,438</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899</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970</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 (loss) attributable to EZCORP, Inc.</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30,717</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33,981</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(5,881</w:t>
            </w:r>
          </w:p>
        </w:tc>
        <w:tc>
          <w:tcPr>
            <w:tcW w:w="13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(24,740</w:t>
            </w:r>
          </w:p>
        </w:tc>
        <w:tc>
          <w:tcPr>
            <w:tcW w:w="15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37" w:type="dxa"/>
            <w:tcBorders/>
            <w:shd w:fill="CCEEFF" w:val="clear"/>
            <w:vAlign w:val="center"/>
          </w:tcPr>
          <w:p>
            <w:pPr>
              <w:pStyle w:val="TableContents"/>
              <w:spacing w:before="0" w:after="0"/>
              <w:ind w:left="0" w:right="0" w:firstLine="30"/>
              <w:rPr/>
            </w:pPr>
            <w:r>
              <w:rPr/>
              <w:t> </w:t>
            </w:r>
          </w:p>
        </w:tc>
        <w:tc>
          <w:tcPr>
            <w:tcW w:w="131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6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1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10" w:type="dxa"/>
            <w:gridSpan w:val="3"/>
            <w:tcBorders/>
            <w:shd w:fill="CCEEFF" w:val="clear"/>
            <w:vAlign w:val="center"/>
          </w:tcPr>
          <w:p>
            <w:pPr>
              <w:pStyle w:val="TableContents"/>
              <w:spacing w:before="0" w:after="0"/>
              <w:ind w:left="0" w:right="0" w:firstLine="30"/>
              <w:rPr/>
            </w:pPr>
            <w:r>
              <w:rPr/>
              <w:t> </w:t>
            </w:r>
          </w:p>
        </w:tc>
      </w:tr>
      <w:tr>
        <w:trPr/>
        <w:tc>
          <w:tcPr>
            <w:tcW w:w="43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Basic earnings (loss) per share attributable to EZCORP, Inc.:</w:t>
            </w:r>
          </w:p>
        </w:tc>
        <w:tc>
          <w:tcPr>
            <w:tcW w:w="1314"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464"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14"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410" w:type="dxa"/>
            <w:gridSpan w:val="3"/>
            <w:tcBorders/>
            <w:shd w:fill="auto" w:val="clear"/>
            <w:vAlign w:val="center"/>
          </w:tcPr>
          <w:p>
            <w:pPr>
              <w:pStyle w:val="TableContents"/>
              <w:spacing w:before="0" w:after="0"/>
              <w:ind w:left="0" w:right="0" w:firstLine="30"/>
              <w:rPr/>
            </w:pPr>
            <w:r>
              <w:rPr/>
              <w:t> </w:t>
            </w:r>
          </w:p>
        </w:tc>
      </w:tr>
      <w:tr>
        <w:trPr/>
        <w:tc>
          <w:tcPr>
            <w:tcW w:w="43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Continuing operations</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rFonts w:ascii="inherit" w:hAnsi="inherit"/>
                <w:sz w:val="17"/>
              </w:rPr>
            </w:pPr>
            <w:r>
              <w:rPr>
                <w:rFonts w:ascii="inherit" w:hAnsi="inherit"/>
                <w:sz w:val="17"/>
              </w:rPr>
              <w:t>0.62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CCEEFF" w:val="clear"/>
            <w:vAlign w:val="center"/>
          </w:tcPr>
          <w:p>
            <w:pPr>
              <w:pStyle w:val="TableContents"/>
              <w:spacing w:before="0" w:after="0"/>
              <w:jc w:val="right"/>
              <w:rPr>
                <w:rFonts w:ascii="inherit" w:hAnsi="inherit"/>
                <w:sz w:val="17"/>
              </w:rPr>
            </w:pPr>
            <w:r>
              <w:rPr>
                <w:rFonts w:ascii="inherit" w:hAnsi="inherit"/>
                <w:sz w:val="17"/>
              </w:rPr>
              <w:t>0.66</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rFonts w:ascii="inherit" w:hAnsi="inherit"/>
                <w:sz w:val="17"/>
              </w:rPr>
            </w:pPr>
            <w:r>
              <w:rPr>
                <w:rFonts w:ascii="inherit" w:hAnsi="inherit"/>
                <w:sz w:val="17"/>
              </w:rPr>
              <w:t>0.29</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7" w:type="dxa"/>
            <w:tcBorders/>
            <w:shd w:fill="CCEEFF" w:val="clear"/>
            <w:vAlign w:val="center"/>
          </w:tcPr>
          <w:p>
            <w:pPr>
              <w:pStyle w:val="TableContents"/>
              <w:spacing w:before="0" w:after="0"/>
              <w:jc w:val="right"/>
              <w:rPr>
                <w:rFonts w:ascii="inherit" w:hAnsi="inherit"/>
                <w:sz w:val="17"/>
              </w:rPr>
            </w:pPr>
            <w:r>
              <w:rPr>
                <w:rFonts w:ascii="inherit" w:hAnsi="inherit"/>
                <w:sz w:val="17"/>
              </w:rPr>
              <w:t>(0.48</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Discontinued operations</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(0.03</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3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(0.03</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(0.40</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0.02</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Basic earnings (loss) per share</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0.59</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0.63</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(0.11</w:t>
            </w:r>
          </w:p>
        </w:tc>
        <w:tc>
          <w:tcPr>
            <w:tcW w:w="13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(0.46</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37" w:type="dxa"/>
            <w:tcBorders/>
            <w:shd w:fill="auto" w:val="clear"/>
            <w:vAlign w:val="center"/>
          </w:tcPr>
          <w:p>
            <w:pPr>
              <w:pStyle w:val="TableContents"/>
              <w:spacing w:before="0" w:after="0"/>
              <w:ind w:left="0" w:right="0" w:firstLine="30"/>
              <w:rPr/>
            </w:pPr>
            <w:r>
              <w:rPr/>
              <w:t> </w:t>
            </w:r>
          </w:p>
        </w:tc>
        <w:tc>
          <w:tcPr>
            <w:tcW w:w="1314"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464"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14"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410" w:type="dxa"/>
            <w:gridSpan w:val="3"/>
            <w:tcBorders/>
            <w:shd w:fill="auto" w:val="clear"/>
            <w:vAlign w:val="center"/>
          </w:tcPr>
          <w:p>
            <w:pPr>
              <w:pStyle w:val="TableContents"/>
              <w:spacing w:before="0" w:after="0"/>
              <w:ind w:left="0" w:right="0" w:firstLine="30"/>
              <w:rPr/>
            </w:pPr>
            <w:r>
              <w:rPr/>
              <w:t> </w:t>
            </w:r>
          </w:p>
        </w:tc>
      </w:tr>
      <w:tr>
        <w:trPr/>
        <w:tc>
          <w:tcPr>
            <w:tcW w:w="43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Diluted earnings (loss) per share attributable to EZCORP, Inc.:</w:t>
            </w:r>
          </w:p>
        </w:tc>
        <w:tc>
          <w:tcPr>
            <w:tcW w:w="131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6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1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10" w:type="dxa"/>
            <w:gridSpan w:val="3"/>
            <w:tcBorders/>
            <w:shd w:fill="CCEEFF" w:val="clear"/>
            <w:vAlign w:val="center"/>
          </w:tcPr>
          <w:p>
            <w:pPr>
              <w:pStyle w:val="TableContents"/>
              <w:spacing w:before="0" w:after="0"/>
              <w:ind w:left="0" w:right="0" w:firstLine="30"/>
              <w:rPr/>
            </w:pPr>
            <w:r>
              <w:rPr/>
              <w:t> </w:t>
            </w:r>
          </w:p>
        </w:tc>
      </w:tr>
      <w:tr>
        <w:trPr/>
        <w:tc>
          <w:tcPr>
            <w:tcW w:w="43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Continuing operations</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auto" w:val="clear"/>
            <w:vAlign w:val="center"/>
          </w:tcPr>
          <w:p>
            <w:pPr>
              <w:pStyle w:val="TableContents"/>
              <w:spacing w:before="0" w:after="0"/>
              <w:jc w:val="right"/>
              <w:rPr>
                <w:rFonts w:ascii="inherit" w:hAnsi="inherit"/>
                <w:sz w:val="17"/>
              </w:rPr>
            </w:pPr>
            <w:r>
              <w:rPr>
                <w:rFonts w:ascii="inherit" w:hAnsi="inherit"/>
                <w:sz w:val="17"/>
              </w:rPr>
              <w:t>0.62</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auto" w:val="clear"/>
            <w:vAlign w:val="center"/>
          </w:tcPr>
          <w:p>
            <w:pPr>
              <w:pStyle w:val="TableContents"/>
              <w:spacing w:before="0" w:after="0"/>
              <w:jc w:val="right"/>
              <w:rPr>
                <w:rFonts w:ascii="inherit" w:hAnsi="inherit"/>
                <w:sz w:val="17"/>
              </w:rPr>
            </w:pPr>
            <w:r>
              <w:rPr>
                <w:rFonts w:ascii="inherit" w:hAnsi="inherit"/>
                <w:sz w:val="17"/>
              </w:rPr>
              <w:t>0.66</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auto" w:val="clear"/>
            <w:vAlign w:val="center"/>
          </w:tcPr>
          <w:p>
            <w:pPr>
              <w:pStyle w:val="TableContents"/>
              <w:spacing w:before="0" w:after="0"/>
              <w:jc w:val="right"/>
              <w:rPr>
                <w:rFonts w:ascii="inherit" w:hAnsi="inherit"/>
                <w:sz w:val="17"/>
              </w:rPr>
            </w:pPr>
            <w:r>
              <w:rPr>
                <w:rFonts w:ascii="inherit" w:hAnsi="inherit"/>
                <w:sz w:val="17"/>
              </w:rPr>
              <w:t>0.29</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7" w:type="dxa"/>
            <w:tcBorders/>
            <w:shd w:fill="auto" w:val="clear"/>
            <w:vAlign w:val="center"/>
          </w:tcPr>
          <w:p>
            <w:pPr>
              <w:pStyle w:val="TableContents"/>
              <w:spacing w:before="0" w:after="0"/>
              <w:jc w:val="right"/>
              <w:rPr>
                <w:rFonts w:ascii="inherit" w:hAnsi="inherit"/>
                <w:sz w:val="17"/>
              </w:rPr>
            </w:pPr>
            <w:r>
              <w:rPr>
                <w:rFonts w:ascii="inherit" w:hAnsi="inherit"/>
                <w:sz w:val="17"/>
              </w:rPr>
              <w:t>(0.48</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Discontinued operations</w:t>
            </w:r>
          </w:p>
        </w:tc>
        <w:tc>
          <w:tcPr>
            <w:tcW w:w="11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(0.03</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(0.03</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(0.40</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0.02</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Diluted earnings (loss) per share</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0.59</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0.63</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(0.11</w:t>
            </w:r>
          </w:p>
        </w:tc>
        <w:tc>
          <w:tcPr>
            <w:tcW w:w="13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(0.46</w:t>
            </w:r>
          </w:p>
        </w:tc>
        <w:tc>
          <w:tcPr>
            <w:tcW w:w="15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37" w:type="dxa"/>
            <w:tcBorders/>
            <w:shd w:fill="CCEEFF" w:val="clear"/>
            <w:vAlign w:val="center"/>
          </w:tcPr>
          <w:p>
            <w:pPr>
              <w:pStyle w:val="TableContents"/>
              <w:spacing w:before="0" w:after="0"/>
              <w:ind w:left="0" w:right="0" w:firstLine="30"/>
              <w:rPr/>
            </w:pPr>
            <w:r>
              <w:rPr/>
              <w:t> </w:t>
            </w:r>
          </w:p>
        </w:tc>
        <w:tc>
          <w:tcPr>
            <w:tcW w:w="131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6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1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10" w:type="dxa"/>
            <w:gridSpan w:val="3"/>
            <w:tcBorders/>
            <w:shd w:fill="CCEEFF" w:val="clear"/>
            <w:vAlign w:val="center"/>
          </w:tcPr>
          <w:p>
            <w:pPr>
              <w:pStyle w:val="TableContents"/>
              <w:spacing w:before="0" w:after="0"/>
              <w:ind w:left="0" w:right="0" w:firstLine="30"/>
              <w:rPr/>
            </w:pPr>
            <w:r>
              <w:rPr/>
              <w:t> </w:t>
            </w:r>
          </w:p>
        </w:tc>
      </w:tr>
      <w:tr>
        <w:trPr/>
        <w:tc>
          <w:tcPr>
            <w:tcW w:w="4337"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Year Ended September 30, 2012</w:t>
            </w:r>
          </w:p>
        </w:tc>
        <w:tc>
          <w:tcPr>
            <w:tcW w:w="1314" w:type="dxa"/>
            <w:gridSpan w:val="3"/>
            <w:tcBorders/>
            <w:shd w:fill="auto" w:val="clear"/>
            <w:vAlign w:val="center"/>
          </w:tcPr>
          <w:p>
            <w:pPr>
              <w:pStyle w:val="TableContents"/>
              <w:spacing w:before="0" w:after="0"/>
              <w:ind w:left="0" w:right="0" w:firstLine="30"/>
              <w:jc w:val="left"/>
              <w:rPr/>
            </w:pPr>
            <w:r>
              <w:rPr/>
              <w:t> </w:t>
            </w:r>
          </w:p>
        </w:tc>
        <w:tc>
          <w:tcPr>
            <w:tcW w:w="122" w:type="dxa"/>
            <w:tcBorders/>
            <w:shd w:fill="auto" w:val="clear"/>
            <w:vAlign w:val="center"/>
          </w:tcPr>
          <w:p>
            <w:pPr>
              <w:pStyle w:val="TableContents"/>
              <w:spacing w:before="0" w:after="0"/>
              <w:ind w:left="0" w:right="0" w:firstLine="30"/>
              <w:rPr/>
            </w:pPr>
            <w:r>
              <w:rPr/>
              <w:t> </w:t>
            </w:r>
          </w:p>
        </w:tc>
        <w:tc>
          <w:tcPr>
            <w:tcW w:w="1464" w:type="dxa"/>
            <w:gridSpan w:val="3"/>
            <w:tcBorders/>
            <w:shd w:fill="auto" w:val="clear"/>
            <w:vAlign w:val="center"/>
          </w:tcPr>
          <w:p>
            <w:pPr>
              <w:pStyle w:val="TableContents"/>
              <w:spacing w:before="0" w:after="0"/>
              <w:ind w:left="0" w:right="0" w:firstLine="30"/>
              <w:jc w:val="left"/>
              <w:rPr/>
            </w:pPr>
            <w:r>
              <w:rPr/>
              <w:t> </w:t>
            </w:r>
          </w:p>
        </w:tc>
        <w:tc>
          <w:tcPr>
            <w:tcW w:w="122" w:type="dxa"/>
            <w:tcBorders/>
            <w:shd w:fill="auto" w:val="clear"/>
            <w:vAlign w:val="center"/>
          </w:tcPr>
          <w:p>
            <w:pPr>
              <w:pStyle w:val="TableContents"/>
              <w:spacing w:before="0" w:after="0"/>
              <w:ind w:left="0" w:right="0" w:firstLine="30"/>
              <w:rPr/>
            </w:pPr>
            <w:r>
              <w:rPr/>
              <w:t> </w:t>
            </w:r>
          </w:p>
        </w:tc>
        <w:tc>
          <w:tcPr>
            <w:tcW w:w="1314" w:type="dxa"/>
            <w:gridSpan w:val="3"/>
            <w:tcBorders/>
            <w:shd w:fill="auto" w:val="clear"/>
            <w:vAlign w:val="center"/>
          </w:tcPr>
          <w:p>
            <w:pPr>
              <w:pStyle w:val="TableContents"/>
              <w:spacing w:before="0" w:after="0"/>
              <w:ind w:left="0" w:right="0" w:firstLine="30"/>
              <w:jc w:val="left"/>
              <w:rPr/>
            </w:pPr>
            <w:r>
              <w:rPr/>
              <w:t> </w:t>
            </w:r>
          </w:p>
        </w:tc>
        <w:tc>
          <w:tcPr>
            <w:tcW w:w="122" w:type="dxa"/>
            <w:tcBorders/>
            <w:shd w:fill="auto" w:val="clear"/>
            <w:vAlign w:val="center"/>
          </w:tcPr>
          <w:p>
            <w:pPr>
              <w:pStyle w:val="TableContents"/>
              <w:spacing w:before="0" w:after="0"/>
              <w:ind w:left="0" w:right="0" w:firstLine="30"/>
              <w:rPr/>
            </w:pPr>
            <w:r>
              <w:rPr/>
              <w:t> </w:t>
            </w:r>
          </w:p>
        </w:tc>
        <w:tc>
          <w:tcPr>
            <w:tcW w:w="1410" w:type="dxa"/>
            <w:gridSpan w:val="3"/>
            <w:tcBorders/>
            <w:shd w:fill="auto" w:val="clear"/>
            <w:vAlign w:val="center"/>
          </w:tcPr>
          <w:p>
            <w:pPr>
              <w:pStyle w:val="TableContents"/>
              <w:spacing w:before="0" w:after="0"/>
              <w:ind w:left="0" w:right="0" w:firstLine="30"/>
              <w:jc w:val="left"/>
              <w:rPr/>
            </w:pPr>
            <w:r>
              <w:rPr/>
              <w:t> </w:t>
            </w:r>
          </w:p>
        </w:tc>
      </w:tr>
      <w:tr>
        <w:trPr/>
        <w:tc>
          <w:tcPr>
            <w:tcW w:w="43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revenues</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rFonts w:ascii="inherit" w:hAnsi="inherit"/>
                <w:sz w:val="17"/>
              </w:rPr>
            </w:pPr>
            <w:r>
              <w:rPr>
                <w:rFonts w:ascii="inherit" w:hAnsi="inherit"/>
                <w:sz w:val="17"/>
              </w:rPr>
              <w:t>244,609</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CCEEFF" w:val="clear"/>
            <w:vAlign w:val="center"/>
          </w:tcPr>
          <w:p>
            <w:pPr>
              <w:pStyle w:val="TableContents"/>
              <w:spacing w:before="0" w:after="0"/>
              <w:jc w:val="right"/>
              <w:rPr>
                <w:rFonts w:ascii="inherit" w:hAnsi="inherit"/>
                <w:sz w:val="17"/>
              </w:rPr>
            </w:pPr>
            <w:r>
              <w:rPr>
                <w:rFonts w:ascii="inherit" w:hAnsi="inherit"/>
                <w:sz w:val="17"/>
              </w:rPr>
              <w:t>251,980</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rFonts w:ascii="inherit" w:hAnsi="inherit"/>
                <w:sz w:val="17"/>
              </w:rPr>
            </w:pPr>
            <w:r>
              <w:rPr>
                <w:rFonts w:ascii="inherit" w:hAnsi="inherit"/>
                <w:sz w:val="17"/>
              </w:rPr>
              <w:t>224,573</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7" w:type="dxa"/>
            <w:tcBorders/>
            <w:shd w:fill="CCEEFF" w:val="clear"/>
            <w:vAlign w:val="center"/>
          </w:tcPr>
          <w:p>
            <w:pPr>
              <w:pStyle w:val="TableContents"/>
              <w:spacing w:before="0" w:after="0"/>
              <w:jc w:val="right"/>
              <w:rPr>
                <w:rFonts w:ascii="inherit" w:hAnsi="inherit"/>
                <w:sz w:val="17"/>
              </w:rPr>
            </w:pPr>
            <w:r>
              <w:rPr>
                <w:rFonts w:ascii="inherit" w:hAnsi="inherit"/>
                <w:sz w:val="17"/>
              </w:rPr>
              <w:t>253,961</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revenues</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151,467</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159,072</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142,926</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160,936</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net of tax</w:t>
            </w:r>
          </w:p>
        </w:tc>
        <w:tc>
          <w:tcPr>
            <w:tcW w:w="11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40,174</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38,470</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30,959</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45,507</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Loss from discontinued operations, net of tax</w:t>
            </w:r>
          </w:p>
        </w:tc>
        <w:tc>
          <w:tcPr>
            <w:tcW w:w="118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(822</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3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(1,097</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8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(1,248</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25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(1,366</w:t>
            </w:r>
          </w:p>
        </w:tc>
        <w:tc>
          <w:tcPr>
            <w:tcW w:w="15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11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39,352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37,373</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29,711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44,141</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 from continuing operations attributable to redeemable noncontrolling interest</w:t>
            </w:r>
          </w:p>
        </w:tc>
        <w:tc>
          <w:tcPr>
            <w:tcW w:w="1182"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5,569</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income attributable to EZCORP, Inc.</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39,352</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37,261</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28,523</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38,572</w:t>
            </w:r>
          </w:p>
        </w:tc>
        <w:tc>
          <w:tcPr>
            <w:tcW w:w="15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37" w:type="dxa"/>
            <w:tcBorders/>
            <w:shd w:fill="auto" w:val="clear"/>
            <w:vAlign w:val="center"/>
          </w:tcPr>
          <w:p>
            <w:pPr>
              <w:pStyle w:val="TableContents"/>
              <w:spacing w:before="0" w:after="0"/>
              <w:ind w:left="0" w:right="0" w:firstLine="30"/>
              <w:rPr/>
            </w:pPr>
            <w:r>
              <w:rPr/>
              <w:t> </w:t>
            </w:r>
          </w:p>
        </w:tc>
        <w:tc>
          <w:tcPr>
            <w:tcW w:w="1314"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464"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14"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410" w:type="dxa"/>
            <w:gridSpan w:val="3"/>
            <w:tcBorders/>
            <w:shd w:fill="auto" w:val="clear"/>
            <w:vAlign w:val="center"/>
          </w:tcPr>
          <w:p>
            <w:pPr>
              <w:pStyle w:val="TableContents"/>
              <w:spacing w:before="0" w:after="0"/>
              <w:ind w:left="0" w:right="0" w:firstLine="30"/>
              <w:rPr/>
            </w:pPr>
            <w:r>
              <w:rPr/>
              <w:t> </w:t>
            </w:r>
          </w:p>
        </w:tc>
      </w:tr>
      <w:tr>
        <w:trPr/>
        <w:tc>
          <w:tcPr>
            <w:tcW w:w="43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Basic earnings (loss) per share attributable to EZCORP, Inc.:</w:t>
            </w:r>
          </w:p>
        </w:tc>
        <w:tc>
          <w:tcPr>
            <w:tcW w:w="131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6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1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10" w:type="dxa"/>
            <w:gridSpan w:val="3"/>
            <w:tcBorders/>
            <w:shd w:fill="CCEEFF" w:val="clear"/>
            <w:vAlign w:val="center"/>
          </w:tcPr>
          <w:p>
            <w:pPr>
              <w:pStyle w:val="TableContents"/>
              <w:spacing w:before="0" w:after="0"/>
              <w:ind w:left="0" w:right="0" w:firstLine="30"/>
              <w:rPr/>
            </w:pPr>
            <w:r>
              <w:rPr/>
              <w:t> </w:t>
            </w:r>
          </w:p>
        </w:tc>
      </w:tr>
      <w:tr>
        <w:trPr/>
        <w:tc>
          <w:tcPr>
            <w:tcW w:w="43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Continuing operations</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auto" w:val="clear"/>
            <w:vAlign w:val="center"/>
          </w:tcPr>
          <w:p>
            <w:pPr>
              <w:pStyle w:val="TableContents"/>
              <w:spacing w:before="0" w:after="0"/>
              <w:jc w:val="right"/>
              <w:rPr>
                <w:rFonts w:ascii="inherit" w:hAnsi="inherit"/>
                <w:sz w:val="17"/>
              </w:rPr>
            </w:pPr>
            <w:r>
              <w:rPr>
                <w:rFonts w:ascii="inherit" w:hAnsi="inherit"/>
                <w:sz w:val="17"/>
              </w:rPr>
              <w:t>0.80</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auto" w:val="clear"/>
            <w:vAlign w:val="center"/>
          </w:tcPr>
          <w:p>
            <w:pPr>
              <w:pStyle w:val="TableContents"/>
              <w:spacing w:before="0" w:after="0"/>
              <w:jc w:val="right"/>
              <w:rPr>
                <w:rFonts w:ascii="inherit" w:hAnsi="inherit"/>
                <w:sz w:val="17"/>
              </w:rPr>
            </w:pPr>
            <w:r>
              <w:rPr>
                <w:rFonts w:ascii="inherit" w:hAnsi="inherit"/>
                <w:sz w:val="17"/>
              </w:rPr>
              <w:t>0.75</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auto" w:val="clear"/>
            <w:vAlign w:val="center"/>
          </w:tcPr>
          <w:p>
            <w:pPr>
              <w:pStyle w:val="TableContents"/>
              <w:spacing w:before="0" w:after="0"/>
              <w:jc w:val="right"/>
              <w:rPr>
                <w:rFonts w:ascii="inherit" w:hAnsi="inherit"/>
                <w:sz w:val="17"/>
              </w:rPr>
            </w:pPr>
            <w:r>
              <w:rPr>
                <w:rFonts w:ascii="inherit" w:hAnsi="inherit"/>
                <w:sz w:val="17"/>
              </w:rPr>
              <w:t>0.58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7" w:type="dxa"/>
            <w:tcBorders/>
            <w:shd w:fill="auto" w:val="clear"/>
            <w:vAlign w:val="center"/>
          </w:tcPr>
          <w:p>
            <w:pPr>
              <w:pStyle w:val="TableContents"/>
              <w:spacing w:before="0" w:after="0"/>
              <w:jc w:val="right"/>
              <w:rPr>
                <w:rFonts w:ascii="inherit" w:hAnsi="inherit"/>
                <w:sz w:val="17"/>
              </w:rPr>
            </w:pPr>
            <w:r>
              <w:rPr>
                <w:rFonts w:ascii="inherit" w:hAnsi="inherit"/>
                <w:sz w:val="17"/>
              </w:rPr>
              <w:t>0.78</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Discontinued operations</w:t>
            </w:r>
          </w:p>
        </w:tc>
        <w:tc>
          <w:tcPr>
            <w:tcW w:w="11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3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(0.02</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2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(0.03</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Basic earnings per share</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0.78</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0.73</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0.56</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0.75</w:t>
            </w:r>
          </w:p>
        </w:tc>
        <w:tc>
          <w:tcPr>
            <w:tcW w:w="15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37" w:type="dxa"/>
            <w:tcBorders/>
            <w:shd w:fill="CCEEFF" w:val="clear"/>
            <w:vAlign w:val="center"/>
          </w:tcPr>
          <w:p>
            <w:pPr>
              <w:pStyle w:val="TableContents"/>
              <w:spacing w:before="0" w:after="0"/>
              <w:ind w:left="0" w:right="0" w:firstLine="30"/>
              <w:rPr/>
            </w:pPr>
            <w:r>
              <w:rPr/>
              <w:t> </w:t>
            </w:r>
          </w:p>
        </w:tc>
        <w:tc>
          <w:tcPr>
            <w:tcW w:w="131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6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1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410" w:type="dxa"/>
            <w:gridSpan w:val="3"/>
            <w:tcBorders/>
            <w:shd w:fill="CCEEFF" w:val="clear"/>
            <w:vAlign w:val="center"/>
          </w:tcPr>
          <w:p>
            <w:pPr>
              <w:pStyle w:val="TableContents"/>
              <w:spacing w:before="0" w:after="0"/>
              <w:ind w:left="0" w:right="0" w:firstLine="30"/>
              <w:rPr/>
            </w:pPr>
            <w:r>
              <w:rPr/>
              <w:t> </w:t>
            </w:r>
          </w:p>
        </w:tc>
      </w:tr>
      <w:tr>
        <w:trPr/>
        <w:tc>
          <w:tcPr>
            <w:tcW w:w="43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Diluted earnings (loss) per share attributable to EZCORP, Inc.:</w:t>
            </w:r>
          </w:p>
        </w:tc>
        <w:tc>
          <w:tcPr>
            <w:tcW w:w="1314"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464"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14"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410" w:type="dxa"/>
            <w:gridSpan w:val="3"/>
            <w:tcBorders/>
            <w:shd w:fill="auto" w:val="clear"/>
            <w:vAlign w:val="center"/>
          </w:tcPr>
          <w:p>
            <w:pPr>
              <w:pStyle w:val="TableContents"/>
              <w:spacing w:before="0" w:after="0"/>
              <w:ind w:left="0" w:right="0" w:firstLine="30"/>
              <w:rPr/>
            </w:pPr>
            <w:r>
              <w:rPr/>
              <w:t> </w:t>
            </w:r>
          </w:p>
        </w:tc>
      </w:tr>
      <w:tr>
        <w:trPr/>
        <w:tc>
          <w:tcPr>
            <w:tcW w:w="43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Continuing operations</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rFonts w:ascii="inherit" w:hAnsi="inherit"/>
                <w:sz w:val="17"/>
              </w:rPr>
            </w:pPr>
            <w:r>
              <w:rPr>
                <w:rFonts w:ascii="inherit" w:hAnsi="inherit"/>
                <w:sz w:val="17"/>
              </w:rPr>
              <w:t>0.79</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CCEEFF" w:val="clear"/>
            <w:vAlign w:val="center"/>
          </w:tcPr>
          <w:p>
            <w:pPr>
              <w:pStyle w:val="TableContents"/>
              <w:spacing w:before="0" w:after="0"/>
              <w:jc w:val="right"/>
              <w:rPr>
                <w:rFonts w:ascii="inherit" w:hAnsi="inherit"/>
                <w:sz w:val="17"/>
              </w:rPr>
            </w:pPr>
            <w:r>
              <w:rPr>
                <w:rFonts w:ascii="inherit" w:hAnsi="inherit"/>
                <w:sz w:val="17"/>
              </w:rPr>
              <w:t>0.75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rFonts w:ascii="inherit" w:hAnsi="inherit"/>
                <w:sz w:val="17"/>
              </w:rPr>
            </w:pPr>
            <w:r>
              <w:rPr>
                <w:rFonts w:ascii="inherit" w:hAnsi="inherit"/>
                <w:sz w:val="17"/>
              </w:rPr>
              <w:t>0.58</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7" w:type="dxa"/>
            <w:tcBorders/>
            <w:shd w:fill="CCEEFF" w:val="clear"/>
            <w:vAlign w:val="center"/>
          </w:tcPr>
          <w:p>
            <w:pPr>
              <w:pStyle w:val="TableContents"/>
              <w:spacing w:before="0" w:after="0"/>
              <w:jc w:val="right"/>
              <w:rPr>
                <w:rFonts w:ascii="inherit" w:hAnsi="inherit"/>
                <w:sz w:val="17"/>
              </w:rPr>
            </w:pPr>
            <w:r>
              <w:rPr>
                <w:rFonts w:ascii="inherit" w:hAnsi="inherit"/>
                <w:sz w:val="17"/>
              </w:rPr>
              <w:t>0.78</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Discontinued operations</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(0.02</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3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(0.02</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(0.02</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2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(0.03</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3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Diluted earnings per share</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0.77</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0.73</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0.56</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0.75</w:t>
            </w:r>
          </w:p>
        </w:tc>
        <w:tc>
          <w:tcPr>
            <w:tcW w:w="15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92</w:t>
      </w:r>
      <w:r>
        <w:br w:type="page"/>
      </w:r>
    </w:p>
    <w:p>
      <w:pPr>
        <w:pStyle w:val="TextBody"/>
        <w:spacing w:lineRule="auto" w:line="288" w:before="0" w:after="0"/>
        <w:rPr/>
      </w:pPr>
      <w:hyperlink w:anchor="sA13583D437E20DC41B4583E2BD74AA47">
        <w:bookmarkStart w:id="86" w:name="s8020F25674B53A7E2D7283E26E3C3C44"/>
        <w:bookmarkEnd w:id="86"/>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NOTE 19: OPERATING SEGMENT INFORMATION</w:t>
      </w:r>
    </w:p>
    <w:p>
      <w:pPr>
        <w:pStyle w:val="TextBody"/>
        <w:spacing w:lineRule="auto" w:line="288" w:before="0" w:after="0"/>
        <w:jc w:val="left"/>
        <w:rPr>
          <w:rFonts w:ascii="inherit" w:hAnsi="inherit"/>
          <w:sz w:val="17"/>
        </w:rPr>
      </w:pPr>
      <w:r>
        <w:rPr>
          <w:rFonts w:ascii="inherit" w:hAnsi="inherit"/>
          <w:sz w:val="17"/>
        </w:rPr>
        <w:t>Segment information is prepared on the same basis that our management reviews financial information for operational decision-making purposes. Previously, we reported segment information based primarily on product offerings. Beginning in fiscal 2012, we redefined our reportable operating segments based on geography as our company is organized and managed along geographic lines, with product offerings and channels based on local custom and regulation. As a result, we concluded that segment reporting based on geography more closely aligns with our management organization and strategic direction.</w:t>
      </w:r>
    </w:p>
    <w:p>
      <w:pPr>
        <w:pStyle w:val="TextBody"/>
        <w:spacing w:lineRule="auto" w:line="288" w:before="0" w:after="0"/>
        <w:jc w:val="left"/>
        <w:rPr>
          <w:rFonts w:ascii="inherit" w:hAnsi="inherit"/>
          <w:sz w:val="17"/>
        </w:rPr>
      </w:pPr>
      <w:r>
        <w:rPr>
          <w:rFonts w:ascii="inherit" w:hAnsi="inherit"/>
          <w:sz w:val="17"/>
        </w:rPr>
        <w:t>We currently report our segments as follows:</w:t>
      </w:r>
    </w:p>
    <w:tbl>
      <w:tblPr>
        <w:tblW w:w="6460" w:type="dxa"/>
        <w:jc w:val="left"/>
        <w:tblInd w:w="0" w:type="dxa"/>
        <w:tblCellMar>
          <w:top w:w="0" w:type="dxa"/>
          <w:left w:w="0" w:type="dxa"/>
          <w:bottom w:w="0" w:type="dxa"/>
          <w:right w:w="0" w:type="dxa"/>
        </w:tblCellMar>
      </w:tblPr>
      <w:tblGrid>
        <w:gridCol w:w="485"/>
        <w:gridCol w:w="5975"/>
      </w:tblGrid>
      <w:tr>
        <w:trPr/>
        <w:tc>
          <w:tcPr>
            <w:tcW w:w="485" w:type="dxa"/>
            <w:tcBorders/>
            <w:shd w:fill="auto" w:val="clear"/>
            <w:vAlign w:val="center"/>
          </w:tcPr>
          <w:p>
            <w:pPr>
              <w:pStyle w:val="TableContents"/>
              <w:spacing w:before="0" w:after="283"/>
              <w:rPr>
                <w:sz w:val="4"/>
                <w:szCs w:val="4"/>
              </w:rPr>
            </w:pPr>
            <w:r>
              <w:rPr>
                <w:sz w:val="4"/>
                <w:szCs w:val="4"/>
              </w:rPr>
            </w:r>
          </w:p>
        </w:tc>
        <w:tc>
          <w:tcPr>
            <w:tcW w:w="59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9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U.S. &amp; Canada — All business activities in the United States and Canada</w:t>
            </w:r>
          </w:p>
        </w:tc>
      </w:tr>
    </w:tbl>
    <w:tbl>
      <w:tblPr>
        <w:tblW w:w="7285" w:type="dxa"/>
        <w:jc w:val="left"/>
        <w:tblInd w:w="0" w:type="dxa"/>
        <w:tblCellMar>
          <w:top w:w="0" w:type="dxa"/>
          <w:left w:w="0" w:type="dxa"/>
          <w:bottom w:w="0" w:type="dxa"/>
          <w:right w:w="0" w:type="dxa"/>
        </w:tblCellMar>
      </w:tblPr>
      <w:tblGrid>
        <w:gridCol w:w="485"/>
        <w:gridCol w:w="6800"/>
      </w:tblGrid>
      <w:tr>
        <w:trPr/>
        <w:tc>
          <w:tcPr>
            <w:tcW w:w="485" w:type="dxa"/>
            <w:tcBorders/>
            <w:shd w:fill="auto" w:val="clear"/>
            <w:vAlign w:val="center"/>
          </w:tcPr>
          <w:p>
            <w:pPr>
              <w:pStyle w:val="TableContents"/>
              <w:spacing w:before="0" w:after="283"/>
              <w:rPr>
                <w:sz w:val="4"/>
                <w:szCs w:val="4"/>
              </w:rPr>
            </w:pPr>
            <w:r>
              <w:rPr>
                <w:sz w:val="4"/>
                <w:szCs w:val="4"/>
              </w:rPr>
            </w:r>
          </w:p>
        </w:tc>
        <w:tc>
          <w:tcPr>
            <w:tcW w:w="68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8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Latin America — All business activities in Mexico and other parts of Latin America</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Other International — All business activities in the rest of the world (currently consisting of consumer loans online in the U.K. and our equity interests in the net income of Albemarle &amp; Bond and Cash Converters International)</w:t>
            </w:r>
          </w:p>
        </w:tc>
      </w:tr>
    </w:tbl>
    <w:p>
      <w:pPr>
        <w:pStyle w:val="TextBody"/>
        <w:spacing w:lineRule="auto" w:line="288" w:before="0" w:after="0"/>
        <w:jc w:val="left"/>
        <w:rPr>
          <w:rFonts w:ascii="inherit" w:hAnsi="inherit"/>
          <w:sz w:val="17"/>
        </w:rPr>
      </w:pPr>
      <w:r>
        <w:rPr>
          <w:rFonts w:ascii="inherit" w:hAnsi="inherit"/>
          <w:sz w:val="17"/>
        </w:rPr>
        <w:t>Concurrent with the change in reportable operating segments, we revised our prior period financial information to reflect comparable financial information for the new segment structure.</w:t>
      </w:r>
    </w:p>
    <w:p>
      <w:pPr>
        <w:pStyle w:val="TextBody"/>
        <w:spacing w:lineRule="auto" w:line="288" w:before="0" w:after="0"/>
        <w:jc w:val="left"/>
        <w:rPr>
          <w:sz w:val="17"/>
        </w:rPr>
      </w:pPr>
      <w:r>
        <w:rPr>
          <w:rFonts w:ascii="inherit" w:hAnsi="inherit"/>
          <w:sz w:val="17"/>
        </w:rPr>
        <w:t xml:space="preserve">There are no inter-segment revenues, and the amounts below were determined in accordance with the same accounting principles used in our consolidated financial statements. The following tables present operating segment information for the three </w:t>
      </w:r>
      <w:r>
        <w:rPr>
          <w:rFonts w:ascii="Times New Roman" w:hAnsi="Times New Roman"/>
          <w:strike w:val="false"/>
          <w:dstrike w:val="false"/>
          <w:color w:val="000000"/>
          <w:sz w:val="17"/>
          <w:u w:val="none"/>
          <w:effect w:val="none"/>
        </w:rPr>
        <w:t>years ending</w:t>
      </w:r>
      <w:r>
        <w:rPr>
          <w:sz w:val="17"/>
        </w:rPr>
        <w:t xml:space="preserve"> </w:t>
      </w:r>
      <w:r>
        <w:rPr>
          <w:rFonts w:ascii="inherit" w:hAnsi="inherit"/>
          <w:sz w:val="17"/>
        </w:rPr>
        <w:t>ending September 30, 2013, 2012 and 2011 including the reclassifications discussed in Note 1, “Organization and Summary of Significant Accounting Policies.”</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93</w:t>
      </w:r>
      <w:r>
        <w:br w:type="page"/>
      </w:r>
    </w:p>
    <w:p>
      <w:pPr>
        <w:pStyle w:val="TextBody"/>
        <w:spacing w:lineRule="auto" w:line="288" w:before="0" w:after="0"/>
        <w:rPr/>
      </w:pPr>
      <w:hyperlink w:anchor="sA13583D437E20DC41B4583E2BD74AA47">
        <w:bookmarkStart w:id="87" w:name="s8020F25674B53A7E2D7283E26E3C3C441"/>
        <w:bookmarkEnd w:id="8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3500"/>
        <w:gridCol w:w="153"/>
        <w:gridCol w:w="1142"/>
        <w:gridCol w:w="153"/>
        <w:gridCol w:w="135"/>
        <w:gridCol w:w="153"/>
        <w:gridCol w:w="1061"/>
        <w:gridCol w:w="153"/>
        <w:gridCol w:w="135"/>
        <w:gridCol w:w="178"/>
        <w:gridCol w:w="1246"/>
        <w:gridCol w:w="179"/>
        <w:gridCol w:w="135"/>
        <w:gridCol w:w="156"/>
        <w:gridCol w:w="1162"/>
        <w:gridCol w:w="564"/>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0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00" w:type="dxa"/>
            <w:tcBorders/>
            <w:shd w:fill="auto" w:val="clear"/>
            <w:vAlign w:val="center"/>
          </w:tcPr>
          <w:p>
            <w:pPr>
              <w:pStyle w:val="TableContents"/>
              <w:spacing w:before="0" w:after="0"/>
              <w:ind w:left="0" w:right="0" w:firstLine="30"/>
              <w:rPr/>
            </w:pPr>
            <w:r>
              <w:rPr/>
              <w:t> </w:t>
            </w:r>
          </w:p>
        </w:tc>
        <w:tc>
          <w:tcPr>
            <w:tcW w:w="6705"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Year Ended September 30, 2013</w:t>
            </w:r>
          </w:p>
        </w:tc>
      </w:tr>
      <w:tr>
        <w:trPr/>
        <w:tc>
          <w:tcPr>
            <w:tcW w:w="3500" w:type="dxa"/>
            <w:tcBorders/>
            <w:shd w:fill="auto" w:val="clear"/>
            <w:vAlign w:val="center"/>
          </w:tcPr>
          <w:p>
            <w:pPr>
              <w:pStyle w:val="TableContents"/>
              <w:spacing w:before="0" w:after="0"/>
              <w:ind w:left="0" w:right="0" w:firstLine="30"/>
              <w:rPr/>
            </w:pPr>
            <w:r>
              <w:rPr/>
              <w:t> </w:t>
            </w:r>
          </w:p>
        </w:tc>
        <w:tc>
          <w:tcPr>
            <w:tcW w:w="14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35" w:type="dxa"/>
            <w:tcBorders/>
            <w:shd w:fill="auto" w:val="clear"/>
            <w:vAlign w:val="center"/>
          </w:tcPr>
          <w:p>
            <w:pPr>
              <w:pStyle w:val="TableContents"/>
              <w:spacing w:before="0" w:after="0"/>
              <w:ind w:left="0" w:right="0" w:firstLine="30"/>
              <w:rPr/>
            </w:pPr>
            <w:r>
              <w:rPr/>
              <w:t> </w:t>
            </w:r>
          </w:p>
        </w:tc>
        <w:tc>
          <w:tcPr>
            <w:tcW w:w="136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35" w:type="dxa"/>
            <w:tcBorders/>
            <w:shd w:fill="auto" w:val="clear"/>
            <w:vAlign w:val="center"/>
          </w:tcPr>
          <w:p>
            <w:pPr>
              <w:pStyle w:val="TableContents"/>
              <w:spacing w:before="0" w:after="0"/>
              <w:ind w:left="0" w:right="0" w:firstLine="30"/>
              <w:rPr/>
            </w:pPr>
            <w:r>
              <w:rPr/>
              <w:t> </w:t>
            </w:r>
          </w:p>
        </w:tc>
        <w:tc>
          <w:tcPr>
            <w:tcW w:w="16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35" w:type="dxa"/>
            <w:tcBorders/>
            <w:shd w:fill="auto" w:val="clear"/>
            <w:vAlign w:val="center"/>
          </w:tcPr>
          <w:p>
            <w:pPr>
              <w:pStyle w:val="TableContents"/>
              <w:spacing w:before="0" w:after="0"/>
              <w:ind w:left="0" w:right="0" w:firstLine="30"/>
              <w:rPr/>
            </w:pPr>
            <w:r>
              <w:rPr/>
              <w:t> </w:t>
            </w:r>
          </w:p>
        </w:tc>
        <w:tc>
          <w:tcPr>
            <w:tcW w:w="18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500" w:type="dxa"/>
            <w:tcBorders/>
            <w:shd w:fill="auto" w:val="clear"/>
            <w:vAlign w:val="center"/>
          </w:tcPr>
          <w:p>
            <w:pPr>
              <w:pStyle w:val="TableContents"/>
              <w:spacing w:before="0" w:after="0"/>
              <w:ind w:left="0" w:right="0" w:firstLine="30"/>
              <w:rPr/>
            </w:pPr>
            <w:r>
              <w:rPr/>
              <w:t> </w:t>
            </w:r>
          </w:p>
        </w:tc>
        <w:tc>
          <w:tcPr>
            <w:tcW w:w="6705"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Revenues:</w:t>
            </w:r>
          </w:p>
        </w:tc>
        <w:tc>
          <w:tcPr>
            <w:tcW w:w="1448"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3"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882" w:type="dxa"/>
            <w:gridSpan w:val="3"/>
            <w:tcBorders/>
            <w:shd w:fill="auto" w:val="clear"/>
            <w:vAlign w:val="center"/>
          </w:tcPr>
          <w:p>
            <w:pPr>
              <w:pStyle w:val="TableContents"/>
              <w:spacing w:before="0" w:after="0"/>
              <w:ind w:left="0" w:right="0" w:firstLine="300"/>
              <w:rPr/>
            </w:pPr>
            <w:r>
              <w:rPr/>
              <w:t> </w:t>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Merchandise sales</w:t>
            </w:r>
          </w:p>
        </w:tc>
        <w:tc>
          <w:tcPr>
            <w:tcW w:w="15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42" w:type="dxa"/>
            <w:tcBorders/>
            <w:shd w:fill="CCEEFF" w:val="clear"/>
            <w:vAlign w:val="center"/>
          </w:tcPr>
          <w:p>
            <w:pPr>
              <w:pStyle w:val="TableContents"/>
              <w:spacing w:before="0" w:after="0"/>
              <w:jc w:val="right"/>
              <w:rPr>
                <w:rFonts w:ascii="inherit" w:hAnsi="inherit"/>
                <w:sz w:val="15"/>
              </w:rPr>
            </w:pPr>
            <w:r>
              <w:rPr>
                <w:rFonts w:ascii="inherit" w:hAnsi="inherit"/>
                <w:sz w:val="15"/>
              </w:rPr>
              <w:t>310,521</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061" w:type="dxa"/>
            <w:tcBorders/>
            <w:shd w:fill="CCEEFF" w:val="clear"/>
            <w:vAlign w:val="center"/>
          </w:tcPr>
          <w:p>
            <w:pPr>
              <w:pStyle w:val="TableContents"/>
              <w:spacing w:before="0" w:after="0"/>
              <w:jc w:val="right"/>
              <w:rPr>
                <w:rFonts w:ascii="inherit" w:hAnsi="inherit"/>
                <w:sz w:val="15"/>
              </w:rPr>
            </w:pPr>
            <w:r>
              <w:rPr>
                <w:rFonts w:ascii="inherit" w:hAnsi="inherit"/>
                <w:sz w:val="15"/>
              </w:rPr>
              <w:t>58,245</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7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246" w:type="dxa"/>
            <w:tcBorders/>
            <w:shd w:fill="CCEEFF" w:val="clear"/>
            <w:vAlign w:val="center"/>
          </w:tcPr>
          <w:p>
            <w:pPr>
              <w:pStyle w:val="TableContents"/>
              <w:spacing w:before="0" w:after="0"/>
              <w:jc w:val="right"/>
              <w:rPr/>
            </w:pPr>
            <w:r>
              <w:rPr/>
              <w:t>—</w:t>
            </w:r>
          </w:p>
        </w:tc>
        <w:tc>
          <w:tcPr>
            <w:tcW w:w="1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62" w:type="dxa"/>
            <w:tcBorders/>
            <w:shd w:fill="CCEEFF" w:val="clear"/>
            <w:vAlign w:val="center"/>
          </w:tcPr>
          <w:p>
            <w:pPr>
              <w:pStyle w:val="TableContents"/>
              <w:spacing w:before="0" w:after="0"/>
              <w:jc w:val="right"/>
              <w:rPr>
                <w:rFonts w:ascii="inherit" w:hAnsi="inherit"/>
                <w:sz w:val="15"/>
              </w:rPr>
            </w:pPr>
            <w:r>
              <w:rPr>
                <w:rFonts w:ascii="inherit" w:hAnsi="inherit"/>
                <w:sz w:val="15"/>
              </w:rPr>
              <w:t>368,766</w:t>
            </w:r>
          </w:p>
        </w:tc>
        <w:tc>
          <w:tcPr>
            <w:tcW w:w="5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Jewelry scrapping sales</w:t>
            </w:r>
          </w:p>
        </w:tc>
        <w:tc>
          <w:tcPr>
            <w:tcW w:w="129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123,162</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8,540</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pPr>
            <w:r>
              <w:rPr/>
              <w:t>—</w:t>
            </w:r>
          </w:p>
        </w:tc>
        <w:tc>
          <w:tcPr>
            <w:tcW w:w="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131,702</w:t>
            </w:r>
          </w:p>
        </w:tc>
        <w:tc>
          <w:tcPr>
            <w:tcW w:w="5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w:t>
            </w:r>
          </w:p>
        </w:tc>
        <w:tc>
          <w:tcPr>
            <w:tcW w:w="129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221,775</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1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29,579</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24" w:type="dxa"/>
            <w:gridSpan w:val="2"/>
            <w:tcBorders/>
            <w:shd w:fill="CCEEFF" w:val="clear"/>
            <w:vAlign w:val="center"/>
          </w:tcPr>
          <w:p>
            <w:pPr>
              <w:pStyle w:val="TableContents"/>
              <w:spacing w:before="0" w:after="0"/>
              <w:jc w:val="right"/>
              <w:rPr/>
            </w:pPr>
            <w:r>
              <w:rPr/>
              <w:t>—</w:t>
            </w:r>
          </w:p>
        </w:tc>
        <w:tc>
          <w:tcPr>
            <w:tcW w:w="1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1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251,354</w:t>
            </w:r>
          </w:p>
        </w:tc>
        <w:tc>
          <w:tcPr>
            <w:tcW w:w="5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Consumer loan fees and interest</w:t>
            </w:r>
          </w:p>
        </w:tc>
        <w:tc>
          <w:tcPr>
            <w:tcW w:w="129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174,726</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50,461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23,117</w:t>
            </w:r>
          </w:p>
        </w:tc>
        <w:tc>
          <w:tcPr>
            <w:tcW w:w="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248,304</w:t>
            </w:r>
          </w:p>
        </w:tc>
        <w:tc>
          <w:tcPr>
            <w:tcW w:w="5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revenues</w:t>
            </w:r>
          </w:p>
        </w:tc>
        <w:tc>
          <w:tcPr>
            <w:tcW w:w="129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5,113</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3,197</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1,871</w:t>
            </w:r>
          </w:p>
        </w:tc>
        <w:tc>
          <w:tcPr>
            <w:tcW w:w="17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10,181</w:t>
            </w:r>
          </w:p>
        </w:tc>
        <w:tc>
          <w:tcPr>
            <w:tcW w:w="564"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revenues</w:t>
            </w:r>
          </w:p>
        </w:tc>
        <w:tc>
          <w:tcPr>
            <w:tcW w:w="129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835,297</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150,022</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24,988</w:t>
            </w:r>
          </w:p>
        </w:tc>
        <w:tc>
          <w:tcPr>
            <w:tcW w:w="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1,010,307</w:t>
            </w:r>
          </w:p>
        </w:tc>
        <w:tc>
          <w:tcPr>
            <w:tcW w:w="5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Merchandise cost of goods sold</w:t>
            </w:r>
          </w:p>
        </w:tc>
        <w:tc>
          <w:tcPr>
            <w:tcW w:w="129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183,147</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1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35,470</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24" w:type="dxa"/>
            <w:gridSpan w:val="2"/>
            <w:tcBorders/>
            <w:shd w:fill="CCEEFF" w:val="clear"/>
            <w:vAlign w:val="center"/>
          </w:tcPr>
          <w:p>
            <w:pPr>
              <w:pStyle w:val="TableContents"/>
              <w:spacing w:before="0" w:after="0"/>
              <w:jc w:val="right"/>
              <w:rPr/>
            </w:pPr>
            <w:r>
              <w:rPr/>
              <w:t>—</w:t>
            </w:r>
          </w:p>
        </w:tc>
        <w:tc>
          <w:tcPr>
            <w:tcW w:w="1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1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218,617</w:t>
            </w:r>
          </w:p>
        </w:tc>
        <w:tc>
          <w:tcPr>
            <w:tcW w:w="5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Jewelry scrapping cost of goods sold</w:t>
            </w:r>
          </w:p>
        </w:tc>
        <w:tc>
          <w:tcPr>
            <w:tcW w:w="129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88,637</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7,496</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pPr>
            <w:r>
              <w:rPr/>
              <w:t>—</w:t>
            </w:r>
          </w:p>
        </w:tc>
        <w:tc>
          <w:tcPr>
            <w:tcW w:w="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96,133</w:t>
            </w:r>
          </w:p>
        </w:tc>
        <w:tc>
          <w:tcPr>
            <w:tcW w:w="5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 bad debt expense (benefit)</w:t>
            </w:r>
          </w:p>
        </w:tc>
        <w:tc>
          <w:tcPr>
            <w:tcW w:w="129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43,095</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(113</w:t>
            </w:r>
          </w:p>
        </w:tc>
        <w:tc>
          <w:tcPr>
            <w:tcW w:w="15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 w:type="dxa"/>
            <w:tcBorders/>
            <w:shd w:fill="CCEEFF" w:val="clear"/>
            <w:vAlign w:val="center"/>
          </w:tcPr>
          <w:p>
            <w:pPr>
              <w:pStyle w:val="TableContents"/>
              <w:spacing w:before="0" w:after="0"/>
              <w:ind w:left="0" w:right="0" w:firstLine="30"/>
              <w:rPr/>
            </w:pPr>
            <w:r>
              <w:rPr/>
              <w:t> </w:t>
            </w:r>
          </w:p>
        </w:tc>
        <w:tc>
          <w:tcPr>
            <w:tcW w:w="14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11,891</w:t>
            </w:r>
          </w:p>
        </w:tc>
        <w:tc>
          <w:tcPr>
            <w:tcW w:w="17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54,873</w:t>
            </w:r>
          </w:p>
        </w:tc>
        <w:tc>
          <w:tcPr>
            <w:tcW w:w="564"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revenues</w:t>
            </w:r>
          </w:p>
        </w:tc>
        <w:tc>
          <w:tcPr>
            <w:tcW w:w="129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520,418</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107,169</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13,097</w:t>
            </w:r>
          </w:p>
        </w:tc>
        <w:tc>
          <w:tcPr>
            <w:tcW w:w="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640,684</w:t>
            </w:r>
          </w:p>
        </w:tc>
        <w:tc>
          <w:tcPr>
            <w:tcW w:w="5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Segment expenses (income):</w:t>
            </w:r>
          </w:p>
        </w:tc>
        <w:tc>
          <w:tcPr>
            <w:tcW w:w="1448"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03"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882" w:type="dxa"/>
            <w:gridSpan w:val="3"/>
            <w:tcBorders/>
            <w:shd w:fill="CCEEFF" w:val="clear"/>
            <w:vAlign w:val="center"/>
          </w:tcPr>
          <w:p>
            <w:pPr>
              <w:pStyle w:val="TableContents"/>
              <w:spacing w:before="0" w:after="0"/>
              <w:ind w:left="0" w:right="0" w:firstLine="300"/>
              <w:rPr/>
            </w:pPr>
            <w:r>
              <w:rPr/>
              <w:t> </w:t>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Operations</w:t>
            </w:r>
          </w:p>
        </w:tc>
        <w:tc>
          <w:tcPr>
            <w:tcW w:w="129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336,421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62,496</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15,308</w:t>
            </w:r>
          </w:p>
        </w:tc>
        <w:tc>
          <w:tcPr>
            <w:tcW w:w="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414,225</w:t>
            </w:r>
          </w:p>
        </w:tc>
        <w:tc>
          <w:tcPr>
            <w:tcW w:w="5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Depreciation</w:t>
            </w:r>
          </w:p>
        </w:tc>
        <w:tc>
          <w:tcPr>
            <w:tcW w:w="129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15,919</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1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5,222</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364</w:t>
            </w:r>
          </w:p>
        </w:tc>
        <w:tc>
          <w:tcPr>
            <w:tcW w:w="1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1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21,505</w:t>
            </w:r>
          </w:p>
        </w:tc>
        <w:tc>
          <w:tcPr>
            <w:tcW w:w="5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Amortization</w:t>
            </w:r>
          </w:p>
        </w:tc>
        <w:tc>
          <w:tcPr>
            <w:tcW w:w="129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2,043</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1,711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98</w:t>
            </w:r>
          </w:p>
        </w:tc>
        <w:tc>
          <w:tcPr>
            <w:tcW w:w="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3,852</w:t>
            </w:r>
          </w:p>
        </w:tc>
        <w:tc>
          <w:tcPr>
            <w:tcW w:w="5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Loss on sale or disposal of assets</w:t>
            </w:r>
          </w:p>
        </w:tc>
        <w:tc>
          <w:tcPr>
            <w:tcW w:w="129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284</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1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24" w:type="dxa"/>
            <w:gridSpan w:val="2"/>
            <w:tcBorders/>
            <w:shd w:fill="CCEEFF" w:val="clear"/>
            <w:vAlign w:val="center"/>
          </w:tcPr>
          <w:p>
            <w:pPr>
              <w:pStyle w:val="TableContents"/>
              <w:spacing w:before="0" w:after="0"/>
              <w:jc w:val="right"/>
              <w:rPr/>
            </w:pPr>
            <w:r>
              <w:rPr/>
              <w:t>—</w:t>
            </w:r>
          </w:p>
        </w:tc>
        <w:tc>
          <w:tcPr>
            <w:tcW w:w="1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1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301</w:t>
            </w:r>
          </w:p>
        </w:tc>
        <w:tc>
          <w:tcPr>
            <w:tcW w:w="5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Interest expense (income), net</w:t>
            </w:r>
          </w:p>
        </w:tc>
        <w:tc>
          <w:tcPr>
            <w:tcW w:w="129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11,279</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w:t>
            </w:r>
          </w:p>
        </w:tc>
        <w:tc>
          <w:tcPr>
            <w:tcW w:w="17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11,293</w:t>
            </w:r>
          </w:p>
        </w:tc>
        <w:tc>
          <w:tcPr>
            <w:tcW w:w="5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Equity in net income of unconsolidated affiliates</w:t>
            </w:r>
          </w:p>
        </w:tc>
        <w:tc>
          <w:tcPr>
            <w:tcW w:w="1295" w:type="dxa"/>
            <w:gridSpan w:val="2"/>
            <w:tcBorders/>
            <w:shd w:fill="CCEEFF" w:val="clear"/>
            <w:vAlign w:val="center"/>
          </w:tcPr>
          <w:p>
            <w:pPr>
              <w:pStyle w:val="TableContents"/>
              <w:spacing w:before="0" w:after="0"/>
              <w:jc w:val="right"/>
              <w:rPr/>
            </w:pPr>
            <w:r>
              <w:rPr/>
              <w:t>—</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14" w:type="dxa"/>
            <w:gridSpan w:val="2"/>
            <w:tcBorders/>
            <w:shd w:fill="CCEEFF" w:val="clear"/>
            <w:vAlign w:val="center"/>
          </w:tcPr>
          <w:p>
            <w:pPr>
              <w:pStyle w:val="TableContents"/>
              <w:spacing w:before="0" w:after="0"/>
              <w:jc w:val="right"/>
              <w:rPr/>
            </w:pPr>
            <w:r>
              <w:rPr/>
              <w:t>—</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(11,878</w:t>
            </w:r>
          </w:p>
        </w:tc>
        <w:tc>
          <w:tcPr>
            <w:tcW w:w="17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 w:type="dxa"/>
            <w:tcBorders/>
            <w:shd w:fill="CCEEFF" w:val="clear"/>
            <w:vAlign w:val="center"/>
          </w:tcPr>
          <w:p>
            <w:pPr>
              <w:pStyle w:val="TableContents"/>
              <w:spacing w:before="0" w:after="0"/>
              <w:ind w:left="0" w:right="0" w:firstLine="30"/>
              <w:rPr/>
            </w:pPr>
            <w:r>
              <w:rPr/>
              <w:t> </w:t>
            </w:r>
          </w:p>
        </w:tc>
        <w:tc>
          <w:tcPr>
            <w:tcW w:w="131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(11,878</w:t>
            </w:r>
          </w:p>
        </w:tc>
        <w:tc>
          <w:tcPr>
            <w:tcW w:w="564" w:type="dxa"/>
            <w:tcBorders/>
            <w:shd w:fill="CCEEFF"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Impairment of investments</w:t>
            </w:r>
          </w:p>
        </w:tc>
        <w:tc>
          <w:tcPr>
            <w:tcW w:w="1295"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4"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44,598</w:t>
            </w:r>
          </w:p>
        </w:tc>
        <w:tc>
          <w:tcPr>
            <w:tcW w:w="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44,598</w:t>
            </w:r>
          </w:p>
        </w:tc>
        <w:tc>
          <w:tcPr>
            <w:tcW w:w="5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(income) expense</w:t>
            </w:r>
          </w:p>
        </w:tc>
        <w:tc>
          <w:tcPr>
            <w:tcW w:w="129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w:t>
            </w:r>
          </w:p>
        </w:tc>
        <w:tc>
          <w:tcPr>
            <w:tcW w:w="15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 w:type="dxa"/>
            <w:tcBorders/>
            <w:shd w:fill="CCEEFF" w:val="clear"/>
            <w:vAlign w:val="center"/>
          </w:tcPr>
          <w:p>
            <w:pPr>
              <w:pStyle w:val="TableContents"/>
              <w:spacing w:before="0" w:after="0"/>
              <w:ind w:left="0" w:right="0" w:firstLine="30"/>
              <w:rPr/>
            </w:pPr>
            <w:r>
              <w:rPr/>
              <w:t> </w:t>
            </w:r>
          </w:p>
        </w:tc>
        <w:tc>
          <w:tcPr>
            <w:tcW w:w="12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(218</w:t>
            </w:r>
          </w:p>
        </w:tc>
        <w:tc>
          <w:tcPr>
            <w:tcW w:w="15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 w:type="dxa"/>
            <w:tcBorders/>
            <w:shd w:fill="CCEEFF" w:val="clear"/>
            <w:vAlign w:val="center"/>
          </w:tcPr>
          <w:p>
            <w:pPr>
              <w:pStyle w:val="TableContents"/>
              <w:spacing w:before="0" w:after="0"/>
              <w:ind w:left="0" w:right="0" w:firstLine="30"/>
              <w:rPr/>
            </w:pPr>
            <w:r>
              <w:rPr/>
              <w:t> </w:t>
            </w:r>
          </w:p>
        </w:tc>
        <w:tc>
          <w:tcPr>
            <w:tcW w:w="14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153</w:t>
            </w:r>
          </w:p>
        </w:tc>
        <w:tc>
          <w:tcPr>
            <w:tcW w:w="17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(68</w:t>
            </w:r>
          </w:p>
        </w:tc>
        <w:tc>
          <w:tcPr>
            <w:tcW w:w="56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Segment contribution</w:t>
            </w:r>
          </w:p>
        </w:tc>
        <w:tc>
          <w:tcPr>
            <w:tcW w:w="15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142" w:type="dxa"/>
            <w:tcBorders/>
            <w:shd w:fill="auto" w:val="clear"/>
            <w:vAlign w:val="center"/>
          </w:tcPr>
          <w:p>
            <w:pPr>
              <w:pStyle w:val="TableContents"/>
              <w:spacing w:before="0" w:after="0"/>
              <w:jc w:val="right"/>
              <w:rPr>
                <w:rFonts w:ascii="inherit" w:hAnsi="inherit"/>
                <w:sz w:val="15"/>
              </w:rPr>
            </w:pPr>
            <w:r>
              <w:rPr>
                <w:rFonts w:ascii="inherit" w:hAnsi="inherit"/>
                <w:sz w:val="15"/>
              </w:rPr>
              <w:t>165,738</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061" w:type="dxa"/>
            <w:tcBorders/>
            <w:shd w:fill="auto" w:val="clear"/>
            <w:vAlign w:val="center"/>
          </w:tcPr>
          <w:p>
            <w:pPr>
              <w:pStyle w:val="TableContents"/>
              <w:spacing w:before="0" w:after="0"/>
              <w:jc w:val="right"/>
              <w:rPr>
                <w:rFonts w:ascii="inherit" w:hAnsi="inherit"/>
                <w:sz w:val="15"/>
              </w:rPr>
            </w:pPr>
            <w:r>
              <w:rPr>
                <w:rFonts w:ascii="inherit" w:hAnsi="inherit"/>
                <w:sz w:val="15"/>
              </w:rPr>
              <w:t>26,662</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7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246" w:type="dxa"/>
            <w:tcBorders/>
            <w:shd w:fill="auto" w:val="clear"/>
            <w:vAlign w:val="center"/>
          </w:tcPr>
          <w:p>
            <w:pPr>
              <w:pStyle w:val="TableContents"/>
              <w:spacing w:before="0" w:after="0"/>
              <w:jc w:val="right"/>
              <w:rPr>
                <w:rFonts w:ascii="inherit" w:hAnsi="inherit"/>
                <w:sz w:val="15"/>
              </w:rPr>
            </w:pPr>
            <w:r>
              <w:rPr>
                <w:rFonts w:ascii="inherit" w:hAnsi="inherit"/>
                <w:sz w:val="15"/>
              </w:rPr>
              <w:t>(35,544</w:t>
            </w:r>
          </w:p>
        </w:tc>
        <w:tc>
          <w:tcPr>
            <w:tcW w:w="17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 w:type="dxa"/>
            <w:tcBorders/>
            <w:shd w:fill="auto" w:val="clear"/>
            <w:vAlign w:val="center"/>
          </w:tcPr>
          <w:p>
            <w:pPr>
              <w:pStyle w:val="TableContents"/>
              <w:spacing w:before="0" w:after="0"/>
              <w:ind w:left="0" w:right="0" w:firstLine="30"/>
              <w:rPr/>
            </w:pPr>
            <w:r>
              <w:rPr/>
              <w:t> </w:t>
            </w:r>
          </w:p>
        </w:tc>
        <w:tc>
          <w:tcPr>
            <w:tcW w:w="15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162" w:type="dxa"/>
            <w:tcBorders/>
            <w:shd w:fill="auto" w:val="clear"/>
            <w:vAlign w:val="center"/>
          </w:tcPr>
          <w:p>
            <w:pPr>
              <w:pStyle w:val="TableContents"/>
              <w:spacing w:before="0" w:after="0"/>
              <w:jc w:val="right"/>
              <w:rPr>
                <w:rFonts w:ascii="inherit" w:hAnsi="inherit"/>
                <w:sz w:val="15"/>
              </w:rPr>
            </w:pPr>
            <w:r>
              <w:rPr>
                <w:rFonts w:ascii="inherit" w:hAnsi="inherit"/>
                <w:sz w:val="15"/>
              </w:rPr>
              <w:t>156,856</w:t>
            </w:r>
          </w:p>
        </w:tc>
        <w:tc>
          <w:tcPr>
            <w:tcW w:w="5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Corporate expenses:</w:t>
            </w:r>
          </w:p>
        </w:tc>
        <w:tc>
          <w:tcPr>
            <w:tcW w:w="1448"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03"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882" w:type="dxa"/>
            <w:gridSpan w:val="3"/>
            <w:tcBorders/>
            <w:shd w:fill="CCEEFF" w:val="clear"/>
            <w:vAlign w:val="center"/>
          </w:tcPr>
          <w:p>
            <w:pPr>
              <w:pStyle w:val="TableContents"/>
              <w:spacing w:before="0" w:after="0"/>
              <w:ind w:left="0" w:right="0" w:firstLine="300"/>
              <w:rPr/>
            </w:pPr>
            <w:r>
              <w:rPr/>
              <w:t> </w:t>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Administrative</w:t>
            </w:r>
          </w:p>
        </w:tc>
        <w:tc>
          <w:tcPr>
            <w:tcW w:w="1448"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3"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52,474</w:t>
            </w:r>
          </w:p>
        </w:tc>
        <w:tc>
          <w:tcPr>
            <w:tcW w:w="5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Depreciation</w:t>
            </w:r>
          </w:p>
        </w:tc>
        <w:tc>
          <w:tcPr>
            <w:tcW w:w="1448"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03"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1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6,822</w:t>
            </w:r>
          </w:p>
        </w:tc>
        <w:tc>
          <w:tcPr>
            <w:tcW w:w="5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Amortization</w:t>
            </w:r>
          </w:p>
        </w:tc>
        <w:tc>
          <w:tcPr>
            <w:tcW w:w="1448"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3"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1,381</w:t>
            </w:r>
          </w:p>
        </w:tc>
        <w:tc>
          <w:tcPr>
            <w:tcW w:w="5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Loss on sale or disposal of assets</w:t>
            </w:r>
          </w:p>
        </w:tc>
        <w:tc>
          <w:tcPr>
            <w:tcW w:w="1448"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03"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1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1,133</w:t>
            </w:r>
          </w:p>
        </w:tc>
        <w:tc>
          <w:tcPr>
            <w:tcW w:w="56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Interest expense, net</w:t>
            </w:r>
          </w:p>
        </w:tc>
        <w:tc>
          <w:tcPr>
            <w:tcW w:w="1448"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3"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3,873</w:t>
            </w:r>
          </w:p>
        </w:tc>
        <w:tc>
          <w:tcPr>
            <w:tcW w:w="56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income</w:t>
            </w:r>
          </w:p>
        </w:tc>
        <w:tc>
          <w:tcPr>
            <w:tcW w:w="1448"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03"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1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(137</w:t>
            </w:r>
          </w:p>
        </w:tc>
        <w:tc>
          <w:tcPr>
            <w:tcW w:w="56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before income taxes</w:t>
            </w:r>
          </w:p>
        </w:tc>
        <w:tc>
          <w:tcPr>
            <w:tcW w:w="1448"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3"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1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91,310</w:t>
            </w:r>
          </w:p>
        </w:tc>
        <w:tc>
          <w:tcPr>
            <w:tcW w:w="56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tax expense</w:t>
            </w:r>
          </w:p>
        </w:tc>
        <w:tc>
          <w:tcPr>
            <w:tcW w:w="1448"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03"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29,575</w:t>
            </w:r>
          </w:p>
        </w:tc>
        <w:tc>
          <w:tcPr>
            <w:tcW w:w="56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net of tax</w:t>
            </w:r>
          </w:p>
        </w:tc>
        <w:tc>
          <w:tcPr>
            <w:tcW w:w="1448"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3"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61,735</w:t>
            </w:r>
          </w:p>
        </w:tc>
        <w:tc>
          <w:tcPr>
            <w:tcW w:w="5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Loss from discontinued operations, net of tax</w:t>
            </w:r>
          </w:p>
        </w:tc>
        <w:tc>
          <w:tcPr>
            <w:tcW w:w="1448"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67"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03"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(23,310</w:t>
            </w:r>
          </w:p>
        </w:tc>
        <w:tc>
          <w:tcPr>
            <w:tcW w:w="56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1448"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3"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1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38,425</w:t>
            </w:r>
          </w:p>
        </w:tc>
        <w:tc>
          <w:tcPr>
            <w:tcW w:w="5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50" w:type="dxa"/>
            <w:gridSpan w:val="8"/>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income from continuing operations attributable to redeemable noncontrolling interest</w:t>
            </w:r>
          </w:p>
        </w:tc>
        <w:tc>
          <w:tcPr>
            <w:tcW w:w="135" w:type="dxa"/>
            <w:tcBorders/>
            <w:shd w:fill="CCEEFF" w:val="clear"/>
            <w:vAlign w:val="center"/>
          </w:tcPr>
          <w:p>
            <w:pPr>
              <w:pStyle w:val="TableContents"/>
              <w:spacing w:before="0" w:after="0"/>
              <w:ind w:left="0" w:right="0" w:firstLine="30"/>
              <w:rPr/>
            </w:pPr>
            <w:r>
              <w:rPr/>
              <w:t> </w:t>
            </w:r>
          </w:p>
        </w:tc>
        <w:tc>
          <w:tcPr>
            <w:tcW w:w="1603"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4,348</w:t>
            </w:r>
          </w:p>
        </w:tc>
        <w:tc>
          <w:tcPr>
            <w:tcW w:w="56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 attributable to EZCORP, Inc.</w:t>
            </w:r>
          </w:p>
        </w:tc>
        <w:tc>
          <w:tcPr>
            <w:tcW w:w="1448"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67"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3"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5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1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34,077</w:t>
            </w:r>
          </w:p>
        </w:tc>
        <w:tc>
          <w:tcPr>
            <w:tcW w:w="56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94</w:t>
      </w:r>
      <w:r>
        <w:br w:type="page"/>
      </w:r>
    </w:p>
    <w:p>
      <w:pPr>
        <w:pStyle w:val="TextBody"/>
        <w:spacing w:lineRule="auto" w:line="288" w:before="0" w:after="0"/>
        <w:rPr/>
      </w:pPr>
      <w:hyperlink w:anchor="sA13583D437E20DC41B4583E2BD74AA47">
        <w:bookmarkStart w:id="88" w:name="s8020F25674B53A7E2D7283E26E3C3C442"/>
        <w:bookmarkEnd w:id="88"/>
        <w:r>
          <w:rPr>
            <w:rStyle w:val="InternetLink"/>
            <w:rFonts w:ascii="inherit" w:hAnsi="inherit"/>
            <w:color w:val="0000FF"/>
            <w:sz w:val="17"/>
            <w:u w:val="single"/>
          </w:rPr>
          <w:t>Table of Contents</w:t>
        </w:r>
      </w:hyperlink>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3511"/>
        <w:gridCol w:w="153"/>
        <w:gridCol w:w="1145"/>
        <w:gridCol w:w="153"/>
        <w:gridCol w:w="135"/>
        <w:gridCol w:w="153"/>
        <w:gridCol w:w="1064"/>
        <w:gridCol w:w="153"/>
        <w:gridCol w:w="135"/>
        <w:gridCol w:w="188"/>
        <w:gridCol w:w="1228"/>
        <w:gridCol w:w="189"/>
        <w:gridCol w:w="135"/>
        <w:gridCol w:w="153"/>
        <w:gridCol w:w="1145"/>
        <w:gridCol w:w="565"/>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11" w:type="dxa"/>
            <w:tcBorders/>
            <w:shd w:fill="auto" w:val="clear"/>
            <w:vAlign w:val="center"/>
          </w:tcPr>
          <w:p>
            <w:pPr>
              <w:pStyle w:val="TableContents"/>
              <w:spacing w:before="0" w:after="0"/>
              <w:ind w:left="0" w:right="0" w:firstLine="30"/>
              <w:rPr/>
            </w:pPr>
            <w:r>
              <w:rPr/>
              <w:t> </w:t>
            </w:r>
          </w:p>
        </w:tc>
        <w:tc>
          <w:tcPr>
            <w:tcW w:w="6694"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Year Ended September 30, 2012</w:t>
            </w:r>
          </w:p>
        </w:tc>
      </w:tr>
      <w:tr>
        <w:trPr/>
        <w:tc>
          <w:tcPr>
            <w:tcW w:w="3511" w:type="dxa"/>
            <w:tcBorders/>
            <w:shd w:fill="auto" w:val="clear"/>
            <w:vAlign w:val="center"/>
          </w:tcPr>
          <w:p>
            <w:pPr>
              <w:pStyle w:val="TableContents"/>
              <w:spacing w:before="0" w:after="0"/>
              <w:ind w:left="0" w:right="0" w:firstLine="30"/>
              <w:rPr/>
            </w:pPr>
            <w:r>
              <w:rPr/>
              <w:t> </w:t>
            </w:r>
          </w:p>
        </w:tc>
        <w:tc>
          <w:tcPr>
            <w:tcW w:w="145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35" w:type="dxa"/>
            <w:tcBorders/>
            <w:shd w:fill="auto" w:val="clear"/>
            <w:vAlign w:val="center"/>
          </w:tcPr>
          <w:p>
            <w:pPr>
              <w:pStyle w:val="TableContents"/>
              <w:spacing w:before="0" w:after="0"/>
              <w:ind w:left="0" w:right="0" w:firstLine="30"/>
              <w:rPr/>
            </w:pPr>
            <w:r>
              <w:rPr/>
              <w:t> </w:t>
            </w:r>
          </w:p>
        </w:tc>
        <w:tc>
          <w:tcPr>
            <w:tcW w:w="13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35" w:type="dxa"/>
            <w:tcBorders/>
            <w:shd w:fill="auto" w:val="clear"/>
            <w:vAlign w:val="center"/>
          </w:tcPr>
          <w:p>
            <w:pPr>
              <w:pStyle w:val="TableContents"/>
              <w:spacing w:before="0" w:after="0"/>
              <w:ind w:left="0" w:right="0" w:firstLine="30"/>
              <w:rPr/>
            </w:pPr>
            <w:r>
              <w:rPr/>
              <w:t> </w:t>
            </w:r>
          </w:p>
        </w:tc>
        <w:tc>
          <w:tcPr>
            <w:tcW w:w="16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35" w:type="dxa"/>
            <w:tcBorders/>
            <w:shd w:fill="auto" w:val="clear"/>
            <w:vAlign w:val="center"/>
          </w:tcPr>
          <w:p>
            <w:pPr>
              <w:pStyle w:val="TableContents"/>
              <w:spacing w:before="0" w:after="0"/>
              <w:ind w:left="0" w:right="0" w:firstLine="30"/>
              <w:rPr/>
            </w:pPr>
            <w:r>
              <w:rPr/>
              <w:t> </w:t>
            </w:r>
          </w:p>
        </w:tc>
        <w:tc>
          <w:tcPr>
            <w:tcW w:w="186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511" w:type="dxa"/>
            <w:tcBorders/>
            <w:shd w:fill="auto" w:val="clear"/>
            <w:vAlign w:val="center"/>
          </w:tcPr>
          <w:p>
            <w:pPr>
              <w:pStyle w:val="TableContents"/>
              <w:spacing w:before="0" w:after="0"/>
              <w:ind w:left="0" w:right="0" w:firstLine="30"/>
              <w:rPr/>
            </w:pPr>
            <w:r>
              <w:rPr/>
              <w:t> </w:t>
            </w:r>
          </w:p>
        </w:tc>
        <w:tc>
          <w:tcPr>
            <w:tcW w:w="6694"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Revenues:</w:t>
            </w:r>
          </w:p>
        </w:tc>
        <w:tc>
          <w:tcPr>
            <w:tcW w:w="1451"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5"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863" w:type="dxa"/>
            <w:gridSpan w:val="3"/>
            <w:tcBorders/>
            <w:shd w:fill="auto" w:val="clear"/>
            <w:vAlign w:val="center"/>
          </w:tcPr>
          <w:p>
            <w:pPr>
              <w:pStyle w:val="TableContents"/>
              <w:spacing w:before="0" w:after="0"/>
              <w:ind w:left="0" w:right="0" w:firstLine="300"/>
              <w:rPr/>
            </w:pPr>
            <w:r>
              <w:rPr/>
              <w:t> </w:t>
            </w:r>
          </w:p>
        </w:tc>
      </w:tr>
      <w:tr>
        <w:trPr/>
        <w:tc>
          <w:tcPr>
            <w:tcW w:w="35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Merchandise sales</w:t>
            </w:r>
          </w:p>
        </w:tc>
        <w:tc>
          <w:tcPr>
            <w:tcW w:w="15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45" w:type="dxa"/>
            <w:tcBorders/>
            <w:shd w:fill="CCEEFF" w:val="clear"/>
            <w:vAlign w:val="center"/>
          </w:tcPr>
          <w:p>
            <w:pPr>
              <w:pStyle w:val="TableContents"/>
              <w:spacing w:before="0" w:after="0"/>
              <w:jc w:val="right"/>
              <w:rPr>
                <w:rFonts w:ascii="inherit" w:hAnsi="inherit"/>
                <w:sz w:val="15"/>
              </w:rPr>
            </w:pPr>
            <w:r>
              <w:rPr>
                <w:rFonts w:ascii="inherit" w:hAnsi="inherit"/>
                <w:sz w:val="15"/>
              </w:rPr>
              <w:t>291,497</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064" w:type="dxa"/>
            <w:tcBorders/>
            <w:shd w:fill="CCEEFF" w:val="clear"/>
            <w:vAlign w:val="center"/>
          </w:tcPr>
          <w:p>
            <w:pPr>
              <w:pStyle w:val="TableContents"/>
              <w:spacing w:before="0" w:after="0"/>
              <w:jc w:val="right"/>
              <w:rPr>
                <w:rFonts w:ascii="inherit" w:hAnsi="inherit"/>
                <w:sz w:val="15"/>
              </w:rPr>
            </w:pPr>
            <w:r>
              <w:rPr>
                <w:rFonts w:ascii="inherit" w:hAnsi="inherit"/>
                <w:sz w:val="15"/>
              </w:rPr>
              <w:t>41,567</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8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228" w:type="dxa"/>
            <w:tcBorders/>
            <w:shd w:fill="CCEEFF" w:val="clear"/>
            <w:vAlign w:val="center"/>
          </w:tcPr>
          <w:p>
            <w:pPr>
              <w:pStyle w:val="TableContents"/>
              <w:spacing w:before="0" w:after="0"/>
              <w:jc w:val="right"/>
              <w:rPr/>
            </w:pPr>
            <w:r>
              <w:rPr/>
              <w:t>—</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45" w:type="dxa"/>
            <w:tcBorders/>
            <w:shd w:fill="CCEEFF" w:val="clear"/>
            <w:vAlign w:val="center"/>
          </w:tcPr>
          <w:p>
            <w:pPr>
              <w:pStyle w:val="TableContents"/>
              <w:spacing w:before="0" w:after="0"/>
              <w:jc w:val="right"/>
              <w:rPr>
                <w:rFonts w:ascii="inherit" w:hAnsi="inherit"/>
                <w:sz w:val="15"/>
              </w:rPr>
            </w:pPr>
            <w:r>
              <w:rPr>
                <w:rFonts w:ascii="inherit" w:hAnsi="inherit"/>
                <w:sz w:val="15"/>
              </w:rPr>
              <w:t>333,064</w:t>
            </w:r>
          </w:p>
        </w:tc>
        <w:tc>
          <w:tcPr>
            <w:tcW w:w="56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Jewelry scrapping sales</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191,905</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10,576</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16" w:type="dxa"/>
            <w:gridSpan w:val="2"/>
            <w:tcBorders/>
            <w:shd w:fill="auto" w:val="clear"/>
            <w:vAlign w:val="center"/>
          </w:tcPr>
          <w:p>
            <w:pPr>
              <w:pStyle w:val="TableContents"/>
              <w:spacing w:before="0" w:after="0"/>
              <w:jc w:val="right"/>
              <w:rPr/>
            </w:pPr>
            <w:r>
              <w:rPr/>
              <w:t>—</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202,481</w:t>
            </w:r>
          </w:p>
        </w:tc>
        <w:tc>
          <w:tcPr>
            <w:tcW w:w="56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w:t>
            </w:r>
          </w:p>
        </w:tc>
        <w:tc>
          <w:tcPr>
            <w:tcW w:w="129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210,601</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1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22,937</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16" w:type="dxa"/>
            <w:gridSpan w:val="2"/>
            <w:tcBorders/>
            <w:shd w:fill="CCEEFF" w:val="clear"/>
            <w:vAlign w:val="center"/>
          </w:tcPr>
          <w:p>
            <w:pPr>
              <w:pStyle w:val="TableContents"/>
              <w:spacing w:before="0" w:after="0"/>
              <w:jc w:val="right"/>
              <w:rPr/>
            </w:pPr>
            <w:r>
              <w:rPr/>
              <w:t>—</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9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233,538</w:t>
            </w:r>
          </w:p>
        </w:tc>
        <w:tc>
          <w:tcPr>
            <w:tcW w:w="56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Consumer loan fees and interest</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163,896</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26,901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1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9,884</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200,681</w:t>
            </w:r>
          </w:p>
        </w:tc>
        <w:tc>
          <w:tcPr>
            <w:tcW w:w="56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revenues</w:t>
            </w:r>
          </w:p>
        </w:tc>
        <w:tc>
          <w:tcPr>
            <w:tcW w:w="129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3,759</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1,292</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308</w:t>
            </w:r>
          </w:p>
        </w:tc>
        <w:tc>
          <w:tcPr>
            <w:tcW w:w="18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9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5,359</w:t>
            </w:r>
          </w:p>
        </w:tc>
        <w:tc>
          <w:tcPr>
            <w:tcW w:w="565"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revenues</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861,658</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103,273</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1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10,192</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975,123</w:t>
            </w:r>
          </w:p>
        </w:tc>
        <w:tc>
          <w:tcPr>
            <w:tcW w:w="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Merchandise cost of goods sold</w:t>
            </w:r>
          </w:p>
        </w:tc>
        <w:tc>
          <w:tcPr>
            <w:tcW w:w="129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168,133</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1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22,504</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16" w:type="dxa"/>
            <w:gridSpan w:val="2"/>
            <w:tcBorders/>
            <w:shd w:fill="CCEEFF" w:val="clear"/>
            <w:vAlign w:val="center"/>
          </w:tcPr>
          <w:p>
            <w:pPr>
              <w:pStyle w:val="TableContents"/>
              <w:spacing w:before="0" w:after="0"/>
              <w:jc w:val="right"/>
              <w:rPr/>
            </w:pPr>
            <w:r>
              <w:rPr/>
              <w:t>—</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9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190,637</w:t>
            </w:r>
          </w:p>
        </w:tc>
        <w:tc>
          <w:tcPr>
            <w:tcW w:w="5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Jewelry scrapping cost of goods sold</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122,604</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8,111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16" w:type="dxa"/>
            <w:gridSpan w:val="2"/>
            <w:tcBorders/>
            <w:shd w:fill="auto" w:val="clear"/>
            <w:vAlign w:val="center"/>
          </w:tcPr>
          <w:p>
            <w:pPr>
              <w:pStyle w:val="TableContents"/>
              <w:spacing w:before="0" w:after="0"/>
              <w:jc w:val="right"/>
              <w:rPr/>
            </w:pPr>
            <w:r>
              <w:rPr/>
              <w:t>—</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130,715</w:t>
            </w:r>
          </w:p>
        </w:tc>
        <w:tc>
          <w:tcPr>
            <w:tcW w:w="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 bad debt</w:t>
            </w:r>
          </w:p>
        </w:tc>
        <w:tc>
          <w:tcPr>
            <w:tcW w:w="129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35,398</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309</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3,663</w:t>
            </w:r>
          </w:p>
        </w:tc>
        <w:tc>
          <w:tcPr>
            <w:tcW w:w="18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9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39,370</w:t>
            </w:r>
          </w:p>
        </w:tc>
        <w:tc>
          <w:tcPr>
            <w:tcW w:w="565"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revenues</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535,523</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72,349</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1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6,529</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614,401</w:t>
            </w:r>
          </w:p>
        </w:tc>
        <w:tc>
          <w:tcPr>
            <w:tcW w:w="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Segment expenses (income):</w:t>
            </w:r>
          </w:p>
        </w:tc>
        <w:tc>
          <w:tcPr>
            <w:tcW w:w="1451"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70"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05"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863" w:type="dxa"/>
            <w:gridSpan w:val="3"/>
            <w:tcBorders/>
            <w:shd w:fill="CCEEFF" w:val="clear"/>
            <w:vAlign w:val="center"/>
          </w:tcPr>
          <w:p>
            <w:pPr>
              <w:pStyle w:val="TableContents"/>
              <w:spacing w:before="0" w:after="0"/>
              <w:ind w:left="0" w:right="0" w:firstLine="300"/>
              <w:rPr/>
            </w:pPr>
            <w:r>
              <w:rPr/>
              <w:t> </w:t>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Operations</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292,371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37,259</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1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6,718</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336,348</w:t>
            </w:r>
          </w:p>
        </w:tc>
        <w:tc>
          <w:tcPr>
            <w:tcW w:w="56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Depreciation</w:t>
            </w:r>
          </w:p>
        </w:tc>
        <w:tc>
          <w:tcPr>
            <w:tcW w:w="129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13,058</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1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3,319</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1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177</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9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16,554</w:t>
            </w:r>
          </w:p>
        </w:tc>
        <w:tc>
          <w:tcPr>
            <w:tcW w:w="56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Amortization</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521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1,370</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1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46</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1,937</w:t>
            </w:r>
          </w:p>
        </w:tc>
        <w:tc>
          <w:tcPr>
            <w:tcW w:w="56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(Gain) loss on sale or disposal of assets</w:t>
            </w:r>
          </w:p>
        </w:tc>
        <w:tc>
          <w:tcPr>
            <w:tcW w:w="129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(261</w:t>
            </w:r>
          </w:p>
        </w:tc>
        <w:tc>
          <w:tcPr>
            <w:tcW w:w="15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 w:type="dxa"/>
            <w:tcBorders/>
            <w:shd w:fill="CCEEFF" w:val="clear"/>
            <w:vAlign w:val="center"/>
          </w:tcPr>
          <w:p>
            <w:pPr>
              <w:pStyle w:val="TableContents"/>
              <w:spacing w:before="0" w:after="0"/>
              <w:ind w:left="0" w:right="0" w:firstLine="30"/>
              <w:rPr/>
            </w:pPr>
            <w:r>
              <w:rPr/>
              <w:t> </w:t>
            </w:r>
          </w:p>
        </w:tc>
        <w:tc>
          <w:tcPr>
            <w:tcW w:w="121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1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223</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9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(26</w:t>
            </w:r>
          </w:p>
        </w:tc>
        <w:tc>
          <w:tcPr>
            <w:tcW w:w="565" w:type="dxa"/>
            <w:tcBorders/>
            <w:shd w:fill="CCEEFF"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Interest income, net</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w:t>
            </w:r>
          </w:p>
        </w:tc>
        <w:tc>
          <w:tcPr>
            <w:tcW w:w="15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 w:type="dxa"/>
            <w:tcBorders/>
            <w:shd w:fill="auto" w:val="clear"/>
            <w:vAlign w:val="center"/>
          </w:tcPr>
          <w:p>
            <w:pPr>
              <w:pStyle w:val="TableContents"/>
              <w:spacing w:before="0" w:after="0"/>
              <w:ind w:left="0" w:right="0" w:firstLine="30"/>
              <w:rPr/>
            </w:pPr>
            <w:r>
              <w:rPr/>
              <w:t> </w:t>
            </w:r>
          </w:p>
        </w:tc>
        <w:tc>
          <w:tcPr>
            <w:tcW w:w="12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(4,507</w:t>
            </w:r>
          </w:p>
        </w:tc>
        <w:tc>
          <w:tcPr>
            <w:tcW w:w="15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 w:type="dxa"/>
            <w:tcBorders/>
            <w:shd w:fill="auto" w:val="clear"/>
            <w:vAlign w:val="center"/>
          </w:tcPr>
          <w:p>
            <w:pPr>
              <w:pStyle w:val="TableContents"/>
              <w:spacing w:before="0" w:after="0"/>
              <w:ind w:left="0" w:right="0" w:firstLine="30"/>
              <w:rPr/>
            </w:pPr>
            <w:r>
              <w:rPr/>
              <w:t> </w:t>
            </w:r>
          </w:p>
        </w:tc>
        <w:tc>
          <w:tcPr>
            <w:tcW w:w="141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w:t>
            </w:r>
          </w:p>
        </w:tc>
        <w:tc>
          <w:tcPr>
            <w:tcW w:w="18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 w:type="dxa"/>
            <w:tcBorders/>
            <w:shd w:fill="auto" w:val="clear"/>
            <w:vAlign w:val="center"/>
          </w:tcPr>
          <w:p>
            <w:pPr>
              <w:pStyle w:val="TableContents"/>
              <w:spacing w:before="0" w:after="0"/>
              <w:ind w:left="0" w:right="0" w:firstLine="30"/>
              <w:rPr/>
            </w:pPr>
            <w:r>
              <w:rPr/>
              <w:t> </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(4,511</w:t>
            </w:r>
          </w:p>
        </w:tc>
        <w:tc>
          <w:tcPr>
            <w:tcW w:w="565"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35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Equity in net income of unconsolidated affiliates</w:t>
            </w:r>
          </w:p>
        </w:tc>
        <w:tc>
          <w:tcPr>
            <w:tcW w:w="1298" w:type="dxa"/>
            <w:gridSpan w:val="2"/>
            <w:tcBorders/>
            <w:shd w:fill="CCEEFF" w:val="clear"/>
            <w:vAlign w:val="center"/>
          </w:tcPr>
          <w:p>
            <w:pPr>
              <w:pStyle w:val="TableContents"/>
              <w:spacing w:before="0" w:after="0"/>
              <w:jc w:val="right"/>
              <w:rPr/>
            </w:pPr>
            <w:r>
              <w:rPr/>
              <w:t>—</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17" w:type="dxa"/>
            <w:gridSpan w:val="2"/>
            <w:tcBorders/>
            <w:shd w:fill="CCEEFF" w:val="clear"/>
            <w:vAlign w:val="center"/>
          </w:tcPr>
          <w:p>
            <w:pPr>
              <w:pStyle w:val="TableContents"/>
              <w:spacing w:before="0" w:after="0"/>
              <w:jc w:val="right"/>
              <w:rPr/>
            </w:pPr>
            <w:r>
              <w:rPr/>
              <w:t>—</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1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(17,400</w:t>
            </w:r>
          </w:p>
        </w:tc>
        <w:tc>
          <w:tcPr>
            <w:tcW w:w="18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 w:type="dxa"/>
            <w:tcBorders/>
            <w:shd w:fill="CCEEFF" w:val="clear"/>
            <w:vAlign w:val="center"/>
          </w:tcPr>
          <w:p>
            <w:pPr>
              <w:pStyle w:val="TableContents"/>
              <w:spacing w:before="0" w:after="0"/>
              <w:ind w:left="0" w:right="0" w:firstLine="30"/>
              <w:rPr/>
            </w:pPr>
            <w:r>
              <w:rPr/>
              <w:t> </w:t>
            </w:r>
          </w:p>
        </w:tc>
        <w:tc>
          <w:tcPr>
            <w:tcW w:w="129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(17,400</w:t>
            </w:r>
          </w:p>
        </w:tc>
        <w:tc>
          <w:tcPr>
            <w:tcW w:w="565" w:type="dxa"/>
            <w:tcBorders/>
            <w:shd w:fill="CCEEFF"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income</w:t>
            </w:r>
          </w:p>
        </w:tc>
        <w:tc>
          <w:tcPr>
            <w:tcW w:w="129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(647</w:t>
            </w:r>
          </w:p>
        </w:tc>
        <w:tc>
          <w:tcPr>
            <w:tcW w:w="15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 w:type="dxa"/>
            <w:tcBorders/>
            <w:shd w:fill="auto" w:val="clear"/>
            <w:vAlign w:val="center"/>
          </w:tcPr>
          <w:p>
            <w:pPr>
              <w:pStyle w:val="TableContents"/>
              <w:spacing w:before="0" w:after="0"/>
              <w:ind w:left="0" w:right="0" w:firstLine="30"/>
              <w:rPr/>
            </w:pPr>
            <w:r>
              <w:rPr/>
              <w:t> </w:t>
            </w:r>
          </w:p>
        </w:tc>
        <w:tc>
          <w:tcPr>
            <w:tcW w:w="12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(5</w:t>
            </w:r>
          </w:p>
        </w:tc>
        <w:tc>
          <w:tcPr>
            <w:tcW w:w="15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 w:type="dxa"/>
            <w:tcBorders/>
            <w:shd w:fill="auto" w:val="clear"/>
            <w:vAlign w:val="center"/>
          </w:tcPr>
          <w:p>
            <w:pPr>
              <w:pStyle w:val="TableContents"/>
              <w:spacing w:before="0" w:after="0"/>
              <w:ind w:left="0" w:right="0" w:firstLine="30"/>
              <w:rPr/>
            </w:pPr>
            <w:r>
              <w:rPr/>
              <w:t> </w:t>
            </w:r>
          </w:p>
        </w:tc>
        <w:tc>
          <w:tcPr>
            <w:tcW w:w="14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(559</w:t>
            </w:r>
          </w:p>
        </w:tc>
        <w:tc>
          <w:tcPr>
            <w:tcW w:w="18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5" w:type="dxa"/>
            <w:tcBorders/>
            <w:shd w:fill="auto" w:val="clear"/>
            <w:vAlign w:val="center"/>
          </w:tcPr>
          <w:p>
            <w:pPr>
              <w:pStyle w:val="TableContents"/>
              <w:spacing w:before="0" w:after="0"/>
              <w:ind w:left="0" w:right="0" w:firstLine="30"/>
              <w:rPr/>
            </w:pPr>
            <w:r>
              <w:rPr/>
              <w:t> </w:t>
            </w:r>
          </w:p>
        </w:tc>
        <w:tc>
          <w:tcPr>
            <w:tcW w:w="129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(1,211</w:t>
            </w:r>
          </w:p>
        </w:tc>
        <w:tc>
          <w:tcPr>
            <w:tcW w:w="56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35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Segment contribution</w:t>
            </w:r>
          </w:p>
        </w:tc>
        <w:tc>
          <w:tcPr>
            <w:tcW w:w="15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45" w:type="dxa"/>
            <w:tcBorders/>
            <w:shd w:fill="CCEEFF" w:val="clear"/>
            <w:vAlign w:val="center"/>
          </w:tcPr>
          <w:p>
            <w:pPr>
              <w:pStyle w:val="TableContents"/>
              <w:spacing w:before="0" w:after="0"/>
              <w:jc w:val="right"/>
              <w:rPr>
                <w:rFonts w:ascii="inherit" w:hAnsi="inherit"/>
                <w:sz w:val="15"/>
              </w:rPr>
            </w:pPr>
            <w:r>
              <w:rPr>
                <w:rFonts w:ascii="inherit" w:hAnsi="inherit"/>
                <w:sz w:val="15"/>
              </w:rPr>
              <w:t>230,484</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064" w:type="dxa"/>
            <w:tcBorders/>
            <w:shd w:fill="CCEEFF" w:val="clear"/>
            <w:vAlign w:val="center"/>
          </w:tcPr>
          <w:p>
            <w:pPr>
              <w:pStyle w:val="TableContents"/>
              <w:spacing w:before="0" w:after="0"/>
              <w:jc w:val="right"/>
              <w:rPr>
                <w:rFonts w:ascii="inherit" w:hAnsi="inherit"/>
                <w:sz w:val="15"/>
              </w:rPr>
            </w:pPr>
            <w:r>
              <w:rPr>
                <w:rFonts w:ascii="inherit" w:hAnsi="inherit"/>
                <w:sz w:val="15"/>
              </w:rPr>
              <w:t>34,901</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8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228" w:type="dxa"/>
            <w:tcBorders/>
            <w:shd w:fill="CCEEFF" w:val="clear"/>
            <w:vAlign w:val="center"/>
          </w:tcPr>
          <w:p>
            <w:pPr>
              <w:pStyle w:val="TableContents"/>
              <w:spacing w:before="0" w:after="0"/>
              <w:jc w:val="right"/>
              <w:rPr>
                <w:rFonts w:ascii="inherit" w:hAnsi="inherit"/>
                <w:sz w:val="15"/>
              </w:rPr>
            </w:pPr>
            <w:r>
              <w:rPr>
                <w:rFonts w:ascii="inherit" w:hAnsi="inherit"/>
                <w:sz w:val="15"/>
              </w:rPr>
              <w:t>17,325</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45" w:type="dxa"/>
            <w:tcBorders/>
            <w:shd w:fill="CCEEFF" w:val="clear"/>
            <w:vAlign w:val="center"/>
          </w:tcPr>
          <w:p>
            <w:pPr>
              <w:pStyle w:val="TableContents"/>
              <w:spacing w:before="0" w:after="0"/>
              <w:jc w:val="right"/>
              <w:rPr>
                <w:rFonts w:ascii="inherit" w:hAnsi="inherit"/>
                <w:sz w:val="15"/>
              </w:rPr>
            </w:pPr>
            <w:r>
              <w:rPr>
                <w:rFonts w:ascii="inherit" w:hAnsi="inherit"/>
                <w:sz w:val="15"/>
              </w:rPr>
              <w:t>282,710</w:t>
            </w:r>
          </w:p>
        </w:tc>
        <w:tc>
          <w:tcPr>
            <w:tcW w:w="5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Corporate expenses:</w:t>
            </w:r>
          </w:p>
        </w:tc>
        <w:tc>
          <w:tcPr>
            <w:tcW w:w="1451"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5"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863" w:type="dxa"/>
            <w:gridSpan w:val="3"/>
            <w:tcBorders/>
            <w:shd w:fill="auto" w:val="clear"/>
            <w:vAlign w:val="center"/>
          </w:tcPr>
          <w:p>
            <w:pPr>
              <w:pStyle w:val="TableContents"/>
              <w:spacing w:before="0" w:after="0"/>
              <w:ind w:left="0" w:right="0" w:firstLine="300"/>
              <w:rPr/>
            </w:pPr>
            <w:r>
              <w:rPr/>
              <w:t> </w:t>
            </w:r>
          </w:p>
        </w:tc>
      </w:tr>
      <w:tr>
        <w:trPr/>
        <w:tc>
          <w:tcPr>
            <w:tcW w:w="35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Administrative</w:t>
            </w:r>
          </w:p>
        </w:tc>
        <w:tc>
          <w:tcPr>
            <w:tcW w:w="1451"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70"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05"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29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47,912</w:t>
            </w:r>
          </w:p>
        </w:tc>
        <w:tc>
          <w:tcPr>
            <w:tcW w:w="56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Depreciation</w:t>
            </w:r>
          </w:p>
        </w:tc>
        <w:tc>
          <w:tcPr>
            <w:tcW w:w="1451"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5"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5,457</w:t>
            </w:r>
          </w:p>
        </w:tc>
        <w:tc>
          <w:tcPr>
            <w:tcW w:w="56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Amortization</w:t>
            </w:r>
          </w:p>
        </w:tc>
        <w:tc>
          <w:tcPr>
            <w:tcW w:w="1451"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70"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05"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29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w:t>
            </w:r>
          </w:p>
        </w:tc>
        <w:tc>
          <w:tcPr>
            <w:tcW w:w="56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Gain on sale or disposal of assets</w:t>
            </w:r>
          </w:p>
        </w:tc>
        <w:tc>
          <w:tcPr>
            <w:tcW w:w="1451"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5"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w:t>
            </w:r>
          </w:p>
        </w:tc>
        <w:tc>
          <w:tcPr>
            <w:tcW w:w="565"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35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Interest expense, net</w:t>
            </w:r>
          </w:p>
        </w:tc>
        <w:tc>
          <w:tcPr>
            <w:tcW w:w="1451"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70"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05"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29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2,961</w:t>
            </w:r>
          </w:p>
        </w:tc>
        <w:tc>
          <w:tcPr>
            <w:tcW w:w="56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before income taxes</w:t>
            </w:r>
          </w:p>
        </w:tc>
        <w:tc>
          <w:tcPr>
            <w:tcW w:w="1451"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5"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226,362</w:t>
            </w:r>
          </w:p>
        </w:tc>
        <w:tc>
          <w:tcPr>
            <w:tcW w:w="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tax expense</w:t>
            </w:r>
          </w:p>
        </w:tc>
        <w:tc>
          <w:tcPr>
            <w:tcW w:w="1451"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70"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05"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29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71,252</w:t>
            </w:r>
          </w:p>
        </w:tc>
        <w:tc>
          <w:tcPr>
            <w:tcW w:w="56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net of tax</w:t>
            </w:r>
          </w:p>
        </w:tc>
        <w:tc>
          <w:tcPr>
            <w:tcW w:w="1451"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5"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155,110</w:t>
            </w:r>
          </w:p>
        </w:tc>
        <w:tc>
          <w:tcPr>
            <w:tcW w:w="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Loss from discontinued operations, net of tax</w:t>
            </w:r>
          </w:p>
        </w:tc>
        <w:tc>
          <w:tcPr>
            <w:tcW w:w="1451"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70"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05"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29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(4,533</w:t>
            </w:r>
          </w:p>
        </w:tc>
        <w:tc>
          <w:tcPr>
            <w:tcW w:w="56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1451"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5"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29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150,577</w:t>
            </w:r>
          </w:p>
        </w:tc>
        <w:tc>
          <w:tcPr>
            <w:tcW w:w="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67" w:type="dxa"/>
            <w:gridSpan w:val="8"/>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income from continuing operations attributable to redeemable noncontrolling interest</w:t>
            </w:r>
          </w:p>
        </w:tc>
        <w:tc>
          <w:tcPr>
            <w:tcW w:w="135" w:type="dxa"/>
            <w:tcBorders/>
            <w:shd w:fill="CCEEFF" w:val="clear"/>
            <w:vAlign w:val="center"/>
          </w:tcPr>
          <w:p>
            <w:pPr>
              <w:pStyle w:val="TableContents"/>
              <w:spacing w:before="0" w:after="0"/>
              <w:ind w:left="0" w:right="0" w:firstLine="30"/>
              <w:rPr/>
            </w:pPr>
            <w:r>
              <w:rPr/>
              <w:t> </w:t>
            </w:r>
          </w:p>
        </w:tc>
        <w:tc>
          <w:tcPr>
            <w:tcW w:w="1605"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29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6,869</w:t>
            </w:r>
          </w:p>
        </w:tc>
        <w:tc>
          <w:tcPr>
            <w:tcW w:w="5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 xml:space="preserve">Net income attributable to EZCORP, Inc. </w:t>
            </w:r>
          </w:p>
        </w:tc>
        <w:tc>
          <w:tcPr>
            <w:tcW w:w="1451"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605"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1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143,708</w:t>
            </w:r>
          </w:p>
        </w:tc>
        <w:tc>
          <w:tcPr>
            <w:tcW w:w="56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95</w:t>
      </w:r>
      <w:r>
        <w:br w:type="page"/>
      </w:r>
    </w:p>
    <w:p>
      <w:pPr>
        <w:pStyle w:val="TextBody"/>
        <w:spacing w:lineRule="auto" w:line="288" w:before="0" w:after="0"/>
        <w:rPr/>
      </w:pPr>
      <w:hyperlink w:anchor="sA13583D437E20DC41B4583E2BD74AA47">
        <w:bookmarkStart w:id="89" w:name="s8020F25674B53A7E2D7283E26E3C3C443"/>
        <w:bookmarkEnd w:id="89"/>
        <w:r>
          <w:rPr>
            <w:rStyle w:val="InternetLink"/>
            <w:rFonts w:ascii="inherit" w:hAnsi="inherit"/>
            <w:color w:val="0000FF"/>
            <w:sz w:val="17"/>
            <w:u w:val="single"/>
          </w:rPr>
          <w:t>Table of Contents</w:t>
        </w:r>
      </w:hyperlink>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3545"/>
        <w:gridCol w:w="154"/>
        <w:gridCol w:w="1153"/>
        <w:gridCol w:w="154"/>
        <w:gridCol w:w="136"/>
        <w:gridCol w:w="154"/>
        <w:gridCol w:w="1072"/>
        <w:gridCol w:w="82"/>
        <w:gridCol w:w="136"/>
        <w:gridCol w:w="188"/>
        <w:gridCol w:w="1236"/>
        <w:gridCol w:w="190"/>
        <w:gridCol w:w="136"/>
        <w:gridCol w:w="154"/>
        <w:gridCol w:w="1153"/>
        <w:gridCol w:w="562"/>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4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45" w:type="dxa"/>
            <w:tcBorders/>
            <w:shd w:fill="auto" w:val="clear"/>
            <w:vAlign w:val="center"/>
          </w:tcPr>
          <w:p>
            <w:pPr>
              <w:pStyle w:val="TableContents"/>
              <w:spacing w:before="0" w:after="0"/>
              <w:ind w:left="0" w:right="0" w:firstLine="30"/>
              <w:rPr/>
            </w:pPr>
            <w:r>
              <w:rPr/>
              <w:t> </w:t>
            </w:r>
          </w:p>
        </w:tc>
        <w:tc>
          <w:tcPr>
            <w:tcW w:w="6660"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Year Ended September 30, 2011</w:t>
            </w:r>
          </w:p>
        </w:tc>
      </w:tr>
      <w:tr>
        <w:trPr/>
        <w:tc>
          <w:tcPr>
            <w:tcW w:w="3545" w:type="dxa"/>
            <w:tcBorders/>
            <w:shd w:fill="auto" w:val="clear"/>
            <w:vAlign w:val="center"/>
          </w:tcPr>
          <w:p>
            <w:pPr>
              <w:pStyle w:val="TableContents"/>
              <w:spacing w:before="0" w:after="0"/>
              <w:ind w:left="0" w:right="0" w:firstLine="30"/>
              <w:rPr/>
            </w:pPr>
            <w:r>
              <w:rPr/>
              <w:t> </w:t>
            </w:r>
          </w:p>
        </w:tc>
        <w:tc>
          <w:tcPr>
            <w:tcW w:w="146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36" w:type="dxa"/>
            <w:tcBorders/>
            <w:shd w:fill="auto" w:val="clear"/>
            <w:vAlign w:val="center"/>
          </w:tcPr>
          <w:p>
            <w:pPr>
              <w:pStyle w:val="TableContents"/>
              <w:spacing w:before="0" w:after="0"/>
              <w:ind w:left="0" w:right="0" w:firstLine="30"/>
              <w:rPr/>
            </w:pPr>
            <w:r>
              <w:rPr/>
              <w:t> </w:t>
            </w:r>
          </w:p>
        </w:tc>
        <w:tc>
          <w:tcPr>
            <w:tcW w:w="130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36" w:type="dxa"/>
            <w:tcBorders/>
            <w:shd w:fill="auto" w:val="clear"/>
            <w:vAlign w:val="center"/>
          </w:tcPr>
          <w:p>
            <w:pPr>
              <w:pStyle w:val="TableContents"/>
              <w:spacing w:before="0" w:after="0"/>
              <w:ind w:left="0" w:right="0" w:firstLine="30"/>
              <w:rPr/>
            </w:pPr>
            <w:r>
              <w:rPr/>
              <w:t> </w:t>
            </w:r>
          </w:p>
        </w:tc>
        <w:tc>
          <w:tcPr>
            <w:tcW w:w="161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36" w:type="dxa"/>
            <w:tcBorders/>
            <w:shd w:fill="auto" w:val="clear"/>
            <w:vAlign w:val="center"/>
          </w:tcPr>
          <w:p>
            <w:pPr>
              <w:pStyle w:val="TableContents"/>
              <w:spacing w:before="0" w:after="0"/>
              <w:ind w:left="0" w:right="0" w:firstLine="30"/>
              <w:rPr/>
            </w:pPr>
            <w:r>
              <w:rPr/>
              <w:t> </w:t>
            </w:r>
          </w:p>
        </w:tc>
        <w:tc>
          <w:tcPr>
            <w:tcW w:w="18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545" w:type="dxa"/>
            <w:tcBorders/>
            <w:shd w:fill="auto" w:val="clear"/>
            <w:vAlign w:val="center"/>
          </w:tcPr>
          <w:p>
            <w:pPr>
              <w:pStyle w:val="TableContents"/>
              <w:spacing w:before="0" w:after="0"/>
              <w:ind w:left="0" w:right="0" w:firstLine="30"/>
              <w:rPr/>
            </w:pPr>
            <w:r>
              <w:rPr/>
              <w:t> </w:t>
            </w:r>
          </w:p>
        </w:tc>
        <w:tc>
          <w:tcPr>
            <w:tcW w:w="6660"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Revenues:</w:t>
            </w:r>
          </w:p>
        </w:tc>
        <w:tc>
          <w:tcPr>
            <w:tcW w:w="1461"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308"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614"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869" w:type="dxa"/>
            <w:gridSpan w:val="3"/>
            <w:tcBorders/>
            <w:shd w:fill="auto" w:val="clear"/>
            <w:vAlign w:val="center"/>
          </w:tcPr>
          <w:p>
            <w:pPr>
              <w:pStyle w:val="TableContents"/>
              <w:spacing w:before="0" w:after="0"/>
              <w:ind w:left="0" w:right="0" w:firstLine="300"/>
              <w:rPr/>
            </w:pPr>
            <w:r>
              <w:rPr/>
              <w:t> </w:t>
            </w:r>
          </w:p>
        </w:tc>
      </w:tr>
      <w:tr>
        <w:trPr/>
        <w:tc>
          <w:tcPr>
            <w:tcW w:w="35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Merchandise sales</w:t>
            </w:r>
          </w:p>
        </w:tc>
        <w:tc>
          <w:tcPr>
            <w:tcW w:w="15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53" w:type="dxa"/>
            <w:tcBorders/>
            <w:shd w:fill="CCEEFF" w:val="clear"/>
            <w:vAlign w:val="center"/>
          </w:tcPr>
          <w:p>
            <w:pPr>
              <w:pStyle w:val="TableContents"/>
              <w:spacing w:before="0" w:after="0"/>
              <w:jc w:val="right"/>
              <w:rPr>
                <w:rFonts w:ascii="inherit" w:hAnsi="inherit"/>
                <w:sz w:val="15"/>
              </w:rPr>
            </w:pPr>
            <w:r>
              <w:rPr>
                <w:rFonts w:ascii="inherit" w:hAnsi="inherit"/>
                <w:sz w:val="15"/>
              </w:rPr>
              <w:t>256,694</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072" w:type="dxa"/>
            <w:tcBorders/>
            <w:shd w:fill="CCEEFF" w:val="clear"/>
            <w:vAlign w:val="center"/>
          </w:tcPr>
          <w:p>
            <w:pPr>
              <w:pStyle w:val="TableContents"/>
              <w:spacing w:before="0" w:after="0"/>
              <w:jc w:val="right"/>
              <w:rPr>
                <w:rFonts w:ascii="inherit" w:hAnsi="inherit"/>
                <w:sz w:val="15"/>
              </w:rPr>
            </w:pPr>
            <w:r>
              <w:rPr>
                <w:rFonts w:ascii="inherit" w:hAnsi="inherit"/>
                <w:sz w:val="15"/>
              </w:rPr>
              <w:t>25,022</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8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236" w:type="dxa"/>
            <w:tcBorders/>
            <w:shd w:fill="CCEEFF" w:val="clear"/>
            <w:vAlign w:val="center"/>
          </w:tcPr>
          <w:p>
            <w:pPr>
              <w:pStyle w:val="TableContents"/>
              <w:spacing w:before="0" w:after="0"/>
              <w:jc w:val="right"/>
              <w:rPr/>
            </w:pPr>
            <w:r>
              <w:rPr/>
              <w:t>—</w:t>
            </w:r>
          </w:p>
        </w:tc>
        <w:tc>
          <w:tcPr>
            <w:tcW w:w="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53" w:type="dxa"/>
            <w:tcBorders/>
            <w:shd w:fill="CCEEFF" w:val="clear"/>
            <w:vAlign w:val="center"/>
          </w:tcPr>
          <w:p>
            <w:pPr>
              <w:pStyle w:val="TableContents"/>
              <w:spacing w:before="0" w:after="0"/>
              <w:jc w:val="right"/>
              <w:rPr>
                <w:rFonts w:ascii="inherit" w:hAnsi="inherit"/>
                <w:sz w:val="15"/>
              </w:rPr>
            </w:pPr>
            <w:r>
              <w:rPr>
                <w:rFonts w:ascii="inherit" w:hAnsi="inherit"/>
                <w:sz w:val="15"/>
              </w:rPr>
              <w:t>281,716</w:t>
            </w:r>
          </w:p>
        </w:tc>
        <w:tc>
          <w:tcPr>
            <w:tcW w:w="562"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Jewelry scrapping sales</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195,920</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2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8,938</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pPr>
            <w:r>
              <w:rPr/>
              <w:t>—</w:t>
            </w:r>
          </w:p>
        </w:tc>
        <w:tc>
          <w:tcPr>
            <w:tcW w:w="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204,858</w:t>
            </w:r>
          </w:p>
        </w:tc>
        <w:tc>
          <w:tcPr>
            <w:tcW w:w="562"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w:t>
            </w:r>
          </w:p>
        </w:tc>
        <w:tc>
          <w:tcPr>
            <w:tcW w:w="13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184,204</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2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15,542</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424" w:type="dxa"/>
            <w:gridSpan w:val="2"/>
            <w:tcBorders/>
            <w:shd w:fill="CCEEFF" w:val="clear"/>
            <w:vAlign w:val="center"/>
          </w:tcPr>
          <w:p>
            <w:pPr>
              <w:pStyle w:val="TableContents"/>
              <w:spacing w:before="0" w:after="0"/>
              <w:jc w:val="right"/>
              <w:rPr/>
            </w:pPr>
            <w:r>
              <w:rPr/>
              <w:t>—</w:t>
            </w:r>
          </w:p>
        </w:tc>
        <w:tc>
          <w:tcPr>
            <w:tcW w:w="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199,746</w:t>
            </w:r>
          </w:p>
        </w:tc>
        <w:tc>
          <w:tcPr>
            <w:tcW w:w="562"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Consumer loan fees and interest</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164,895</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26" w:type="dxa"/>
            <w:gridSpan w:val="2"/>
            <w:tcBorders/>
            <w:shd w:fill="auto" w:val="clear"/>
            <w:vAlign w:val="center"/>
          </w:tcPr>
          <w:p>
            <w:pPr>
              <w:pStyle w:val="TableContents"/>
              <w:spacing w:before="0" w:after="0"/>
              <w:jc w:val="right"/>
              <w:rPr/>
            </w:pPr>
            <w:r>
              <w:rPr/>
              <w:t>—</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pPr>
            <w:r>
              <w:rPr/>
              <w:t>—</w:t>
            </w:r>
          </w:p>
        </w:tc>
        <w:tc>
          <w:tcPr>
            <w:tcW w:w="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164,895</w:t>
            </w:r>
          </w:p>
        </w:tc>
        <w:tc>
          <w:tcPr>
            <w:tcW w:w="562"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revenues</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1,484</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2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99</w:t>
            </w:r>
          </w:p>
        </w:tc>
        <w:tc>
          <w:tcPr>
            <w:tcW w:w="8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42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1,583</w:t>
            </w:r>
          </w:p>
        </w:tc>
        <w:tc>
          <w:tcPr>
            <w:tcW w:w="562"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revenues</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803,197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2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49,601</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pPr>
            <w:r>
              <w:rPr/>
              <w:t>—</w:t>
            </w:r>
          </w:p>
        </w:tc>
        <w:tc>
          <w:tcPr>
            <w:tcW w:w="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852,798</w:t>
            </w:r>
          </w:p>
        </w:tc>
        <w:tc>
          <w:tcPr>
            <w:tcW w:w="5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Merchandise cost of goods sold</w:t>
            </w:r>
          </w:p>
        </w:tc>
        <w:tc>
          <w:tcPr>
            <w:tcW w:w="13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147,297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2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14,537</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424" w:type="dxa"/>
            <w:gridSpan w:val="2"/>
            <w:tcBorders/>
            <w:shd w:fill="CCEEFF" w:val="clear"/>
            <w:vAlign w:val="center"/>
          </w:tcPr>
          <w:p>
            <w:pPr>
              <w:pStyle w:val="TableContents"/>
              <w:spacing w:before="0" w:after="0"/>
              <w:jc w:val="right"/>
              <w:rPr/>
            </w:pPr>
            <w:r>
              <w:rPr/>
              <w:t>—</w:t>
            </w:r>
          </w:p>
        </w:tc>
        <w:tc>
          <w:tcPr>
            <w:tcW w:w="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161,834</w:t>
            </w:r>
          </w:p>
        </w:tc>
        <w:tc>
          <w:tcPr>
            <w:tcW w:w="5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Jewelry scrapping cost of goods sold</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121,051</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2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6,819</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pPr>
            <w:r>
              <w:rPr/>
              <w:t>—</w:t>
            </w:r>
          </w:p>
        </w:tc>
        <w:tc>
          <w:tcPr>
            <w:tcW w:w="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127,870</w:t>
            </w:r>
          </w:p>
        </w:tc>
        <w:tc>
          <w:tcPr>
            <w:tcW w:w="5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 bad debt</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36,791</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2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42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36,791</w:t>
            </w:r>
          </w:p>
        </w:tc>
        <w:tc>
          <w:tcPr>
            <w:tcW w:w="562"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revenues</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498,058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2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28,245</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pPr>
            <w:r>
              <w:rPr/>
              <w:t>—</w:t>
            </w:r>
          </w:p>
        </w:tc>
        <w:tc>
          <w:tcPr>
            <w:tcW w:w="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526,303</w:t>
            </w:r>
          </w:p>
        </w:tc>
        <w:tc>
          <w:tcPr>
            <w:tcW w:w="5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Segment expenses (income):</w:t>
            </w:r>
          </w:p>
        </w:tc>
        <w:tc>
          <w:tcPr>
            <w:tcW w:w="1461"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308"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614"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869" w:type="dxa"/>
            <w:gridSpan w:val="3"/>
            <w:tcBorders/>
            <w:shd w:fill="CCEEFF" w:val="clear"/>
            <w:vAlign w:val="center"/>
          </w:tcPr>
          <w:p>
            <w:pPr>
              <w:pStyle w:val="TableContents"/>
              <w:spacing w:before="0" w:after="0"/>
              <w:ind w:left="0" w:right="0" w:firstLine="300"/>
              <w:rPr/>
            </w:pPr>
            <w:r>
              <w:rPr/>
              <w:t> </w:t>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Operations</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260,340</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2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21,260</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795</w:t>
            </w:r>
          </w:p>
        </w:tc>
        <w:tc>
          <w:tcPr>
            <w:tcW w:w="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282,395</w:t>
            </w:r>
          </w:p>
        </w:tc>
        <w:tc>
          <w:tcPr>
            <w:tcW w:w="562"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Depreciation</w:t>
            </w:r>
          </w:p>
        </w:tc>
        <w:tc>
          <w:tcPr>
            <w:tcW w:w="13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10,858</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2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2,066</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424" w:type="dxa"/>
            <w:gridSpan w:val="2"/>
            <w:tcBorders/>
            <w:shd w:fill="CCEEFF" w:val="clear"/>
            <w:vAlign w:val="center"/>
          </w:tcPr>
          <w:p>
            <w:pPr>
              <w:pStyle w:val="TableContents"/>
              <w:spacing w:before="0" w:after="0"/>
              <w:jc w:val="right"/>
              <w:rPr/>
            </w:pPr>
            <w:r>
              <w:rPr/>
              <w:t>—</w:t>
            </w:r>
          </w:p>
        </w:tc>
        <w:tc>
          <w:tcPr>
            <w:tcW w:w="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12,924</w:t>
            </w:r>
          </w:p>
        </w:tc>
        <w:tc>
          <w:tcPr>
            <w:tcW w:w="562"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Amortization</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452</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2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382</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pPr>
            <w:r>
              <w:rPr/>
              <w:t>—</w:t>
            </w:r>
          </w:p>
        </w:tc>
        <w:tc>
          <w:tcPr>
            <w:tcW w:w="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834</w:t>
            </w:r>
          </w:p>
        </w:tc>
        <w:tc>
          <w:tcPr>
            <w:tcW w:w="562"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Loss on sale or disposal of assets</w:t>
            </w:r>
          </w:p>
        </w:tc>
        <w:tc>
          <w:tcPr>
            <w:tcW w:w="13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281</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2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424" w:type="dxa"/>
            <w:gridSpan w:val="2"/>
            <w:tcBorders/>
            <w:shd w:fill="CCEEFF" w:val="clear"/>
            <w:vAlign w:val="center"/>
          </w:tcPr>
          <w:p>
            <w:pPr>
              <w:pStyle w:val="TableContents"/>
              <w:spacing w:before="0" w:after="0"/>
              <w:jc w:val="right"/>
              <w:rPr/>
            </w:pPr>
            <w:r>
              <w:rPr/>
              <w:t>—</w:t>
            </w:r>
          </w:p>
        </w:tc>
        <w:tc>
          <w:tcPr>
            <w:tcW w:w="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293</w:t>
            </w:r>
          </w:p>
        </w:tc>
        <w:tc>
          <w:tcPr>
            <w:tcW w:w="562"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Interest expense, net</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30</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22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424" w:type="dxa"/>
            <w:gridSpan w:val="2"/>
            <w:tcBorders/>
            <w:shd w:fill="auto" w:val="clear"/>
            <w:vAlign w:val="center"/>
          </w:tcPr>
          <w:p>
            <w:pPr>
              <w:pStyle w:val="TableContents"/>
              <w:spacing w:before="0" w:after="0"/>
              <w:jc w:val="right"/>
              <w:rPr/>
            </w:pPr>
            <w:r>
              <w:rPr/>
              <w:t>—</w:t>
            </w:r>
          </w:p>
        </w:tc>
        <w:tc>
          <w:tcPr>
            <w:tcW w:w="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34</w:t>
            </w:r>
          </w:p>
        </w:tc>
        <w:tc>
          <w:tcPr>
            <w:tcW w:w="562"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Equity in net income of unconsolidated affiliates</w:t>
            </w:r>
          </w:p>
        </w:tc>
        <w:tc>
          <w:tcPr>
            <w:tcW w:w="1307"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226" w:type="dxa"/>
            <w:gridSpan w:val="2"/>
            <w:tcBorders/>
            <w:shd w:fill="CCEEFF" w:val="clear"/>
            <w:vAlign w:val="center"/>
          </w:tcPr>
          <w:p>
            <w:pPr>
              <w:pStyle w:val="TableContents"/>
              <w:spacing w:before="0" w:after="0"/>
              <w:jc w:val="right"/>
              <w:rPr/>
            </w:pPr>
            <w:r>
              <w:rPr/>
              <w:t>—</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4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(16,237</w:t>
            </w:r>
          </w:p>
        </w:tc>
        <w:tc>
          <w:tcPr>
            <w:tcW w:w="19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6"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(16,237</w:t>
            </w:r>
          </w:p>
        </w:tc>
        <w:tc>
          <w:tcPr>
            <w:tcW w:w="562" w:type="dxa"/>
            <w:tcBorders/>
            <w:shd w:fill="CCEEFF"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(income) expense</w:t>
            </w:r>
          </w:p>
        </w:tc>
        <w:tc>
          <w:tcPr>
            <w:tcW w:w="13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w:t>
            </w:r>
          </w:p>
        </w:tc>
        <w:tc>
          <w:tcPr>
            <w:tcW w:w="15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6" w:type="dxa"/>
            <w:tcBorders/>
            <w:shd w:fill="auto" w:val="clear"/>
            <w:vAlign w:val="center"/>
          </w:tcPr>
          <w:p>
            <w:pPr>
              <w:pStyle w:val="TableContents"/>
              <w:spacing w:before="0" w:after="0"/>
              <w:ind w:left="0" w:right="0" w:firstLine="30"/>
              <w:rPr/>
            </w:pPr>
            <w:r>
              <w:rPr/>
              <w:t> </w:t>
            </w:r>
          </w:p>
        </w:tc>
        <w:tc>
          <w:tcPr>
            <w:tcW w:w="12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7</w:t>
            </w:r>
          </w:p>
        </w:tc>
        <w:tc>
          <w:tcPr>
            <w:tcW w:w="8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4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(168</w:t>
            </w:r>
          </w:p>
        </w:tc>
        <w:tc>
          <w:tcPr>
            <w:tcW w:w="19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6" w:type="dxa"/>
            <w:tcBorders/>
            <w:shd w:fill="auto"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(164</w:t>
            </w:r>
          </w:p>
        </w:tc>
        <w:tc>
          <w:tcPr>
            <w:tcW w:w="56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35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Segment contribution</w:t>
            </w:r>
          </w:p>
        </w:tc>
        <w:tc>
          <w:tcPr>
            <w:tcW w:w="15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53" w:type="dxa"/>
            <w:tcBorders/>
            <w:shd w:fill="CCEEFF" w:val="clear"/>
            <w:vAlign w:val="center"/>
          </w:tcPr>
          <w:p>
            <w:pPr>
              <w:pStyle w:val="TableContents"/>
              <w:spacing w:before="0" w:after="0"/>
              <w:jc w:val="right"/>
              <w:rPr>
                <w:rFonts w:ascii="inherit" w:hAnsi="inherit"/>
                <w:sz w:val="15"/>
              </w:rPr>
            </w:pPr>
            <w:r>
              <w:rPr>
                <w:rFonts w:ascii="inherit" w:hAnsi="inherit"/>
                <w:sz w:val="15"/>
              </w:rPr>
              <w:t>226,100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072" w:type="dxa"/>
            <w:tcBorders/>
            <w:shd w:fill="CCEEFF" w:val="clear"/>
            <w:vAlign w:val="center"/>
          </w:tcPr>
          <w:p>
            <w:pPr>
              <w:pStyle w:val="TableContents"/>
              <w:spacing w:before="0" w:after="0"/>
              <w:jc w:val="right"/>
              <w:rPr>
                <w:rFonts w:ascii="inherit" w:hAnsi="inherit"/>
                <w:sz w:val="15"/>
              </w:rPr>
            </w:pPr>
            <w:r>
              <w:rPr>
                <w:rFonts w:ascii="inherit" w:hAnsi="inherit"/>
                <w:sz w:val="15"/>
              </w:rPr>
              <w:t>4,514</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8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236" w:type="dxa"/>
            <w:tcBorders/>
            <w:shd w:fill="CCEEFF" w:val="clear"/>
            <w:vAlign w:val="center"/>
          </w:tcPr>
          <w:p>
            <w:pPr>
              <w:pStyle w:val="TableContents"/>
              <w:spacing w:before="0" w:after="0"/>
              <w:jc w:val="right"/>
              <w:rPr>
                <w:rFonts w:ascii="inherit" w:hAnsi="inherit"/>
                <w:sz w:val="15"/>
              </w:rPr>
            </w:pPr>
            <w:r>
              <w:rPr>
                <w:rFonts w:ascii="inherit" w:hAnsi="inherit"/>
                <w:sz w:val="15"/>
              </w:rPr>
              <w:t>15,610</w:t>
            </w:r>
          </w:p>
        </w:tc>
        <w:tc>
          <w:tcPr>
            <w:tcW w:w="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153" w:type="dxa"/>
            <w:tcBorders/>
            <w:shd w:fill="CCEEFF" w:val="clear"/>
            <w:vAlign w:val="center"/>
          </w:tcPr>
          <w:p>
            <w:pPr>
              <w:pStyle w:val="TableContents"/>
              <w:spacing w:before="0" w:after="0"/>
              <w:jc w:val="right"/>
              <w:rPr>
                <w:rFonts w:ascii="inherit" w:hAnsi="inherit"/>
                <w:sz w:val="15"/>
              </w:rPr>
            </w:pPr>
            <w:r>
              <w:rPr>
                <w:rFonts w:ascii="inherit" w:hAnsi="inherit"/>
                <w:sz w:val="15"/>
              </w:rPr>
              <w:t>246,224</w:t>
            </w:r>
          </w:p>
        </w:tc>
        <w:tc>
          <w:tcPr>
            <w:tcW w:w="5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Corporate expenses:</w:t>
            </w:r>
          </w:p>
        </w:tc>
        <w:tc>
          <w:tcPr>
            <w:tcW w:w="1461"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308"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614"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869" w:type="dxa"/>
            <w:gridSpan w:val="3"/>
            <w:tcBorders/>
            <w:shd w:fill="auto" w:val="clear"/>
            <w:vAlign w:val="center"/>
          </w:tcPr>
          <w:p>
            <w:pPr>
              <w:pStyle w:val="TableContents"/>
              <w:spacing w:before="0" w:after="0"/>
              <w:ind w:left="0" w:right="0" w:firstLine="300"/>
              <w:rPr/>
            </w:pPr>
            <w:r>
              <w:rPr/>
              <w:t> </w:t>
            </w:r>
          </w:p>
        </w:tc>
      </w:tr>
      <w:tr>
        <w:trPr/>
        <w:tc>
          <w:tcPr>
            <w:tcW w:w="35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Administrative</w:t>
            </w:r>
          </w:p>
        </w:tc>
        <w:tc>
          <w:tcPr>
            <w:tcW w:w="1461"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308"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614"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50,584</w:t>
            </w:r>
          </w:p>
        </w:tc>
        <w:tc>
          <w:tcPr>
            <w:tcW w:w="562"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Depreciation</w:t>
            </w:r>
          </w:p>
        </w:tc>
        <w:tc>
          <w:tcPr>
            <w:tcW w:w="1461"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308"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614"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3,832</w:t>
            </w:r>
          </w:p>
        </w:tc>
        <w:tc>
          <w:tcPr>
            <w:tcW w:w="562"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Interest expense, net</w:t>
            </w:r>
          </w:p>
        </w:tc>
        <w:tc>
          <w:tcPr>
            <w:tcW w:w="1461"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308"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614"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1,619</w:t>
            </w:r>
          </w:p>
        </w:tc>
        <w:tc>
          <w:tcPr>
            <w:tcW w:w="5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before income taxes</w:t>
            </w:r>
          </w:p>
        </w:tc>
        <w:tc>
          <w:tcPr>
            <w:tcW w:w="1461"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308"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614"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30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190,189</w:t>
            </w:r>
          </w:p>
        </w:tc>
        <w:tc>
          <w:tcPr>
            <w:tcW w:w="56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tax expense</w:t>
            </w:r>
          </w:p>
        </w:tc>
        <w:tc>
          <w:tcPr>
            <w:tcW w:w="1461"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308"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614"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66,472</w:t>
            </w:r>
          </w:p>
        </w:tc>
        <w:tc>
          <w:tcPr>
            <w:tcW w:w="56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net of tax</w:t>
            </w:r>
          </w:p>
        </w:tc>
        <w:tc>
          <w:tcPr>
            <w:tcW w:w="1461"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308"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614"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123,717</w:t>
            </w:r>
          </w:p>
        </w:tc>
        <w:tc>
          <w:tcPr>
            <w:tcW w:w="5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Loss from discontinued operations, net of tax</w:t>
            </w:r>
          </w:p>
        </w:tc>
        <w:tc>
          <w:tcPr>
            <w:tcW w:w="1461"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308"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614"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(1,558</w:t>
            </w:r>
          </w:p>
        </w:tc>
        <w:tc>
          <w:tcPr>
            <w:tcW w:w="56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1461"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308"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614"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122,159</w:t>
            </w:r>
          </w:p>
        </w:tc>
        <w:tc>
          <w:tcPr>
            <w:tcW w:w="5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50" w:type="dxa"/>
            <w:gridSpan w:val="8"/>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income from continuing operations attributable to redeemable noncontrolling interest</w:t>
            </w:r>
          </w:p>
        </w:tc>
        <w:tc>
          <w:tcPr>
            <w:tcW w:w="136" w:type="dxa"/>
            <w:tcBorders/>
            <w:shd w:fill="CCEEFF" w:val="clear"/>
            <w:vAlign w:val="center"/>
          </w:tcPr>
          <w:p>
            <w:pPr>
              <w:pStyle w:val="TableContents"/>
              <w:spacing w:before="0" w:after="0"/>
              <w:ind w:left="0" w:right="0" w:firstLine="30"/>
              <w:rPr/>
            </w:pPr>
            <w:r>
              <w:rPr/>
              <w:t> </w:t>
            </w:r>
          </w:p>
        </w:tc>
        <w:tc>
          <w:tcPr>
            <w:tcW w:w="1614"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307" w:type="dxa"/>
            <w:gridSpan w:val="2"/>
            <w:tcBorders/>
            <w:shd w:fill="CCEEFF" w:val="clear"/>
            <w:vAlign w:val="center"/>
          </w:tcPr>
          <w:p>
            <w:pPr>
              <w:pStyle w:val="TableContents"/>
              <w:spacing w:before="0" w:after="0"/>
              <w:jc w:val="right"/>
              <w:rPr/>
            </w:pPr>
            <w:r>
              <w:rPr/>
              <w:t>—</w:t>
            </w:r>
          </w:p>
        </w:tc>
        <w:tc>
          <w:tcPr>
            <w:tcW w:w="5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 xml:space="preserve">Net income attributable to EZCORP, Inc. </w:t>
            </w:r>
          </w:p>
        </w:tc>
        <w:tc>
          <w:tcPr>
            <w:tcW w:w="1461"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308"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614"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15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122,159</w:t>
            </w:r>
          </w:p>
        </w:tc>
        <w:tc>
          <w:tcPr>
            <w:tcW w:w="56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96</w:t>
      </w:r>
      <w:r>
        <w:br w:type="page"/>
      </w:r>
    </w:p>
    <w:p>
      <w:pPr>
        <w:pStyle w:val="TextBody"/>
        <w:spacing w:lineRule="auto" w:line="288" w:before="0" w:after="0"/>
        <w:rPr/>
      </w:pPr>
      <w:hyperlink w:anchor="sA13583D437E20DC41B4583E2BD74AA47">
        <w:bookmarkStart w:id="90" w:name="s8020F25674B53A7E2D7283E26E3C3C444"/>
        <w:bookmarkEnd w:id="90"/>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The following table presents separately identified segment assets:</w:t>
      </w:r>
    </w:p>
    <w:tbl>
      <w:tblPr>
        <w:tblW w:w="10205" w:type="dxa"/>
        <w:jc w:val="center"/>
        <w:tblInd w:w="0" w:type="dxa"/>
        <w:tblCellMar>
          <w:top w:w="0" w:type="dxa"/>
          <w:left w:w="0" w:type="dxa"/>
          <w:bottom w:w="0" w:type="dxa"/>
          <w:right w:w="0" w:type="dxa"/>
        </w:tblCellMar>
      </w:tblPr>
      <w:tblGrid>
        <w:gridCol w:w="3508"/>
        <w:gridCol w:w="160"/>
        <w:gridCol w:w="1212"/>
        <w:gridCol w:w="82"/>
        <w:gridCol w:w="132"/>
        <w:gridCol w:w="160"/>
        <w:gridCol w:w="1212"/>
        <w:gridCol w:w="82"/>
        <w:gridCol w:w="132"/>
        <w:gridCol w:w="194"/>
        <w:gridCol w:w="1288"/>
        <w:gridCol w:w="92"/>
        <w:gridCol w:w="132"/>
        <w:gridCol w:w="160"/>
        <w:gridCol w:w="1335"/>
        <w:gridCol w:w="324"/>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0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08" w:type="dxa"/>
            <w:tcBorders/>
            <w:shd w:fill="auto" w:val="clear"/>
            <w:vAlign w:val="center"/>
          </w:tcPr>
          <w:p>
            <w:pPr>
              <w:pStyle w:val="TableContents"/>
              <w:spacing w:before="0" w:after="0"/>
              <w:ind w:left="0" w:right="0" w:firstLine="30"/>
              <w:rPr/>
            </w:pPr>
            <w:r>
              <w:rPr/>
              <w:t> </w:t>
            </w:r>
          </w:p>
        </w:tc>
        <w:tc>
          <w:tcPr>
            <w:tcW w:w="14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&amp; Canada</w:t>
            </w:r>
          </w:p>
        </w:tc>
        <w:tc>
          <w:tcPr>
            <w:tcW w:w="132" w:type="dxa"/>
            <w:tcBorders/>
            <w:shd w:fill="auto" w:val="clear"/>
            <w:vAlign w:val="center"/>
          </w:tcPr>
          <w:p>
            <w:pPr>
              <w:pStyle w:val="TableContents"/>
              <w:spacing w:before="0" w:after="0"/>
              <w:ind w:left="0" w:right="0" w:firstLine="30"/>
              <w:rPr/>
            </w:pPr>
            <w:r>
              <w:rPr/>
              <w:t> </w:t>
            </w:r>
          </w:p>
        </w:tc>
        <w:tc>
          <w:tcPr>
            <w:tcW w:w="14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w:t>
            </w:r>
          </w:p>
        </w:tc>
        <w:tc>
          <w:tcPr>
            <w:tcW w:w="132" w:type="dxa"/>
            <w:tcBorders/>
            <w:shd w:fill="auto" w:val="clear"/>
            <w:vAlign w:val="center"/>
          </w:tcPr>
          <w:p>
            <w:pPr>
              <w:pStyle w:val="TableContents"/>
              <w:spacing w:before="0" w:after="0"/>
              <w:ind w:left="0" w:right="0" w:firstLine="30"/>
              <w:rPr/>
            </w:pPr>
            <w:r>
              <w:rPr/>
              <w:t> </w:t>
            </w:r>
          </w:p>
        </w:tc>
        <w:tc>
          <w:tcPr>
            <w:tcW w:w="15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32" w:type="dxa"/>
            <w:tcBorders/>
            <w:shd w:fill="auto" w:val="clear"/>
            <w:vAlign w:val="center"/>
          </w:tcPr>
          <w:p>
            <w:pPr>
              <w:pStyle w:val="TableContents"/>
              <w:spacing w:before="0" w:after="0"/>
              <w:ind w:left="0" w:right="0" w:firstLine="30"/>
              <w:rPr/>
            </w:pPr>
            <w:r>
              <w:rPr/>
              <w:t> </w:t>
            </w:r>
          </w:p>
        </w:tc>
        <w:tc>
          <w:tcPr>
            <w:tcW w:w="18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08" w:type="dxa"/>
            <w:tcBorders/>
            <w:shd w:fill="auto" w:val="clear"/>
            <w:vAlign w:val="center"/>
          </w:tcPr>
          <w:p>
            <w:pPr>
              <w:pStyle w:val="TableContents"/>
              <w:spacing w:before="0" w:after="0"/>
              <w:ind w:left="0" w:right="0" w:firstLine="30"/>
              <w:jc w:val="left"/>
              <w:rPr/>
            </w:pPr>
            <w:r>
              <w:rPr/>
              <w:t> </w:t>
            </w:r>
          </w:p>
        </w:tc>
        <w:tc>
          <w:tcPr>
            <w:tcW w:w="6697"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08"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Assets at September 30, 2013</w:t>
            </w:r>
          </w:p>
        </w:tc>
        <w:tc>
          <w:tcPr>
            <w:tcW w:w="145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5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7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819" w:type="dxa"/>
            <w:gridSpan w:val="3"/>
            <w:tcBorders/>
            <w:shd w:fill="auto" w:val="clear"/>
            <w:vAlign w:val="center"/>
          </w:tcPr>
          <w:p>
            <w:pPr>
              <w:pStyle w:val="TableContents"/>
              <w:spacing w:before="0" w:after="0"/>
              <w:ind w:left="0" w:right="0" w:firstLine="180"/>
              <w:rPr/>
            </w:pPr>
            <w:r>
              <w:rPr/>
              <w:t> </w:t>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10,931</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16,829</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9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shd w:fill="CCEEFF" w:val="clear"/>
            <w:vAlign w:val="center"/>
          </w:tcPr>
          <w:p>
            <w:pPr>
              <w:pStyle w:val="TableContents"/>
              <w:spacing w:before="0" w:after="0"/>
              <w:jc w:val="right"/>
              <w:rPr>
                <w:rFonts w:ascii="inherit" w:hAnsi="inherit"/>
                <w:sz w:val="17"/>
              </w:rPr>
            </w:pPr>
            <w:r>
              <w:rPr>
                <w:rFonts w:ascii="inherit" w:hAnsi="inherit"/>
                <w:sz w:val="17"/>
              </w:rPr>
              <w:t>3,260</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35" w:type="dxa"/>
            <w:tcBorders/>
            <w:shd w:fill="CCEEFF" w:val="clear"/>
            <w:vAlign w:val="center"/>
          </w:tcPr>
          <w:p>
            <w:pPr>
              <w:pStyle w:val="TableContents"/>
              <w:spacing w:before="0" w:after="0"/>
              <w:jc w:val="right"/>
              <w:rPr>
                <w:rFonts w:ascii="inherit" w:hAnsi="inherit"/>
                <w:sz w:val="17"/>
              </w:rPr>
            </w:pPr>
            <w:r>
              <w:rPr>
                <w:rFonts w:ascii="inherit" w:hAnsi="inherit"/>
                <w:sz w:val="17"/>
              </w:rPr>
              <w:t>31,020</w:t>
            </w:r>
          </w:p>
        </w:tc>
        <w:tc>
          <w:tcPr>
            <w:tcW w:w="32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1372" w:type="dxa"/>
            <w:gridSpan w:val="2"/>
            <w:tcBorders/>
            <w:shd w:fill="auto" w:val="clear"/>
            <w:vAlign w:val="center"/>
          </w:tcPr>
          <w:p>
            <w:pPr>
              <w:pStyle w:val="TableContents"/>
              <w:spacing w:before="0" w:after="0"/>
              <w:jc w:val="right"/>
              <w:rPr/>
            </w:pPr>
            <w:r>
              <w:rPr/>
              <w:t>—</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3,312</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82"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3,312</w:t>
            </w:r>
          </w:p>
        </w:tc>
        <w:tc>
          <w:tcPr>
            <w:tcW w:w="3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142,930</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13,707</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82" w:type="dxa"/>
            <w:gridSpan w:val="2"/>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156,637</w:t>
            </w:r>
          </w:p>
        </w:tc>
        <w:tc>
          <w:tcPr>
            <w:tcW w:w="32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24,877</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37,169</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2,469</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64,515</w:t>
            </w:r>
          </w:p>
        </w:tc>
        <w:tc>
          <w:tcPr>
            <w:tcW w:w="3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37,016</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29,237</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697</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66,950</w:t>
            </w:r>
          </w:p>
        </w:tc>
        <w:tc>
          <w:tcPr>
            <w:tcW w:w="32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121,367</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23,833</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82"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145,200</w:t>
            </w:r>
          </w:p>
        </w:tc>
        <w:tc>
          <w:tcPr>
            <w:tcW w:w="3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67,676</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28,198</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1,448</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97,322</w:t>
            </w:r>
          </w:p>
        </w:tc>
        <w:tc>
          <w:tcPr>
            <w:tcW w:w="32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 non-current</w:t>
            </w:r>
          </w:p>
        </w:tc>
        <w:tc>
          <w:tcPr>
            <w:tcW w:w="1372" w:type="dxa"/>
            <w:gridSpan w:val="2"/>
            <w:tcBorders/>
            <w:shd w:fill="auto" w:val="clear"/>
            <w:vAlign w:val="center"/>
          </w:tcPr>
          <w:p>
            <w:pPr>
              <w:pStyle w:val="TableContents"/>
              <w:spacing w:before="0" w:after="0"/>
              <w:jc w:val="right"/>
              <w:rPr/>
            </w:pPr>
            <w:r>
              <w:rPr/>
              <w:t>—</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2,156</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82"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2,156</w:t>
            </w:r>
          </w:p>
        </w:tc>
        <w:tc>
          <w:tcPr>
            <w:tcW w:w="3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consumer loans, net</w:t>
            </w:r>
          </w:p>
        </w:tc>
        <w:tc>
          <w:tcPr>
            <w:tcW w:w="1372" w:type="dxa"/>
            <w:gridSpan w:val="2"/>
            <w:tcBorders/>
            <w:shd w:fill="CCEEFF" w:val="clear"/>
            <w:vAlign w:val="center"/>
          </w:tcPr>
          <w:p>
            <w:pPr>
              <w:pStyle w:val="TableContents"/>
              <w:spacing w:before="0" w:after="0"/>
              <w:jc w:val="right"/>
              <w:rPr/>
            </w:pPr>
            <w:r>
              <w:rPr/>
              <w:t>—</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69,991</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82" w:type="dxa"/>
            <w:gridSpan w:val="2"/>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69,991</w:t>
            </w:r>
          </w:p>
        </w:tc>
        <w:tc>
          <w:tcPr>
            <w:tcW w:w="32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278,407</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110,209</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39,892</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428,508</w:t>
            </w:r>
          </w:p>
        </w:tc>
        <w:tc>
          <w:tcPr>
            <w:tcW w:w="3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Intangibles, net</w:t>
            </w:r>
          </w:p>
        </w:tc>
        <w:tc>
          <w:tcPr>
            <w:tcW w:w="137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26,380</w:t>
            </w:r>
          </w:p>
        </w:tc>
        <w:tc>
          <w:tcPr>
            <w:tcW w:w="8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7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18,917</w:t>
            </w:r>
          </w:p>
        </w:tc>
        <w:tc>
          <w:tcPr>
            <w:tcW w:w="8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2,840</w:t>
            </w:r>
          </w:p>
        </w:tc>
        <w:tc>
          <w:tcPr>
            <w:tcW w:w="9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48,137</w:t>
            </w:r>
          </w:p>
        </w:tc>
        <w:tc>
          <w:tcPr>
            <w:tcW w:w="324"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6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709,584</w:t>
            </w:r>
          </w:p>
        </w:tc>
        <w:tc>
          <w:tcPr>
            <w:tcW w:w="8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353,558</w:t>
            </w:r>
          </w:p>
        </w:tc>
        <w:tc>
          <w:tcPr>
            <w:tcW w:w="8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9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50,606</w:t>
            </w:r>
          </w:p>
        </w:tc>
        <w:tc>
          <w:tcPr>
            <w:tcW w:w="9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3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1,113,748</w:t>
            </w:r>
          </w:p>
        </w:tc>
        <w:tc>
          <w:tcPr>
            <w:tcW w:w="324" w:type="dxa"/>
            <w:tcBorders>
              <w:bottom w:val="double" w:sz="6" w:space="0" w:color="000000"/>
            </w:tcBorders>
            <w:shd w:fill="auto"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outstanding from unaffiliated lenders</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29,171</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pPr>
            <w:r>
              <w:rPr/>
              <w:t>—</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9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0" w:type="dxa"/>
            <w:tcBorders>
              <w:top w:val="double" w:sz="6"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35" w:type="dxa"/>
            <w:tcBorders>
              <w:top w:val="double" w:sz="6"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29,171</w:t>
            </w:r>
          </w:p>
        </w:tc>
        <w:tc>
          <w:tcPr>
            <w:tcW w:w="324" w:type="dxa"/>
            <w:tcBorders>
              <w:top w:val="double" w:sz="6"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Assets at September 30, 2012</w:t>
            </w:r>
          </w:p>
        </w:tc>
        <w:tc>
          <w:tcPr>
            <w:tcW w:w="145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5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7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819" w:type="dxa"/>
            <w:gridSpan w:val="3"/>
            <w:tcBorders/>
            <w:shd w:fill="auto" w:val="clear"/>
            <w:vAlign w:val="center"/>
          </w:tcPr>
          <w:p>
            <w:pPr>
              <w:pStyle w:val="TableContents"/>
              <w:spacing w:before="0" w:after="0"/>
              <w:ind w:left="0" w:right="0" w:firstLine="180"/>
              <w:rPr/>
            </w:pPr>
            <w:r>
              <w:rPr/>
              <w:t> </w:t>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14,820</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20,702</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9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shd w:fill="CCEEFF" w:val="clear"/>
            <w:vAlign w:val="center"/>
          </w:tcPr>
          <w:p>
            <w:pPr>
              <w:pStyle w:val="TableContents"/>
              <w:spacing w:before="0" w:after="0"/>
              <w:jc w:val="right"/>
              <w:rPr>
                <w:rFonts w:ascii="inherit" w:hAnsi="inherit"/>
                <w:sz w:val="17"/>
              </w:rPr>
            </w:pPr>
            <w:r>
              <w:rPr>
                <w:rFonts w:ascii="inherit" w:hAnsi="inherit"/>
                <w:sz w:val="17"/>
              </w:rPr>
              <w:t>1,789</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35" w:type="dxa"/>
            <w:tcBorders/>
            <w:shd w:fill="CCEEFF" w:val="clear"/>
            <w:vAlign w:val="center"/>
          </w:tcPr>
          <w:p>
            <w:pPr>
              <w:pStyle w:val="TableContents"/>
              <w:spacing w:before="0" w:after="0"/>
              <w:jc w:val="right"/>
              <w:rPr>
                <w:rFonts w:ascii="inherit" w:hAnsi="inherit"/>
                <w:sz w:val="17"/>
              </w:rPr>
            </w:pPr>
            <w:r>
              <w:rPr>
                <w:rFonts w:ascii="inherit" w:hAnsi="inherit"/>
                <w:sz w:val="17"/>
              </w:rPr>
              <w:t>37,311</w:t>
            </w:r>
          </w:p>
        </w:tc>
        <w:tc>
          <w:tcPr>
            <w:tcW w:w="32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1372" w:type="dxa"/>
            <w:gridSpan w:val="2"/>
            <w:tcBorders/>
            <w:shd w:fill="auto" w:val="clear"/>
            <w:vAlign w:val="center"/>
          </w:tcPr>
          <w:p>
            <w:pPr>
              <w:pStyle w:val="TableContents"/>
              <w:spacing w:before="0" w:after="0"/>
              <w:jc w:val="right"/>
              <w:rPr/>
            </w:pPr>
            <w:r>
              <w:rPr/>
              <w:t>—</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1,145</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82"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1,145</w:t>
            </w:r>
          </w:p>
        </w:tc>
        <w:tc>
          <w:tcPr>
            <w:tcW w:w="3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140,885</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16,763</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82" w:type="dxa"/>
            <w:gridSpan w:val="2"/>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157,648</w:t>
            </w:r>
          </w:p>
        </w:tc>
        <w:tc>
          <w:tcPr>
            <w:tcW w:w="32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18,960</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11,425</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3,767</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34,152</w:t>
            </w:r>
          </w:p>
        </w:tc>
        <w:tc>
          <w:tcPr>
            <w:tcW w:w="3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34,066</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24,637</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1,114</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59,817</w:t>
            </w:r>
          </w:p>
        </w:tc>
        <w:tc>
          <w:tcPr>
            <w:tcW w:w="32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94,449</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14,765</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82"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109,214</w:t>
            </w:r>
          </w:p>
        </w:tc>
        <w:tc>
          <w:tcPr>
            <w:tcW w:w="3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60,947</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23,220</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1,503</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85,670</w:t>
            </w:r>
          </w:p>
        </w:tc>
        <w:tc>
          <w:tcPr>
            <w:tcW w:w="32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 non-current</w:t>
            </w:r>
          </w:p>
        </w:tc>
        <w:tc>
          <w:tcPr>
            <w:tcW w:w="1372" w:type="dxa"/>
            <w:gridSpan w:val="2"/>
            <w:tcBorders/>
            <w:shd w:fill="auto" w:val="clear"/>
            <w:vAlign w:val="center"/>
          </w:tcPr>
          <w:p>
            <w:pPr>
              <w:pStyle w:val="TableContents"/>
              <w:spacing w:before="0" w:after="0"/>
              <w:jc w:val="right"/>
              <w:rPr/>
            </w:pPr>
            <w:r>
              <w:rPr/>
              <w:t>—</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4,337</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82"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4,337</w:t>
            </w:r>
          </w:p>
        </w:tc>
        <w:tc>
          <w:tcPr>
            <w:tcW w:w="3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consumer loans, net</w:t>
            </w:r>
          </w:p>
        </w:tc>
        <w:tc>
          <w:tcPr>
            <w:tcW w:w="1372" w:type="dxa"/>
            <w:gridSpan w:val="2"/>
            <w:tcBorders/>
            <w:shd w:fill="CCEEFF" w:val="clear"/>
            <w:vAlign w:val="center"/>
          </w:tcPr>
          <w:p>
            <w:pPr>
              <w:pStyle w:val="TableContents"/>
              <w:spacing w:before="0" w:after="0"/>
              <w:jc w:val="right"/>
              <w:rPr/>
            </w:pPr>
            <w:r>
              <w:rPr/>
              <w:t>—</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61,997</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82" w:type="dxa"/>
            <w:gridSpan w:val="2"/>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61,997</w:t>
            </w:r>
          </w:p>
        </w:tc>
        <w:tc>
          <w:tcPr>
            <w:tcW w:w="32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224,306</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110,401</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39,956</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374,663</w:t>
            </w:r>
          </w:p>
        </w:tc>
        <w:tc>
          <w:tcPr>
            <w:tcW w:w="3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Intangibles, net</w:t>
            </w:r>
          </w:p>
        </w:tc>
        <w:tc>
          <w:tcPr>
            <w:tcW w:w="137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18,824</w:t>
            </w:r>
          </w:p>
        </w:tc>
        <w:tc>
          <w:tcPr>
            <w:tcW w:w="8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7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21,867</w:t>
            </w:r>
          </w:p>
        </w:tc>
        <w:tc>
          <w:tcPr>
            <w:tcW w:w="8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2,946</w:t>
            </w:r>
          </w:p>
        </w:tc>
        <w:tc>
          <w:tcPr>
            <w:tcW w:w="9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43,637</w:t>
            </w:r>
          </w:p>
        </w:tc>
        <w:tc>
          <w:tcPr>
            <w:tcW w:w="324"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6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607,257</w:t>
            </w:r>
          </w:p>
        </w:tc>
        <w:tc>
          <w:tcPr>
            <w:tcW w:w="8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311,259</w:t>
            </w:r>
          </w:p>
        </w:tc>
        <w:tc>
          <w:tcPr>
            <w:tcW w:w="8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9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51,075</w:t>
            </w:r>
          </w:p>
        </w:tc>
        <w:tc>
          <w:tcPr>
            <w:tcW w:w="9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3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969,591</w:t>
            </w:r>
          </w:p>
        </w:tc>
        <w:tc>
          <w:tcPr>
            <w:tcW w:w="324" w:type="dxa"/>
            <w:tcBorders>
              <w:bottom w:val="double" w:sz="6" w:space="0" w:color="000000"/>
            </w:tcBorders>
            <w:shd w:fill="auto"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outstanding from unaffiliated lenders</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25,484</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pPr>
            <w:r>
              <w:rPr/>
              <w:t>—</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9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35" w:type="dxa"/>
            <w:tcBorders/>
            <w:shd w:fill="CCEEFF" w:val="clear"/>
            <w:vAlign w:val="center"/>
          </w:tcPr>
          <w:p>
            <w:pPr>
              <w:pStyle w:val="TableContents"/>
              <w:spacing w:before="0" w:after="0"/>
              <w:jc w:val="right"/>
              <w:rPr>
                <w:rFonts w:ascii="inherit" w:hAnsi="inherit"/>
                <w:sz w:val="17"/>
              </w:rPr>
            </w:pPr>
            <w:r>
              <w:rPr>
                <w:rFonts w:ascii="inherit" w:hAnsi="inherit"/>
                <w:sz w:val="17"/>
              </w:rPr>
              <w:t>25,484</w:t>
            </w:r>
          </w:p>
        </w:tc>
        <w:tc>
          <w:tcPr>
            <w:tcW w:w="3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Assets at September 30, 2011</w:t>
            </w:r>
          </w:p>
        </w:tc>
        <w:tc>
          <w:tcPr>
            <w:tcW w:w="145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5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7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819" w:type="dxa"/>
            <w:gridSpan w:val="3"/>
            <w:tcBorders/>
            <w:shd w:fill="auto" w:val="clear"/>
            <w:vAlign w:val="center"/>
          </w:tcPr>
          <w:p>
            <w:pPr>
              <w:pStyle w:val="TableContents"/>
              <w:spacing w:before="0" w:after="0"/>
              <w:ind w:left="0" w:right="0" w:firstLine="180"/>
              <w:rPr/>
            </w:pPr>
            <w:r>
              <w:rPr/>
              <w:t> </w:t>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10,040</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1,496</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9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35" w:type="dxa"/>
            <w:tcBorders/>
            <w:shd w:fill="CCEEFF" w:val="clear"/>
            <w:vAlign w:val="center"/>
          </w:tcPr>
          <w:p>
            <w:pPr>
              <w:pStyle w:val="TableContents"/>
              <w:spacing w:before="0" w:after="0"/>
              <w:jc w:val="right"/>
              <w:rPr>
                <w:rFonts w:ascii="inherit" w:hAnsi="inherit"/>
                <w:sz w:val="17"/>
              </w:rPr>
            </w:pPr>
            <w:r>
              <w:rPr>
                <w:rFonts w:ascii="inherit" w:hAnsi="inherit"/>
                <w:sz w:val="17"/>
              </w:rPr>
              <w:t>11,536</w:t>
            </w:r>
          </w:p>
        </w:tc>
        <w:tc>
          <w:tcPr>
            <w:tcW w:w="32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134,457</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10,861</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82"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145,318</w:t>
            </w:r>
          </w:p>
        </w:tc>
        <w:tc>
          <w:tcPr>
            <w:tcW w:w="3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14,611</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pPr>
            <w:r>
              <w:rPr/>
              <w:t>—</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82" w:type="dxa"/>
            <w:gridSpan w:val="2"/>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14,611</w:t>
            </w:r>
          </w:p>
        </w:tc>
        <w:tc>
          <w:tcPr>
            <w:tcW w:w="32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31,567</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1,663</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82"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33,230</w:t>
            </w:r>
          </w:p>
        </w:tc>
        <w:tc>
          <w:tcPr>
            <w:tcW w:w="3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81,859</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8,514</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82" w:type="dxa"/>
            <w:gridSpan w:val="2"/>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90,373</w:t>
            </w:r>
          </w:p>
        </w:tc>
        <w:tc>
          <w:tcPr>
            <w:tcW w:w="32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51,469</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12,769</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82"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64,238</w:t>
            </w:r>
          </w:p>
        </w:tc>
        <w:tc>
          <w:tcPr>
            <w:tcW w:w="32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163,897</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9,309</w:t>
            </w:r>
          </w:p>
        </w:tc>
        <w:tc>
          <w:tcPr>
            <w:tcW w:w="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82" w:type="dxa"/>
            <w:gridSpan w:val="2"/>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173,206</w:t>
            </w:r>
          </w:p>
        </w:tc>
        <w:tc>
          <w:tcPr>
            <w:tcW w:w="32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Intangibles, net</w:t>
            </w:r>
          </w:p>
        </w:tc>
        <w:tc>
          <w:tcPr>
            <w:tcW w:w="137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16,775</w:t>
            </w:r>
          </w:p>
        </w:tc>
        <w:tc>
          <w:tcPr>
            <w:tcW w:w="8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7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867</w:t>
            </w:r>
          </w:p>
        </w:tc>
        <w:tc>
          <w:tcPr>
            <w:tcW w:w="8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8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17,642</w:t>
            </w:r>
          </w:p>
        </w:tc>
        <w:tc>
          <w:tcPr>
            <w:tcW w:w="324" w:type="dxa"/>
            <w:tcBorders>
              <w:bottom w:val="single" w:sz="2" w:space="0" w:color="000000"/>
            </w:tcBorders>
            <w:shd w:fill="auto"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6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504,675</w:t>
            </w:r>
          </w:p>
        </w:tc>
        <w:tc>
          <w:tcPr>
            <w:tcW w:w="8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45,479</w:t>
            </w:r>
          </w:p>
        </w:tc>
        <w:tc>
          <w:tcPr>
            <w:tcW w:w="8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9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9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3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550,154</w:t>
            </w:r>
          </w:p>
        </w:tc>
        <w:tc>
          <w:tcPr>
            <w:tcW w:w="324" w:type="dxa"/>
            <w:tcBorders>
              <w:bottom w:val="double" w:sz="6"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outstanding from unaffiliated lenders</w:t>
            </w:r>
          </w:p>
        </w:tc>
        <w:tc>
          <w:tcPr>
            <w:tcW w:w="16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auto" w:val="clear"/>
            <w:vAlign w:val="center"/>
          </w:tcPr>
          <w:p>
            <w:pPr>
              <w:pStyle w:val="TableContents"/>
              <w:spacing w:before="0" w:after="0"/>
              <w:jc w:val="right"/>
              <w:rPr>
                <w:rFonts w:ascii="inherit" w:hAnsi="inherit"/>
                <w:sz w:val="17"/>
              </w:rPr>
            </w:pPr>
            <w:r>
              <w:rPr>
                <w:rFonts w:ascii="inherit" w:hAnsi="inherit"/>
                <w:sz w:val="17"/>
              </w:rPr>
              <w:t>27,040</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auto" w:val="clear"/>
            <w:vAlign w:val="center"/>
          </w:tcPr>
          <w:p>
            <w:pPr>
              <w:pStyle w:val="TableContents"/>
              <w:spacing w:before="0" w:after="0"/>
              <w:jc w:val="right"/>
              <w:rPr/>
            </w:pPr>
            <w:r>
              <w:rPr/>
              <w:t>—</w:t>
            </w:r>
          </w:p>
        </w:tc>
        <w:tc>
          <w:tcPr>
            <w:tcW w:w="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9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35" w:type="dxa"/>
            <w:tcBorders/>
            <w:shd w:fill="auto" w:val="clear"/>
            <w:vAlign w:val="center"/>
          </w:tcPr>
          <w:p>
            <w:pPr>
              <w:pStyle w:val="TableContents"/>
              <w:spacing w:before="0" w:after="0"/>
              <w:jc w:val="right"/>
              <w:rPr>
                <w:rFonts w:ascii="inherit" w:hAnsi="inherit"/>
                <w:sz w:val="17"/>
              </w:rPr>
            </w:pPr>
            <w:r>
              <w:rPr>
                <w:rFonts w:ascii="inherit" w:hAnsi="inherit"/>
                <w:sz w:val="17"/>
              </w:rPr>
              <w:t>27,040</w:t>
            </w:r>
          </w:p>
        </w:tc>
        <w:tc>
          <w:tcPr>
            <w:tcW w:w="324"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97</w:t>
      </w:r>
      <w:r>
        <w:br w:type="page"/>
      </w:r>
    </w:p>
    <w:p>
      <w:pPr>
        <w:pStyle w:val="TextBody"/>
        <w:spacing w:lineRule="auto" w:line="288" w:before="0" w:after="0"/>
        <w:rPr/>
      </w:pPr>
      <w:hyperlink w:anchor="sA13583D437E20DC41B4583E2BD74AA47">
        <w:bookmarkStart w:id="91" w:name="s8020F25674B53A7E2D7283E26E3C3C445"/>
        <w:bookmarkEnd w:id="91"/>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following table reconciles separately identified recorded segment assets, as shown above, to our consolidated total assets:</w:t>
      </w:r>
    </w:p>
    <w:tbl>
      <w:tblPr>
        <w:tblW w:w="10205" w:type="dxa"/>
        <w:jc w:val="center"/>
        <w:tblInd w:w="0" w:type="dxa"/>
        <w:tblCellMar>
          <w:top w:w="0" w:type="dxa"/>
          <w:left w:w="0" w:type="dxa"/>
          <w:bottom w:w="0" w:type="dxa"/>
          <w:right w:w="0" w:type="dxa"/>
        </w:tblCellMar>
      </w:tblPr>
      <w:tblGrid>
        <w:gridCol w:w="6442"/>
        <w:gridCol w:w="125"/>
        <w:gridCol w:w="965"/>
        <w:gridCol w:w="98"/>
        <w:gridCol w:w="115"/>
        <w:gridCol w:w="125"/>
        <w:gridCol w:w="965"/>
        <w:gridCol w:w="98"/>
        <w:gridCol w:w="115"/>
        <w:gridCol w:w="125"/>
        <w:gridCol w:w="922"/>
        <w:gridCol w:w="110"/>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644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42" w:type="dxa"/>
            <w:tcBorders/>
            <w:shd w:fill="auto" w:val="clear"/>
            <w:vAlign w:val="center"/>
          </w:tcPr>
          <w:p>
            <w:pPr>
              <w:pStyle w:val="TableContents"/>
              <w:spacing w:before="0" w:after="0"/>
              <w:ind w:left="0" w:right="0" w:firstLine="30"/>
              <w:jc w:val="left"/>
              <w:rPr/>
            </w:pPr>
            <w:r>
              <w:rPr/>
              <w:t> </w:t>
            </w:r>
          </w:p>
        </w:tc>
        <w:tc>
          <w:tcPr>
            <w:tcW w:w="376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September 30, </w:t>
            </w:r>
          </w:p>
        </w:tc>
      </w:tr>
      <w:tr>
        <w:trPr/>
        <w:tc>
          <w:tcPr>
            <w:tcW w:w="6442" w:type="dxa"/>
            <w:tcBorders/>
            <w:shd w:fill="auto" w:val="clear"/>
            <w:vAlign w:val="center"/>
          </w:tcPr>
          <w:p>
            <w:pPr>
              <w:pStyle w:val="TableContents"/>
              <w:spacing w:before="0" w:after="0"/>
              <w:ind w:left="0" w:right="0" w:firstLine="30"/>
              <w:jc w:val="left"/>
              <w:rPr/>
            </w:pPr>
            <w:r>
              <w:rPr/>
              <w:t> </w:t>
            </w:r>
          </w:p>
        </w:tc>
        <w:tc>
          <w:tcPr>
            <w:tcW w:w="118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15" w:type="dxa"/>
            <w:tcBorders/>
            <w:shd w:fill="auto" w:val="clear"/>
            <w:vAlign w:val="center"/>
          </w:tcPr>
          <w:p>
            <w:pPr>
              <w:pStyle w:val="TableContents"/>
              <w:spacing w:before="0" w:after="0"/>
              <w:ind w:left="0" w:right="0" w:firstLine="30"/>
              <w:rPr/>
            </w:pPr>
            <w:r>
              <w:rPr/>
              <w:t> </w:t>
            </w:r>
          </w:p>
        </w:tc>
        <w:tc>
          <w:tcPr>
            <w:tcW w:w="118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5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442" w:type="dxa"/>
            <w:tcBorders/>
            <w:shd w:fill="auto" w:val="clear"/>
            <w:vAlign w:val="center"/>
          </w:tcPr>
          <w:p>
            <w:pPr>
              <w:pStyle w:val="TableContents"/>
              <w:spacing w:before="0" w:after="0"/>
              <w:ind w:left="0" w:right="0" w:firstLine="30"/>
              <w:jc w:val="left"/>
              <w:rPr/>
            </w:pPr>
            <w:r>
              <w:rPr/>
              <w:t> </w:t>
            </w:r>
          </w:p>
        </w:tc>
        <w:tc>
          <w:tcPr>
            <w:tcW w:w="3763"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4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5" w:type="dxa"/>
            <w:tcBorders/>
            <w:shd w:fill="CCEEFF" w:val="clear"/>
            <w:vAlign w:val="center"/>
          </w:tcPr>
          <w:p>
            <w:pPr>
              <w:pStyle w:val="TableContents"/>
              <w:spacing w:before="0" w:after="0"/>
              <w:jc w:val="right"/>
              <w:rPr>
                <w:rFonts w:ascii="inherit" w:hAnsi="inherit"/>
                <w:sz w:val="17"/>
              </w:rPr>
            </w:pPr>
            <w:r>
              <w:rPr>
                <w:rFonts w:ascii="inherit" w:hAnsi="inherit"/>
                <w:sz w:val="17"/>
              </w:rPr>
              <w:t>1,113,748</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5" w:type="dxa"/>
            <w:tcBorders/>
            <w:shd w:fill="CCEEFF" w:val="clear"/>
            <w:vAlign w:val="center"/>
          </w:tcPr>
          <w:p>
            <w:pPr>
              <w:pStyle w:val="TableContents"/>
              <w:spacing w:before="0" w:after="0"/>
              <w:jc w:val="right"/>
              <w:rPr>
                <w:rFonts w:ascii="inherit" w:hAnsi="inherit"/>
                <w:sz w:val="17"/>
              </w:rPr>
            </w:pPr>
            <w:r>
              <w:rPr>
                <w:rFonts w:ascii="inherit" w:hAnsi="inherit"/>
                <w:sz w:val="17"/>
              </w:rPr>
              <w:t>969,591</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2" w:type="dxa"/>
            <w:tcBorders/>
            <w:shd w:fill="CCEEFF" w:val="clear"/>
            <w:vAlign w:val="center"/>
          </w:tcPr>
          <w:p>
            <w:pPr>
              <w:pStyle w:val="TableContents"/>
              <w:spacing w:before="0" w:after="0"/>
              <w:jc w:val="right"/>
              <w:rPr>
                <w:rFonts w:ascii="inherit" w:hAnsi="inherit"/>
                <w:sz w:val="17"/>
              </w:rPr>
            </w:pPr>
            <w:r>
              <w:rPr>
                <w:rFonts w:ascii="inherit" w:hAnsi="inherit"/>
                <w:sz w:val="17"/>
              </w:rPr>
              <w:t>550,154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assets</w:t>
            </w:r>
          </w:p>
        </w:tc>
        <w:tc>
          <w:tcPr>
            <w:tcW w:w="109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231,542</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9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248,416</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206,296</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1,345,290</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1,218,007</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bottom w:val="double" w:sz="6"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756,450</w:t>
            </w:r>
          </w:p>
        </w:tc>
        <w:tc>
          <w:tcPr>
            <w:tcW w:w="110"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following tables provide geographic information required by ASC 280-10-50-41:</w:t>
      </w:r>
    </w:p>
    <w:tbl>
      <w:tblPr>
        <w:tblW w:w="10205" w:type="dxa"/>
        <w:jc w:val="center"/>
        <w:tblInd w:w="0" w:type="dxa"/>
        <w:tblCellMar>
          <w:top w:w="0" w:type="dxa"/>
          <w:left w:w="0" w:type="dxa"/>
          <w:bottom w:w="0" w:type="dxa"/>
          <w:right w:w="0" w:type="dxa"/>
        </w:tblCellMar>
      </w:tblPr>
      <w:tblGrid>
        <w:gridCol w:w="4857"/>
        <w:gridCol w:w="167"/>
        <w:gridCol w:w="1431"/>
        <w:gridCol w:w="93"/>
        <w:gridCol w:w="140"/>
        <w:gridCol w:w="167"/>
        <w:gridCol w:w="1315"/>
        <w:gridCol w:w="93"/>
        <w:gridCol w:w="140"/>
        <w:gridCol w:w="167"/>
        <w:gridCol w:w="1315"/>
        <w:gridCol w:w="320"/>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485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431"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57" w:type="dxa"/>
            <w:tcBorders/>
            <w:shd w:fill="auto" w:val="clear"/>
            <w:vAlign w:val="center"/>
          </w:tcPr>
          <w:p>
            <w:pPr>
              <w:pStyle w:val="TableContents"/>
              <w:spacing w:before="0" w:after="0"/>
              <w:ind w:left="0" w:right="0" w:firstLine="30"/>
              <w:rPr/>
            </w:pPr>
            <w:r>
              <w:rPr/>
              <w:t> </w:t>
            </w:r>
          </w:p>
        </w:tc>
        <w:tc>
          <w:tcPr>
            <w:tcW w:w="534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Years Ended September 30,</w:t>
            </w:r>
          </w:p>
        </w:tc>
      </w:tr>
      <w:tr>
        <w:trPr/>
        <w:tc>
          <w:tcPr>
            <w:tcW w:w="4857" w:type="dxa"/>
            <w:tcBorders/>
            <w:shd w:fill="auto" w:val="clear"/>
            <w:vAlign w:val="center"/>
          </w:tcPr>
          <w:p>
            <w:pPr>
              <w:pStyle w:val="TableContents"/>
              <w:spacing w:before="0" w:after="0"/>
              <w:ind w:left="0" w:right="0" w:firstLine="30"/>
              <w:jc w:val="left"/>
              <w:rPr/>
            </w:pPr>
            <w:r>
              <w:rPr/>
              <w:t> </w:t>
            </w:r>
          </w:p>
        </w:tc>
        <w:tc>
          <w:tcPr>
            <w:tcW w:w="169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0" w:type="dxa"/>
            <w:tcBorders/>
            <w:shd w:fill="auto" w:val="clear"/>
            <w:vAlign w:val="center"/>
          </w:tcPr>
          <w:p>
            <w:pPr>
              <w:pStyle w:val="TableContents"/>
              <w:spacing w:before="0" w:after="0"/>
              <w:ind w:left="0" w:right="0" w:firstLine="30"/>
              <w:rPr/>
            </w:pPr>
            <w:r>
              <w:rPr/>
              <w:t> </w:t>
            </w:r>
          </w:p>
        </w:tc>
        <w:tc>
          <w:tcPr>
            <w:tcW w:w="15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0" w:type="dxa"/>
            <w:tcBorders/>
            <w:shd w:fill="auto" w:val="clear"/>
            <w:vAlign w:val="center"/>
          </w:tcPr>
          <w:p>
            <w:pPr>
              <w:pStyle w:val="TableContents"/>
              <w:spacing w:before="0" w:after="0"/>
              <w:ind w:left="0" w:right="0" w:firstLine="30"/>
              <w:rPr/>
            </w:pPr>
            <w:r>
              <w:rPr/>
              <w:t> </w:t>
            </w:r>
          </w:p>
        </w:tc>
        <w:tc>
          <w:tcPr>
            <w:tcW w:w="180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4857" w:type="dxa"/>
            <w:tcBorders/>
            <w:shd w:fill="auto" w:val="clear"/>
            <w:vAlign w:val="center"/>
          </w:tcPr>
          <w:p>
            <w:pPr>
              <w:pStyle w:val="TableContents"/>
              <w:spacing w:before="0" w:after="0"/>
              <w:ind w:left="0" w:right="0" w:firstLine="30"/>
              <w:jc w:val="left"/>
              <w:rPr/>
            </w:pPr>
            <w:r>
              <w:rPr/>
              <w:t> </w:t>
            </w:r>
          </w:p>
        </w:tc>
        <w:tc>
          <w:tcPr>
            <w:tcW w:w="5348"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8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691"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575"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802" w:type="dxa"/>
            <w:gridSpan w:val="3"/>
            <w:tcBorders/>
            <w:shd w:fill="CCEEFF" w:val="clear"/>
            <w:vAlign w:val="center"/>
          </w:tcPr>
          <w:p>
            <w:pPr>
              <w:pStyle w:val="TableContents"/>
              <w:spacing w:before="0" w:after="0"/>
              <w:ind w:left="0" w:right="0" w:firstLine="300"/>
              <w:rPr/>
            </w:pPr>
            <w:r>
              <w:rPr/>
              <w:t> </w:t>
            </w:r>
          </w:p>
        </w:tc>
      </w:tr>
      <w:tr>
        <w:trPr/>
        <w:tc>
          <w:tcPr>
            <w:tcW w:w="48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31" w:type="dxa"/>
            <w:tcBorders/>
            <w:shd w:fill="auto" w:val="clear"/>
            <w:vAlign w:val="center"/>
          </w:tcPr>
          <w:p>
            <w:pPr>
              <w:pStyle w:val="TableContents"/>
              <w:spacing w:before="0" w:after="0"/>
              <w:jc w:val="right"/>
              <w:rPr>
                <w:rFonts w:ascii="inherit" w:hAnsi="inherit"/>
                <w:sz w:val="17"/>
              </w:rPr>
            </w:pPr>
            <w:r>
              <w:rPr>
                <w:rFonts w:ascii="inherit" w:hAnsi="inherit"/>
                <w:sz w:val="17"/>
              </w:rPr>
              <w:t>822,587</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5" w:type="dxa"/>
            <w:tcBorders/>
            <w:shd w:fill="auto" w:val="clear"/>
            <w:vAlign w:val="center"/>
          </w:tcPr>
          <w:p>
            <w:pPr>
              <w:pStyle w:val="TableContents"/>
              <w:spacing w:before="0" w:after="0"/>
              <w:jc w:val="right"/>
              <w:rPr>
                <w:rFonts w:ascii="inherit" w:hAnsi="inherit"/>
                <w:sz w:val="17"/>
              </w:rPr>
            </w:pPr>
            <w:r>
              <w:rPr>
                <w:rFonts w:ascii="inherit" w:hAnsi="inherit"/>
                <w:sz w:val="17"/>
              </w:rPr>
              <w:t>850,946</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5" w:type="dxa"/>
            <w:tcBorders/>
            <w:shd w:fill="auto" w:val="clear"/>
            <w:vAlign w:val="center"/>
          </w:tcPr>
          <w:p>
            <w:pPr>
              <w:pStyle w:val="TableContents"/>
              <w:spacing w:before="0" w:after="0"/>
              <w:jc w:val="right"/>
              <w:rPr>
                <w:rFonts w:ascii="inherit" w:hAnsi="inherit"/>
                <w:sz w:val="17"/>
              </w:rPr>
            </w:pPr>
            <w:r>
              <w:rPr>
                <w:rFonts w:ascii="inherit" w:hAnsi="inherit"/>
                <w:sz w:val="17"/>
              </w:rPr>
              <w:t>795,825</w:t>
            </w:r>
          </w:p>
        </w:tc>
        <w:tc>
          <w:tcPr>
            <w:tcW w:w="32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8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Mexico</w:t>
            </w:r>
          </w:p>
        </w:tc>
        <w:tc>
          <w:tcPr>
            <w:tcW w:w="15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150,022</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4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103,273</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4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49,601</w:t>
            </w:r>
          </w:p>
        </w:tc>
        <w:tc>
          <w:tcPr>
            <w:tcW w:w="320"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8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Canada</w:t>
            </w:r>
          </w:p>
        </w:tc>
        <w:tc>
          <w:tcPr>
            <w:tcW w:w="15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12,710</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4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10,712</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4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7,372</w:t>
            </w:r>
          </w:p>
        </w:tc>
        <w:tc>
          <w:tcPr>
            <w:tcW w:w="32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8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U.K</w:t>
            </w:r>
          </w:p>
        </w:tc>
        <w:tc>
          <w:tcPr>
            <w:tcW w:w="159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24,988</w:t>
            </w:r>
          </w:p>
        </w:tc>
        <w:tc>
          <w:tcPr>
            <w:tcW w:w="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4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10,192</w:t>
            </w:r>
          </w:p>
        </w:tc>
        <w:tc>
          <w:tcPr>
            <w:tcW w:w="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48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2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6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3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1,010,307</w:t>
            </w:r>
          </w:p>
        </w:tc>
        <w:tc>
          <w:tcPr>
            <w:tcW w:w="9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6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975,123</w:t>
            </w:r>
          </w:p>
        </w:tc>
        <w:tc>
          <w:tcPr>
            <w:tcW w:w="9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852,798</w:t>
            </w:r>
          </w:p>
        </w:tc>
        <w:tc>
          <w:tcPr>
            <w:tcW w:w="32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5573"/>
        <w:gridCol w:w="168"/>
        <w:gridCol w:w="1111"/>
        <w:gridCol w:w="94"/>
        <w:gridCol w:w="141"/>
        <w:gridCol w:w="168"/>
        <w:gridCol w:w="1111"/>
        <w:gridCol w:w="94"/>
        <w:gridCol w:w="141"/>
        <w:gridCol w:w="168"/>
        <w:gridCol w:w="1111"/>
        <w:gridCol w:w="325"/>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57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573" w:type="dxa"/>
            <w:tcBorders/>
            <w:shd w:fill="auto" w:val="clear"/>
            <w:vAlign w:val="center"/>
          </w:tcPr>
          <w:p>
            <w:pPr>
              <w:pStyle w:val="TableContents"/>
              <w:spacing w:before="0" w:after="0"/>
              <w:ind w:left="0" w:right="0" w:firstLine="30"/>
              <w:rPr/>
            </w:pPr>
            <w:r>
              <w:rPr/>
              <w:t> </w:t>
            </w:r>
          </w:p>
        </w:tc>
        <w:tc>
          <w:tcPr>
            <w:tcW w:w="463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b/>
                <w:sz w:val="13"/>
              </w:rPr>
              <w:t>September 30,</w:t>
            </w:r>
          </w:p>
        </w:tc>
      </w:tr>
      <w:tr>
        <w:trPr/>
        <w:tc>
          <w:tcPr>
            <w:tcW w:w="5573" w:type="dxa"/>
            <w:tcBorders/>
            <w:shd w:fill="auto" w:val="clear"/>
            <w:vAlign w:val="center"/>
          </w:tcPr>
          <w:p>
            <w:pPr>
              <w:pStyle w:val="TableContents"/>
              <w:spacing w:before="0" w:after="0"/>
              <w:ind w:left="0" w:right="0" w:firstLine="30"/>
              <w:jc w:val="left"/>
              <w:rPr/>
            </w:pPr>
            <w:r>
              <w:rPr/>
              <w:t> </w:t>
            </w:r>
          </w:p>
        </w:tc>
        <w:tc>
          <w:tcPr>
            <w:tcW w:w="13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1" w:type="dxa"/>
            <w:tcBorders/>
            <w:shd w:fill="auto" w:val="clear"/>
            <w:vAlign w:val="center"/>
          </w:tcPr>
          <w:p>
            <w:pPr>
              <w:pStyle w:val="TableContents"/>
              <w:spacing w:before="0" w:after="0"/>
              <w:ind w:left="0" w:right="0" w:firstLine="30"/>
              <w:rPr/>
            </w:pPr>
            <w:r>
              <w:rPr/>
              <w:t> </w:t>
            </w:r>
          </w:p>
        </w:tc>
        <w:tc>
          <w:tcPr>
            <w:tcW w:w="13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60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573" w:type="dxa"/>
            <w:tcBorders/>
            <w:shd w:fill="auto" w:val="clear"/>
            <w:vAlign w:val="center"/>
          </w:tcPr>
          <w:p>
            <w:pPr>
              <w:pStyle w:val="TableContents"/>
              <w:spacing w:before="0" w:after="0"/>
              <w:ind w:left="0" w:right="0" w:firstLine="30"/>
              <w:jc w:val="left"/>
              <w:rPr/>
            </w:pPr>
            <w:r>
              <w:rPr/>
              <w:t> </w:t>
            </w:r>
          </w:p>
        </w:tc>
        <w:tc>
          <w:tcPr>
            <w:tcW w:w="4632"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5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Long-Lived assets:</w:t>
            </w:r>
          </w:p>
        </w:tc>
        <w:tc>
          <w:tcPr>
            <w:tcW w:w="1373" w:type="dxa"/>
            <w:gridSpan w:val="3"/>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ind w:left="0" w:right="0" w:firstLine="30"/>
              <w:rPr/>
            </w:pPr>
            <w:r>
              <w:rPr/>
              <w:t> </w:t>
            </w:r>
          </w:p>
        </w:tc>
        <w:tc>
          <w:tcPr>
            <w:tcW w:w="1373" w:type="dxa"/>
            <w:gridSpan w:val="3"/>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ind w:left="0" w:right="0" w:firstLine="30"/>
              <w:rPr/>
            </w:pPr>
            <w:r>
              <w:rPr/>
              <w:t> </w:t>
            </w:r>
          </w:p>
        </w:tc>
        <w:tc>
          <w:tcPr>
            <w:tcW w:w="1604" w:type="dxa"/>
            <w:gridSpan w:val="3"/>
            <w:tcBorders/>
            <w:shd w:fill="CCEEFF" w:val="clear"/>
            <w:vAlign w:val="center"/>
          </w:tcPr>
          <w:p>
            <w:pPr>
              <w:pStyle w:val="TableContents"/>
              <w:spacing w:before="0" w:after="0"/>
              <w:ind w:left="0" w:right="0" w:firstLine="300"/>
              <w:rPr/>
            </w:pPr>
            <w:r>
              <w:rPr/>
              <w:t> </w:t>
            </w:r>
          </w:p>
        </w:tc>
      </w:tr>
      <w:tr>
        <w:trPr/>
        <w:tc>
          <w:tcPr>
            <w:tcW w:w="5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w:t>
            </w:r>
          </w:p>
        </w:tc>
        <w:tc>
          <w:tcPr>
            <w:tcW w:w="16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shd w:fill="auto" w:val="clear"/>
            <w:vAlign w:val="center"/>
          </w:tcPr>
          <w:p>
            <w:pPr>
              <w:pStyle w:val="TableContents"/>
              <w:spacing w:before="0" w:after="0"/>
              <w:jc w:val="right"/>
              <w:rPr>
                <w:rFonts w:ascii="inherit" w:hAnsi="inherit"/>
                <w:sz w:val="17"/>
              </w:rPr>
            </w:pPr>
            <w:r>
              <w:rPr>
                <w:rFonts w:ascii="inherit" w:hAnsi="inherit"/>
                <w:sz w:val="17"/>
              </w:rPr>
              <w:t>399,930</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6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shd w:fill="auto" w:val="clear"/>
            <w:vAlign w:val="center"/>
          </w:tcPr>
          <w:p>
            <w:pPr>
              <w:pStyle w:val="TableContents"/>
              <w:spacing w:before="0" w:after="0"/>
              <w:jc w:val="right"/>
              <w:rPr>
                <w:rFonts w:ascii="inherit" w:hAnsi="inherit"/>
                <w:sz w:val="17"/>
              </w:rPr>
            </w:pPr>
            <w:r>
              <w:rPr>
                <w:rFonts w:ascii="inherit" w:hAnsi="inherit"/>
                <w:sz w:val="17"/>
              </w:rPr>
              <w:t>317,887</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6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shd w:fill="auto" w:val="clear"/>
            <w:vAlign w:val="center"/>
          </w:tcPr>
          <w:p>
            <w:pPr>
              <w:pStyle w:val="TableContents"/>
              <w:spacing w:before="0" w:after="0"/>
              <w:jc w:val="right"/>
              <w:rPr>
                <w:rFonts w:ascii="inherit" w:hAnsi="inherit"/>
                <w:sz w:val="17"/>
              </w:rPr>
            </w:pPr>
            <w:r>
              <w:rPr>
                <w:rFonts w:ascii="inherit" w:hAnsi="inherit"/>
                <w:sz w:val="17"/>
              </w:rPr>
              <w:t>240,661</w:t>
            </w:r>
          </w:p>
        </w:tc>
        <w:tc>
          <w:tcPr>
            <w:tcW w:w="32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5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Mexico</w:t>
            </w:r>
          </w:p>
        </w:tc>
        <w:tc>
          <w:tcPr>
            <w:tcW w:w="12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157,796</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2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155,488</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2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22,945</w:t>
            </w:r>
          </w:p>
        </w:tc>
        <w:tc>
          <w:tcPr>
            <w:tcW w:w="32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Canada</w:t>
            </w:r>
          </w:p>
        </w:tc>
        <w:tc>
          <w:tcPr>
            <w:tcW w:w="12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4,755</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2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10,199</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2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7,888</w:t>
            </w:r>
          </w:p>
        </w:tc>
        <w:tc>
          <w:tcPr>
            <w:tcW w:w="32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5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U.K</w:t>
            </w:r>
          </w:p>
        </w:tc>
        <w:tc>
          <w:tcPr>
            <w:tcW w:w="12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44,138</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2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44,363</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279" w:type="dxa"/>
            <w:gridSpan w:val="2"/>
            <w:tcBorders/>
            <w:shd w:fill="CCEEFF" w:val="clear"/>
            <w:vAlign w:val="center"/>
          </w:tcPr>
          <w:p>
            <w:pPr>
              <w:pStyle w:val="TableContents"/>
              <w:spacing w:before="0" w:after="0"/>
              <w:jc w:val="right"/>
              <w:rPr/>
            </w:pPr>
            <w:r>
              <w:rPr/>
              <w:t>—</w:t>
            </w:r>
          </w:p>
        </w:tc>
        <w:tc>
          <w:tcPr>
            <w:tcW w:w="32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5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Other </w:t>
            </w:r>
          </w:p>
        </w:tc>
        <w:tc>
          <w:tcPr>
            <w:tcW w:w="127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9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27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9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79" w:type="dxa"/>
            <w:gridSpan w:val="2"/>
            <w:tcBorders/>
            <w:shd w:fill="auto" w:val="clear"/>
            <w:vAlign w:val="center"/>
          </w:tcPr>
          <w:p>
            <w:pPr>
              <w:pStyle w:val="TableContents"/>
              <w:spacing w:before="0" w:after="0"/>
              <w:jc w:val="right"/>
              <w:rPr/>
            </w:pPr>
            <w:r>
              <w:rPr/>
              <w:t>—</w:t>
            </w:r>
          </w:p>
        </w:tc>
        <w:tc>
          <w:tcPr>
            <w:tcW w:w="3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6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606,661</w:t>
            </w:r>
          </w:p>
        </w:tc>
        <w:tc>
          <w:tcPr>
            <w:tcW w:w="9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6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527,979</w:t>
            </w:r>
          </w:p>
        </w:tc>
        <w:tc>
          <w:tcPr>
            <w:tcW w:w="9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6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271,494</w:t>
            </w:r>
          </w:p>
        </w:tc>
        <w:tc>
          <w:tcPr>
            <w:tcW w:w="32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98</w:t>
      </w:r>
      <w:r>
        <w:br w:type="page"/>
      </w:r>
    </w:p>
    <w:p>
      <w:pPr>
        <w:pStyle w:val="TextBody"/>
        <w:spacing w:lineRule="auto" w:line="288" w:before="0" w:after="0"/>
        <w:rPr/>
      </w:pPr>
      <w:hyperlink w:anchor="sA13583D437E20DC41B4583E2BD74AA47">
        <w:bookmarkStart w:id="92" w:name="s23F5C87D4CBD70FA10A283E26EF65FC5"/>
        <w:bookmarkEnd w:id="92"/>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NOTE 20: ALLOWANCE FOR LOSSES AND CREDIT QUALITY OF FINANCING RECEIVABLES</w:t>
      </w:r>
    </w:p>
    <w:p>
      <w:pPr>
        <w:pStyle w:val="TextBody"/>
        <w:spacing w:lineRule="auto" w:line="288" w:before="0" w:after="0"/>
        <w:rPr>
          <w:rFonts w:ascii="inherit" w:hAnsi="inherit"/>
          <w:sz w:val="17"/>
        </w:rPr>
      </w:pPr>
      <w:r>
        <w:rPr>
          <w:rFonts w:ascii="inherit" w:hAnsi="inherit"/>
          <w:sz w:val="17"/>
        </w:rPr>
        <w:t>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also inspect the automobile, title and reference to market values of used automobiles.</w:t>
      </w:r>
    </w:p>
    <w:p>
      <w:pPr>
        <w:pStyle w:val="TextBody"/>
        <w:spacing w:lineRule="auto" w:line="288" w:before="0" w:after="0"/>
        <w:rPr>
          <w:rFonts w:ascii="inherit" w:hAnsi="inherit"/>
          <w:sz w:val="17"/>
        </w:rPr>
      </w:pPr>
      <w:r>
        <w:rPr>
          <w:rFonts w:ascii="inherit" w:hAnsi="inherit"/>
          <w:sz w:val="17"/>
        </w:rPr>
        <w:t xml:space="preserve">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We review and analyze our loan portfolios based on aggregation of loans by type and duration of the loan products. Loan repayment trends and default rates are evaluated each month based on each loan portfolio and adjustments to loss allowance are made accordingly. A documented and systematic process is followed. </w:t>
      </w:r>
    </w:p>
    <w:p>
      <w:pPr>
        <w:pStyle w:val="TextBody"/>
        <w:spacing w:lineRule="auto" w:line="288" w:before="0" w:after="0"/>
        <w:rPr>
          <w:sz w:val="17"/>
        </w:rPr>
      </w:pPr>
      <w:r>
        <w:rPr>
          <w:rFonts w:ascii="inherit" w:hAnsi="inherit"/>
          <w:sz w:val="17"/>
        </w:rPr>
        <w:t>We consider consumer loans made at our storefronts by our wholly owned subsidiaries to be defaulted if they have not been repaid or renewed by the maturity date. If one</w:t>
      </w:r>
      <w:r>
        <w:rPr>
          <w:sz w:val="17"/>
        </w:rPr>
        <w:t xml:space="preserve"> </w:t>
      </w:r>
      <w:r>
        <w:rPr>
          <w:rFonts w:ascii="inherit" w:hAnsi="inherit"/>
          <w:sz w:val="17"/>
        </w:rPr>
        <w:t>payment of a multiple-payment loan is delinquent, that one payment is considered defaulted. If more than one</w:t>
      </w:r>
      <w:r>
        <w:rPr>
          <w:sz w:val="17"/>
        </w:rPr>
        <w:t xml:space="preserve"> </w:t>
      </w:r>
      <w:r>
        <w:rPr>
          <w:rFonts w:ascii="inherit" w:hAnsi="inherit"/>
          <w:sz w:val="17"/>
        </w:rPr>
        <w:t>payment is delinquent at any time, the entire loan is considered defaulted. Although defaulted loans may be collected later, we charge the loan principal to consumer loan bad debt upon default, leaving only active loans in the reported balance. Accrued fees related to defaulted loans reduce fee revenue upon loan default, and increase fee revenue upon collection.</w:t>
      </w:r>
    </w:p>
    <w:p>
      <w:pPr>
        <w:pStyle w:val="TextBody"/>
        <w:spacing w:lineRule="auto" w:line="288" w:before="0" w:after="0"/>
        <w:rPr>
          <w:rFonts w:ascii="inherit" w:hAnsi="inherit"/>
          <w:sz w:val="17"/>
        </w:rPr>
      </w:pPr>
      <w:r>
        <w:rPr>
          <w:rFonts w:ascii="inherit" w:hAnsi="inherit"/>
          <w:sz w:val="17"/>
        </w:rPr>
        <w:t>Based on historical collection experience, the age of past-due loans and amounts we expect to receive through the sale of repossessed vehicles, we provide an allowance for losses on auto title loans.</w:t>
      </w:r>
    </w:p>
    <w:p>
      <w:pPr>
        <w:pStyle w:val="TextBody"/>
        <w:spacing w:lineRule="auto" w:line="288" w:before="0" w:after="0"/>
        <w:rPr>
          <w:rFonts w:ascii="inherit" w:hAnsi="inherit"/>
          <w:sz w:val="17"/>
        </w:rPr>
      </w:pPr>
      <w:r>
        <w:rPr>
          <w:rFonts w:ascii="inherit" w:hAnsi="inherit"/>
          <w:sz w:val="17"/>
        </w:rPr>
        <w:t>Consumer loans made by EZCORP Online are considered delinquent if they are not repaid or renewed by the maturity date. We do not accrue revenues on delinquent loans. All outstanding principal balances and fee receivables greater than 60 days past due are considered defaulted. Upon default, we charge consumer loan principal to consumer loan bad debt and reverse accrued unsecured consumer loan fee revenue. Subsequent collections of these amounts are recorded as a reduction to consumer loan bad debt expense and as consumer loan fee revenue.</w:t>
      </w:r>
    </w:p>
    <w:p>
      <w:pPr>
        <w:pStyle w:val="TextBody"/>
        <w:spacing w:lineRule="auto" w:line="288" w:before="0" w:after="0"/>
        <w:rPr>
          <w:sz w:val="17"/>
        </w:rPr>
      </w:pPr>
      <w:r>
        <w:rPr>
          <w:rFonts w:ascii="inherit" w:hAnsi="inherit"/>
          <w:sz w:val="17"/>
        </w:rPr>
        <w:t>Grupo Finmart's consumer loans are considered in current status as long as the customer is employed and Grupo Finmart receives payments via payroll withholdings. Loans made to customers no longer employed are considered current if payments are made by the due date. If one</w:t>
      </w:r>
      <w:r>
        <w:rPr>
          <w:sz w:val="17"/>
        </w:rPr>
        <w:t xml:space="preserve"> </w:t>
      </w:r>
      <w:r>
        <w:rPr>
          <w:rFonts w:ascii="inherit" w:hAnsi="inherit"/>
          <w:sz w:val="17"/>
        </w:rPr>
        <w:t>payment of a loan is delinquent, that one payment is considered defaulted. If two</w:t>
      </w:r>
      <w:r>
        <w:rPr>
          <w:sz w:val="17"/>
        </w:rPr>
        <w:t xml:space="preserve"> </w:t>
      </w:r>
      <w:r>
        <w:rPr>
          <w:rFonts w:ascii="inherit" w:hAnsi="inherit"/>
          <w:sz w:val="17"/>
        </w:rPr>
        <w:t>or more payments are delinquent at any time, the entire loan is considered defaulted. Although defaulted loans may be collected later, Grupo Finmart charges the loan principal to consumer loan bad debt upon default, leaving only active loans in the reported balance. Subsequent collections of principal are recorded as a reduction of consumer loan bad debt when collected. Accrued fees related to defaulted loans reduce fee revenue upon default, and increase fee revenue upon collection.</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99</w:t>
      </w:r>
      <w:r>
        <w:br w:type="page"/>
      </w:r>
    </w:p>
    <w:p>
      <w:pPr>
        <w:pStyle w:val="TextBody"/>
        <w:spacing w:lineRule="auto" w:line="288" w:before="0" w:after="0"/>
        <w:rPr/>
      </w:pPr>
      <w:hyperlink w:anchor="sA13583D437E20DC41B4583E2BD74AA47">
        <w:bookmarkStart w:id="93" w:name="s23F5C87D4CBD70FA10A283E26EF65FC51"/>
        <w:bookmarkEnd w:id="93"/>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The following table presents changes in the allowance for credit losses, as well as the recorded investment in our financing receivables by portfolio segment for the periods presented:</w:t>
      </w:r>
      <w:r>
        <w:rPr>
          <w:sz w:val="17"/>
        </w:rPr>
        <w:t> </w:t>
      </w:r>
    </w:p>
    <w:tbl>
      <w:tblPr>
        <w:tblW w:w="10205" w:type="dxa"/>
        <w:jc w:val="left"/>
        <w:tblInd w:w="0" w:type="dxa"/>
        <w:tblCellMar>
          <w:top w:w="0" w:type="dxa"/>
          <w:left w:w="0" w:type="dxa"/>
          <w:bottom w:w="0" w:type="dxa"/>
          <w:right w:w="0" w:type="dxa"/>
        </w:tblCellMar>
      </w:tblPr>
      <w:tblGrid>
        <w:gridCol w:w="1914"/>
        <w:gridCol w:w="169"/>
        <w:gridCol w:w="722"/>
        <w:gridCol w:w="69"/>
        <w:gridCol w:w="114"/>
        <w:gridCol w:w="146"/>
        <w:gridCol w:w="791"/>
        <w:gridCol w:w="147"/>
        <w:gridCol w:w="114"/>
        <w:gridCol w:w="164"/>
        <w:gridCol w:w="842"/>
        <w:gridCol w:w="67"/>
        <w:gridCol w:w="114"/>
        <w:gridCol w:w="132"/>
        <w:gridCol w:w="665"/>
        <w:gridCol w:w="134"/>
        <w:gridCol w:w="193"/>
        <w:gridCol w:w="219"/>
        <w:gridCol w:w="692"/>
        <w:gridCol w:w="221"/>
        <w:gridCol w:w="114"/>
        <w:gridCol w:w="169"/>
        <w:gridCol w:w="752"/>
        <w:gridCol w:w="69"/>
        <w:gridCol w:w="114"/>
        <w:gridCol w:w="132"/>
        <w:gridCol w:w="776"/>
        <w:gridCol w:w="450"/>
      </w:tblGrid>
      <w:tr>
        <w:trPr/>
        <w:tc>
          <w:tcPr>
            <w:tcW w:w="10205" w:type="dxa"/>
            <w:gridSpan w:val="28"/>
            <w:tcBorders/>
            <w:shd w:fill="auto" w:val="clear"/>
            <w:vAlign w:val="center"/>
          </w:tcPr>
          <w:p>
            <w:pPr>
              <w:pStyle w:val="TableContents"/>
              <w:spacing w:before="0" w:after="283"/>
              <w:rPr>
                <w:sz w:val="4"/>
                <w:szCs w:val="4"/>
              </w:rPr>
            </w:pPr>
            <w:r>
              <w:rPr>
                <w:sz w:val="4"/>
                <w:szCs w:val="4"/>
              </w:rPr>
            </w:r>
          </w:p>
        </w:tc>
      </w:tr>
      <w:tr>
        <w:trPr/>
        <w:tc>
          <w:tcPr>
            <w:tcW w:w="191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1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Description</w:t>
            </w:r>
          </w:p>
        </w:tc>
        <w:tc>
          <w:tcPr>
            <w:tcW w:w="96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Allowance</w:t>
            </w:r>
          </w:p>
          <w:p>
            <w:pPr>
              <w:pStyle w:val="TableContents"/>
              <w:spacing w:before="0" w:after="0"/>
              <w:jc w:val="center"/>
              <w:rPr>
                <w:rFonts w:ascii="inherit" w:hAnsi="inherit"/>
                <w:b/>
                <w:sz w:val="13"/>
              </w:rPr>
            </w:pPr>
            <w:r>
              <w:rPr>
                <w:rFonts w:ascii="inherit" w:hAnsi="inherit"/>
                <w:b/>
                <w:sz w:val="13"/>
              </w:rPr>
              <w:t>Balance at</w:t>
            </w:r>
          </w:p>
          <w:p>
            <w:pPr>
              <w:pStyle w:val="TableContents"/>
              <w:spacing w:before="0" w:after="0"/>
              <w:jc w:val="center"/>
              <w:rPr>
                <w:rFonts w:ascii="inherit" w:hAnsi="inherit"/>
                <w:b/>
                <w:sz w:val="13"/>
              </w:rPr>
            </w:pPr>
            <w:r>
              <w:rPr>
                <w:rFonts w:ascii="inherit" w:hAnsi="inherit"/>
                <w:b/>
                <w:sz w:val="13"/>
              </w:rPr>
              <w:t>Beginning</w:t>
            </w:r>
          </w:p>
          <w:p>
            <w:pPr>
              <w:pStyle w:val="TableContents"/>
              <w:spacing w:before="0" w:after="0"/>
              <w:ind w:left="0" w:right="0" w:firstLine="30"/>
              <w:jc w:val="center"/>
              <w:rPr>
                <w:rFonts w:ascii="inherit" w:hAnsi="inherit"/>
                <w:b/>
                <w:sz w:val="13"/>
              </w:rPr>
            </w:pPr>
            <w:r>
              <w:rPr>
                <w:rFonts w:ascii="inherit" w:hAnsi="inherit"/>
                <w:b/>
                <w:sz w:val="13"/>
              </w:rPr>
              <w:t>of Period</w:t>
            </w:r>
          </w:p>
        </w:tc>
        <w:tc>
          <w:tcPr>
            <w:tcW w:w="114" w:type="dxa"/>
            <w:tcBorders/>
            <w:shd w:fill="auto" w:val="clear"/>
            <w:vAlign w:val="center"/>
          </w:tcPr>
          <w:p>
            <w:pPr>
              <w:pStyle w:val="TableContents"/>
              <w:spacing w:before="0" w:after="0"/>
              <w:ind w:left="0" w:right="0" w:firstLine="30"/>
              <w:rPr/>
            </w:pPr>
            <w:r>
              <w:rPr/>
              <w:t> </w:t>
            </w:r>
          </w:p>
        </w:tc>
        <w:tc>
          <w:tcPr>
            <w:tcW w:w="108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Charge-offs</w:t>
            </w:r>
          </w:p>
        </w:tc>
        <w:tc>
          <w:tcPr>
            <w:tcW w:w="114" w:type="dxa"/>
            <w:tcBorders/>
            <w:shd w:fill="auto" w:val="clear"/>
            <w:vAlign w:val="center"/>
          </w:tcPr>
          <w:p>
            <w:pPr>
              <w:pStyle w:val="TableContents"/>
              <w:spacing w:before="0" w:after="0"/>
              <w:ind w:left="0" w:right="0" w:firstLine="30"/>
              <w:rPr/>
            </w:pPr>
            <w:r>
              <w:rPr/>
              <w:t> </w:t>
            </w:r>
          </w:p>
        </w:tc>
        <w:tc>
          <w:tcPr>
            <w:tcW w:w="10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Recoveries</w:t>
            </w:r>
          </w:p>
        </w:tc>
        <w:tc>
          <w:tcPr>
            <w:tcW w:w="114" w:type="dxa"/>
            <w:tcBorders/>
            <w:shd w:fill="auto" w:val="clear"/>
            <w:vAlign w:val="center"/>
          </w:tcPr>
          <w:p>
            <w:pPr>
              <w:pStyle w:val="TableContents"/>
              <w:spacing w:before="0" w:after="0"/>
              <w:ind w:left="0" w:right="0" w:firstLine="30"/>
              <w:rPr/>
            </w:pPr>
            <w:r>
              <w:rPr/>
              <w:t> </w:t>
            </w:r>
          </w:p>
        </w:tc>
        <w:tc>
          <w:tcPr>
            <w:tcW w:w="93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Provision</w:t>
            </w:r>
          </w:p>
        </w:tc>
        <w:tc>
          <w:tcPr>
            <w:tcW w:w="193" w:type="dxa"/>
            <w:tcBorders/>
            <w:shd w:fill="auto" w:val="clear"/>
            <w:vAlign w:val="center"/>
          </w:tcPr>
          <w:p>
            <w:pPr>
              <w:pStyle w:val="TableContents"/>
              <w:spacing w:before="0" w:after="0"/>
              <w:ind w:left="0" w:right="0" w:firstLine="30"/>
              <w:rPr/>
            </w:pPr>
            <w:r>
              <w:rPr/>
              <w:t> </w:t>
            </w:r>
          </w:p>
        </w:tc>
        <w:tc>
          <w:tcPr>
            <w:tcW w:w="11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Translation Adjustment</w:t>
            </w:r>
          </w:p>
        </w:tc>
        <w:tc>
          <w:tcPr>
            <w:tcW w:w="114" w:type="dxa"/>
            <w:tcBorders/>
            <w:shd w:fill="auto" w:val="clear"/>
            <w:vAlign w:val="center"/>
          </w:tcPr>
          <w:p>
            <w:pPr>
              <w:pStyle w:val="TableContents"/>
              <w:spacing w:before="0" w:after="0"/>
              <w:ind w:left="0" w:right="0" w:firstLine="30"/>
              <w:rPr/>
            </w:pPr>
            <w:r>
              <w:rPr/>
              <w:t> </w:t>
            </w:r>
          </w:p>
        </w:tc>
        <w:tc>
          <w:tcPr>
            <w:tcW w:w="99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Allowance</w:t>
            </w:r>
          </w:p>
          <w:p>
            <w:pPr>
              <w:pStyle w:val="TableContents"/>
              <w:spacing w:before="0" w:after="0"/>
              <w:jc w:val="center"/>
              <w:rPr>
                <w:rFonts w:ascii="inherit" w:hAnsi="inherit"/>
                <w:b/>
                <w:sz w:val="13"/>
              </w:rPr>
            </w:pPr>
            <w:r>
              <w:rPr>
                <w:rFonts w:ascii="inherit" w:hAnsi="inherit"/>
                <w:b/>
                <w:sz w:val="13"/>
              </w:rPr>
              <w:t>Balance at</w:t>
            </w:r>
          </w:p>
          <w:p>
            <w:pPr>
              <w:pStyle w:val="TableContents"/>
              <w:spacing w:before="0" w:after="0"/>
              <w:jc w:val="center"/>
              <w:rPr>
                <w:rFonts w:ascii="inherit" w:hAnsi="inherit"/>
                <w:b/>
                <w:sz w:val="13"/>
              </w:rPr>
            </w:pPr>
            <w:r>
              <w:rPr>
                <w:rFonts w:ascii="inherit" w:hAnsi="inherit"/>
                <w:b/>
                <w:sz w:val="13"/>
              </w:rPr>
              <w:t>End of</w:t>
            </w:r>
          </w:p>
          <w:p>
            <w:pPr>
              <w:pStyle w:val="TableContents"/>
              <w:spacing w:before="0" w:after="0"/>
              <w:ind w:left="0" w:right="0" w:firstLine="30"/>
              <w:jc w:val="center"/>
              <w:rPr>
                <w:rFonts w:ascii="inherit" w:hAnsi="inherit"/>
                <w:b/>
                <w:sz w:val="13"/>
              </w:rPr>
            </w:pPr>
            <w:r>
              <w:rPr>
                <w:rFonts w:ascii="inherit" w:hAnsi="inherit"/>
                <w:b/>
                <w:sz w:val="13"/>
              </w:rPr>
              <w:t>Period</w:t>
            </w:r>
          </w:p>
        </w:tc>
        <w:tc>
          <w:tcPr>
            <w:tcW w:w="114" w:type="dxa"/>
            <w:tcBorders/>
            <w:shd w:fill="auto" w:val="clear"/>
            <w:vAlign w:val="center"/>
          </w:tcPr>
          <w:p>
            <w:pPr>
              <w:pStyle w:val="TableContents"/>
              <w:spacing w:before="0" w:after="0"/>
              <w:ind w:left="0" w:right="0" w:firstLine="30"/>
              <w:rPr/>
            </w:pPr>
            <w:r>
              <w:rPr/>
              <w:t> </w:t>
            </w:r>
          </w:p>
        </w:tc>
        <w:tc>
          <w:tcPr>
            <w:tcW w:w="135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Financing</w:t>
            </w:r>
          </w:p>
          <w:p>
            <w:pPr>
              <w:pStyle w:val="TableContents"/>
              <w:spacing w:before="0" w:after="0"/>
              <w:jc w:val="center"/>
              <w:rPr>
                <w:rFonts w:ascii="inherit" w:hAnsi="inherit"/>
                <w:b/>
                <w:sz w:val="13"/>
              </w:rPr>
            </w:pPr>
            <w:r>
              <w:rPr>
                <w:rFonts w:ascii="inherit" w:hAnsi="inherit"/>
                <w:b/>
                <w:sz w:val="13"/>
              </w:rPr>
              <w:t>Receivable</w:t>
            </w:r>
          </w:p>
          <w:p>
            <w:pPr>
              <w:pStyle w:val="TableContents"/>
              <w:spacing w:before="0" w:after="0"/>
              <w:jc w:val="center"/>
              <w:rPr>
                <w:rFonts w:ascii="inherit" w:hAnsi="inherit"/>
                <w:b/>
                <w:sz w:val="13"/>
              </w:rPr>
            </w:pPr>
            <w:r>
              <w:rPr>
                <w:rFonts w:ascii="inherit" w:hAnsi="inherit"/>
                <w:b/>
                <w:sz w:val="13"/>
              </w:rPr>
              <w:t>at End of</w:t>
            </w:r>
          </w:p>
          <w:p>
            <w:pPr>
              <w:pStyle w:val="TableContents"/>
              <w:spacing w:before="0" w:after="0"/>
              <w:ind w:left="0" w:right="0" w:firstLine="30"/>
              <w:jc w:val="center"/>
              <w:rPr>
                <w:rFonts w:ascii="inherit" w:hAnsi="inherit"/>
                <w:b/>
                <w:sz w:val="13"/>
              </w:rPr>
            </w:pPr>
            <w:r>
              <w:rPr>
                <w:rFonts w:ascii="inherit" w:hAnsi="inherit"/>
                <w:b/>
                <w:sz w:val="13"/>
              </w:rPr>
              <w:t>Period</w:t>
            </w:r>
          </w:p>
        </w:tc>
      </w:tr>
      <w:tr>
        <w:trPr/>
        <w:tc>
          <w:tcPr>
            <w:tcW w:w="1914" w:type="dxa"/>
            <w:tcBorders/>
            <w:shd w:fill="auto" w:val="clear"/>
            <w:vAlign w:val="center"/>
          </w:tcPr>
          <w:p>
            <w:pPr>
              <w:pStyle w:val="TableContents"/>
              <w:spacing w:before="0" w:after="0"/>
              <w:ind w:left="0" w:right="0" w:firstLine="30"/>
              <w:jc w:val="left"/>
              <w:rPr/>
            </w:pPr>
            <w:r>
              <w:rPr/>
              <w:t> </w:t>
            </w:r>
          </w:p>
        </w:tc>
        <w:tc>
          <w:tcPr>
            <w:tcW w:w="8291" w:type="dxa"/>
            <w:gridSpan w:val="2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1914"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Unsecured short-term consumer loans:</w:t>
            </w:r>
          </w:p>
        </w:tc>
        <w:tc>
          <w:tcPr>
            <w:tcW w:w="960"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1084"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1073"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931" w:type="dxa"/>
            <w:gridSpan w:val="3"/>
            <w:tcBorders/>
            <w:shd w:fill="CCEEFF" w:val="clear"/>
            <w:vAlign w:val="center"/>
          </w:tcPr>
          <w:p>
            <w:pPr>
              <w:pStyle w:val="TableContents"/>
              <w:spacing w:before="0" w:after="0"/>
              <w:ind w:left="0" w:right="0" w:firstLine="30"/>
              <w:rPr/>
            </w:pPr>
            <w:r>
              <w:rPr/>
              <w:t> </w:t>
            </w:r>
          </w:p>
        </w:tc>
        <w:tc>
          <w:tcPr>
            <w:tcW w:w="193" w:type="dxa"/>
            <w:tcBorders/>
            <w:shd w:fill="CCEEFF" w:val="clear"/>
            <w:vAlign w:val="center"/>
          </w:tcPr>
          <w:p>
            <w:pPr>
              <w:pStyle w:val="TableContents"/>
              <w:spacing w:before="0" w:after="0"/>
              <w:ind w:left="0" w:right="0" w:firstLine="30"/>
              <w:rPr/>
            </w:pPr>
            <w:r>
              <w:rPr/>
              <w:t> </w:t>
            </w:r>
          </w:p>
        </w:tc>
        <w:tc>
          <w:tcPr>
            <w:tcW w:w="1132"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990"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1358" w:type="dxa"/>
            <w:gridSpan w:val="3"/>
            <w:tcBorders/>
            <w:shd w:fill="CCEEFF" w:val="clear"/>
            <w:vAlign w:val="center"/>
          </w:tcPr>
          <w:p>
            <w:pPr>
              <w:pStyle w:val="TableContents"/>
              <w:spacing w:before="0" w:after="0"/>
              <w:ind w:left="0" w:right="0" w:firstLine="420"/>
              <w:rPr/>
            </w:pPr>
            <w:r>
              <w:rPr/>
              <w:t> </w:t>
            </w:r>
          </w:p>
        </w:tc>
      </w:tr>
      <w:tr>
        <w:trPr/>
        <w:tc>
          <w:tcPr>
            <w:tcW w:w="191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Year ended September 30, 2013</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2" w:type="dxa"/>
            <w:tcBorders/>
            <w:shd w:fill="auto" w:val="clear"/>
            <w:vAlign w:val="center"/>
          </w:tcPr>
          <w:p>
            <w:pPr>
              <w:pStyle w:val="TableContents"/>
              <w:spacing w:before="0" w:after="0"/>
              <w:jc w:val="right"/>
              <w:rPr>
                <w:rFonts w:ascii="inherit" w:hAnsi="inherit"/>
                <w:sz w:val="15"/>
              </w:rPr>
            </w:pPr>
            <w:r>
              <w:rPr>
                <w:rFonts w:ascii="inherit" w:hAnsi="inherit"/>
                <w:sz w:val="15"/>
              </w:rPr>
              <w:t>2,390</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1" w:type="dxa"/>
            <w:tcBorders/>
            <w:shd w:fill="auto" w:val="clear"/>
            <w:vAlign w:val="center"/>
          </w:tcPr>
          <w:p>
            <w:pPr>
              <w:pStyle w:val="TableContents"/>
              <w:spacing w:before="0" w:after="0"/>
              <w:jc w:val="right"/>
              <w:rPr>
                <w:rFonts w:ascii="inherit" w:hAnsi="inherit"/>
                <w:sz w:val="15"/>
              </w:rPr>
            </w:pPr>
            <w:r>
              <w:rPr>
                <w:rFonts w:ascii="inherit" w:hAnsi="inherit"/>
                <w:sz w:val="15"/>
              </w:rPr>
              <w:t>(47,178</w:t>
            </w:r>
          </w:p>
        </w:tc>
        <w:tc>
          <w:tcPr>
            <w:tcW w:w="1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4" w:type="dxa"/>
            <w:tcBorders/>
            <w:shd w:fill="auto" w:val="clear"/>
            <w:vAlign w:val="center"/>
          </w:tcPr>
          <w:p>
            <w:pPr>
              <w:pStyle w:val="TableContents"/>
              <w:spacing w:before="0" w:after="0"/>
              <w:ind w:left="0" w:right="0" w:firstLine="30"/>
              <w:rPr/>
            </w:pPr>
            <w:r>
              <w:rPr/>
              <w:t> </w:t>
            </w:r>
          </w:p>
        </w:tc>
        <w:tc>
          <w:tcPr>
            <w:tcW w:w="16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2" w:type="dxa"/>
            <w:tcBorders/>
            <w:shd w:fill="auto" w:val="clear"/>
            <w:vAlign w:val="center"/>
          </w:tcPr>
          <w:p>
            <w:pPr>
              <w:pStyle w:val="TableContents"/>
              <w:spacing w:before="0" w:after="0"/>
              <w:jc w:val="right"/>
              <w:rPr>
                <w:rFonts w:ascii="inherit" w:hAnsi="inherit"/>
                <w:sz w:val="15"/>
              </w:rPr>
            </w:pPr>
            <w:r>
              <w:rPr>
                <w:rFonts w:ascii="inherit" w:hAnsi="inherit"/>
                <w:sz w:val="15"/>
              </w:rPr>
              <w:t>21,074</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65" w:type="dxa"/>
            <w:tcBorders/>
            <w:shd w:fill="auto" w:val="clear"/>
            <w:vAlign w:val="center"/>
          </w:tcPr>
          <w:p>
            <w:pPr>
              <w:pStyle w:val="TableContents"/>
              <w:spacing w:before="0" w:after="0"/>
              <w:jc w:val="right"/>
              <w:rPr>
                <w:rFonts w:ascii="inherit" w:hAnsi="inherit"/>
                <w:sz w:val="15"/>
              </w:rPr>
            </w:pPr>
            <w:r>
              <w:rPr>
                <w:rFonts w:ascii="inherit" w:hAnsi="inherit"/>
                <w:sz w:val="15"/>
              </w:rPr>
              <w:t>26,651</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3"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2" w:type="dxa"/>
            <w:tcBorders/>
            <w:shd w:fill="auto" w:val="clear"/>
            <w:vAlign w:val="center"/>
          </w:tcPr>
          <w:p>
            <w:pPr>
              <w:pStyle w:val="TableContents"/>
              <w:spacing w:before="0" w:after="0"/>
              <w:jc w:val="right"/>
              <w:rPr>
                <w:rFonts w:ascii="inherit" w:hAnsi="inherit"/>
                <w:sz w:val="15"/>
              </w:rPr>
            </w:pPr>
            <w:r>
              <w:rPr>
                <w:rFonts w:ascii="inherit" w:hAnsi="inherit"/>
                <w:sz w:val="15"/>
              </w:rPr>
              <w:t>(9</w:t>
            </w:r>
          </w:p>
        </w:tc>
        <w:tc>
          <w:tcPr>
            <w:tcW w:w="22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4"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2" w:type="dxa"/>
            <w:tcBorders/>
            <w:shd w:fill="auto" w:val="clear"/>
            <w:vAlign w:val="center"/>
          </w:tcPr>
          <w:p>
            <w:pPr>
              <w:pStyle w:val="TableContents"/>
              <w:spacing w:before="0" w:after="0"/>
              <w:jc w:val="right"/>
              <w:rPr>
                <w:rFonts w:ascii="inherit" w:hAnsi="inherit"/>
                <w:sz w:val="15"/>
              </w:rPr>
            </w:pPr>
            <w:r>
              <w:rPr>
                <w:rFonts w:ascii="inherit" w:hAnsi="inherit"/>
                <w:sz w:val="15"/>
              </w:rPr>
              <w:t>2,928</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76" w:type="dxa"/>
            <w:tcBorders/>
            <w:shd w:fill="auto" w:val="clear"/>
            <w:vAlign w:val="center"/>
          </w:tcPr>
          <w:p>
            <w:pPr>
              <w:pStyle w:val="TableContents"/>
              <w:spacing w:before="0" w:after="0"/>
              <w:jc w:val="right"/>
              <w:rPr>
                <w:rFonts w:ascii="inherit" w:hAnsi="inherit"/>
                <w:sz w:val="15"/>
              </w:rPr>
            </w:pPr>
            <w:r>
              <w:rPr>
                <w:rFonts w:ascii="inherit" w:hAnsi="inherit"/>
                <w:sz w:val="15"/>
              </w:rPr>
              <w:t>22,289</w:t>
            </w:r>
          </w:p>
        </w:tc>
        <w:tc>
          <w:tcPr>
            <w:tcW w:w="45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1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Year ended September 30, 2012</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2" w:type="dxa"/>
            <w:tcBorders/>
            <w:shd w:fill="CCEEFF" w:val="clear"/>
            <w:vAlign w:val="center"/>
          </w:tcPr>
          <w:p>
            <w:pPr>
              <w:pStyle w:val="TableContents"/>
              <w:spacing w:before="0" w:after="0"/>
              <w:jc w:val="right"/>
              <w:rPr>
                <w:rFonts w:ascii="inherit" w:hAnsi="inherit"/>
                <w:sz w:val="15"/>
              </w:rPr>
            </w:pPr>
            <w:r>
              <w:rPr>
                <w:rFonts w:ascii="inherit" w:hAnsi="inherit"/>
                <w:sz w:val="15"/>
              </w:rPr>
              <w:t>1,727</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91" w:type="dxa"/>
            <w:tcBorders/>
            <w:shd w:fill="CCEEFF" w:val="clear"/>
            <w:vAlign w:val="center"/>
          </w:tcPr>
          <w:p>
            <w:pPr>
              <w:pStyle w:val="TableContents"/>
              <w:spacing w:before="0" w:after="0"/>
              <w:jc w:val="right"/>
              <w:rPr>
                <w:rFonts w:ascii="inherit" w:hAnsi="inherit"/>
                <w:sz w:val="15"/>
              </w:rPr>
            </w:pPr>
            <w:r>
              <w:rPr>
                <w:rFonts w:ascii="inherit" w:hAnsi="inherit"/>
                <w:sz w:val="15"/>
              </w:rPr>
              <w:t>(26,564</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4"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42" w:type="dxa"/>
            <w:tcBorders/>
            <w:shd w:fill="CCEEFF" w:val="clear"/>
            <w:vAlign w:val="center"/>
          </w:tcPr>
          <w:p>
            <w:pPr>
              <w:pStyle w:val="TableContents"/>
              <w:spacing w:before="0" w:after="0"/>
              <w:jc w:val="right"/>
              <w:rPr>
                <w:rFonts w:ascii="inherit" w:hAnsi="inherit"/>
                <w:sz w:val="15"/>
              </w:rPr>
            </w:pPr>
            <w:r>
              <w:rPr>
                <w:rFonts w:ascii="inherit" w:hAnsi="inherit"/>
                <w:sz w:val="15"/>
              </w:rPr>
              <w:t>12,176</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65" w:type="dxa"/>
            <w:tcBorders/>
            <w:shd w:fill="CCEEFF" w:val="clear"/>
            <w:vAlign w:val="center"/>
          </w:tcPr>
          <w:p>
            <w:pPr>
              <w:pStyle w:val="TableContents"/>
              <w:spacing w:before="0" w:after="0"/>
              <w:jc w:val="right"/>
              <w:rPr>
                <w:rFonts w:ascii="inherit" w:hAnsi="inherit"/>
                <w:sz w:val="15"/>
              </w:rPr>
            </w:pPr>
            <w:r>
              <w:rPr>
                <w:rFonts w:ascii="inherit" w:hAnsi="inherit"/>
                <w:sz w:val="15"/>
              </w:rPr>
              <w:t>15,034</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3"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2" w:type="dxa"/>
            <w:tcBorders/>
            <w:shd w:fill="CCEEFF" w:val="clear"/>
            <w:vAlign w:val="center"/>
          </w:tcPr>
          <w:p>
            <w:pPr>
              <w:pStyle w:val="TableContents"/>
              <w:spacing w:before="0" w:after="0"/>
              <w:jc w:val="right"/>
              <w:rPr>
                <w:rFonts w:ascii="inherit" w:hAnsi="inherit"/>
                <w:sz w:val="15"/>
              </w:rPr>
            </w:pPr>
            <w:r>
              <w:rPr>
                <w:rFonts w:ascii="inherit" w:hAnsi="inherit"/>
                <w:sz w:val="15"/>
              </w:rPr>
              <w:t>17</w:t>
            </w:r>
          </w:p>
        </w:tc>
        <w:tc>
          <w:tcPr>
            <w:tcW w:w="2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2" w:type="dxa"/>
            <w:tcBorders/>
            <w:shd w:fill="CCEEFF" w:val="clear"/>
            <w:vAlign w:val="center"/>
          </w:tcPr>
          <w:p>
            <w:pPr>
              <w:pStyle w:val="TableContents"/>
              <w:spacing w:before="0" w:after="0"/>
              <w:jc w:val="right"/>
              <w:rPr>
                <w:rFonts w:ascii="inherit" w:hAnsi="inherit"/>
                <w:sz w:val="15"/>
              </w:rPr>
            </w:pPr>
            <w:r>
              <w:rPr>
                <w:rFonts w:ascii="inherit" w:hAnsi="inherit"/>
                <w:sz w:val="15"/>
              </w:rPr>
              <w:t>2,390</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76" w:type="dxa"/>
            <w:tcBorders/>
            <w:shd w:fill="CCEEFF" w:val="clear"/>
            <w:vAlign w:val="center"/>
          </w:tcPr>
          <w:p>
            <w:pPr>
              <w:pStyle w:val="TableContents"/>
              <w:spacing w:before="0" w:after="0"/>
              <w:jc w:val="right"/>
              <w:rPr>
                <w:rFonts w:ascii="inherit" w:hAnsi="inherit"/>
                <w:sz w:val="15"/>
              </w:rPr>
            </w:pPr>
            <w:r>
              <w:rPr>
                <w:rFonts w:ascii="inherit" w:hAnsi="inherit"/>
                <w:sz w:val="15"/>
              </w:rPr>
              <w:t>20,108</w:t>
            </w:r>
          </w:p>
        </w:tc>
        <w:tc>
          <w:tcPr>
            <w:tcW w:w="45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1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Year ended September 30, 2011</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2" w:type="dxa"/>
            <w:tcBorders/>
            <w:shd w:fill="auto" w:val="clear"/>
            <w:vAlign w:val="center"/>
          </w:tcPr>
          <w:p>
            <w:pPr>
              <w:pStyle w:val="TableContents"/>
              <w:spacing w:before="0" w:after="0"/>
              <w:jc w:val="right"/>
              <w:rPr>
                <w:rFonts w:ascii="inherit" w:hAnsi="inherit"/>
                <w:sz w:val="15"/>
              </w:rPr>
            </w:pPr>
            <w:r>
              <w:rPr>
                <w:rFonts w:ascii="inherit" w:hAnsi="inherit"/>
                <w:sz w:val="15"/>
              </w:rPr>
              <w:t>750</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1" w:type="dxa"/>
            <w:tcBorders/>
            <w:shd w:fill="auto" w:val="clear"/>
            <w:vAlign w:val="center"/>
          </w:tcPr>
          <w:p>
            <w:pPr>
              <w:pStyle w:val="TableContents"/>
              <w:spacing w:before="0" w:after="0"/>
              <w:jc w:val="right"/>
              <w:rPr>
                <w:rFonts w:ascii="inherit" w:hAnsi="inherit"/>
                <w:sz w:val="15"/>
              </w:rPr>
            </w:pPr>
            <w:r>
              <w:rPr>
                <w:rFonts w:ascii="inherit" w:hAnsi="inherit"/>
                <w:sz w:val="15"/>
              </w:rPr>
              <w:t>(18,043</w:t>
            </w:r>
          </w:p>
        </w:tc>
        <w:tc>
          <w:tcPr>
            <w:tcW w:w="1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4" w:type="dxa"/>
            <w:tcBorders/>
            <w:shd w:fill="auto" w:val="clear"/>
            <w:vAlign w:val="center"/>
          </w:tcPr>
          <w:p>
            <w:pPr>
              <w:pStyle w:val="TableContents"/>
              <w:spacing w:before="0" w:after="0"/>
              <w:ind w:left="0" w:right="0" w:firstLine="30"/>
              <w:rPr/>
            </w:pPr>
            <w:r>
              <w:rPr/>
              <w:t> </w:t>
            </w:r>
          </w:p>
        </w:tc>
        <w:tc>
          <w:tcPr>
            <w:tcW w:w="16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2" w:type="dxa"/>
            <w:tcBorders/>
            <w:shd w:fill="auto" w:val="clear"/>
            <w:vAlign w:val="center"/>
          </w:tcPr>
          <w:p>
            <w:pPr>
              <w:pStyle w:val="TableContents"/>
              <w:spacing w:before="0" w:after="0"/>
              <w:jc w:val="right"/>
              <w:rPr>
                <w:rFonts w:ascii="inherit" w:hAnsi="inherit"/>
                <w:sz w:val="15"/>
              </w:rPr>
            </w:pPr>
            <w:r>
              <w:rPr>
                <w:rFonts w:ascii="inherit" w:hAnsi="inherit"/>
                <w:sz w:val="15"/>
              </w:rPr>
              <w:t>6,349</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65" w:type="dxa"/>
            <w:tcBorders/>
            <w:shd w:fill="auto" w:val="clear"/>
            <w:vAlign w:val="center"/>
          </w:tcPr>
          <w:p>
            <w:pPr>
              <w:pStyle w:val="TableContents"/>
              <w:spacing w:before="0" w:after="0"/>
              <w:jc w:val="right"/>
              <w:rPr>
                <w:rFonts w:ascii="inherit" w:hAnsi="inherit"/>
                <w:sz w:val="15"/>
              </w:rPr>
            </w:pPr>
            <w:r>
              <w:rPr>
                <w:rFonts w:ascii="inherit" w:hAnsi="inherit"/>
                <w:sz w:val="15"/>
              </w:rPr>
              <w:t>12,671</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3"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2" w:type="dxa"/>
            <w:tcBorders/>
            <w:shd w:fill="auto" w:val="clear"/>
            <w:vAlign w:val="center"/>
          </w:tcPr>
          <w:p>
            <w:pPr>
              <w:pStyle w:val="TableContents"/>
              <w:spacing w:before="0" w:after="0"/>
              <w:jc w:val="right"/>
              <w:rPr/>
            </w:pPr>
            <w:r>
              <w:rPr/>
              <w:t>—</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2" w:type="dxa"/>
            <w:tcBorders/>
            <w:shd w:fill="auto" w:val="clear"/>
            <w:vAlign w:val="center"/>
          </w:tcPr>
          <w:p>
            <w:pPr>
              <w:pStyle w:val="TableContents"/>
              <w:spacing w:before="0" w:after="0"/>
              <w:jc w:val="right"/>
              <w:rPr>
                <w:rFonts w:ascii="inherit" w:hAnsi="inherit"/>
                <w:sz w:val="15"/>
              </w:rPr>
            </w:pPr>
            <w:r>
              <w:rPr>
                <w:rFonts w:ascii="inherit" w:hAnsi="inherit"/>
                <w:sz w:val="15"/>
              </w:rPr>
              <w:t>1,727</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76" w:type="dxa"/>
            <w:tcBorders/>
            <w:shd w:fill="auto" w:val="clear"/>
            <w:vAlign w:val="center"/>
          </w:tcPr>
          <w:p>
            <w:pPr>
              <w:pStyle w:val="TableContents"/>
              <w:spacing w:before="0" w:after="0"/>
              <w:jc w:val="right"/>
              <w:rPr>
                <w:rFonts w:ascii="inherit" w:hAnsi="inherit"/>
                <w:sz w:val="15"/>
              </w:rPr>
            </w:pPr>
            <w:r>
              <w:rPr>
                <w:rFonts w:ascii="inherit" w:hAnsi="inherit"/>
                <w:sz w:val="15"/>
              </w:rPr>
              <w:t>13,116</w:t>
            </w:r>
          </w:p>
        </w:tc>
        <w:tc>
          <w:tcPr>
            <w:tcW w:w="4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14"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Secured short-term consumer loans:</w:t>
            </w:r>
          </w:p>
        </w:tc>
        <w:tc>
          <w:tcPr>
            <w:tcW w:w="960"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1084"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1073"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931" w:type="dxa"/>
            <w:gridSpan w:val="3"/>
            <w:tcBorders/>
            <w:shd w:fill="CCEEFF" w:val="clear"/>
            <w:vAlign w:val="center"/>
          </w:tcPr>
          <w:p>
            <w:pPr>
              <w:pStyle w:val="TableContents"/>
              <w:spacing w:before="0" w:after="0"/>
              <w:ind w:left="0" w:right="0" w:firstLine="30"/>
              <w:rPr/>
            </w:pPr>
            <w:r>
              <w:rPr/>
              <w:t> </w:t>
            </w:r>
          </w:p>
        </w:tc>
        <w:tc>
          <w:tcPr>
            <w:tcW w:w="193" w:type="dxa"/>
            <w:tcBorders/>
            <w:shd w:fill="CCEEFF" w:val="clear"/>
            <w:vAlign w:val="center"/>
          </w:tcPr>
          <w:p>
            <w:pPr>
              <w:pStyle w:val="TableContents"/>
              <w:spacing w:before="0" w:after="0"/>
              <w:ind w:left="0" w:right="0" w:firstLine="30"/>
              <w:rPr/>
            </w:pPr>
            <w:r>
              <w:rPr/>
              <w:t> </w:t>
            </w:r>
          </w:p>
        </w:tc>
        <w:tc>
          <w:tcPr>
            <w:tcW w:w="1132"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990"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1358" w:type="dxa"/>
            <w:gridSpan w:val="3"/>
            <w:tcBorders/>
            <w:shd w:fill="CCEEFF" w:val="clear"/>
            <w:vAlign w:val="center"/>
          </w:tcPr>
          <w:p>
            <w:pPr>
              <w:pStyle w:val="TableContents"/>
              <w:spacing w:before="0" w:after="0"/>
              <w:ind w:left="0" w:right="0" w:firstLine="420"/>
              <w:rPr/>
            </w:pPr>
            <w:r>
              <w:rPr/>
              <w:t> </w:t>
            </w:r>
          </w:p>
        </w:tc>
      </w:tr>
      <w:tr>
        <w:trPr/>
        <w:tc>
          <w:tcPr>
            <w:tcW w:w="191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Year ended September 30, 2013</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2" w:type="dxa"/>
            <w:tcBorders/>
            <w:shd w:fill="auto" w:val="clear"/>
            <w:vAlign w:val="center"/>
          </w:tcPr>
          <w:p>
            <w:pPr>
              <w:pStyle w:val="TableContents"/>
              <w:spacing w:before="0" w:after="0"/>
              <w:jc w:val="right"/>
              <w:rPr>
                <w:rFonts w:ascii="inherit" w:hAnsi="inherit"/>
                <w:sz w:val="15"/>
              </w:rPr>
            </w:pPr>
            <w:r>
              <w:rPr>
                <w:rFonts w:ascii="inherit" w:hAnsi="inherit"/>
                <w:sz w:val="15"/>
              </w:rPr>
              <w:t>942</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1" w:type="dxa"/>
            <w:tcBorders/>
            <w:shd w:fill="auto" w:val="clear"/>
            <w:vAlign w:val="center"/>
          </w:tcPr>
          <w:p>
            <w:pPr>
              <w:pStyle w:val="TableContents"/>
              <w:spacing w:before="0" w:after="0"/>
              <w:jc w:val="right"/>
              <w:rPr>
                <w:rFonts w:ascii="inherit" w:hAnsi="inherit"/>
                <w:sz w:val="15"/>
              </w:rPr>
            </w:pPr>
            <w:r>
              <w:rPr>
                <w:rFonts w:ascii="inherit" w:hAnsi="inherit"/>
                <w:sz w:val="15"/>
              </w:rPr>
              <w:t>(43,768</w:t>
            </w:r>
          </w:p>
        </w:tc>
        <w:tc>
          <w:tcPr>
            <w:tcW w:w="1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4" w:type="dxa"/>
            <w:tcBorders/>
            <w:shd w:fill="auto" w:val="clear"/>
            <w:vAlign w:val="center"/>
          </w:tcPr>
          <w:p>
            <w:pPr>
              <w:pStyle w:val="TableContents"/>
              <w:spacing w:before="0" w:after="0"/>
              <w:ind w:left="0" w:right="0" w:firstLine="30"/>
              <w:rPr/>
            </w:pPr>
            <w:r>
              <w:rPr/>
              <w:t> </w:t>
            </w:r>
          </w:p>
        </w:tc>
        <w:tc>
          <w:tcPr>
            <w:tcW w:w="16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2" w:type="dxa"/>
            <w:tcBorders/>
            <w:shd w:fill="auto" w:val="clear"/>
            <w:vAlign w:val="center"/>
          </w:tcPr>
          <w:p>
            <w:pPr>
              <w:pStyle w:val="TableContents"/>
              <w:spacing w:before="0" w:after="0"/>
              <w:jc w:val="right"/>
              <w:rPr>
                <w:rFonts w:ascii="inherit" w:hAnsi="inherit"/>
                <w:sz w:val="15"/>
              </w:rPr>
            </w:pPr>
            <w:r>
              <w:rPr>
                <w:rFonts w:ascii="inherit" w:hAnsi="inherit"/>
                <w:sz w:val="15"/>
              </w:rPr>
              <w:t>40,226</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65" w:type="dxa"/>
            <w:tcBorders/>
            <w:shd w:fill="auto" w:val="clear"/>
            <w:vAlign w:val="center"/>
          </w:tcPr>
          <w:p>
            <w:pPr>
              <w:pStyle w:val="TableContents"/>
              <w:spacing w:before="0" w:after="0"/>
              <w:jc w:val="right"/>
              <w:rPr>
                <w:rFonts w:ascii="inherit" w:hAnsi="inherit"/>
                <w:sz w:val="15"/>
              </w:rPr>
            </w:pPr>
            <w:r>
              <w:rPr>
                <w:rFonts w:ascii="inherit" w:hAnsi="inherit"/>
                <w:sz w:val="15"/>
              </w:rPr>
              <w:t>4,404</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3"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2" w:type="dxa"/>
            <w:tcBorders/>
            <w:shd w:fill="auto" w:val="clear"/>
            <w:vAlign w:val="center"/>
          </w:tcPr>
          <w:p>
            <w:pPr>
              <w:pStyle w:val="TableContents"/>
              <w:spacing w:before="0" w:after="0"/>
              <w:jc w:val="right"/>
              <w:rPr/>
            </w:pPr>
            <w:r>
              <w:rPr/>
              <w:t>—</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2" w:type="dxa"/>
            <w:tcBorders/>
            <w:shd w:fill="auto" w:val="clear"/>
            <w:vAlign w:val="center"/>
          </w:tcPr>
          <w:p>
            <w:pPr>
              <w:pStyle w:val="TableContents"/>
              <w:spacing w:before="0" w:after="0"/>
              <w:jc w:val="right"/>
              <w:rPr>
                <w:rFonts w:ascii="inherit" w:hAnsi="inherit"/>
                <w:sz w:val="15"/>
              </w:rPr>
            </w:pPr>
            <w:r>
              <w:rPr>
                <w:rFonts w:ascii="inherit" w:hAnsi="inherit"/>
                <w:sz w:val="15"/>
              </w:rPr>
              <w:t>1,804</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76" w:type="dxa"/>
            <w:tcBorders/>
            <w:shd w:fill="auto" w:val="clear"/>
            <w:vAlign w:val="center"/>
          </w:tcPr>
          <w:p>
            <w:pPr>
              <w:pStyle w:val="TableContents"/>
              <w:spacing w:before="0" w:after="0"/>
              <w:jc w:val="right"/>
              <w:rPr>
                <w:rFonts w:ascii="inherit" w:hAnsi="inherit"/>
                <w:sz w:val="15"/>
              </w:rPr>
            </w:pPr>
            <w:r>
              <w:rPr>
                <w:rFonts w:ascii="inherit" w:hAnsi="inherit"/>
                <w:sz w:val="15"/>
              </w:rPr>
              <w:t>9,789</w:t>
            </w:r>
          </w:p>
        </w:tc>
        <w:tc>
          <w:tcPr>
            <w:tcW w:w="45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1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Year ended September 30, 2012</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2" w:type="dxa"/>
            <w:tcBorders/>
            <w:shd w:fill="CCEEFF" w:val="clear"/>
            <w:vAlign w:val="center"/>
          </w:tcPr>
          <w:p>
            <w:pPr>
              <w:pStyle w:val="TableContents"/>
              <w:spacing w:before="0" w:after="0"/>
              <w:jc w:val="right"/>
              <w:rPr>
                <w:rFonts w:ascii="inherit" w:hAnsi="inherit"/>
                <w:sz w:val="15"/>
              </w:rPr>
            </w:pPr>
            <w:r>
              <w:rPr>
                <w:rFonts w:ascii="inherit" w:hAnsi="inherit"/>
                <w:sz w:val="15"/>
              </w:rPr>
              <w:t>538</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91" w:type="dxa"/>
            <w:tcBorders/>
            <w:shd w:fill="CCEEFF" w:val="clear"/>
            <w:vAlign w:val="center"/>
          </w:tcPr>
          <w:p>
            <w:pPr>
              <w:pStyle w:val="TableContents"/>
              <w:spacing w:before="0" w:after="0"/>
              <w:jc w:val="right"/>
              <w:rPr>
                <w:rFonts w:ascii="inherit" w:hAnsi="inherit"/>
                <w:sz w:val="15"/>
              </w:rPr>
            </w:pPr>
            <w:r>
              <w:rPr>
                <w:rFonts w:ascii="inherit" w:hAnsi="inherit"/>
                <w:sz w:val="15"/>
              </w:rPr>
              <w:t>(11,295</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4"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42" w:type="dxa"/>
            <w:tcBorders/>
            <w:shd w:fill="CCEEFF" w:val="clear"/>
            <w:vAlign w:val="center"/>
          </w:tcPr>
          <w:p>
            <w:pPr>
              <w:pStyle w:val="TableContents"/>
              <w:spacing w:before="0" w:after="0"/>
              <w:jc w:val="right"/>
              <w:rPr>
                <w:rFonts w:ascii="inherit" w:hAnsi="inherit"/>
                <w:sz w:val="15"/>
              </w:rPr>
            </w:pPr>
            <w:r>
              <w:rPr>
                <w:rFonts w:ascii="inherit" w:hAnsi="inherit"/>
                <w:sz w:val="15"/>
              </w:rPr>
              <w:t>9,087</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65" w:type="dxa"/>
            <w:tcBorders/>
            <w:shd w:fill="CCEEFF" w:val="clear"/>
            <w:vAlign w:val="center"/>
          </w:tcPr>
          <w:p>
            <w:pPr>
              <w:pStyle w:val="TableContents"/>
              <w:spacing w:before="0" w:after="0"/>
              <w:jc w:val="right"/>
              <w:rPr>
                <w:rFonts w:ascii="inherit" w:hAnsi="inherit"/>
                <w:sz w:val="15"/>
              </w:rPr>
            </w:pPr>
            <w:r>
              <w:rPr>
                <w:rFonts w:ascii="inherit" w:hAnsi="inherit"/>
                <w:sz w:val="15"/>
              </w:rPr>
              <w:t>2,612</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3"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2" w:type="dxa"/>
            <w:tcBorders/>
            <w:shd w:fill="CCEEFF" w:val="clear"/>
            <w:vAlign w:val="center"/>
          </w:tcPr>
          <w:p>
            <w:pPr>
              <w:pStyle w:val="TableContents"/>
              <w:spacing w:before="0" w:after="0"/>
              <w:jc w:val="right"/>
              <w:rPr/>
            </w:pPr>
            <w:r>
              <w:rPr/>
              <w:t>—</w:t>
            </w:r>
          </w:p>
        </w:tc>
        <w:tc>
          <w:tcPr>
            <w:tcW w:w="2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2" w:type="dxa"/>
            <w:tcBorders/>
            <w:shd w:fill="CCEEFF" w:val="clear"/>
            <w:vAlign w:val="center"/>
          </w:tcPr>
          <w:p>
            <w:pPr>
              <w:pStyle w:val="TableContents"/>
              <w:spacing w:before="0" w:after="0"/>
              <w:jc w:val="right"/>
              <w:rPr>
                <w:rFonts w:ascii="inherit" w:hAnsi="inherit"/>
                <w:sz w:val="15"/>
              </w:rPr>
            </w:pPr>
            <w:r>
              <w:rPr>
                <w:rFonts w:ascii="inherit" w:hAnsi="inherit"/>
                <w:sz w:val="15"/>
              </w:rPr>
              <w:t>942</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76" w:type="dxa"/>
            <w:tcBorders/>
            <w:shd w:fill="CCEEFF" w:val="clear"/>
            <w:vAlign w:val="center"/>
          </w:tcPr>
          <w:p>
            <w:pPr>
              <w:pStyle w:val="TableContents"/>
              <w:spacing w:before="0" w:after="0"/>
              <w:jc w:val="right"/>
              <w:rPr>
                <w:rFonts w:ascii="inherit" w:hAnsi="inherit"/>
                <w:sz w:val="15"/>
              </w:rPr>
            </w:pPr>
            <w:r>
              <w:rPr>
                <w:rFonts w:ascii="inherit" w:hAnsi="inherit"/>
                <w:sz w:val="15"/>
              </w:rPr>
              <w:t>5,951</w:t>
            </w:r>
          </w:p>
        </w:tc>
        <w:tc>
          <w:tcPr>
            <w:tcW w:w="45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1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Year ended September 30, 2011</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2" w:type="dxa"/>
            <w:tcBorders/>
            <w:shd w:fill="auto" w:val="clear"/>
            <w:vAlign w:val="center"/>
          </w:tcPr>
          <w:p>
            <w:pPr>
              <w:pStyle w:val="TableContents"/>
              <w:spacing w:before="0" w:after="0"/>
              <w:jc w:val="right"/>
              <w:rPr>
                <w:rFonts w:ascii="inherit" w:hAnsi="inherit"/>
                <w:sz w:val="15"/>
              </w:rPr>
            </w:pPr>
            <w:r>
              <w:rPr>
                <w:rFonts w:ascii="inherit" w:hAnsi="inherit"/>
                <w:sz w:val="15"/>
              </w:rPr>
              <w:t>1,137</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1" w:type="dxa"/>
            <w:tcBorders/>
            <w:shd w:fill="auto" w:val="clear"/>
            <w:vAlign w:val="center"/>
          </w:tcPr>
          <w:p>
            <w:pPr>
              <w:pStyle w:val="TableContents"/>
              <w:spacing w:before="0" w:after="0"/>
              <w:jc w:val="right"/>
              <w:rPr>
                <w:rFonts w:ascii="inherit" w:hAnsi="inherit"/>
                <w:sz w:val="15"/>
              </w:rPr>
            </w:pPr>
            <w:r>
              <w:rPr>
                <w:rFonts w:ascii="inherit" w:hAnsi="inherit"/>
                <w:sz w:val="15"/>
              </w:rPr>
              <w:t>(12,616</w:t>
            </w:r>
          </w:p>
        </w:tc>
        <w:tc>
          <w:tcPr>
            <w:tcW w:w="1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4" w:type="dxa"/>
            <w:tcBorders/>
            <w:shd w:fill="auto" w:val="clear"/>
            <w:vAlign w:val="center"/>
          </w:tcPr>
          <w:p>
            <w:pPr>
              <w:pStyle w:val="TableContents"/>
              <w:spacing w:before="0" w:after="0"/>
              <w:ind w:left="0" w:right="0" w:firstLine="30"/>
              <w:rPr/>
            </w:pPr>
            <w:r>
              <w:rPr/>
              <w:t> </w:t>
            </w:r>
          </w:p>
        </w:tc>
        <w:tc>
          <w:tcPr>
            <w:tcW w:w="16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2" w:type="dxa"/>
            <w:tcBorders/>
            <w:shd w:fill="auto" w:val="clear"/>
            <w:vAlign w:val="center"/>
          </w:tcPr>
          <w:p>
            <w:pPr>
              <w:pStyle w:val="TableContents"/>
              <w:spacing w:before="0" w:after="0"/>
              <w:jc w:val="right"/>
              <w:rPr>
                <w:rFonts w:ascii="inherit" w:hAnsi="inherit"/>
                <w:sz w:val="15"/>
              </w:rPr>
            </w:pPr>
            <w:r>
              <w:rPr>
                <w:rFonts w:ascii="inherit" w:hAnsi="inherit"/>
                <w:sz w:val="15"/>
              </w:rPr>
              <w:t>10,074</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65" w:type="dxa"/>
            <w:tcBorders/>
            <w:shd w:fill="auto" w:val="clear"/>
            <w:vAlign w:val="center"/>
          </w:tcPr>
          <w:p>
            <w:pPr>
              <w:pStyle w:val="TableContents"/>
              <w:spacing w:before="0" w:after="0"/>
              <w:jc w:val="right"/>
              <w:rPr>
                <w:rFonts w:ascii="inherit" w:hAnsi="inherit"/>
                <w:sz w:val="15"/>
              </w:rPr>
            </w:pPr>
            <w:r>
              <w:rPr>
                <w:rFonts w:ascii="inherit" w:hAnsi="inherit"/>
                <w:sz w:val="15"/>
              </w:rPr>
              <w:t>1,943</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3"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2" w:type="dxa"/>
            <w:tcBorders/>
            <w:shd w:fill="auto" w:val="clear"/>
            <w:vAlign w:val="center"/>
          </w:tcPr>
          <w:p>
            <w:pPr>
              <w:pStyle w:val="TableContents"/>
              <w:spacing w:before="0" w:after="0"/>
              <w:jc w:val="right"/>
              <w:rPr/>
            </w:pPr>
            <w:r>
              <w:rPr/>
              <w:t>—</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2" w:type="dxa"/>
            <w:tcBorders/>
            <w:shd w:fill="auto" w:val="clear"/>
            <w:vAlign w:val="center"/>
          </w:tcPr>
          <w:p>
            <w:pPr>
              <w:pStyle w:val="TableContents"/>
              <w:spacing w:before="0" w:after="0"/>
              <w:jc w:val="right"/>
              <w:rPr>
                <w:rFonts w:ascii="inherit" w:hAnsi="inherit"/>
                <w:sz w:val="15"/>
              </w:rPr>
            </w:pPr>
            <w:r>
              <w:rPr>
                <w:rFonts w:ascii="inherit" w:hAnsi="inherit"/>
                <w:sz w:val="15"/>
              </w:rPr>
              <w:t>538</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76" w:type="dxa"/>
            <w:tcBorders/>
            <w:shd w:fill="auto" w:val="clear"/>
            <w:vAlign w:val="center"/>
          </w:tcPr>
          <w:p>
            <w:pPr>
              <w:pStyle w:val="TableContents"/>
              <w:spacing w:before="0" w:after="0"/>
              <w:jc w:val="right"/>
              <w:rPr>
                <w:rFonts w:ascii="inherit" w:hAnsi="inherit"/>
                <w:sz w:val="15"/>
              </w:rPr>
            </w:pPr>
            <w:r>
              <w:rPr>
                <w:rFonts w:ascii="inherit" w:hAnsi="inherit"/>
                <w:sz w:val="15"/>
              </w:rPr>
              <w:t>3,760</w:t>
            </w:r>
          </w:p>
        </w:tc>
        <w:tc>
          <w:tcPr>
            <w:tcW w:w="4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14"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*Unsecured long-term consumer loans:</w:t>
            </w:r>
          </w:p>
        </w:tc>
        <w:tc>
          <w:tcPr>
            <w:tcW w:w="960"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1084"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1073"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931" w:type="dxa"/>
            <w:gridSpan w:val="3"/>
            <w:tcBorders/>
            <w:shd w:fill="CCEEFF" w:val="clear"/>
            <w:vAlign w:val="center"/>
          </w:tcPr>
          <w:p>
            <w:pPr>
              <w:pStyle w:val="TableContents"/>
              <w:spacing w:before="0" w:after="0"/>
              <w:ind w:left="0" w:right="0" w:firstLine="30"/>
              <w:rPr/>
            </w:pPr>
            <w:r>
              <w:rPr/>
              <w:t> </w:t>
            </w:r>
          </w:p>
        </w:tc>
        <w:tc>
          <w:tcPr>
            <w:tcW w:w="193" w:type="dxa"/>
            <w:tcBorders/>
            <w:shd w:fill="CCEEFF" w:val="clear"/>
            <w:vAlign w:val="center"/>
          </w:tcPr>
          <w:p>
            <w:pPr>
              <w:pStyle w:val="TableContents"/>
              <w:spacing w:before="0" w:after="0"/>
              <w:ind w:left="0" w:right="0" w:firstLine="30"/>
              <w:rPr/>
            </w:pPr>
            <w:r>
              <w:rPr/>
              <w:t> </w:t>
            </w:r>
          </w:p>
        </w:tc>
        <w:tc>
          <w:tcPr>
            <w:tcW w:w="1132"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990"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1358" w:type="dxa"/>
            <w:gridSpan w:val="3"/>
            <w:tcBorders/>
            <w:shd w:fill="CCEEFF" w:val="clear"/>
            <w:vAlign w:val="center"/>
          </w:tcPr>
          <w:p>
            <w:pPr>
              <w:pStyle w:val="TableContents"/>
              <w:spacing w:before="0" w:after="0"/>
              <w:ind w:left="0" w:right="0" w:firstLine="420"/>
              <w:rPr/>
            </w:pPr>
            <w:r>
              <w:rPr/>
              <w:t> </w:t>
            </w:r>
          </w:p>
        </w:tc>
      </w:tr>
      <w:tr>
        <w:trPr/>
        <w:tc>
          <w:tcPr>
            <w:tcW w:w="191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Year ended September 30, 2013</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2" w:type="dxa"/>
            <w:tcBorders/>
            <w:shd w:fill="auto" w:val="clear"/>
            <w:vAlign w:val="center"/>
          </w:tcPr>
          <w:p>
            <w:pPr>
              <w:pStyle w:val="TableContents"/>
              <w:spacing w:before="0" w:after="0"/>
              <w:jc w:val="right"/>
              <w:rPr>
                <w:rFonts w:ascii="inherit" w:hAnsi="inherit"/>
                <w:sz w:val="15"/>
              </w:rPr>
            </w:pPr>
            <w:r>
              <w:rPr>
                <w:rFonts w:ascii="inherit" w:hAnsi="inherit"/>
                <w:sz w:val="15"/>
              </w:rPr>
              <w:t>623</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1" w:type="dxa"/>
            <w:tcBorders/>
            <w:shd w:fill="auto" w:val="clear"/>
            <w:vAlign w:val="center"/>
          </w:tcPr>
          <w:p>
            <w:pPr>
              <w:pStyle w:val="TableContents"/>
              <w:spacing w:before="0" w:after="0"/>
              <w:jc w:val="right"/>
              <w:rPr>
                <w:rFonts w:ascii="inherit" w:hAnsi="inherit"/>
                <w:sz w:val="15"/>
              </w:rPr>
            </w:pPr>
            <w:r>
              <w:rPr>
                <w:rFonts w:ascii="inherit" w:hAnsi="inherit"/>
                <w:sz w:val="15"/>
              </w:rPr>
              <w:t>(2,651</w:t>
            </w:r>
          </w:p>
        </w:tc>
        <w:tc>
          <w:tcPr>
            <w:tcW w:w="1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4" w:type="dxa"/>
            <w:tcBorders/>
            <w:shd w:fill="auto" w:val="clear"/>
            <w:vAlign w:val="center"/>
          </w:tcPr>
          <w:p>
            <w:pPr>
              <w:pStyle w:val="TableContents"/>
              <w:spacing w:before="0" w:after="0"/>
              <w:ind w:left="0" w:right="0" w:firstLine="30"/>
              <w:rPr/>
            </w:pPr>
            <w:r>
              <w:rPr/>
              <w:t> </w:t>
            </w:r>
          </w:p>
        </w:tc>
        <w:tc>
          <w:tcPr>
            <w:tcW w:w="16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2" w:type="dxa"/>
            <w:tcBorders/>
            <w:shd w:fill="auto" w:val="clear"/>
            <w:vAlign w:val="center"/>
          </w:tcPr>
          <w:p>
            <w:pPr>
              <w:pStyle w:val="TableContents"/>
              <w:spacing w:before="0" w:after="0"/>
              <w:jc w:val="right"/>
              <w:rPr>
                <w:rFonts w:ascii="inherit" w:hAnsi="inherit"/>
                <w:sz w:val="15"/>
              </w:rPr>
            </w:pPr>
            <w:r>
              <w:rPr>
                <w:rFonts w:ascii="inherit" w:hAnsi="inherit"/>
                <w:sz w:val="15"/>
              </w:rPr>
              <w:t>3,151</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65" w:type="dxa"/>
            <w:tcBorders/>
            <w:shd w:fill="auto" w:val="clear"/>
            <w:vAlign w:val="center"/>
          </w:tcPr>
          <w:p>
            <w:pPr>
              <w:pStyle w:val="TableContents"/>
              <w:spacing w:before="0" w:after="0"/>
              <w:jc w:val="right"/>
              <w:rPr>
                <w:rFonts w:ascii="inherit" w:hAnsi="inherit"/>
                <w:sz w:val="15"/>
              </w:rPr>
            </w:pPr>
            <w:r>
              <w:rPr>
                <w:rFonts w:ascii="inherit" w:hAnsi="inherit"/>
                <w:sz w:val="15"/>
              </w:rPr>
              <w:t>(124</w:t>
            </w:r>
          </w:p>
        </w:tc>
        <w:tc>
          <w:tcPr>
            <w:tcW w:w="13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93" w:type="dxa"/>
            <w:tcBorders/>
            <w:shd w:fill="auto" w:val="clear"/>
            <w:vAlign w:val="center"/>
          </w:tcPr>
          <w:p>
            <w:pPr>
              <w:pStyle w:val="TableContents"/>
              <w:spacing w:before="0" w:after="0"/>
              <w:ind w:left="0" w:right="0" w:firstLine="30"/>
              <w:jc w:val="right"/>
              <w:rPr>
                <w:rFonts w:ascii="inherit" w:hAnsi="inherit"/>
                <w:sz w:val="12"/>
              </w:rPr>
            </w:pPr>
            <w:r>
              <w:rPr>
                <w:rFonts w:ascii="inherit" w:hAnsi="inherit"/>
                <w:sz w:val="12"/>
              </w:rPr>
              <w:t>**</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2" w:type="dxa"/>
            <w:tcBorders/>
            <w:shd w:fill="auto" w:val="clear"/>
            <w:vAlign w:val="center"/>
          </w:tcPr>
          <w:p>
            <w:pPr>
              <w:pStyle w:val="TableContents"/>
              <w:spacing w:before="0" w:after="0"/>
              <w:jc w:val="right"/>
              <w:rPr>
                <w:rFonts w:ascii="inherit" w:hAnsi="inherit"/>
                <w:sz w:val="15"/>
              </w:rPr>
            </w:pPr>
            <w:r>
              <w:rPr>
                <w:rFonts w:ascii="inherit" w:hAnsi="inherit"/>
                <w:sz w:val="15"/>
              </w:rPr>
              <w:t>(27</w:t>
            </w:r>
          </w:p>
        </w:tc>
        <w:tc>
          <w:tcPr>
            <w:tcW w:w="22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4"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2" w:type="dxa"/>
            <w:tcBorders/>
            <w:shd w:fill="auto" w:val="clear"/>
            <w:vAlign w:val="center"/>
          </w:tcPr>
          <w:p>
            <w:pPr>
              <w:pStyle w:val="TableContents"/>
              <w:spacing w:before="0" w:after="0"/>
              <w:jc w:val="right"/>
              <w:rPr>
                <w:rFonts w:ascii="inherit" w:hAnsi="inherit"/>
                <w:sz w:val="15"/>
              </w:rPr>
            </w:pPr>
            <w:r>
              <w:rPr>
                <w:rFonts w:ascii="inherit" w:hAnsi="inherit"/>
                <w:sz w:val="15"/>
              </w:rPr>
              <w:t>972</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76" w:type="dxa"/>
            <w:tcBorders/>
            <w:shd w:fill="auto" w:val="clear"/>
            <w:vAlign w:val="center"/>
          </w:tcPr>
          <w:p>
            <w:pPr>
              <w:pStyle w:val="TableContents"/>
              <w:spacing w:before="0" w:after="0"/>
              <w:jc w:val="right"/>
              <w:rPr>
                <w:rFonts w:ascii="inherit" w:hAnsi="inherit"/>
                <w:sz w:val="15"/>
              </w:rPr>
            </w:pPr>
            <w:r>
              <w:rPr>
                <w:rFonts w:ascii="inherit" w:hAnsi="inherit"/>
                <w:sz w:val="15"/>
              </w:rPr>
              <w:t>108,132</w:t>
            </w:r>
          </w:p>
        </w:tc>
        <w:tc>
          <w:tcPr>
            <w:tcW w:w="45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1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Year ended September 30, 2012</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2" w:type="dxa"/>
            <w:tcBorders/>
            <w:shd w:fill="CCEEFF" w:val="clear"/>
            <w:vAlign w:val="center"/>
          </w:tcPr>
          <w:p>
            <w:pPr>
              <w:pStyle w:val="TableContents"/>
              <w:spacing w:before="0" w:after="0"/>
              <w:jc w:val="right"/>
              <w:rPr/>
            </w:pPr>
            <w:r>
              <w:rPr/>
              <w:t>—</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91" w:type="dxa"/>
            <w:tcBorders/>
            <w:shd w:fill="CCEEFF" w:val="clear"/>
            <w:vAlign w:val="center"/>
          </w:tcPr>
          <w:p>
            <w:pPr>
              <w:pStyle w:val="TableContents"/>
              <w:spacing w:before="0" w:after="0"/>
              <w:jc w:val="right"/>
              <w:rPr>
                <w:rFonts w:ascii="inherit" w:hAnsi="inherit"/>
                <w:sz w:val="15"/>
              </w:rPr>
            </w:pPr>
            <w:r>
              <w:rPr>
                <w:rFonts w:ascii="inherit" w:hAnsi="inherit"/>
                <w:sz w:val="15"/>
              </w:rPr>
              <w:t>(571</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4"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42" w:type="dxa"/>
            <w:tcBorders/>
            <w:shd w:fill="CCEEFF" w:val="clear"/>
            <w:vAlign w:val="center"/>
          </w:tcPr>
          <w:p>
            <w:pPr>
              <w:pStyle w:val="TableContents"/>
              <w:spacing w:before="0" w:after="0"/>
              <w:jc w:val="right"/>
              <w:rPr>
                <w:rFonts w:ascii="inherit" w:hAnsi="inherit"/>
                <w:sz w:val="15"/>
              </w:rPr>
            </w:pPr>
            <w:r>
              <w:rPr>
                <w:rFonts w:ascii="inherit" w:hAnsi="inherit"/>
                <w:sz w:val="15"/>
              </w:rPr>
              <w:t>896</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65" w:type="dxa"/>
            <w:tcBorders/>
            <w:shd w:fill="CCEEFF" w:val="clear"/>
            <w:vAlign w:val="center"/>
          </w:tcPr>
          <w:p>
            <w:pPr>
              <w:pStyle w:val="TableContents"/>
              <w:spacing w:before="0" w:after="0"/>
              <w:jc w:val="right"/>
              <w:rPr>
                <w:rFonts w:ascii="inherit" w:hAnsi="inherit"/>
                <w:sz w:val="15"/>
              </w:rPr>
            </w:pPr>
            <w:r>
              <w:rPr>
                <w:rFonts w:ascii="inherit" w:hAnsi="inherit"/>
                <w:sz w:val="15"/>
              </w:rPr>
              <w:t>285</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3"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2" w:type="dxa"/>
            <w:tcBorders/>
            <w:shd w:fill="CCEEFF" w:val="clear"/>
            <w:vAlign w:val="center"/>
          </w:tcPr>
          <w:p>
            <w:pPr>
              <w:pStyle w:val="TableContents"/>
              <w:spacing w:before="0" w:after="0"/>
              <w:jc w:val="right"/>
              <w:rPr>
                <w:rFonts w:ascii="inherit" w:hAnsi="inherit"/>
                <w:sz w:val="15"/>
              </w:rPr>
            </w:pPr>
            <w:r>
              <w:rPr>
                <w:rFonts w:ascii="inherit" w:hAnsi="inherit"/>
                <w:sz w:val="15"/>
              </w:rPr>
              <w:t>13</w:t>
            </w:r>
          </w:p>
        </w:tc>
        <w:tc>
          <w:tcPr>
            <w:tcW w:w="2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2" w:type="dxa"/>
            <w:tcBorders/>
            <w:shd w:fill="CCEEFF" w:val="clear"/>
            <w:vAlign w:val="center"/>
          </w:tcPr>
          <w:p>
            <w:pPr>
              <w:pStyle w:val="TableContents"/>
              <w:spacing w:before="0" w:after="0"/>
              <w:jc w:val="right"/>
              <w:rPr>
                <w:rFonts w:ascii="inherit" w:hAnsi="inherit"/>
                <w:sz w:val="15"/>
              </w:rPr>
            </w:pPr>
            <w:r>
              <w:rPr>
                <w:rFonts w:ascii="inherit" w:hAnsi="inherit"/>
                <w:sz w:val="15"/>
              </w:rPr>
              <w:t>623</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76" w:type="dxa"/>
            <w:tcBorders/>
            <w:shd w:fill="CCEEFF" w:val="clear"/>
            <w:vAlign w:val="center"/>
          </w:tcPr>
          <w:p>
            <w:pPr>
              <w:pStyle w:val="TableContents"/>
              <w:spacing w:before="0" w:after="0"/>
              <w:jc w:val="right"/>
              <w:rPr>
                <w:rFonts w:ascii="inherit" w:hAnsi="inherit"/>
                <w:sz w:val="15"/>
              </w:rPr>
            </w:pPr>
            <w:r>
              <w:rPr>
                <w:rFonts w:ascii="inherit" w:hAnsi="inherit"/>
                <w:sz w:val="15"/>
              </w:rPr>
              <w:t>74,045</w:t>
            </w:r>
          </w:p>
        </w:tc>
        <w:tc>
          <w:tcPr>
            <w:tcW w:w="450"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283"/>
              <w:rPr>
                <w:sz w:val="4"/>
                <w:szCs w:val="4"/>
              </w:rPr>
            </w:pPr>
            <w:r>
              <w:rPr>
                <w:sz w:val="4"/>
                <w:szCs w:val="4"/>
              </w:rPr>
            </w:r>
          </w:p>
        </w:tc>
        <w:tc>
          <w:tcPr>
            <w:tcW w:w="1000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lineRule="auto" w:line="288" w:before="0" w:after="0"/>
              <w:ind w:left="0" w:right="0" w:firstLine="90"/>
              <w:rPr>
                <w:rFonts w:ascii="inherit" w:hAnsi="inherit"/>
                <w:sz w:val="15"/>
              </w:rPr>
            </w:pPr>
            <w:r>
              <w:rPr>
                <w:rFonts w:ascii="inherit" w:hAnsi="inherit"/>
                <w:sz w:val="15"/>
              </w:rPr>
              <w:t>*</w:t>
            </w:r>
          </w:p>
        </w:tc>
        <w:tc>
          <w:tcPr>
            <w:tcW w:w="10005" w:type="dxa"/>
            <w:tcBorders/>
            <w:shd w:fill="auto" w:val="clear"/>
            <w:vAlign w:val="center"/>
          </w:tcPr>
          <w:p>
            <w:pPr>
              <w:pStyle w:val="TableContents"/>
              <w:spacing w:lineRule="auto" w:line="288" w:before="0" w:after="0"/>
              <w:rPr>
                <w:rFonts w:ascii="inherit" w:hAnsi="inherit"/>
                <w:sz w:val="15"/>
              </w:rPr>
            </w:pPr>
            <w:r>
              <w:rPr>
                <w:rFonts w:ascii="inherit" w:hAnsi="inherit"/>
                <w:sz w:val="15"/>
              </w:rPr>
              <w:t>Comparative information includes activity since the acquisition of Grupo Finmart on January 30, 2012 and the acquisition of Cash Genie on April 14, 2012, as applicable.</w:t>
            </w:r>
          </w:p>
        </w:tc>
      </w:tr>
    </w:tbl>
    <w:p>
      <w:pPr>
        <w:pStyle w:val="TextBody"/>
        <w:spacing w:lineRule="auto" w:line="288" w:before="0" w:after="0"/>
        <w:ind w:left="0" w:right="0" w:hanging="270"/>
        <w:rPr>
          <w:rFonts w:ascii="inherit" w:hAnsi="inherit"/>
          <w:sz w:val="15"/>
        </w:rPr>
      </w:pPr>
      <w:r>
        <w:rPr>
          <w:rFonts w:ascii="inherit" w:hAnsi="inherit"/>
          <w:sz w:val="15"/>
        </w:rPr>
        <w:t xml:space="preserve">** Benefit in unsecured long-term consumer loan provision is due to the sale of past due loans and recoveries of loans previously written-off.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provisions presented in the table above include only principal and exclude items such as insufficient funds fees, late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sheets. Expected losses on credit services are accrued and reported in “Accounts payable and other accrued expenses” on our balance sheets.</w:t>
      </w:r>
    </w:p>
    <w:p>
      <w:pPr>
        <w:pStyle w:val="TextBody"/>
        <w:spacing w:lineRule="auto" w:line="288" w:before="0" w:after="0"/>
        <w:rPr>
          <w:sz w:val="17"/>
        </w:rPr>
      </w:pPr>
      <w:r>
        <w:rPr>
          <w:rFonts w:ascii="inherit" w:hAnsi="inherit"/>
          <w:sz w:val="17"/>
        </w:rPr>
        <w:t xml:space="preserve">Auto title loans remain as recorded investments when in delinquent or nonaccrual status. We consider an auto title loan past due if it has not been repaid or renewed by the maturity date. Based on experience, we establish a reserve on all auto title loans. On auto title loans </w:t>
      </w:r>
      <w:r>
        <w:rPr>
          <w:rFonts w:ascii="inherit" w:hAnsi="inherit"/>
          <w:strike w:val="false"/>
          <w:dstrike w:val="false"/>
          <w:color w:val="000000"/>
          <w:sz w:val="17"/>
          <w:u w:val="none"/>
          <w:effect w:val="none"/>
        </w:rPr>
        <w:t>more than 90 days</w:t>
      </w:r>
      <w:r>
        <w:rPr>
          <w:sz w:val="17"/>
        </w:rPr>
        <w:t xml:space="preserve"> </w:t>
      </w:r>
      <w:r>
        <w:rPr>
          <w:rFonts w:ascii="inherit" w:hAnsi="inherit"/>
          <w:sz w:val="17"/>
        </w:rPr>
        <w:t>past due, we reserve the percentage we estimate will not be recoverable through auction and reserve 100%</w:t>
      </w:r>
      <w:r>
        <w:rPr>
          <w:sz w:val="17"/>
        </w:rPr>
        <w:t xml:space="preserve"> </w:t>
      </w:r>
      <w:r>
        <w:rPr>
          <w:rFonts w:ascii="inherit" w:hAnsi="inherit"/>
          <w:sz w:val="17"/>
        </w:rPr>
        <w:t xml:space="preserve">of loans for which we have not yet repossessed the underlying collateral. </w:t>
      </w:r>
      <w:r>
        <w:rPr>
          <w:rFonts w:ascii="inherit" w:hAnsi="inherit"/>
          <w:strike w:val="false"/>
          <w:dstrike w:val="false"/>
          <w:color w:val="000000"/>
          <w:sz w:val="17"/>
          <w:u w:val="none"/>
          <w:effect w:val="none"/>
        </w:rPr>
        <w:t>No</w:t>
      </w:r>
      <w:r>
        <w:rPr>
          <w:sz w:val="17"/>
        </w:rPr>
        <w:t xml:space="preserve"> </w:t>
      </w:r>
      <w:r>
        <w:rPr>
          <w:rFonts w:ascii="inherit" w:hAnsi="inherit"/>
          <w:sz w:val="17"/>
        </w:rPr>
        <w:t xml:space="preserve">fees are accrued on any auto title loans more than </w:t>
      </w:r>
      <w:r>
        <w:rPr>
          <w:rFonts w:ascii="inherit" w:hAnsi="inherit"/>
          <w:strike w:val="false"/>
          <w:dstrike w:val="false"/>
          <w:color w:val="000000"/>
          <w:sz w:val="17"/>
          <w:u w:val="none"/>
          <w:effect w:val="none"/>
        </w:rPr>
        <w:t>90 days past due.</w:t>
      </w:r>
      <w:r>
        <w:rPr>
          <w:sz w:val="17"/>
        </w:rPr>
        <w:t xml:space="preserve"> </w:t>
      </w:r>
    </w:p>
    <w:p>
      <w:pPr>
        <w:pStyle w:val="TextBody"/>
        <w:spacing w:lineRule="auto" w:line="288" w:before="0" w:after="0"/>
        <w:rPr>
          <w:sz w:val="17"/>
        </w:rPr>
      </w:pPr>
      <w:r>
        <w:rPr>
          <w:rFonts w:ascii="inherit" w:hAnsi="inherit"/>
          <w:sz w:val="17"/>
        </w:rPr>
        <w:t>Short-term unsecured consumer loans made online by EZCORP Online remain as recorded investments when in delinquent or nonaccrual status. We consider these loans past due if they have not been repaid or renewed by the maturity date. Valuation reserves are based on days past due and respective historical collection rates. We reserve 100%</w:t>
      </w:r>
      <w:r>
        <w:rPr>
          <w:sz w:val="17"/>
        </w:rPr>
        <w:t xml:space="preserve"> </w:t>
      </w:r>
      <w:r>
        <w:rPr>
          <w:rFonts w:ascii="inherit" w:hAnsi="inherit"/>
          <w:sz w:val="17"/>
        </w:rPr>
        <w:t xml:space="preserve">of loans once they are more than 60 days past due. No fees are accrued on short-term consumer loans more than 60 days past due. </w:t>
      </w:r>
    </w:p>
    <w:p>
      <w:pPr>
        <w:pStyle w:val="TextBody"/>
        <w:spacing w:lineRule="auto" w:line="288" w:before="0" w:after="0"/>
        <w:rPr>
          <w:sz w:val="17"/>
        </w:rPr>
      </w:pPr>
      <w:r>
        <w:rPr>
          <w:rFonts w:ascii="inherit" w:hAnsi="inherit"/>
          <w:sz w:val="17"/>
        </w:rPr>
        <w:t xml:space="preserve">Consumer loans made by Grupo Finmart remain on the balance sheet as recorded investments when in delinquent status. We consider a consumer loan past due if it has not been repaid or renewed by the maturity date; however, it is not unusual to have a lag in payments due to the time it takes the government agencies to setup the initial payroll withholding. Only those consumer loans made to customers that are no longer employed are considered in nonaccrual status. We establish a reserve on all consumer loans, based on historical experience. </w:t>
      </w:r>
      <w:r>
        <w:rPr>
          <w:rFonts w:ascii="inherit" w:hAnsi="inherit"/>
          <w:strike w:val="false"/>
          <w:dstrike w:val="false"/>
          <w:color w:val="000000"/>
          <w:sz w:val="17"/>
          <w:u w:val="none"/>
          <w:effect w:val="none"/>
        </w:rPr>
        <w:t>No</w:t>
      </w:r>
      <w:r>
        <w:rPr>
          <w:sz w:val="17"/>
        </w:rPr>
        <w:t xml:space="preserve"> </w:t>
      </w:r>
      <w:r>
        <w:rPr>
          <w:rFonts w:ascii="inherit" w:hAnsi="inherit"/>
          <w:sz w:val="17"/>
        </w:rPr>
        <w:t xml:space="preserve">fees are accrued on any consumer loans made to customers that are no longer employed.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100</w:t>
      </w:r>
      <w:r>
        <w:br w:type="page"/>
      </w:r>
    </w:p>
    <w:p>
      <w:pPr>
        <w:pStyle w:val="TextBody"/>
        <w:spacing w:lineRule="auto" w:line="288" w:before="0" w:after="0"/>
        <w:rPr/>
      </w:pPr>
      <w:hyperlink w:anchor="sA13583D437E20DC41B4583E2BD74AA47">
        <w:bookmarkStart w:id="94" w:name="s23F5C87D4CBD70FA10A283E26EF65FC52"/>
        <w:bookmarkEnd w:id="94"/>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The following table presents an aging analysis of past due financing receivables by portfolio segment:</w:t>
      </w:r>
      <w:r>
        <w:rPr>
          <w:sz w:val="17"/>
        </w:rPr>
        <w:t> </w:t>
      </w:r>
    </w:p>
    <w:tbl>
      <w:tblPr>
        <w:tblW w:w="10205" w:type="dxa"/>
        <w:jc w:val="left"/>
        <w:tblInd w:w="0" w:type="dxa"/>
        <w:tblCellMar>
          <w:top w:w="0" w:type="dxa"/>
          <w:left w:w="0" w:type="dxa"/>
          <w:bottom w:w="0" w:type="dxa"/>
          <w:right w:w="0" w:type="dxa"/>
        </w:tblCellMar>
      </w:tblPr>
      <w:tblGrid>
        <w:gridCol w:w="1294"/>
        <w:gridCol w:w="119"/>
        <w:gridCol w:w="510"/>
        <w:gridCol w:w="63"/>
        <w:gridCol w:w="105"/>
        <w:gridCol w:w="119"/>
        <w:gridCol w:w="573"/>
        <w:gridCol w:w="63"/>
        <w:gridCol w:w="105"/>
        <w:gridCol w:w="119"/>
        <w:gridCol w:w="468"/>
        <w:gridCol w:w="63"/>
        <w:gridCol w:w="105"/>
        <w:gridCol w:w="119"/>
        <w:gridCol w:w="573"/>
        <w:gridCol w:w="63"/>
        <w:gridCol w:w="105"/>
        <w:gridCol w:w="119"/>
        <w:gridCol w:w="573"/>
        <w:gridCol w:w="63"/>
        <w:gridCol w:w="105"/>
        <w:gridCol w:w="132"/>
        <w:gridCol w:w="679"/>
        <w:gridCol w:w="67"/>
        <w:gridCol w:w="105"/>
        <w:gridCol w:w="119"/>
        <w:gridCol w:w="595"/>
        <w:gridCol w:w="119"/>
        <w:gridCol w:w="105"/>
        <w:gridCol w:w="121"/>
        <w:gridCol w:w="693"/>
        <w:gridCol w:w="64"/>
        <w:gridCol w:w="105"/>
        <w:gridCol w:w="141"/>
        <w:gridCol w:w="637"/>
        <w:gridCol w:w="69"/>
        <w:gridCol w:w="105"/>
        <w:gridCol w:w="134"/>
        <w:gridCol w:w="686"/>
        <w:gridCol w:w="103"/>
      </w:tblGrid>
      <w:tr>
        <w:trPr/>
        <w:tc>
          <w:tcPr>
            <w:tcW w:w="10205" w:type="dxa"/>
            <w:gridSpan w:val="40"/>
            <w:tcBorders/>
            <w:shd w:fill="auto" w:val="clear"/>
            <w:vAlign w:val="center"/>
          </w:tcPr>
          <w:p>
            <w:pPr>
              <w:pStyle w:val="TableContents"/>
              <w:spacing w:before="0" w:after="283"/>
              <w:rPr>
                <w:sz w:val="4"/>
                <w:szCs w:val="4"/>
              </w:rPr>
            </w:pPr>
            <w:r>
              <w:rPr>
                <w:sz w:val="4"/>
                <w:szCs w:val="4"/>
              </w:rPr>
            </w:r>
          </w:p>
        </w:tc>
      </w:tr>
      <w:tr>
        <w:trPr/>
        <w:tc>
          <w:tcPr>
            <w:tcW w:w="129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94" w:type="dxa"/>
            <w:tcBorders/>
            <w:shd w:fill="auto" w:val="clear"/>
            <w:vAlign w:val="center"/>
          </w:tcPr>
          <w:p>
            <w:pPr>
              <w:pStyle w:val="TableContents"/>
              <w:spacing w:before="0" w:after="0"/>
              <w:ind w:left="0" w:right="0" w:firstLine="30"/>
              <w:jc w:val="left"/>
              <w:rPr/>
            </w:pPr>
            <w:r>
              <w:rPr/>
              <w:t> </w:t>
            </w:r>
          </w:p>
        </w:tc>
        <w:tc>
          <w:tcPr>
            <w:tcW w:w="3167"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Days Past Due</w:t>
            </w:r>
          </w:p>
        </w:tc>
        <w:tc>
          <w:tcPr>
            <w:tcW w:w="105" w:type="dxa"/>
            <w:tcBorders/>
            <w:shd w:fill="auto" w:val="clear"/>
            <w:vAlign w:val="center"/>
          </w:tcPr>
          <w:p>
            <w:pPr>
              <w:pStyle w:val="TableContents"/>
              <w:spacing w:before="0" w:after="0"/>
              <w:ind w:left="0" w:right="0" w:firstLine="30"/>
              <w:rPr/>
            </w:pPr>
            <w:r>
              <w:rPr/>
              <w:t> </w:t>
            </w:r>
          </w:p>
        </w:tc>
        <w:tc>
          <w:tcPr>
            <w:tcW w:w="755" w:type="dxa"/>
            <w:gridSpan w:val="3"/>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Total</w:t>
            </w:r>
          </w:p>
        </w:tc>
        <w:tc>
          <w:tcPr>
            <w:tcW w:w="105" w:type="dxa"/>
            <w:tcBorders/>
            <w:shd w:fill="auto" w:val="clear"/>
            <w:vAlign w:val="center"/>
          </w:tcPr>
          <w:p>
            <w:pPr>
              <w:pStyle w:val="TableContents"/>
              <w:spacing w:before="0" w:after="0"/>
              <w:ind w:left="0" w:right="0" w:firstLine="30"/>
              <w:rPr/>
            </w:pPr>
            <w:r>
              <w:rPr/>
              <w:t> </w:t>
            </w:r>
          </w:p>
        </w:tc>
        <w:tc>
          <w:tcPr>
            <w:tcW w:w="878" w:type="dxa"/>
            <w:gridSpan w:val="3"/>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Current</w:t>
            </w:r>
          </w:p>
        </w:tc>
        <w:tc>
          <w:tcPr>
            <w:tcW w:w="105" w:type="dxa"/>
            <w:tcBorders/>
            <w:shd w:fill="auto" w:val="clear"/>
            <w:vAlign w:val="center"/>
          </w:tcPr>
          <w:p>
            <w:pPr>
              <w:pStyle w:val="TableContents"/>
              <w:spacing w:before="0" w:after="0"/>
              <w:ind w:left="0" w:right="0" w:firstLine="30"/>
              <w:rPr/>
            </w:pPr>
            <w:r>
              <w:rPr/>
              <w:t> </w:t>
            </w:r>
          </w:p>
        </w:tc>
        <w:tc>
          <w:tcPr>
            <w:tcW w:w="833" w:type="dxa"/>
            <w:gridSpan w:val="3"/>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Loan</w:t>
            </w:r>
          </w:p>
        </w:tc>
        <w:tc>
          <w:tcPr>
            <w:tcW w:w="105" w:type="dxa"/>
            <w:tcBorders/>
            <w:shd w:fill="auto" w:val="clear"/>
            <w:vAlign w:val="center"/>
          </w:tcPr>
          <w:p>
            <w:pPr>
              <w:pStyle w:val="TableContents"/>
              <w:spacing w:before="0" w:after="0"/>
              <w:ind w:left="0" w:right="0" w:firstLine="30"/>
              <w:rPr/>
            </w:pPr>
            <w:r>
              <w:rPr/>
              <w:t> </w:t>
            </w:r>
          </w:p>
        </w:tc>
        <w:tc>
          <w:tcPr>
            <w:tcW w:w="878" w:type="dxa"/>
            <w:gridSpan w:val="3"/>
            <w:tcBorders/>
            <w:shd w:fill="auto" w:val="clear"/>
            <w:vAlign w:val="center"/>
          </w:tcPr>
          <w:p>
            <w:pPr>
              <w:pStyle w:val="TableContents"/>
              <w:spacing w:before="0" w:after="0"/>
              <w:jc w:val="center"/>
              <w:rPr>
                <w:rFonts w:ascii="inherit" w:hAnsi="inherit"/>
                <w:b/>
                <w:sz w:val="12"/>
              </w:rPr>
            </w:pPr>
            <w:r>
              <w:rPr>
                <w:rFonts w:ascii="inherit" w:hAnsi="inherit"/>
                <w:b/>
                <w:sz w:val="12"/>
              </w:rPr>
              <w:t>Total</w:t>
            </w:r>
          </w:p>
          <w:p>
            <w:pPr>
              <w:pStyle w:val="TableContents"/>
              <w:spacing w:before="0" w:after="0"/>
              <w:ind w:left="0" w:right="0" w:firstLine="30"/>
              <w:jc w:val="center"/>
              <w:rPr>
                <w:rFonts w:ascii="inherit" w:hAnsi="inherit"/>
                <w:b/>
                <w:sz w:val="12"/>
              </w:rPr>
            </w:pPr>
            <w:r>
              <w:rPr>
                <w:rFonts w:ascii="inherit" w:hAnsi="inherit"/>
                <w:b/>
                <w:sz w:val="12"/>
              </w:rPr>
              <w:t>Financing</w:t>
            </w:r>
          </w:p>
        </w:tc>
        <w:tc>
          <w:tcPr>
            <w:tcW w:w="105" w:type="dxa"/>
            <w:tcBorders/>
            <w:shd w:fill="auto" w:val="clear"/>
            <w:vAlign w:val="center"/>
          </w:tcPr>
          <w:p>
            <w:pPr>
              <w:pStyle w:val="TableContents"/>
              <w:spacing w:before="0" w:after="0"/>
              <w:ind w:left="0" w:right="0" w:firstLine="30"/>
              <w:rPr/>
            </w:pPr>
            <w:r>
              <w:rPr/>
              <w:t> </w:t>
            </w:r>
          </w:p>
        </w:tc>
        <w:tc>
          <w:tcPr>
            <w:tcW w:w="847" w:type="dxa"/>
            <w:gridSpan w:val="3"/>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Allowance</w:t>
            </w:r>
          </w:p>
        </w:tc>
        <w:tc>
          <w:tcPr>
            <w:tcW w:w="105" w:type="dxa"/>
            <w:tcBorders/>
            <w:shd w:fill="auto" w:val="clear"/>
            <w:vAlign w:val="center"/>
          </w:tcPr>
          <w:p>
            <w:pPr>
              <w:pStyle w:val="TableContents"/>
              <w:spacing w:before="0" w:after="0"/>
              <w:ind w:left="0" w:right="0" w:firstLine="30"/>
              <w:rPr/>
            </w:pPr>
            <w:r>
              <w:rPr/>
              <w:t> </w:t>
            </w:r>
          </w:p>
        </w:tc>
        <w:tc>
          <w:tcPr>
            <w:tcW w:w="923" w:type="dxa"/>
            <w:gridSpan w:val="3"/>
            <w:tcBorders/>
            <w:shd w:fill="auto" w:val="clear"/>
            <w:vAlign w:val="center"/>
          </w:tcPr>
          <w:p>
            <w:pPr>
              <w:pStyle w:val="TableContents"/>
              <w:spacing w:before="0" w:after="0"/>
              <w:jc w:val="center"/>
              <w:rPr>
                <w:rFonts w:ascii="inherit" w:hAnsi="inherit"/>
                <w:b/>
                <w:sz w:val="12"/>
              </w:rPr>
            </w:pPr>
            <w:r>
              <w:rPr>
                <w:rFonts w:ascii="inherit" w:hAnsi="inherit"/>
                <w:b/>
                <w:sz w:val="12"/>
              </w:rPr>
              <w:t>Recorded</w:t>
            </w:r>
          </w:p>
          <w:p>
            <w:pPr>
              <w:pStyle w:val="TableContents"/>
              <w:spacing w:before="0" w:after="0"/>
              <w:jc w:val="center"/>
              <w:rPr>
                <w:rFonts w:ascii="inherit" w:hAnsi="inherit"/>
                <w:b/>
                <w:sz w:val="12"/>
              </w:rPr>
            </w:pPr>
            <w:r>
              <w:rPr>
                <w:rFonts w:ascii="inherit" w:hAnsi="inherit"/>
                <w:b/>
                <w:sz w:val="12"/>
              </w:rPr>
              <w:t>Investment</w:t>
            </w:r>
          </w:p>
          <w:p>
            <w:pPr>
              <w:pStyle w:val="TableContents"/>
              <w:spacing w:before="0" w:after="0"/>
              <w:ind w:left="0" w:right="0" w:firstLine="30"/>
              <w:jc w:val="center"/>
              <w:rPr>
                <w:rFonts w:ascii="inherit" w:hAnsi="inherit"/>
                <w:b/>
                <w:sz w:val="12"/>
              </w:rPr>
            </w:pPr>
            <w:r>
              <w:rPr>
                <w:rFonts w:ascii="inherit" w:hAnsi="inherit"/>
                <w:b/>
                <w:sz w:val="12"/>
              </w:rPr>
              <w:t>&gt; 90 Days</w:t>
            </w:r>
          </w:p>
        </w:tc>
      </w:tr>
      <w:tr>
        <w:trPr/>
        <w:tc>
          <w:tcPr>
            <w:tcW w:w="1294" w:type="dxa"/>
            <w:tcBorders/>
            <w:shd w:fill="auto" w:val="clear"/>
            <w:vAlign w:val="center"/>
          </w:tcPr>
          <w:p>
            <w:pPr>
              <w:pStyle w:val="TableContents"/>
              <w:spacing w:before="0" w:after="0"/>
              <w:ind w:left="0" w:right="0" w:firstLine="30"/>
              <w:jc w:val="left"/>
              <w:rPr/>
            </w:pPr>
            <w:r>
              <w:rPr/>
              <w:t> </w:t>
            </w:r>
          </w:p>
        </w:tc>
        <w:tc>
          <w:tcPr>
            <w:tcW w:w="69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1-30</w:t>
            </w:r>
          </w:p>
        </w:tc>
        <w:tc>
          <w:tcPr>
            <w:tcW w:w="105" w:type="dxa"/>
            <w:tcBorders/>
            <w:shd w:fill="auto" w:val="clear"/>
            <w:vAlign w:val="center"/>
          </w:tcPr>
          <w:p>
            <w:pPr>
              <w:pStyle w:val="TableContents"/>
              <w:spacing w:before="0" w:after="0"/>
              <w:ind w:left="0" w:right="0" w:firstLine="30"/>
              <w:rPr/>
            </w:pPr>
            <w:r>
              <w:rPr/>
              <w:t> </w:t>
            </w:r>
          </w:p>
        </w:tc>
        <w:tc>
          <w:tcPr>
            <w:tcW w:w="7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31-60</w:t>
            </w:r>
          </w:p>
        </w:tc>
        <w:tc>
          <w:tcPr>
            <w:tcW w:w="105" w:type="dxa"/>
            <w:tcBorders/>
            <w:shd w:fill="auto" w:val="clear"/>
            <w:vAlign w:val="center"/>
          </w:tcPr>
          <w:p>
            <w:pPr>
              <w:pStyle w:val="TableContents"/>
              <w:spacing w:before="0" w:after="0"/>
              <w:ind w:left="0" w:right="0" w:firstLine="30"/>
              <w:rPr/>
            </w:pPr>
            <w:r>
              <w:rPr/>
              <w:t> </w:t>
            </w:r>
          </w:p>
        </w:tc>
        <w:tc>
          <w:tcPr>
            <w:tcW w:w="6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61-90</w:t>
            </w:r>
          </w:p>
        </w:tc>
        <w:tc>
          <w:tcPr>
            <w:tcW w:w="105" w:type="dxa"/>
            <w:tcBorders/>
            <w:shd w:fill="auto" w:val="clear"/>
            <w:vAlign w:val="center"/>
          </w:tcPr>
          <w:p>
            <w:pPr>
              <w:pStyle w:val="TableContents"/>
              <w:spacing w:before="0" w:after="0"/>
              <w:ind w:left="0" w:right="0" w:firstLine="30"/>
              <w:rPr/>
            </w:pPr>
            <w:r>
              <w:rPr/>
              <w:t> </w:t>
            </w:r>
          </w:p>
        </w:tc>
        <w:tc>
          <w:tcPr>
            <w:tcW w:w="7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&gt;90</w:t>
            </w:r>
          </w:p>
        </w:tc>
        <w:tc>
          <w:tcPr>
            <w:tcW w:w="105" w:type="dxa"/>
            <w:tcBorders/>
            <w:shd w:fill="auto" w:val="clear"/>
            <w:vAlign w:val="center"/>
          </w:tcPr>
          <w:p>
            <w:pPr>
              <w:pStyle w:val="TableContents"/>
              <w:spacing w:before="0" w:after="0"/>
              <w:ind w:left="0" w:right="0" w:firstLine="30"/>
              <w:rPr/>
            </w:pPr>
            <w:r>
              <w:rPr/>
              <w:t> </w:t>
            </w:r>
          </w:p>
        </w:tc>
        <w:tc>
          <w:tcPr>
            <w:tcW w:w="7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Past Due</w:t>
            </w:r>
          </w:p>
        </w:tc>
        <w:tc>
          <w:tcPr>
            <w:tcW w:w="105" w:type="dxa"/>
            <w:tcBorders/>
            <w:shd w:fill="auto" w:val="clear"/>
            <w:vAlign w:val="center"/>
          </w:tcPr>
          <w:p>
            <w:pPr>
              <w:pStyle w:val="TableContents"/>
              <w:spacing w:before="0" w:after="0"/>
              <w:ind w:left="0" w:right="0" w:firstLine="30"/>
              <w:rPr/>
            </w:pPr>
            <w:r>
              <w:rPr/>
              <w:t> </w:t>
            </w:r>
          </w:p>
        </w:tc>
        <w:tc>
          <w:tcPr>
            <w:tcW w:w="8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Receivable</w:t>
            </w:r>
          </w:p>
        </w:tc>
        <w:tc>
          <w:tcPr>
            <w:tcW w:w="105" w:type="dxa"/>
            <w:tcBorders/>
            <w:shd w:fill="auto" w:val="clear"/>
            <w:vAlign w:val="center"/>
          </w:tcPr>
          <w:p>
            <w:pPr>
              <w:pStyle w:val="TableContents"/>
              <w:spacing w:before="0" w:after="0"/>
              <w:ind w:left="0" w:right="0" w:firstLine="30"/>
              <w:rPr/>
            </w:pPr>
            <w:r>
              <w:rPr/>
              <w:t> </w:t>
            </w:r>
          </w:p>
        </w:tc>
        <w:tc>
          <w:tcPr>
            <w:tcW w:w="83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Discount</w:t>
            </w:r>
          </w:p>
        </w:tc>
        <w:tc>
          <w:tcPr>
            <w:tcW w:w="105" w:type="dxa"/>
            <w:tcBorders/>
            <w:shd w:fill="auto" w:val="clear"/>
            <w:vAlign w:val="center"/>
          </w:tcPr>
          <w:p>
            <w:pPr>
              <w:pStyle w:val="TableContents"/>
              <w:spacing w:before="0" w:after="0"/>
              <w:ind w:left="0" w:right="0" w:firstLine="30"/>
              <w:rPr/>
            </w:pPr>
            <w:r>
              <w:rPr/>
              <w:t> </w:t>
            </w:r>
          </w:p>
        </w:tc>
        <w:tc>
          <w:tcPr>
            <w:tcW w:w="8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Receivable</w:t>
            </w:r>
          </w:p>
        </w:tc>
        <w:tc>
          <w:tcPr>
            <w:tcW w:w="105" w:type="dxa"/>
            <w:tcBorders/>
            <w:shd w:fill="auto" w:val="clear"/>
            <w:vAlign w:val="center"/>
          </w:tcPr>
          <w:p>
            <w:pPr>
              <w:pStyle w:val="TableContents"/>
              <w:spacing w:before="0" w:after="0"/>
              <w:ind w:left="0" w:right="0" w:firstLine="30"/>
              <w:rPr/>
            </w:pPr>
            <w:r>
              <w:rPr/>
              <w:t> </w:t>
            </w:r>
          </w:p>
        </w:tc>
        <w:tc>
          <w:tcPr>
            <w:tcW w:w="84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Balance</w:t>
            </w:r>
          </w:p>
        </w:tc>
        <w:tc>
          <w:tcPr>
            <w:tcW w:w="105" w:type="dxa"/>
            <w:tcBorders/>
            <w:shd w:fill="auto" w:val="clear"/>
            <w:vAlign w:val="center"/>
          </w:tcPr>
          <w:p>
            <w:pPr>
              <w:pStyle w:val="TableContents"/>
              <w:spacing w:before="0" w:after="0"/>
              <w:ind w:left="0" w:right="0" w:firstLine="30"/>
              <w:rPr/>
            </w:pPr>
            <w:r>
              <w:rPr/>
              <w:t> </w:t>
            </w:r>
          </w:p>
        </w:tc>
        <w:tc>
          <w:tcPr>
            <w:tcW w:w="9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Accruing</w:t>
            </w:r>
          </w:p>
        </w:tc>
      </w:tr>
      <w:tr>
        <w:trPr/>
        <w:tc>
          <w:tcPr>
            <w:tcW w:w="1294" w:type="dxa"/>
            <w:tcBorders/>
            <w:shd w:fill="auto" w:val="clear"/>
            <w:vAlign w:val="center"/>
          </w:tcPr>
          <w:p>
            <w:pPr>
              <w:pStyle w:val="TableContents"/>
              <w:spacing w:before="0" w:after="0"/>
              <w:ind w:left="0" w:right="0" w:firstLine="30"/>
              <w:jc w:val="left"/>
              <w:rPr/>
            </w:pPr>
            <w:r>
              <w:rPr/>
              <w:t> </w:t>
            </w:r>
          </w:p>
        </w:tc>
        <w:tc>
          <w:tcPr>
            <w:tcW w:w="8911" w:type="dxa"/>
            <w:gridSpan w:val="3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601" w:type="dxa"/>
            <w:gridSpan w:val="12"/>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Unsecured short-term consumer loans:*</w:t>
            </w:r>
          </w:p>
        </w:tc>
        <w:tc>
          <w:tcPr>
            <w:tcW w:w="105" w:type="dxa"/>
            <w:tcBorders/>
            <w:shd w:fill="CCEEFF" w:val="clear"/>
            <w:vAlign w:val="center"/>
          </w:tcPr>
          <w:p>
            <w:pPr>
              <w:pStyle w:val="TableContents"/>
              <w:spacing w:before="0" w:after="0"/>
              <w:ind w:left="0" w:right="0" w:firstLine="30"/>
              <w:rPr/>
            </w:pPr>
            <w:r>
              <w:rPr/>
              <w:t> </w:t>
            </w:r>
          </w:p>
        </w:tc>
        <w:tc>
          <w:tcPr>
            <w:tcW w:w="755"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755"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78"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33"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78"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47"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923" w:type="dxa"/>
            <w:gridSpan w:val="3"/>
            <w:tcBorders/>
            <w:shd w:fill="CCEEFF" w:val="clear"/>
            <w:vAlign w:val="center"/>
          </w:tcPr>
          <w:p>
            <w:pPr>
              <w:pStyle w:val="TableContents"/>
              <w:spacing w:before="0" w:after="0"/>
              <w:ind w:left="0" w:right="0" w:firstLine="30"/>
              <w:rPr/>
            </w:pPr>
            <w:r>
              <w:rPr/>
              <w:t> </w:t>
            </w:r>
          </w:p>
        </w:tc>
      </w:tr>
      <w:tr>
        <w:trPr/>
        <w:tc>
          <w:tcPr>
            <w:tcW w:w="1986" w:type="dxa"/>
            <w:gridSpan w:val="4"/>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September 30, 2013</w:t>
            </w:r>
          </w:p>
        </w:tc>
        <w:tc>
          <w:tcPr>
            <w:tcW w:w="105" w:type="dxa"/>
            <w:tcBorders/>
            <w:shd w:fill="auto" w:val="clear"/>
            <w:vAlign w:val="center"/>
          </w:tcPr>
          <w:p>
            <w:pPr>
              <w:pStyle w:val="TableContents"/>
              <w:spacing w:before="0" w:after="0"/>
              <w:ind w:left="0" w:right="0" w:firstLine="30"/>
              <w:rPr/>
            </w:pPr>
            <w:r>
              <w:rPr/>
              <w:t> </w:t>
            </w:r>
          </w:p>
        </w:tc>
        <w:tc>
          <w:tcPr>
            <w:tcW w:w="755"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650"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755"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755"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78"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33"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78"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47"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923" w:type="dxa"/>
            <w:gridSpan w:val="3"/>
            <w:tcBorders/>
            <w:shd w:fill="auto" w:val="clear"/>
            <w:vAlign w:val="center"/>
          </w:tcPr>
          <w:p>
            <w:pPr>
              <w:pStyle w:val="TableContents"/>
              <w:spacing w:before="0" w:after="0"/>
              <w:ind w:left="0" w:right="0" w:firstLine="420"/>
              <w:rPr/>
            </w:pPr>
            <w:r>
              <w:rPr/>
              <w:t> </w:t>
            </w:r>
          </w:p>
        </w:tc>
      </w:tr>
      <w:tr>
        <w:trPr/>
        <w:tc>
          <w:tcPr>
            <w:tcW w:w="129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10" w:type="dxa"/>
            <w:tcBorders/>
            <w:shd w:fill="CCEEFF" w:val="clear"/>
            <w:vAlign w:val="center"/>
          </w:tcPr>
          <w:p>
            <w:pPr>
              <w:pStyle w:val="TableContents"/>
              <w:spacing w:before="0" w:after="0"/>
              <w:jc w:val="right"/>
              <w:rPr>
                <w:rFonts w:ascii="inherit" w:hAnsi="inherit"/>
                <w:sz w:val="15"/>
              </w:rPr>
            </w:pPr>
            <w:r>
              <w:rPr>
                <w:rFonts w:ascii="inherit" w:hAnsi="inherit"/>
                <w:sz w:val="15"/>
              </w:rPr>
              <w:t>113</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3" w:type="dxa"/>
            <w:tcBorders/>
            <w:shd w:fill="CCEEFF" w:val="clear"/>
            <w:vAlign w:val="center"/>
          </w:tcPr>
          <w:p>
            <w:pPr>
              <w:pStyle w:val="TableContents"/>
              <w:spacing w:before="0" w:after="0"/>
              <w:jc w:val="right"/>
              <w:rPr>
                <w:rFonts w:ascii="inherit" w:hAnsi="inherit"/>
                <w:sz w:val="15"/>
              </w:rPr>
            </w:pPr>
            <w:r>
              <w:rPr>
                <w:rFonts w:ascii="inherit" w:hAnsi="inherit"/>
                <w:sz w:val="15"/>
              </w:rPr>
              <w:t>285</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468" w:type="dxa"/>
            <w:tcBorders/>
            <w:shd w:fill="CCEEFF" w:val="clear"/>
            <w:vAlign w:val="center"/>
          </w:tcPr>
          <w:p>
            <w:pPr>
              <w:pStyle w:val="TableContents"/>
              <w:spacing w:before="0" w:after="0"/>
              <w:jc w:val="right"/>
              <w:rPr>
                <w:rFonts w:ascii="inherit" w:hAnsi="inherit"/>
                <w:sz w:val="15"/>
              </w:rPr>
            </w:pPr>
            <w:r>
              <w:rPr>
                <w:rFonts w:ascii="inherit" w:hAnsi="inherit"/>
                <w:sz w:val="15"/>
              </w:rPr>
              <w:t>257</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3" w:type="dxa"/>
            <w:tcBorders/>
            <w:shd w:fill="CCEEFF" w:val="clear"/>
            <w:vAlign w:val="center"/>
          </w:tcPr>
          <w:p>
            <w:pPr>
              <w:pStyle w:val="TableContents"/>
              <w:spacing w:before="0" w:after="0"/>
              <w:jc w:val="right"/>
              <w:rPr/>
            </w:pPr>
            <w:r>
              <w:rPr/>
              <w:t>—</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3" w:type="dxa"/>
            <w:tcBorders/>
            <w:shd w:fill="CCEEFF" w:val="clear"/>
            <w:vAlign w:val="center"/>
          </w:tcPr>
          <w:p>
            <w:pPr>
              <w:pStyle w:val="TableContents"/>
              <w:spacing w:before="0" w:after="0"/>
              <w:jc w:val="right"/>
              <w:rPr>
                <w:rFonts w:ascii="inherit" w:hAnsi="inherit"/>
                <w:sz w:val="15"/>
              </w:rPr>
            </w:pPr>
            <w:r>
              <w:rPr>
                <w:rFonts w:ascii="inherit" w:hAnsi="inherit"/>
                <w:sz w:val="15"/>
              </w:rPr>
              <w:t>655</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9" w:type="dxa"/>
            <w:tcBorders/>
            <w:shd w:fill="CCEEFF" w:val="clear"/>
            <w:vAlign w:val="center"/>
          </w:tcPr>
          <w:p>
            <w:pPr>
              <w:pStyle w:val="TableContents"/>
              <w:spacing w:before="0" w:after="0"/>
              <w:jc w:val="right"/>
              <w:rPr>
                <w:rFonts w:ascii="inherit" w:hAnsi="inherit"/>
                <w:sz w:val="15"/>
              </w:rPr>
            </w:pPr>
            <w:r>
              <w:rPr>
                <w:rFonts w:ascii="inherit" w:hAnsi="inherit"/>
                <w:sz w:val="15"/>
              </w:rPr>
              <w:t>214</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95" w:type="dxa"/>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3" w:type="dxa"/>
            <w:tcBorders/>
            <w:shd w:fill="CCEEFF" w:val="clear"/>
            <w:vAlign w:val="center"/>
          </w:tcPr>
          <w:p>
            <w:pPr>
              <w:pStyle w:val="TableContents"/>
              <w:spacing w:before="0" w:after="0"/>
              <w:jc w:val="right"/>
              <w:rPr>
                <w:rFonts w:ascii="inherit" w:hAnsi="inherit"/>
                <w:sz w:val="15"/>
              </w:rPr>
            </w:pPr>
            <w:r>
              <w:rPr>
                <w:rFonts w:ascii="inherit" w:hAnsi="inherit"/>
                <w:sz w:val="15"/>
              </w:rPr>
              <w:t>869</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37" w:type="dxa"/>
            <w:tcBorders/>
            <w:shd w:fill="CCEEFF" w:val="clear"/>
            <w:vAlign w:val="center"/>
          </w:tcPr>
          <w:p>
            <w:pPr>
              <w:pStyle w:val="TableContents"/>
              <w:spacing w:before="0" w:after="0"/>
              <w:jc w:val="right"/>
              <w:rPr>
                <w:rFonts w:ascii="inherit" w:hAnsi="inherit"/>
                <w:sz w:val="15"/>
              </w:rPr>
            </w:pPr>
            <w:r>
              <w:rPr>
                <w:rFonts w:ascii="inherit" w:hAnsi="inherit"/>
                <w:sz w:val="15"/>
              </w:rPr>
              <w:t>464</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86" w:type="dxa"/>
            <w:tcBorders/>
            <w:shd w:fill="CCEEFF" w:val="clear"/>
            <w:vAlign w:val="center"/>
          </w:tcPr>
          <w:p>
            <w:pPr>
              <w:pStyle w:val="TableContents"/>
              <w:spacing w:before="0" w:after="0"/>
              <w:jc w:val="right"/>
              <w:rPr/>
            </w:pPr>
            <w:r>
              <w:rPr/>
              <w:t>—</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01" w:type="dxa"/>
            <w:gridSpan w:val="12"/>
            <w:tcBorders/>
            <w:shd w:fill="auto" w:val="clear"/>
            <w:vAlign w:val="center"/>
          </w:tcPr>
          <w:p>
            <w:pPr>
              <w:pStyle w:val="TableContents"/>
              <w:spacing w:before="0" w:after="0"/>
              <w:ind w:left="0" w:right="0" w:firstLine="30"/>
              <w:jc w:val="left"/>
              <w:rPr>
                <w:rFonts w:ascii="inherit" w:hAnsi="inherit"/>
                <w:b/>
                <w:sz w:val="15"/>
              </w:rPr>
            </w:pPr>
            <w:r>
              <w:rPr>
                <w:rFonts w:ascii="inherit" w:hAnsi="inherit"/>
                <w:b/>
                <w:sz w:val="15"/>
              </w:rPr>
              <w:t>Secured short-term consumer loans:</w:t>
            </w:r>
          </w:p>
        </w:tc>
        <w:tc>
          <w:tcPr>
            <w:tcW w:w="105" w:type="dxa"/>
            <w:tcBorders/>
            <w:shd w:fill="auto" w:val="clear"/>
            <w:vAlign w:val="center"/>
          </w:tcPr>
          <w:p>
            <w:pPr>
              <w:pStyle w:val="TableContents"/>
              <w:spacing w:before="0" w:after="0"/>
              <w:ind w:left="0" w:right="0" w:firstLine="30"/>
              <w:rPr/>
            </w:pPr>
            <w:r>
              <w:rPr/>
              <w:t> </w:t>
            </w:r>
          </w:p>
        </w:tc>
        <w:tc>
          <w:tcPr>
            <w:tcW w:w="755"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755"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78"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33"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78"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47"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923" w:type="dxa"/>
            <w:gridSpan w:val="3"/>
            <w:tcBorders/>
            <w:shd w:fill="auto" w:val="clear"/>
            <w:vAlign w:val="center"/>
          </w:tcPr>
          <w:p>
            <w:pPr>
              <w:pStyle w:val="TableContents"/>
              <w:spacing w:before="0" w:after="0"/>
              <w:ind w:left="0" w:right="0" w:firstLine="30"/>
              <w:rPr/>
            </w:pPr>
            <w:r>
              <w:rPr/>
              <w:t> </w:t>
            </w:r>
          </w:p>
        </w:tc>
      </w:tr>
      <w:tr>
        <w:trPr/>
        <w:tc>
          <w:tcPr>
            <w:tcW w:w="1986" w:type="dxa"/>
            <w:gridSpan w:val="4"/>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September 30, 2013</w:t>
            </w:r>
          </w:p>
        </w:tc>
        <w:tc>
          <w:tcPr>
            <w:tcW w:w="105" w:type="dxa"/>
            <w:tcBorders/>
            <w:shd w:fill="CCEEFF" w:val="clear"/>
            <w:vAlign w:val="center"/>
          </w:tcPr>
          <w:p>
            <w:pPr>
              <w:pStyle w:val="TableContents"/>
              <w:spacing w:before="0" w:after="0"/>
              <w:ind w:left="0" w:right="0" w:firstLine="30"/>
              <w:rPr/>
            </w:pPr>
            <w:r>
              <w:rPr/>
              <w:t> </w:t>
            </w:r>
          </w:p>
        </w:tc>
        <w:tc>
          <w:tcPr>
            <w:tcW w:w="755"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650"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755"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755"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78"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33"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78"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47"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923" w:type="dxa"/>
            <w:gridSpan w:val="3"/>
            <w:tcBorders/>
            <w:shd w:fill="CCEEFF" w:val="clear"/>
            <w:vAlign w:val="center"/>
          </w:tcPr>
          <w:p>
            <w:pPr>
              <w:pStyle w:val="TableContents"/>
              <w:spacing w:before="0" w:after="0"/>
              <w:ind w:left="0" w:right="0" w:firstLine="420"/>
              <w:rPr/>
            </w:pPr>
            <w:r>
              <w:rPr/>
              <w:t> </w:t>
            </w:r>
          </w:p>
        </w:tc>
      </w:tr>
      <w:tr>
        <w:trPr/>
        <w:tc>
          <w:tcPr>
            <w:tcW w:w="129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10" w:type="dxa"/>
            <w:tcBorders/>
            <w:shd w:fill="auto" w:val="clear"/>
            <w:vAlign w:val="center"/>
          </w:tcPr>
          <w:p>
            <w:pPr>
              <w:pStyle w:val="TableContents"/>
              <w:spacing w:before="0" w:after="0"/>
              <w:jc w:val="right"/>
              <w:rPr>
                <w:rFonts w:ascii="inherit" w:hAnsi="inherit"/>
                <w:sz w:val="15"/>
              </w:rPr>
            </w:pPr>
            <w:r>
              <w:rPr>
                <w:rFonts w:ascii="inherit" w:hAnsi="inherit"/>
                <w:sz w:val="15"/>
              </w:rPr>
              <w:t>2,096</w:t>
            </w:r>
          </w:p>
        </w:tc>
        <w:tc>
          <w:tcPr>
            <w:tcW w:w="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3" w:type="dxa"/>
            <w:tcBorders/>
            <w:shd w:fill="auto" w:val="clear"/>
            <w:vAlign w:val="center"/>
          </w:tcPr>
          <w:p>
            <w:pPr>
              <w:pStyle w:val="TableContents"/>
              <w:spacing w:before="0" w:after="0"/>
              <w:jc w:val="right"/>
              <w:rPr>
                <w:rFonts w:ascii="inherit" w:hAnsi="inherit"/>
                <w:sz w:val="15"/>
              </w:rPr>
            </w:pPr>
            <w:r>
              <w:rPr>
                <w:rFonts w:ascii="inherit" w:hAnsi="inherit"/>
                <w:sz w:val="15"/>
              </w:rPr>
              <w:t>1,313</w:t>
            </w:r>
          </w:p>
        </w:tc>
        <w:tc>
          <w:tcPr>
            <w:tcW w:w="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468" w:type="dxa"/>
            <w:tcBorders/>
            <w:shd w:fill="auto" w:val="clear"/>
            <w:vAlign w:val="center"/>
          </w:tcPr>
          <w:p>
            <w:pPr>
              <w:pStyle w:val="TableContents"/>
              <w:spacing w:before="0" w:after="0"/>
              <w:jc w:val="right"/>
              <w:rPr>
                <w:rFonts w:ascii="inherit" w:hAnsi="inherit"/>
                <w:sz w:val="15"/>
              </w:rPr>
            </w:pPr>
            <w:r>
              <w:rPr>
                <w:rFonts w:ascii="inherit" w:hAnsi="inherit"/>
                <w:sz w:val="15"/>
              </w:rPr>
              <w:t>905</w:t>
            </w:r>
          </w:p>
        </w:tc>
        <w:tc>
          <w:tcPr>
            <w:tcW w:w="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3" w:type="dxa"/>
            <w:tcBorders/>
            <w:shd w:fill="auto" w:val="clear"/>
            <w:vAlign w:val="center"/>
          </w:tcPr>
          <w:p>
            <w:pPr>
              <w:pStyle w:val="TableContents"/>
              <w:spacing w:before="0" w:after="0"/>
              <w:jc w:val="right"/>
              <w:rPr>
                <w:rFonts w:ascii="inherit" w:hAnsi="inherit"/>
                <w:sz w:val="15"/>
              </w:rPr>
            </w:pPr>
            <w:r>
              <w:rPr>
                <w:rFonts w:ascii="inherit" w:hAnsi="inherit"/>
                <w:sz w:val="15"/>
              </w:rPr>
              <w:t>910</w:t>
            </w:r>
          </w:p>
        </w:tc>
        <w:tc>
          <w:tcPr>
            <w:tcW w:w="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3" w:type="dxa"/>
            <w:tcBorders/>
            <w:shd w:fill="auto" w:val="clear"/>
            <w:vAlign w:val="center"/>
          </w:tcPr>
          <w:p>
            <w:pPr>
              <w:pStyle w:val="TableContents"/>
              <w:spacing w:before="0" w:after="0"/>
              <w:jc w:val="right"/>
              <w:rPr>
                <w:rFonts w:ascii="inherit" w:hAnsi="inherit"/>
                <w:sz w:val="15"/>
              </w:rPr>
            </w:pPr>
            <w:r>
              <w:rPr>
                <w:rFonts w:ascii="inherit" w:hAnsi="inherit"/>
                <w:sz w:val="15"/>
              </w:rPr>
              <w:t>5,224</w:t>
            </w:r>
          </w:p>
        </w:tc>
        <w:tc>
          <w:tcPr>
            <w:tcW w:w="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9" w:type="dxa"/>
            <w:tcBorders/>
            <w:shd w:fill="auto" w:val="clear"/>
            <w:vAlign w:val="center"/>
          </w:tcPr>
          <w:p>
            <w:pPr>
              <w:pStyle w:val="TableContents"/>
              <w:spacing w:before="0" w:after="0"/>
              <w:jc w:val="right"/>
              <w:rPr>
                <w:rFonts w:ascii="inherit" w:hAnsi="inherit"/>
                <w:sz w:val="15"/>
              </w:rPr>
            </w:pPr>
            <w:r>
              <w:rPr>
                <w:rFonts w:ascii="inherit" w:hAnsi="inherit"/>
                <w:sz w:val="15"/>
              </w:rPr>
              <w:t>4,565</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95" w:type="dxa"/>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3" w:type="dxa"/>
            <w:tcBorders/>
            <w:shd w:fill="auto" w:val="clear"/>
            <w:vAlign w:val="center"/>
          </w:tcPr>
          <w:p>
            <w:pPr>
              <w:pStyle w:val="TableContents"/>
              <w:spacing w:before="0" w:after="0"/>
              <w:jc w:val="right"/>
              <w:rPr>
                <w:rFonts w:ascii="inherit" w:hAnsi="inherit"/>
                <w:sz w:val="15"/>
              </w:rPr>
            </w:pPr>
            <w:r>
              <w:rPr>
                <w:rFonts w:ascii="inherit" w:hAnsi="inherit"/>
                <w:sz w:val="15"/>
              </w:rPr>
              <w:t>9,789</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37" w:type="dxa"/>
            <w:tcBorders/>
            <w:shd w:fill="auto" w:val="clear"/>
            <w:vAlign w:val="center"/>
          </w:tcPr>
          <w:p>
            <w:pPr>
              <w:pStyle w:val="TableContents"/>
              <w:spacing w:before="0" w:after="0"/>
              <w:jc w:val="right"/>
              <w:rPr>
                <w:rFonts w:ascii="inherit" w:hAnsi="inherit"/>
                <w:sz w:val="15"/>
              </w:rPr>
            </w:pPr>
            <w:r>
              <w:rPr>
                <w:rFonts w:ascii="inherit" w:hAnsi="inherit"/>
                <w:sz w:val="15"/>
              </w:rPr>
              <w:t>1,804</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86" w:type="dxa"/>
            <w:tcBorders/>
            <w:shd w:fill="auto" w:val="clear"/>
            <w:vAlign w:val="center"/>
          </w:tcPr>
          <w:p>
            <w:pPr>
              <w:pStyle w:val="TableContents"/>
              <w:spacing w:before="0" w:after="0"/>
              <w:jc w:val="right"/>
              <w:rPr/>
            </w:pPr>
            <w:r>
              <w:rPr/>
              <w:t>—</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86" w:type="dxa"/>
            <w:gridSpan w:val="4"/>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September 30, 2012</w:t>
            </w:r>
          </w:p>
        </w:tc>
        <w:tc>
          <w:tcPr>
            <w:tcW w:w="105" w:type="dxa"/>
            <w:tcBorders/>
            <w:shd w:fill="CCEEFF" w:val="clear"/>
            <w:vAlign w:val="center"/>
          </w:tcPr>
          <w:p>
            <w:pPr>
              <w:pStyle w:val="TableContents"/>
              <w:spacing w:before="0" w:after="0"/>
              <w:ind w:left="0" w:right="0" w:firstLine="30"/>
              <w:rPr/>
            </w:pPr>
            <w:r>
              <w:rPr/>
              <w:t> </w:t>
            </w:r>
          </w:p>
        </w:tc>
        <w:tc>
          <w:tcPr>
            <w:tcW w:w="755"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650"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755"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755"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78"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33"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78"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47"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923" w:type="dxa"/>
            <w:gridSpan w:val="3"/>
            <w:tcBorders/>
            <w:shd w:fill="CCEEFF" w:val="clear"/>
            <w:vAlign w:val="center"/>
          </w:tcPr>
          <w:p>
            <w:pPr>
              <w:pStyle w:val="TableContents"/>
              <w:spacing w:before="0" w:after="0"/>
              <w:ind w:left="0" w:right="0" w:firstLine="420"/>
              <w:rPr/>
            </w:pPr>
            <w:r>
              <w:rPr/>
              <w:t> </w:t>
            </w:r>
          </w:p>
        </w:tc>
      </w:tr>
      <w:tr>
        <w:trPr/>
        <w:tc>
          <w:tcPr>
            <w:tcW w:w="129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10" w:type="dxa"/>
            <w:tcBorders/>
            <w:shd w:fill="auto" w:val="clear"/>
            <w:vAlign w:val="center"/>
          </w:tcPr>
          <w:p>
            <w:pPr>
              <w:pStyle w:val="TableContents"/>
              <w:spacing w:before="0" w:after="0"/>
              <w:jc w:val="right"/>
              <w:rPr>
                <w:rFonts w:ascii="inherit" w:hAnsi="inherit"/>
                <w:sz w:val="15"/>
              </w:rPr>
            </w:pPr>
            <w:r>
              <w:rPr>
                <w:rFonts w:ascii="inherit" w:hAnsi="inherit"/>
                <w:sz w:val="15"/>
              </w:rPr>
              <w:t>1,246</w:t>
            </w:r>
          </w:p>
        </w:tc>
        <w:tc>
          <w:tcPr>
            <w:tcW w:w="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3" w:type="dxa"/>
            <w:tcBorders/>
            <w:shd w:fill="auto" w:val="clear"/>
            <w:vAlign w:val="center"/>
          </w:tcPr>
          <w:p>
            <w:pPr>
              <w:pStyle w:val="TableContents"/>
              <w:spacing w:before="0" w:after="0"/>
              <w:jc w:val="right"/>
              <w:rPr>
                <w:rFonts w:ascii="inherit" w:hAnsi="inherit"/>
                <w:sz w:val="15"/>
              </w:rPr>
            </w:pPr>
            <w:r>
              <w:rPr>
                <w:rFonts w:ascii="inherit" w:hAnsi="inherit"/>
                <w:sz w:val="15"/>
              </w:rPr>
              <w:t>708</w:t>
            </w:r>
          </w:p>
        </w:tc>
        <w:tc>
          <w:tcPr>
            <w:tcW w:w="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468" w:type="dxa"/>
            <w:tcBorders/>
            <w:shd w:fill="auto" w:val="clear"/>
            <w:vAlign w:val="center"/>
          </w:tcPr>
          <w:p>
            <w:pPr>
              <w:pStyle w:val="TableContents"/>
              <w:spacing w:before="0" w:after="0"/>
              <w:jc w:val="right"/>
              <w:rPr>
                <w:rFonts w:ascii="inherit" w:hAnsi="inherit"/>
                <w:sz w:val="15"/>
              </w:rPr>
            </w:pPr>
            <w:r>
              <w:rPr>
                <w:rFonts w:ascii="inherit" w:hAnsi="inherit"/>
                <w:sz w:val="15"/>
              </w:rPr>
              <w:t>466</w:t>
            </w:r>
          </w:p>
        </w:tc>
        <w:tc>
          <w:tcPr>
            <w:tcW w:w="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3" w:type="dxa"/>
            <w:tcBorders/>
            <w:shd w:fill="auto" w:val="clear"/>
            <w:vAlign w:val="center"/>
          </w:tcPr>
          <w:p>
            <w:pPr>
              <w:pStyle w:val="TableContents"/>
              <w:spacing w:before="0" w:after="0"/>
              <w:jc w:val="right"/>
              <w:rPr>
                <w:rFonts w:ascii="inherit" w:hAnsi="inherit"/>
                <w:sz w:val="15"/>
              </w:rPr>
            </w:pPr>
            <w:r>
              <w:rPr>
                <w:rFonts w:ascii="inherit" w:hAnsi="inherit"/>
                <w:sz w:val="15"/>
              </w:rPr>
              <w:t>391</w:t>
            </w:r>
          </w:p>
        </w:tc>
        <w:tc>
          <w:tcPr>
            <w:tcW w:w="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3" w:type="dxa"/>
            <w:tcBorders/>
            <w:shd w:fill="auto" w:val="clear"/>
            <w:vAlign w:val="center"/>
          </w:tcPr>
          <w:p>
            <w:pPr>
              <w:pStyle w:val="TableContents"/>
              <w:spacing w:before="0" w:after="0"/>
              <w:jc w:val="right"/>
              <w:rPr>
                <w:rFonts w:ascii="inherit" w:hAnsi="inherit"/>
                <w:sz w:val="15"/>
              </w:rPr>
            </w:pPr>
            <w:r>
              <w:rPr>
                <w:rFonts w:ascii="inherit" w:hAnsi="inherit"/>
                <w:sz w:val="15"/>
              </w:rPr>
              <w:t>2,811</w:t>
            </w:r>
          </w:p>
        </w:tc>
        <w:tc>
          <w:tcPr>
            <w:tcW w:w="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9" w:type="dxa"/>
            <w:tcBorders/>
            <w:shd w:fill="auto" w:val="clear"/>
            <w:vAlign w:val="center"/>
          </w:tcPr>
          <w:p>
            <w:pPr>
              <w:pStyle w:val="TableContents"/>
              <w:spacing w:before="0" w:after="0"/>
              <w:jc w:val="right"/>
              <w:rPr>
                <w:rFonts w:ascii="inherit" w:hAnsi="inherit"/>
                <w:sz w:val="15"/>
              </w:rPr>
            </w:pPr>
            <w:r>
              <w:rPr>
                <w:rFonts w:ascii="inherit" w:hAnsi="inherit"/>
                <w:sz w:val="15"/>
              </w:rPr>
              <w:t>3,140</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95" w:type="dxa"/>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3" w:type="dxa"/>
            <w:tcBorders/>
            <w:shd w:fill="auto" w:val="clear"/>
            <w:vAlign w:val="center"/>
          </w:tcPr>
          <w:p>
            <w:pPr>
              <w:pStyle w:val="TableContents"/>
              <w:spacing w:before="0" w:after="0"/>
              <w:jc w:val="right"/>
              <w:rPr>
                <w:rFonts w:ascii="inherit" w:hAnsi="inherit"/>
                <w:sz w:val="15"/>
              </w:rPr>
            </w:pPr>
            <w:r>
              <w:rPr>
                <w:rFonts w:ascii="inherit" w:hAnsi="inherit"/>
                <w:sz w:val="15"/>
              </w:rPr>
              <w:t>5,951</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37" w:type="dxa"/>
            <w:tcBorders/>
            <w:shd w:fill="auto" w:val="clear"/>
            <w:vAlign w:val="center"/>
          </w:tcPr>
          <w:p>
            <w:pPr>
              <w:pStyle w:val="TableContents"/>
              <w:spacing w:before="0" w:after="0"/>
              <w:jc w:val="right"/>
              <w:rPr>
                <w:rFonts w:ascii="inherit" w:hAnsi="inherit"/>
                <w:sz w:val="15"/>
              </w:rPr>
            </w:pPr>
            <w:r>
              <w:rPr>
                <w:rFonts w:ascii="inherit" w:hAnsi="inherit"/>
                <w:sz w:val="15"/>
              </w:rPr>
              <w:t>942</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86" w:type="dxa"/>
            <w:tcBorders/>
            <w:shd w:fill="auto" w:val="clear"/>
            <w:vAlign w:val="center"/>
          </w:tcPr>
          <w:p>
            <w:pPr>
              <w:pStyle w:val="TableContents"/>
              <w:spacing w:before="0" w:after="0"/>
              <w:jc w:val="right"/>
              <w:rPr/>
            </w:pPr>
            <w:r>
              <w:rPr/>
              <w:t>—</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01" w:type="dxa"/>
            <w:gridSpan w:val="12"/>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Unsecured long-term consumer loans:</w:t>
            </w:r>
          </w:p>
        </w:tc>
        <w:tc>
          <w:tcPr>
            <w:tcW w:w="105" w:type="dxa"/>
            <w:tcBorders/>
            <w:shd w:fill="CCEEFF" w:val="clear"/>
            <w:vAlign w:val="center"/>
          </w:tcPr>
          <w:p>
            <w:pPr>
              <w:pStyle w:val="TableContents"/>
              <w:spacing w:before="0" w:after="0"/>
              <w:ind w:left="0" w:right="0" w:firstLine="30"/>
              <w:rPr/>
            </w:pPr>
            <w:r>
              <w:rPr/>
              <w:t> </w:t>
            </w:r>
          </w:p>
        </w:tc>
        <w:tc>
          <w:tcPr>
            <w:tcW w:w="755"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755"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78"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33"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78"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847" w:type="dxa"/>
            <w:gridSpan w:val="3"/>
            <w:tcBorders/>
            <w:shd w:fill="CCEEFF" w:val="clear"/>
            <w:vAlign w:val="center"/>
          </w:tcPr>
          <w:p>
            <w:pPr>
              <w:pStyle w:val="TableContents"/>
              <w:spacing w:before="0" w:after="0"/>
              <w:ind w:left="0" w:right="0" w:firstLine="30"/>
              <w:rPr/>
            </w:pPr>
            <w:r>
              <w:rPr/>
              <w:t> </w:t>
            </w:r>
          </w:p>
        </w:tc>
        <w:tc>
          <w:tcPr>
            <w:tcW w:w="105" w:type="dxa"/>
            <w:tcBorders/>
            <w:shd w:fill="CCEEFF" w:val="clear"/>
            <w:vAlign w:val="center"/>
          </w:tcPr>
          <w:p>
            <w:pPr>
              <w:pStyle w:val="TableContents"/>
              <w:spacing w:before="0" w:after="0"/>
              <w:ind w:left="0" w:right="0" w:firstLine="30"/>
              <w:rPr/>
            </w:pPr>
            <w:r>
              <w:rPr/>
              <w:t> </w:t>
            </w:r>
          </w:p>
        </w:tc>
        <w:tc>
          <w:tcPr>
            <w:tcW w:w="923" w:type="dxa"/>
            <w:gridSpan w:val="3"/>
            <w:tcBorders/>
            <w:shd w:fill="CCEEFF" w:val="clear"/>
            <w:vAlign w:val="center"/>
          </w:tcPr>
          <w:p>
            <w:pPr>
              <w:pStyle w:val="TableContents"/>
              <w:spacing w:before="0" w:after="0"/>
              <w:ind w:left="0" w:right="0" w:firstLine="30"/>
              <w:rPr/>
            </w:pPr>
            <w:r>
              <w:rPr/>
              <w:t> </w:t>
            </w:r>
          </w:p>
        </w:tc>
      </w:tr>
      <w:tr>
        <w:trPr/>
        <w:tc>
          <w:tcPr>
            <w:tcW w:w="1986" w:type="dxa"/>
            <w:gridSpan w:val="4"/>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September 30, 2013</w:t>
            </w:r>
          </w:p>
        </w:tc>
        <w:tc>
          <w:tcPr>
            <w:tcW w:w="105" w:type="dxa"/>
            <w:tcBorders/>
            <w:shd w:fill="auto" w:val="clear"/>
            <w:vAlign w:val="center"/>
          </w:tcPr>
          <w:p>
            <w:pPr>
              <w:pStyle w:val="TableContents"/>
              <w:spacing w:before="0" w:after="0"/>
              <w:ind w:left="0" w:right="0" w:firstLine="30"/>
              <w:rPr/>
            </w:pPr>
            <w:r>
              <w:rPr/>
              <w:t> </w:t>
            </w:r>
          </w:p>
        </w:tc>
        <w:tc>
          <w:tcPr>
            <w:tcW w:w="755"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650"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755"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755"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78"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33"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78"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47"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923" w:type="dxa"/>
            <w:gridSpan w:val="3"/>
            <w:tcBorders/>
            <w:shd w:fill="auto" w:val="clear"/>
            <w:vAlign w:val="center"/>
          </w:tcPr>
          <w:p>
            <w:pPr>
              <w:pStyle w:val="TableContents"/>
              <w:spacing w:before="0" w:after="0"/>
              <w:ind w:left="0" w:right="0" w:firstLine="420"/>
              <w:rPr/>
            </w:pPr>
            <w:r>
              <w:rPr/>
              <w:t> </w:t>
            </w:r>
          </w:p>
        </w:tc>
      </w:tr>
      <w:tr>
        <w:trPr/>
        <w:tc>
          <w:tcPr>
            <w:tcW w:w="129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10" w:type="dxa"/>
            <w:tcBorders/>
            <w:shd w:fill="CCEEFF" w:val="clear"/>
            <w:vAlign w:val="center"/>
          </w:tcPr>
          <w:p>
            <w:pPr>
              <w:pStyle w:val="TableContents"/>
              <w:spacing w:before="0" w:after="0"/>
              <w:jc w:val="right"/>
              <w:rPr>
                <w:rFonts w:ascii="inherit" w:hAnsi="inherit"/>
                <w:sz w:val="15"/>
              </w:rPr>
            </w:pPr>
            <w:r>
              <w:rPr>
                <w:rFonts w:ascii="inherit" w:hAnsi="inherit"/>
                <w:sz w:val="15"/>
              </w:rPr>
              <w:t>8,909</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3" w:type="dxa"/>
            <w:tcBorders/>
            <w:shd w:fill="CCEEFF" w:val="clear"/>
            <w:vAlign w:val="center"/>
          </w:tcPr>
          <w:p>
            <w:pPr>
              <w:pStyle w:val="TableContents"/>
              <w:spacing w:before="0" w:after="0"/>
              <w:jc w:val="right"/>
              <w:rPr>
                <w:rFonts w:ascii="inherit" w:hAnsi="inherit"/>
                <w:sz w:val="15"/>
              </w:rPr>
            </w:pPr>
            <w:r>
              <w:rPr>
                <w:rFonts w:ascii="inherit" w:hAnsi="inherit"/>
                <w:sz w:val="15"/>
              </w:rPr>
              <w:t>5,354</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468" w:type="dxa"/>
            <w:tcBorders/>
            <w:shd w:fill="CCEEFF" w:val="clear"/>
            <w:vAlign w:val="center"/>
          </w:tcPr>
          <w:p>
            <w:pPr>
              <w:pStyle w:val="TableContents"/>
              <w:spacing w:before="0" w:after="0"/>
              <w:jc w:val="right"/>
              <w:rPr>
                <w:rFonts w:ascii="inherit" w:hAnsi="inherit"/>
                <w:sz w:val="15"/>
              </w:rPr>
            </w:pPr>
            <w:r>
              <w:rPr>
                <w:rFonts w:ascii="inherit" w:hAnsi="inherit"/>
                <w:sz w:val="15"/>
              </w:rPr>
              <w:t>1,584</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3" w:type="dxa"/>
            <w:tcBorders/>
            <w:shd w:fill="CCEEFF" w:val="clear"/>
            <w:vAlign w:val="center"/>
          </w:tcPr>
          <w:p>
            <w:pPr>
              <w:pStyle w:val="TableContents"/>
              <w:spacing w:before="0" w:after="0"/>
              <w:jc w:val="right"/>
              <w:rPr>
                <w:rFonts w:ascii="inherit" w:hAnsi="inherit"/>
                <w:sz w:val="15"/>
              </w:rPr>
            </w:pPr>
            <w:r>
              <w:rPr>
                <w:rFonts w:ascii="inherit" w:hAnsi="inherit"/>
                <w:sz w:val="15"/>
              </w:rPr>
              <w:t>29,492</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3" w:type="dxa"/>
            <w:tcBorders/>
            <w:shd w:fill="CCEEFF" w:val="clear"/>
            <w:vAlign w:val="center"/>
          </w:tcPr>
          <w:p>
            <w:pPr>
              <w:pStyle w:val="TableContents"/>
              <w:spacing w:before="0" w:after="0"/>
              <w:jc w:val="right"/>
              <w:rPr>
                <w:rFonts w:ascii="inherit" w:hAnsi="inherit"/>
                <w:sz w:val="15"/>
              </w:rPr>
            </w:pPr>
            <w:r>
              <w:rPr>
                <w:rFonts w:ascii="inherit" w:hAnsi="inherit"/>
                <w:sz w:val="15"/>
              </w:rPr>
              <w:t>45,339</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9" w:type="dxa"/>
            <w:tcBorders/>
            <w:shd w:fill="CCEEFF" w:val="clear"/>
            <w:vAlign w:val="center"/>
          </w:tcPr>
          <w:p>
            <w:pPr>
              <w:pStyle w:val="TableContents"/>
              <w:spacing w:before="0" w:after="0"/>
              <w:jc w:val="right"/>
              <w:rPr>
                <w:rFonts w:ascii="inherit" w:hAnsi="inherit"/>
                <w:sz w:val="15"/>
              </w:rPr>
            </w:pPr>
            <w:r>
              <w:rPr>
                <w:rFonts w:ascii="inherit" w:hAnsi="inherit"/>
                <w:sz w:val="15"/>
              </w:rPr>
              <w:t>63,467</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95" w:type="dxa"/>
            <w:tcBorders/>
            <w:shd w:fill="CCEEFF" w:val="clear"/>
            <w:vAlign w:val="center"/>
          </w:tcPr>
          <w:p>
            <w:pPr>
              <w:pStyle w:val="TableContents"/>
              <w:spacing w:before="0" w:after="0"/>
              <w:jc w:val="right"/>
              <w:rPr>
                <w:rFonts w:ascii="inherit" w:hAnsi="inherit"/>
                <w:sz w:val="15"/>
              </w:rPr>
            </w:pPr>
            <w:r>
              <w:rPr>
                <w:rFonts w:ascii="inherit" w:hAnsi="inherit"/>
                <w:sz w:val="15"/>
              </w:rPr>
              <w:t>(674</w:t>
            </w:r>
          </w:p>
        </w:tc>
        <w:tc>
          <w:tcPr>
            <w:tcW w:w="11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05" w:type="dxa"/>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3" w:type="dxa"/>
            <w:tcBorders/>
            <w:shd w:fill="CCEEFF" w:val="clear"/>
            <w:vAlign w:val="center"/>
          </w:tcPr>
          <w:p>
            <w:pPr>
              <w:pStyle w:val="TableContents"/>
              <w:spacing w:before="0" w:after="0"/>
              <w:jc w:val="right"/>
              <w:rPr>
                <w:rFonts w:ascii="inherit" w:hAnsi="inherit"/>
                <w:sz w:val="15"/>
              </w:rPr>
            </w:pPr>
            <w:r>
              <w:rPr>
                <w:rFonts w:ascii="inherit" w:hAnsi="inherit"/>
                <w:sz w:val="15"/>
              </w:rPr>
              <w:t>108,132</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37" w:type="dxa"/>
            <w:tcBorders/>
            <w:shd w:fill="CCEEFF" w:val="clear"/>
            <w:vAlign w:val="center"/>
          </w:tcPr>
          <w:p>
            <w:pPr>
              <w:pStyle w:val="TableContents"/>
              <w:spacing w:before="0" w:after="0"/>
              <w:jc w:val="right"/>
              <w:rPr>
                <w:rFonts w:ascii="inherit" w:hAnsi="inherit"/>
                <w:sz w:val="15"/>
              </w:rPr>
            </w:pPr>
            <w:r>
              <w:rPr>
                <w:rFonts w:ascii="inherit" w:hAnsi="inherit"/>
                <w:sz w:val="15"/>
              </w:rPr>
              <w:t>972</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86" w:type="dxa"/>
            <w:tcBorders/>
            <w:shd w:fill="CCEEFF" w:val="clear"/>
            <w:vAlign w:val="center"/>
          </w:tcPr>
          <w:p>
            <w:pPr>
              <w:pStyle w:val="TableContents"/>
              <w:spacing w:before="0" w:after="0"/>
              <w:jc w:val="right"/>
              <w:rPr>
                <w:rFonts w:ascii="inherit" w:hAnsi="inherit"/>
                <w:sz w:val="15"/>
              </w:rPr>
            </w:pPr>
            <w:r>
              <w:rPr>
                <w:rFonts w:ascii="inherit" w:hAnsi="inherit"/>
                <w:sz w:val="15"/>
              </w:rPr>
              <w:t>29,492</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86" w:type="dxa"/>
            <w:gridSpan w:val="4"/>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September 30, 2012</w:t>
            </w:r>
          </w:p>
        </w:tc>
        <w:tc>
          <w:tcPr>
            <w:tcW w:w="105" w:type="dxa"/>
            <w:tcBorders/>
            <w:shd w:fill="auto" w:val="clear"/>
            <w:vAlign w:val="center"/>
          </w:tcPr>
          <w:p>
            <w:pPr>
              <w:pStyle w:val="TableContents"/>
              <w:spacing w:before="0" w:after="0"/>
              <w:ind w:left="0" w:right="0" w:firstLine="30"/>
              <w:rPr/>
            </w:pPr>
            <w:r>
              <w:rPr/>
              <w:t> </w:t>
            </w:r>
          </w:p>
        </w:tc>
        <w:tc>
          <w:tcPr>
            <w:tcW w:w="755"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650"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755"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755"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78"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33"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78"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847"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923" w:type="dxa"/>
            <w:gridSpan w:val="3"/>
            <w:tcBorders/>
            <w:shd w:fill="auto" w:val="clear"/>
            <w:vAlign w:val="center"/>
          </w:tcPr>
          <w:p>
            <w:pPr>
              <w:pStyle w:val="TableContents"/>
              <w:spacing w:before="0" w:after="0"/>
              <w:ind w:left="0" w:right="0" w:firstLine="420"/>
              <w:rPr/>
            </w:pPr>
            <w:r>
              <w:rPr/>
              <w:t> </w:t>
            </w:r>
          </w:p>
        </w:tc>
      </w:tr>
      <w:tr>
        <w:trPr/>
        <w:tc>
          <w:tcPr>
            <w:tcW w:w="129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10" w:type="dxa"/>
            <w:tcBorders/>
            <w:shd w:fill="CCEEFF" w:val="clear"/>
            <w:vAlign w:val="center"/>
          </w:tcPr>
          <w:p>
            <w:pPr>
              <w:pStyle w:val="TableContents"/>
              <w:spacing w:before="0" w:after="0"/>
              <w:jc w:val="right"/>
              <w:rPr>
                <w:rFonts w:ascii="inherit" w:hAnsi="inherit"/>
                <w:sz w:val="15"/>
              </w:rPr>
            </w:pPr>
            <w:r>
              <w:rPr>
                <w:rFonts w:ascii="inherit" w:hAnsi="inherit"/>
                <w:sz w:val="15"/>
              </w:rPr>
              <w:t>2,465</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3" w:type="dxa"/>
            <w:tcBorders/>
            <w:shd w:fill="CCEEFF" w:val="clear"/>
            <w:vAlign w:val="center"/>
          </w:tcPr>
          <w:p>
            <w:pPr>
              <w:pStyle w:val="TableContents"/>
              <w:spacing w:before="0" w:after="0"/>
              <w:jc w:val="right"/>
              <w:rPr>
                <w:rFonts w:ascii="inherit" w:hAnsi="inherit"/>
                <w:sz w:val="15"/>
              </w:rPr>
            </w:pPr>
            <w:r>
              <w:rPr>
                <w:rFonts w:ascii="inherit" w:hAnsi="inherit"/>
                <w:sz w:val="15"/>
              </w:rPr>
              <w:t>28,783</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468" w:type="dxa"/>
            <w:tcBorders/>
            <w:shd w:fill="CCEEFF" w:val="clear"/>
            <w:vAlign w:val="center"/>
          </w:tcPr>
          <w:p>
            <w:pPr>
              <w:pStyle w:val="TableContents"/>
              <w:spacing w:before="0" w:after="0"/>
              <w:jc w:val="right"/>
              <w:rPr>
                <w:rFonts w:ascii="inherit" w:hAnsi="inherit"/>
                <w:sz w:val="15"/>
              </w:rPr>
            </w:pPr>
            <w:r>
              <w:rPr>
                <w:rFonts w:ascii="inherit" w:hAnsi="inherit"/>
                <w:sz w:val="15"/>
              </w:rPr>
              <w:t>949</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3" w:type="dxa"/>
            <w:tcBorders/>
            <w:shd w:fill="CCEEFF" w:val="clear"/>
            <w:vAlign w:val="center"/>
          </w:tcPr>
          <w:p>
            <w:pPr>
              <w:pStyle w:val="TableContents"/>
              <w:spacing w:before="0" w:after="0"/>
              <w:jc w:val="right"/>
              <w:rPr>
                <w:rFonts w:ascii="inherit" w:hAnsi="inherit"/>
                <w:sz w:val="15"/>
              </w:rPr>
            </w:pPr>
            <w:r>
              <w:rPr>
                <w:rFonts w:ascii="inherit" w:hAnsi="inherit"/>
                <w:sz w:val="15"/>
              </w:rPr>
              <w:t>7,507</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3" w:type="dxa"/>
            <w:tcBorders/>
            <w:shd w:fill="CCEEFF" w:val="clear"/>
            <w:vAlign w:val="center"/>
          </w:tcPr>
          <w:p>
            <w:pPr>
              <w:pStyle w:val="TableContents"/>
              <w:spacing w:before="0" w:after="0"/>
              <w:jc w:val="right"/>
              <w:rPr>
                <w:rFonts w:ascii="inherit" w:hAnsi="inherit"/>
                <w:sz w:val="15"/>
              </w:rPr>
            </w:pPr>
            <w:r>
              <w:rPr>
                <w:rFonts w:ascii="inherit" w:hAnsi="inherit"/>
                <w:sz w:val="15"/>
              </w:rPr>
              <w:t>39,704</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9" w:type="dxa"/>
            <w:tcBorders/>
            <w:shd w:fill="CCEEFF" w:val="clear"/>
            <w:vAlign w:val="center"/>
          </w:tcPr>
          <w:p>
            <w:pPr>
              <w:pStyle w:val="TableContents"/>
              <w:spacing w:before="0" w:after="0"/>
              <w:jc w:val="right"/>
              <w:rPr>
                <w:rFonts w:ascii="inherit" w:hAnsi="inherit"/>
                <w:sz w:val="15"/>
              </w:rPr>
            </w:pPr>
            <w:r>
              <w:rPr>
                <w:rFonts w:ascii="inherit" w:hAnsi="inherit"/>
                <w:sz w:val="15"/>
              </w:rPr>
              <w:t>37,120</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95" w:type="dxa"/>
            <w:tcBorders/>
            <w:shd w:fill="CCEEFF" w:val="clear"/>
            <w:vAlign w:val="center"/>
          </w:tcPr>
          <w:p>
            <w:pPr>
              <w:pStyle w:val="TableContents"/>
              <w:spacing w:before="0" w:after="0"/>
              <w:jc w:val="right"/>
              <w:rPr>
                <w:rFonts w:ascii="inherit" w:hAnsi="inherit"/>
                <w:sz w:val="15"/>
              </w:rPr>
            </w:pPr>
            <w:r>
              <w:rPr>
                <w:rFonts w:ascii="inherit" w:hAnsi="inherit"/>
                <w:sz w:val="15"/>
              </w:rPr>
              <w:t>(2,779</w:t>
            </w:r>
          </w:p>
        </w:tc>
        <w:tc>
          <w:tcPr>
            <w:tcW w:w="11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05" w:type="dxa"/>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3" w:type="dxa"/>
            <w:tcBorders/>
            <w:shd w:fill="CCEEFF" w:val="clear"/>
            <w:vAlign w:val="center"/>
          </w:tcPr>
          <w:p>
            <w:pPr>
              <w:pStyle w:val="TableContents"/>
              <w:spacing w:before="0" w:after="0"/>
              <w:jc w:val="right"/>
              <w:rPr>
                <w:rFonts w:ascii="inherit" w:hAnsi="inherit"/>
                <w:sz w:val="15"/>
              </w:rPr>
            </w:pPr>
            <w:r>
              <w:rPr>
                <w:rFonts w:ascii="inherit" w:hAnsi="inherit"/>
                <w:sz w:val="15"/>
              </w:rPr>
              <w:t>74,045</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37" w:type="dxa"/>
            <w:tcBorders/>
            <w:shd w:fill="CCEEFF" w:val="clear"/>
            <w:vAlign w:val="center"/>
          </w:tcPr>
          <w:p>
            <w:pPr>
              <w:pStyle w:val="TableContents"/>
              <w:spacing w:before="0" w:after="0"/>
              <w:jc w:val="right"/>
              <w:rPr>
                <w:rFonts w:ascii="inherit" w:hAnsi="inherit"/>
                <w:sz w:val="15"/>
              </w:rPr>
            </w:pPr>
            <w:r>
              <w:rPr>
                <w:rFonts w:ascii="inherit" w:hAnsi="inherit"/>
                <w:sz w:val="15"/>
              </w:rPr>
              <w:t>623</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86" w:type="dxa"/>
            <w:tcBorders/>
            <w:shd w:fill="CCEEFF" w:val="clear"/>
            <w:vAlign w:val="center"/>
          </w:tcPr>
          <w:p>
            <w:pPr>
              <w:pStyle w:val="TableContents"/>
              <w:spacing w:before="0" w:after="0"/>
              <w:jc w:val="right"/>
              <w:rPr>
                <w:rFonts w:ascii="inherit" w:hAnsi="inherit"/>
                <w:sz w:val="15"/>
              </w:rPr>
            </w:pPr>
            <w:r>
              <w:rPr>
                <w:rFonts w:ascii="inherit" w:hAnsi="inherit"/>
                <w:sz w:val="15"/>
              </w:rPr>
              <w:t>7,506</w:t>
            </w:r>
          </w:p>
        </w:tc>
        <w:tc>
          <w:tcPr>
            <w:tcW w:w="103"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3"/>
        </w:rPr>
      </w:pPr>
      <w:r>
        <w:rPr>
          <w:rFonts w:ascii="inherit" w:hAnsi="inherit"/>
          <w:sz w:val="13"/>
        </w:rPr>
        <w:t>* Unsecured short-term consumer loans amounts are included for periods after the acquisition of Go Cash.</w:t>
      </w:r>
    </w:p>
    <w:p>
      <w:pPr>
        <w:pStyle w:val="TextBody"/>
        <w:spacing w:lineRule="auto" w:line="288" w:before="0" w:after="0"/>
        <w:jc w:val="left"/>
        <w:rPr>
          <w:rFonts w:ascii="inherit" w:hAnsi="inherit"/>
          <w:b/>
          <w:sz w:val="17"/>
        </w:rPr>
      </w:pPr>
      <w:bookmarkStart w:id="95" w:name="s7E9959227FCCC0C0B70A83E26F168CE5"/>
      <w:bookmarkEnd w:id="95"/>
      <w:r>
        <w:rPr>
          <w:rFonts w:ascii="inherit" w:hAnsi="inherit"/>
          <w:b/>
          <w:sz w:val="17"/>
        </w:rPr>
        <w:t>NOTE 21: FAIR VALUE MEASUREMENTS</w:t>
      </w:r>
    </w:p>
    <w:p>
      <w:pPr>
        <w:pStyle w:val="TextBody"/>
        <w:spacing w:lineRule="auto" w:line="288" w:before="0" w:after="0"/>
        <w:jc w:val="left"/>
        <w:rPr>
          <w:rFonts w:ascii="inherit" w:hAnsi="inherit"/>
          <w:b/>
          <w:i/>
          <w:sz w:val="17"/>
        </w:rPr>
      </w:pPr>
      <w:r>
        <w:rPr>
          <w:rFonts w:ascii="inherit" w:hAnsi="inherit"/>
          <w:b/>
          <w:i/>
          <w:sz w:val="17"/>
        </w:rPr>
        <w:t>Recurring Fair Value Measurements</w:t>
      </w:r>
    </w:p>
    <w:p>
      <w:pPr>
        <w:pStyle w:val="TextBody"/>
        <w:spacing w:lineRule="auto" w:line="288" w:before="0" w:after="0"/>
        <w:rPr>
          <w:sz w:val="17"/>
        </w:rPr>
      </w:pPr>
      <w:r>
        <w:rPr>
          <w:rFonts w:ascii="inherit" w:hAnsi="inherit"/>
          <w:sz w:val="17"/>
        </w:rPr>
        <w:t xml:space="preserve">In accordance with FASB ASC 820-10, </w:t>
      </w:r>
      <w:r>
        <w:rPr>
          <w:rFonts w:ascii="inherit" w:hAnsi="inherit"/>
          <w:i/>
          <w:sz w:val="17"/>
        </w:rPr>
        <w:t>Fair Value Measurements and Disclosures</w:t>
      </w:r>
      <w:r>
        <w:rPr>
          <w:rFonts w:ascii="inherit" w:hAnsi="inherit"/>
          <w:sz w:val="17"/>
        </w:rPr>
        <w:t>, our assets and liabilities, which are carried at fair value, are classified in one of the following three categories:</w:t>
      </w:r>
    </w:p>
    <w:p>
      <w:pPr>
        <w:pStyle w:val="TextBody"/>
        <w:spacing w:lineRule="auto" w:line="288" w:before="0" w:after="0"/>
        <w:rPr>
          <w:rFonts w:ascii="inherit" w:hAnsi="inherit"/>
          <w:sz w:val="17"/>
        </w:rPr>
      </w:pPr>
      <w:r>
        <w:rPr>
          <w:rFonts w:ascii="inherit" w:hAnsi="inherit"/>
          <w:sz w:val="17"/>
        </w:rPr>
        <w:t>Level 1: Quoted market prices in active markets for identical assets or liabilities.</w:t>
      </w:r>
    </w:p>
    <w:p>
      <w:pPr>
        <w:pStyle w:val="TextBody"/>
        <w:spacing w:lineRule="auto" w:line="288" w:before="0" w:after="0"/>
        <w:rPr>
          <w:rFonts w:ascii="inherit" w:hAnsi="inherit"/>
          <w:sz w:val="17"/>
        </w:rPr>
      </w:pPr>
      <w:r>
        <w:rPr>
          <w:rFonts w:ascii="inherit" w:hAnsi="inherit"/>
          <w:sz w:val="17"/>
        </w:rPr>
        <w:t>Level 2: Other observable inputs other than quoted market prices.</w:t>
      </w:r>
    </w:p>
    <w:p>
      <w:pPr>
        <w:pStyle w:val="TextBody"/>
        <w:spacing w:lineRule="auto" w:line="288" w:before="0" w:after="0"/>
        <w:rPr>
          <w:rFonts w:ascii="inherit" w:hAnsi="inherit"/>
          <w:sz w:val="17"/>
        </w:rPr>
      </w:pPr>
      <w:r>
        <w:rPr>
          <w:rFonts w:ascii="inherit" w:hAnsi="inherit"/>
          <w:sz w:val="17"/>
        </w:rPr>
        <w:t>Level 3: Unobservable inputs that are not corroborated by market data.</w:t>
      </w:r>
    </w:p>
    <w:p>
      <w:pPr>
        <w:pStyle w:val="TextBody"/>
        <w:spacing w:lineRule="auto" w:line="288" w:before="0" w:after="0"/>
        <w:rPr>
          <w:rFonts w:ascii="inherit" w:hAnsi="inherit"/>
          <w:sz w:val="17"/>
        </w:rPr>
      </w:pPr>
      <w:r>
        <w:rPr>
          <w:rFonts w:ascii="inherit" w:hAnsi="inherit"/>
          <w:sz w:val="17"/>
        </w:rPr>
        <w:t>The tables below present our financial assets that are measured at fair value on a recurring basis as of September 30, 2013 and 2012:</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3920"/>
        <w:gridCol w:w="131"/>
        <w:gridCol w:w="154"/>
        <w:gridCol w:w="1215"/>
        <w:gridCol w:w="144"/>
        <w:gridCol w:w="131"/>
        <w:gridCol w:w="155"/>
        <w:gridCol w:w="1108"/>
        <w:gridCol w:w="90"/>
        <w:gridCol w:w="131"/>
        <w:gridCol w:w="155"/>
        <w:gridCol w:w="1108"/>
        <w:gridCol w:w="90"/>
        <w:gridCol w:w="131"/>
        <w:gridCol w:w="155"/>
        <w:gridCol w:w="1221"/>
        <w:gridCol w:w="166"/>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392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20" w:type="dxa"/>
            <w:tcBorders/>
            <w:shd w:fill="auto" w:val="clear"/>
            <w:vAlign w:val="center"/>
          </w:tcPr>
          <w:p>
            <w:pPr>
              <w:pStyle w:val="TableContents"/>
              <w:spacing w:before="0" w:after="0"/>
              <w:ind w:left="0" w:right="0" w:firstLine="30"/>
              <w:jc w:val="left"/>
              <w:rPr/>
            </w:pPr>
            <w:r>
              <w:rPr/>
              <w:t> </w:t>
            </w:r>
          </w:p>
        </w:tc>
        <w:tc>
          <w:tcPr>
            <w:tcW w:w="131" w:type="dxa"/>
            <w:vMerge w:val="restart"/>
            <w:tcBorders/>
            <w:shd w:fill="auto" w:val="clear"/>
            <w:vAlign w:val="center"/>
          </w:tcPr>
          <w:p>
            <w:pPr>
              <w:pStyle w:val="TableContents"/>
              <w:spacing w:before="0" w:after="0"/>
              <w:ind w:left="0" w:right="0" w:firstLine="30"/>
              <w:rPr/>
            </w:pPr>
            <w:r>
              <w:rPr/>
              <w:t> </w:t>
            </w:r>
          </w:p>
        </w:tc>
        <w:tc>
          <w:tcPr>
            <w:tcW w:w="1513"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2013</w:t>
            </w:r>
          </w:p>
        </w:tc>
        <w:tc>
          <w:tcPr>
            <w:tcW w:w="131" w:type="dxa"/>
            <w:vMerge w:val="restart"/>
            <w:tcBorders/>
            <w:shd w:fill="auto" w:val="clear"/>
            <w:vAlign w:val="center"/>
          </w:tcPr>
          <w:p>
            <w:pPr>
              <w:pStyle w:val="TableContents"/>
              <w:spacing w:before="0" w:after="0"/>
              <w:ind w:left="0" w:right="0" w:firstLine="30"/>
              <w:rPr/>
            </w:pPr>
            <w:r>
              <w:rPr/>
              <w:t> </w:t>
            </w:r>
          </w:p>
        </w:tc>
        <w:tc>
          <w:tcPr>
            <w:tcW w:w="451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Measurements Using</w:t>
            </w:r>
          </w:p>
        </w:tc>
      </w:tr>
      <w:tr>
        <w:trPr/>
        <w:tc>
          <w:tcPr>
            <w:tcW w:w="392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Financial assets (liabilities or temporary equity):</w:t>
            </w:r>
          </w:p>
        </w:tc>
        <w:tc>
          <w:tcPr>
            <w:tcW w:w="131" w:type="dxa"/>
            <w:vMerge w:val="continue"/>
            <w:tcBorders/>
            <w:shd w:fill="auto" w:val="clear"/>
            <w:vAlign w:val="center"/>
          </w:tcPr>
          <w:p>
            <w:pPr>
              <w:pStyle w:val="Normal"/>
              <w:rPr/>
            </w:pPr>
            <w:r>
              <w:rPr/>
            </w:r>
          </w:p>
        </w:tc>
        <w:tc>
          <w:tcPr>
            <w:tcW w:w="1513" w:type="dxa"/>
            <w:gridSpan w:val="3"/>
            <w:vMerge w:val="continue"/>
            <w:tcBorders>
              <w:bottom w:val="single" w:sz="2" w:space="0" w:color="000000"/>
            </w:tcBorders>
            <w:shd w:fill="auto" w:val="clear"/>
            <w:tcMar>
              <w:bottom w:w="30" w:type="dxa"/>
            </w:tcMar>
            <w:vAlign w:val="center"/>
          </w:tcPr>
          <w:p>
            <w:pPr>
              <w:pStyle w:val="Normal"/>
              <w:rPr/>
            </w:pPr>
            <w:r>
              <w:rPr/>
            </w:r>
          </w:p>
        </w:tc>
        <w:tc>
          <w:tcPr>
            <w:tcW w:w="131" w:type="dxa"/>
            <w:vMerge w:val="continue"/>
            <w:tcBorders/>
            <w:shd w:fill="auto" w:val="clear"/>
            <w:vAlign w:val="center"/>
          </w:tcPr>
          <w:p>
            <w:pPr>
              <w:pStyle w:val="Normal"/>
              <w:rPr/>
            </w:pPr>
            <w:r>
              <w:rPr/>
            </w:r>
          </w:p>
        </w:tc>
        <w:tc>
          <w:tcPr>
            <w:tcW w:w="13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131" w:type="dxa"/>
            <w:tcBorders/>
            <w:shd w:fill="auto" w:val="clear"/>
            <w:vAlign w:val="center"/>
          </w:tcPr>
          <w:p>
            <w:pPr>
              <w:pStyle w:val="TableContents"/>
              <w:spacing w:before="0" w:after="0"/>
              <w:ind w:left="0" w:right="0" w:firstLine="30"/>
              <w:rPr/>
            </w:pPr>
            <w:r>
              <w:rPr/>
              <w:t> </w:t>
            </w:r>
          </w:p>
        </w:tc>
        <w:tc>
          <w:tcPr>
            <w:tcW w:w="13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131" w:type="dxa"/>
            <w:tcBorders/>
            <w:shd w:fill="auto" w:val="clear"/>
            <w:vAlign w:val="center"/>
          </w:tcPr>
          <w:p>
            <w:pPr>
              <w:pStyle w:val="TableContents"/>
              <w:spacing w:before="0" w:after="0"/>
              <w:ind w:left="0" w:right="0" w:firstLine="30"/>
              <w:rPr/>
            </w:pPr>
            <w:r>
              <w:rPr/>
              <w:t> </w:t>
            </w:r>
          </w:p>
        </w:tc>
        <w:tc>
          <w:tcPr>
            <w:tcW w:w="154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920" w:type="dxa"/>
            <w:tcBorders/>
            <w:shd w:fill="auto" w:val="clear"/>
            <w:vAlign w:val="center"/>
          </w:tcPr>
          <w:p>
            <w:pPr>
              <w:pStyle w:val="TableContents"/>
              <w:spacing w:before="0" w:after="0"/>
              <w:ind w:left="0" w:right="0" w:firstLine="30"/>
              <w:jc w:val="left"/>
              <w:rPr/>
            </w:pPr>
            <w:r>
              <w:rPr/>
              <w:t> </w:t>
            </w:r>
          </w:p>
        </w:tc>
        <w:tc>
          <w:tcPr>
            <w:tcW w:w="131" w:type="dxa"/>
            <w:tcBorders/>
            <w:shd w:fill="auto" w:val="clear"/>
            <w:vAlign w:val="center"/>
          </w:tcPr>
          <w:p>
            <w:pPr>
              <w:pStyle w:val="TableContents"/>
              <w:spacing w:before="0" w:after="0"/>
              <w:ind w:left="0" w:right="0" w:firstLine="30"/>
              <w:rPr/>
            </w:pPr>
            <w:r>
              <w:rPr/>
              <w:t> </w:t>
            </w:r>
          </w:p>
        </w:tc>
        <w:tc>
          <w:tcPr>
            <w:tcW w:w="6154"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9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Marketable equity securities</w:t>
            </w:r>
          </w:p>
        </w:tc>
        <w:tc>
          <w:tcPr>
            <w:tcW w:w="131"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5" w:type="dxa"/>
            <w:tcBorders/>
            <w:shd w:fill="CCEEFF" w:val="clear"/>
            <w:vAlign w:val="center"/>
          </w:tcPr>
          <w:p>
            <w:pPr>
              <w:pStyle w:val="TableContents"/>
              <w:spacing w:before="0" w:after="0"/>
              <w:jc w:val="right"/>
              <w:rPr>
                <w:rFonts w:ascii="inherit" w:hAnsi="inherit"/>
                <w:sz w:val="17"/>
              </w:rPr>
            </w:pPr>
            <w:r>
              <w:rPr>
                <w:rFonts w:ascii="inherit" w:hAnsi="inherit"/>
                <w:sz w:val="17"/>
              </w:rPr>
              <w:t>2,339</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8" w:type="dxa"/>
            <w:tcBorders/>
            <w:shd w:fill="CCEEFF" w:val="clear"/>
            <w:vAlign w:val="center"/>
          </w:tcPr>
          <w:p>
            <w:pPr>
              <w:pStyle w:val="TableContents"/>
              <w:spacing w:before="0" w:after="0"/>
              <w:jc w:val="right"/>
              <w:rPr>
                <w:rFonts w:ascii="inherit" w:hAnsi="inherit"/>
                <w:sz w:val="17"/>
              </w:rPr>
            </w:pPr>
            <w:r>
              <w:rPr>
                <w:rFonts w:ascii="inherit" w:hAnsi="inherit"/>
                <w:sz w:val="17"/>
              </w:rPr>
              <w:t>2,339</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8" w:type="dxa"/>
            <w:tcBorders/>
            <w:shd w:fill="CCEEFF" w:val="clear"/>
            <w:vAlign w:val="center"/>
          </w:tcPr>
          <w:p>
            <w:pPr>
              <w:pStyle w:val="TableContents"/>
              <w:spacing w:before="0" w:after="0"/>
              <w:jc w:val="right"/>
              <w:rPr/>
            </w:pPr>
            <w:r>
              <w:rPr/>
              <w:t>—</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1" w:type="dxa"/>
            <w:tcBorders/>
            <w:shd w:fill="CCEEFF" w:val="clear"/>
            <w:vAlign w:val="center"/>
          </w:tcPr>
          <w:p>
            <w:pPr>
              <w:pStyle w:val="TableContents"/>
              <w:spacing w:before="0" w:after="0"/>
              <w:jc w:val="right"/>
              <w:rPr/>
            </w:pPr>
            <w:r>
              <w:rPr/>
              <w:t>—</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Forward contracts</w:t>
            </w:r>
          </w:p>
        </w:tc>
        <w:tc>
          <w:tcPr>
            <w:tcW w:w="131" w:type="dxa"/>
            <w:tcBorders/>
            <w:shd w:fill="auto" w:val="clear"/>
            <w:vAlign w:val="center"/>
          </w:tcPr>
          <w:p>
            <w:pPr>
              <w:pStyle w:val="TableContents"/>
              <w:spacing w:before="0" w:after="0"/>
              <w:ind w:left="0" w:right="0" w:firstLine="30"/>
              <w:rPr/>
            </w:pPr>
            <w:r>
              <w:rPr/>
              <w:t> </w:t>
            </w:r>
          </w:p>
        </w:tc>
        <w:tc>
          <w:tcPr>
            <w:tcW w:w="13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1,813</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pPr>
            <w:r>
              <w:rPr/>
              <w:t>—</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1,813</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pPr>
            <w:r>
              <w:rPr/>
              <w:t>—</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Contingent consideration</w:t>
            </w:r>
          </w:p>
        </w:tc>
        <w:tc>
          <w:tcPr>
            <w:tcW w:w="131" w:type="dxa"/>
            <w:tcBorders/>
            <w:shd w:fill="CCEEFF" w:val="clear"/>
            <w:vAlign w:val="center"/>
          </w:tcPr>
          <w:p>
            <w:pPr>
              <w:pStyle w:val="TableContents"/>
              <w:spacing w:before="0" w:after="0"/>
              <w:ind w:left="0" w:right="0" w:firstLine="30"/>
              <w:rPr/>
            </w:pPr>
            <w:r>
              <w:rPr/>
              <w:t> </w:t>
            </w:r>
          </w:p>
        </w:tc>
        <w:tc>
          <w:tcPr>
            <w:tcW w:w="13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(11,297</w:t>
            </w:r>
          </w:p>
        </w:tc>
        <w:tc>
          <w:tcPr>
            <w:tcW w:w="14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26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6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7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(11,297</w:t>
            </w:r>
          </w:p>
        </w:tc>
        <w:tc>
          <w:tcPr>
            <w:tcW w:w="16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9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financial assets (liabilities or temporary equity)</w:t>
            </w:r>
          </w:p>
        </w:tc>
        <w:tc>
          <w:tcPr>
            <w:tcW w:w="131" w:type="dxa"/>
            <w:tcBorders/>
            <w:shd w:fill="auto" w:val="clear"/>
            <w:vAlign w:val="center"/>
          </w:tcPr>
          <w:p>
            <w:pPr>
              <w:pStyle w:val="TableContents"/>
              <w:spacing w:before="0" w:after="0"/>
              <w:ind w:left="0" w:right="0" w:firstLine="30"/>
              <w:rPr/>
            </w:pPr>
            <w:r>
              <w:rPr/>
              <w:t> </w:t>
            </w:r>
          </w:p>
        </w:tc>
        <w:tc>
          <w:tcPr>
            <w:tcW w:w="15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(7,145</w:t>
            </w:r>
          </w:p>
        </w:tc>
        <w:tc>
          <w:tcPr>
            <w:tcW w:w="144"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2,339</w:t>
            </w:r>
          </w:p>
        </w:tc>
        <w:tc>
          <w:tcPr>
            <w:tcW w:w="9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1,813</w:t>
            </w:r>
          </w:p>
        </w:tc>
        <w:tc>
          <w:tcPr>
            <w:tcW w:w="9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(11,297</w:t>
            </w:r>
          </w:p>
        </w:tc>
        <w:tc>
          <w:tcPr>
            <w:tcW w:w="166"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920"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1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5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5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542" w:type="dxa"/>
            <w:gridSpan w:val="3"/>
            <w:tcBorders/>
            <w:shd w:fill="auto" w:val="clear"/>
            <w:vAlign w:val="center"/>
          </w:tcPr>
          <w:p>
            <w:pPr>
              <w:pStyle w:val="TableContents"/>
              <w:spacing w:before="0" w:after="0"/>
              <w:ind w:left="0" w:right="0" w:firstLine="30"/>
              <w:rPr/>
            </w:pPr>
            <w:r>
              <w:rPr/>
              <w:t> </w:t>
            </w:r>
          </w:p>
        </w:tc>
      </w:tr>
      <w:tr>
        <w:trPr/>
        <w:tc>
          <w:tcPr>
            <w:tcW w:w="3920" w:type="dxa"/>
            <w:tcBorders/>
            <w:shd w:fill="auto" w:val="clear"/>
            <w:vAlign w:val="center"/>
          </w:tcPr>
          <w:p>
            <w:pPr>
              <w:pStyle w:val="TableContents"/>
              <w:spacing w:before="0" w:after="0"/>
              <w:ind w:left="0" w:right="0" w:firstLine="30"/>
              <w:jc w:val="left"/>
              <w:rPr/>
            </w:pPr>
            <w:r>
              <w:rPr/>
              <w:t> </w:t>
            </w:r>
          </w:p>
        </w:tc>
        <w:tc>
          <w:tcPr>
            <w:tcW w:w="131" w:type="dxa"/>
            <w:vMerge w:val="restart"/>
            <w:tcBorders/>
            <w:shd w:fill="auto" w:val="clear"/>
            <w:vAlign w:val="center"/>
          </w:tcPr>
          <w:p>
            <w:pPr>
              <w:pStyle w:val="TableContents"/>
              <w:spacing w:before="0" w:after="0"/>
              <w:ind w:left="0" w:right="0" w:firstLine="30"/>
              <w:rPr/>
            </w:pPr>
            <w:r>
              <w:rPr/>
              <w:t> </w:t>
            </w:r>
          </w:p>
        </w:tc>
        <w:tc>
          <w:tcPr>
            <w:tcW w:w="1513"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2012</w:t>
            </w:r>
          </w:p>
        </w:tc>
        <w:tc>
          <w:tcPr>
            <w:tcW w:w="131" w:type="dxa"/>
            <w:vMerge w:val="restart"/>
            <w:tcBorders/>
            <w:shd w:fill="auto" w:val="clear"/>
            <w:vAlign w:val="center"/>
          </w:tcPr>
          <w:p>
            <w:pPr>
              <w:pStyle w:val="TableContents"/>
              <w:spacing w:before="0" w:after="0"/>
              <w:ind w:left="0" w:right="0" w:firstLine="30"/>
              <w:rPr/>
            </w:pPr>
            <w:r>
              <w:rPr/>
              <w:t> </w:t>
            </w:r>
          </w:p>
        </w:tc>
        <w:tc>
          <w:tcPr>
            <w:tcW w:w="451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Measurements Using</w:t>
            </w:r>
          </w:p>
        </w:tc>
      </w:tr>
      <w:tr>
        <w:trPr/>
        <w:tc>
          <w:tcPr>
            <w:tcW w:w="392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Financial assets (liabilities or temporary equity):</w:t>
            </w:r>
          </w:p>
        </w:tc>
        <w:tc>
          <w:tcPr>
            <w:tcW w:w="131" w:type="dxa"/>
            <w:vMerge w:val="continue"/>
            <w:tcBorders/>
            <w:shd w:fill="auto" w:val="clear"/>
            <w:vAlign w:val="center"/>
          </w:tcPr>
          <w:p>
            <w:pPr>
              <w:pStyle w:val="Normal"/>
              <w:rPr/>
            </w:pPr>
            <w:r>
              <w:rPr/>
            </w:r>
          </w:p>
        </w:tc>
        <w:tc>
          <w:tcPr>
            <w:tcW w:w="1513" w:type="dxa"/>
            <w:gridSpan w:val="3"/>
            <w:vMerge w:val="continue"/>
            <w:tcBorders>
              <w:bottom w:val="single" w:sz="2" w:space="0" w:color="000000"/>
            </w:tcBorders>
            <w:shd w:fill="auto" w:val="clear"/>
            <w:tcMar>
              <w:bottom w:w="30" w:type="dxa"/>
            </w:tcMar>
            <w:vAlign w:val="center"/>
          </w:tcPr>
          <w:p>
            <w:pPr>
              <w:pStyle w:val="Normal"/>
              <w:rPr/>
            </w:pPr>
            <w:r>
              <w:rPr/>
            </w:r>
          </w:p>
        </w:tc>
        <w:tc>
          <w:tcPr>
            <w:tcW w:w="131" w:type="dxa"/>
            <w:vMerge w:val="continue"/>
            <w:tcBorders/>
            <w:shd w:fill="auto" w:val="clear"/>
            <w:vAlign w:val="center"/>
          </w:tcPr>
          <w:p>
            <w:pPr>
              <w:pStyle w:val="Normal"/>
              <w:rPr/>
            </w:pPr>
            <w:r>
              <w:rPr/>
            </w:r>
          </w:p>
        </w:tc>
        <w:tc>
          <w:tcPr>
            <w:tcW w:w="13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131" w:type="dxa"/>
            <w:tcBorders/>
            <w:shd w:fill="auto" w:val="clear"/>
            <w:vAlign w:val="center"/>
          </w:tcPr>
          <w:p>
            <w:pPr>
              <w:pStyle w:val="TableContents"/>
              <w:spacing w:before="0" w:after="0"/>
              <w:ind w:left="0" w:right="0" w:firstLine="30"/>
              <w:rPr/>
            </w:pPr>
            <w:r>
              <w:rPr/>
              <w:t> </w:t>
            </w:r>
          </w:p>
        </w:tc>
        <w:tc>
          <w:tcPr>
            <w:tcW w:w="13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131" w:type="dxa"/>
            <w:tcBorders/>
            <w:shd w:fill="auto" w:val="clear"/>
            <w:vAlign w:val="center"/>
          </w:tcPr>
          <w:p>
            <w:pPr>
              <w:pStyle w:val="TableContents"/>
              <w:spacing w:before="0" w:after="0"/>
              <w:ind w:left="0" w:right="0" w:firstLine="30"/>
              <w:rPr/>
            </w:pPr>
            <w:r>
              <w:rPr/>
              <w:t> </w:t>
            </w:r>
          </w:p>
        </w:tc>
        <w:tc>
          <w:tcPr>
            <w:tcW w:w="154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920" w:type="dxa"/>
            <w:tcBorders/>
            <w:shd w:fill="auto" w:val="clear"/>
            <w:vAlign w:val="center"/>
          </w:tcPr>
          <w:p>
            <w:pPr>
              <w:pStyle w:val="TableContents"/>
              <w:spacing w:before="0" w:after="0"/>
              <w:ind w:left="0" w:right="0" w:firstLine="30"/>
              <w:jc w:val="left"/>
              <w:rPr/>
            </w:pPr>
            <w:r>
              <w:rPr/>
              <w:t> </w:t>
            </w:r>
          </w:p>
        </w:tc>
        <w:tc>
          <w:tcPr>
            <w:tcW w:w="131" w:type="dxa"/>
            <w:tcBorders/>
            <w:shd w:fill="auto" w:val="clear"/>
            <w:vAlign w:val="center"/>
          </w:tcPr>
          <w:p>
            <w:pPr>
              <w:pStyle w:val="TableContents"/>
              <w:spacing w:before="0" w:after="0"/>
              <w:ind w:left="0" w:right="0" w:firstLine="30"/>
              <w:rPr/>
            </w:pPr>
            <w:r>
              <w:rPr/>
              <w:t> </w:t>
            </w:r>
          </w:p>
        </w:tc>
        <w:tc>
          <w:tcPr>
            <w:tcW w:w="6154"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9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Marketable equity securities</w:t>
            </w:r>
          </w:p>
        </w:tc>
        <w:tc>
          <w:tcPr>
            <w:tcW w:w="131"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5" w:type="dxa"/>
            <w:tcBorders/>
            <w:shd w:fill="CCEEFF" w:val="clear"/>
            <w:vAlign w:val="center"/>
          </w:tcPr>
          <w:p>
            <w:pPr>
              <w:pStyle w:val="TableContents"/>
              <w:spacing w:before="0" w:after="0"/>
              <w:jc w:val="right"/>
              <w:rPr>
                <w:rFonts w:ascii="inherit" w:hAnsi="inherit"/>
                <w:sz w:val="17"/>
              </w:rPr>
            </w:pPr>
            <w:r>
              <w:rPr>
                <w:rFonts w:ascii="inherit" w:hAnsi="inherit"/>
                <w:sz w:val="17"/>
              </w:rPr>
              <w:t>4,631</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8" w:type="dxa"/>
            <w:tcBorders/>
            <w:shd w:fill="CCEEFF" w:val="clear"/>
            <w:vAlign w:val="center"/>
          </w:tcPr>
          <w:p>
            <w:pPr>
              <w:pStyle w:val="TableContents"/>
              <w:spacing w:before="0" w:after="0"/>
              <w:jc w:val="right"/>
              <w:rPr>
                <w:rFonts w:ascii="inherit" w:hAnsi="inherit"/>
                <w:sz w:val="17"/>
              </w:rPr>
            </w:pPr>
            <w:r>
              <w:rPr>
                <w:rFonts w:ascii="inherit" w:hAnsi="inherit"/>
                <w:sz w:val="17"/>
              </w:rPr>
              <w:t>4,631</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8" w:type="dxa"/>
            <w:tcBorders/>
            <w:shd w:fill="CCEEFF" w:val="clear"/>
            <w:vAlign w:val="center"/>
          </w:tcPr>
          <w:p>
            <w:pPr>
              <w:pStyle w:val="TableContents"/>
              <w:spacing w:before="0" w:after="0"/>
              <w:jc w:val="right"/>
              <w:rPr/>
            </w:pPr>
            <w:r>
              <w:rPr/>
              <w:t>—</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1" w:type="dxa"/>
            <w:tcBorders/>
            <w:shd w:fill="CCEEFF" w:val="clear"/>
            <w:vAlign w:val="center"/>
          </w:tcPr>
          <w:p>
            <w:pPr>
              <w:pStyle w:val="TableContents"/>
              <w:spacing w:before="0" w:after="0"/>
              <w:jc w:val="right"/>
              <w:rPr/>
            </w:pPr>
            <w:r>
              <w:rPr/>
              <w:t>—</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Contingent consideration</w:t>
            </w:r>
          </w:p>
        </w:tc>
        <w:tc>
          <w:tcPr>
            <w:tcW w:w="131" w:type="dxa"/>
            <w:tcBorders/>
            <w:shd w:fill="auto" w:val="clear"/>
            <w:vAlign w:val="center"/>
          </w:tcPr>
          <w:p>
            <w:pPr>
              <w:pStyle w:val="TableContents"/>
              <w:spacing w:before="0" w:after="0"/>
              <w:ind w:left="0" w:right="0" w:firstLine="30"/>
              <w:rPr/>
            </w:pPr>
            <w:r>
              <w:rPr/>
              <w:t> </w:t>
            </w:r>
          </w:p>
        </w:tc>
        <w:tc>
          <w:tcPr>
            <w:tcW w:w="13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(23,432</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pPr>
            <w:r>
              <w:rPr/>
              <w:t>—</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pPr>
            <w:r>
              <w:rPr/>
              <w:t>—</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(23,432</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9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financial assets (liabilities or temporary equity)</w:t>
            </w:r>
          </w:p>
        </w:tc>
        <w:tc>
          <w:tcPr>
            <w:tcW w:w="131" w:type="dxa"/>
            <w:tcBorders/>
            <w:shd w:fill="CCEEFF" w:val="clear"/>
            <w:vAlign w:val="center"/>
          </w:tcPr>
          <w:p>
            <w:pPr>
              <w:pStyle w:val="TableContents"/>
              <w:spacing w:before="0" w:after="0"/>
              <w:ind w:left="0" w:right="0" w:firstLine="30"/>
              <w:rPr/>
            </w:pPr>
            <w:r>
              <w:rPr/>
              <w:t> </w:t>
            </w:r>
          </w:p>
        </w:tc>
        <w:tc>
          <w:tcPr>
            <w:tcW w:w="15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(18,801</w:t>
            </w:r>
          </w:p>
        </w:tc>
        <w:tc>
          <w:tcPr>
            <w:tcW w:w="14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4,631</w:t>
            </w:r>
          </w:p>
        </w:tc>
        <w:tc>
          <w:tcPr>
            <w:tcW w:w="9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9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(23,432</w:t>
            </w:r>
          </w:p>
        </w:tc>
        <w:tc>
          <w:tcPr>
            <w:tcW w:w="16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We measure the value of our marketable equity securities under a Level 1 input. These assets are publicly traded equity securities for which market prices are readily available. There were </w:t>
      </w:r>
      <w:r>
        <w:rPr>
          <w:rFonts w:ascii="inherit" w:hAnsi="inherit"/>
          <w:strike w:val="false"/>
          <w:dstrike w:val="false"/>
          <w:color w:val="000000"/>
          <w:sz w:val="17"/>
          <w:u w:val="none"/>
          <w:effect w:val="none"/>
        </w:rPr>
        <w:t>no</w:t>
      </w:r>
      <w:r>
        <w:rPr>
          <w:sz w:val="17"/>
        </w:rPr>
        <w:t xml:space="preserve"> </w:t>
      </w:r>
      <w:r>
        <w:rPr>
          <w:rFonts w:ascii="inherit" w:hAnsi="inherit"/>
          <w:sz w:val="17"/>
        </w:rPr>
        <w:t xml:space="preserve">transfers of assets in or out of Level 1 or Level 2 fair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101</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value measurements in the periods presented. In fiscal </w:t>
      </w:r>
      <w:r>
        <w:rPr>
          <w:rFonts w:ascii="inherit" w:hAnsi="inherit"/>
          <w:strike w:val="false"/>
          <w:dstrike w:val="false"/>
          <w:color w:val="000000"/>
          <w:sz w:val="17"/>
          <w:u w:val="none"/>
          <w:effect w:val="none"/>
        </w:rPr>
        <w:t>2013</w:t>
      </w:r>
      <w:r>
        <w:rPr>
          <w:sz w:val="17"/>
        </w:rPr>
        <w:t xml:space="preserve"> </w:t>
      </w:r>
      <w:r>
        <w:rPr>
          <w:rFonts w:ascii="inherit" w:hAnsi="inherit"/>
          <w:sz w:val="17"/>
        </w:rPr>
        <w:t xml:space="preserve">we recorded an impairment loss of $2.1 million. This amount is included in the impairment of investments line in our consolidated statement of operations.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Grupo Finmart measures the value of the forward contracts under a Level 2 input. To measure the fair value of the forward contracts, Grupo Finmart used estimations of expected cash flows, appropriately risk-adjusted discount rates and available observable inputs (term of the forward, notional amount, discount rates based on local and foreign rate curves, and a credit value adjustment to consider the likelihood of nonperformance).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We used an income approach to measure the fair value of the contingent consideration using a probability-weighted discounted cash flow approach, in which all outcomes were successful. The significant inputs used for the valuation are not observable in the market, as they are specifically related to Grupo Finmart, and thus this fair value measurement represents a Level 3 measurement within the fair value hierarchy. In April 2013, we paid $12.8 million</w:t>
      </w:r>
      <w:r>
        <w:rPr>
          <w:sz w:val="17"/>
        </w:rPr>
        <w:t xml:space="preserve"> </w:t>
      </w:r>
      <w:r>
        <w:rPr>
          <w:rFonts w:ascii="inherit" w:hAnsi="inherit"/>
          <w:sz w:val="17"/>
        </w:rPr>
        <w:t xml:space="preserve">in contingent consideration to Grupo Finmart's noncontrolling owners. On June 30, 2013, we recorded additional contingent consideration of </w:t>
      </w:r>
      <w:r>
        <w:rPr>
          <w:rFonts w:ascii="inherit" w:hAnsi="inherit"/>
          <w:strike w:val="false"/>
          <w:dstrike w:val="false"/>
          <w:color w:val="000000"/>
          <w:sz w:val="17"/>
          <w:u w:val="none"/>
          <w:effect w:val="none"/>
        </w:rPr>
        <w:t>$0.2 million</w:t>
      </w:r>
      <w:r>
        <w:rPr>
          <w:sz w:val="17"/>
        </w:rPr>
        <w:t xml:space="preserve"> </w:t>
      </w:r>
      <w:r>
        <w:rPr>
          <w:rFonts w:ascii="inherit" w:hAnsi="inherit"/>
          <w:sz w:val="17"/>
        </w:rPr>
        <w:t xml:space="preserve">due to Grupo Finmart's acquisition of a loan portfolio. During fiscal year 2013, we recorded accretion expense of </w:t>
      </w:r>
      <w:r>
        <w:rPr>
          <w:rFonts w:ascii="inherit" w:hAnsi="inherit"/>
          <w:strike w:val="false"/>
          <w:dstrike w:val="false"/>
          <w:color w:val="000000"/>
          <w:sz w:val="17"/>
          <w:u w:val="none"/>
          <w:effect w:val="none"/>
        </w:rPr>
        <w:t>$0.5 million</w:t>
      </w:r>
      <w:r>
        <w:rPr>
          <w:rFonts w:ascii="inherit" w:hAnsi="inherit"/>
          <w:sz w:val="17"/>
        </w:rPr>
        <w:t xml:space="preserve">, bringing the contingent consideration liability to </w:t>
      </w:r>
      <w:r>
        <w:rPr>
          <w:rFonts w:ascii="inherit" w:hAnsi="inherit"/>
          <w:strike w:val="false"/>
          <w:dstrike w:val="false"/>
          <w:color w:val="000000"/>
          <w:sz w:val="17"/>
          <w:u w:val="none"/>
          <w:effect w:val="none"/>
        </w:rPr>
        <w:t>$11.3 million</w:t>
      </w:r>
      <w:r>
        <w:rPr>
          <w:sz w:val="17"/>
        </w:rPr>
        <w:t xml:space="preserve"> </w:t>
      </w:r>
      <w:r>
        <w:rPr>
          <w:rFonts w:ascii="inherit" w:hAnsi="inherit"/>
          <w:sz w:val="17"/>
        </w:rPr>
        <w:t xml:space="preserve">at September 30, 2013. During fiscal year 2012, we recorded accretion expense of </w:t>
      </w:r>
      <w:r>
        <w:rPr>
          <w:rFonts w:ascii="inherit" w:hAnsi="inherit"/>
          <w:strike w:val="false"/>
          <w:dstrike w:val="false"/>
          <w:color w:val="000000"/>
          <w:sz w:val="17"/>
          <w:u w:val="none"/>
          <w:effect w:val="none"/>
        </w:rPr>
        <w:t>$0.5 million</w:t>
      </w:r>
      <w:r>
        <w:rPr>
          <w:sz w:val="17"/>
        </w:rPr>
        <w:t xml:space="preserve"> </w:t>
      </w:r>
      <w:r>
        <w:rPr>
          <w:rFonts w:ascii="inherit" w:hAnsi="inherit"/>
          <w:sz w:val="17"/>
        </w:rPr>
        <w:t xml:space="preserve">to bring the contingent liability to </w:t>
      </w:r>
      <w:r>
        <w:rPr>
          <w:rFonts w:ascii="inherit" w:hAnsi="inherit"/>
          <w:strike w:val="false"/>
          <w:dstrike w:val="false"/>
          <w:color w:val="000000"/>
          <w:sz w:val="17"/>
          <w:u w:val="none"/>
          <w:effect w:val="none"/>
        </w:rPr>
        <w:t>$23.4 million</w:t>
      </w:r>
      <w:r>
        <w:rPr>
          <w:sz w:val="17"/>
        </w:rPr>
        <w:t xml:space="preserve"> </w:t>
      </w:r>
      <w:r>
        <w:rPr>
          <w:rFonts w:ascii="inherit" w:hAnsi="inherit"/>
          <w:sz w:val="17"/>
        </w:rPr>
        <w:t xml:space="preserve">at September 30, 2012. These accretion expense amounts are included in administrative expenses in our consolidated statement of operations. </w:t>
      </w:r>
    </w:p>
    <w:p>
      <w:pPr>
        <w:pStyle w:val="TextBody"/>
        <w:spacing w:lineRule="auto" w:line="288" w:before="0" w:after="0"/>
        <w:jc w:val="left"/>
        <w:rPr>
          <w:rFonts w:ascii="inherit" w:hAnsi="inherit"/>
          <w:sz w:val="17"/>
        </w:rPr>
      </w:pPr>
      <w:r>
        <w:rPr>
          <w:rFonts w:ascii="inherit" w:hAnsi="inherit"/>
          <w:sz w:val="17"/>
        </w:rPr>
        <w:t>The fair value of temporary equity was estimated by applying an income approach and a market approach. This fair value measurement is based on significant inputs that are not observable in the market and thus represents a Level 3 measurement. Key assumptions include discounts for lack of control and lack of marketability that market participants would consider when estimating the fair value of the noncontrolling interest.</w:t>
      </w:r>
    </w:p>
    <w:p>
      <w:pPr>
        <w:pStyle w:val="TextBody"/>
        <w:spacing w:lineRule="auto" w:line="288" w:before="0" w:after="0"/>
        <w:jc w:val="left"/>
        <w:rPr>
          <w:rFonts w:ascii="inherit" w:hAnsi="inherit"/>
          <w:b/>
          <w:i/>
          <w:sz w:val="17"/>
        </w:rPr>
      </w:pPr>
      <w:r>
        <w:rPr>
          <w:rFonts w:ascii="inherit" w:hAnsi="inherit"/>
          <w:b/>
          <w:i/>
          <w:sz w:val="17"/>
        </w:rPr>
        <w:t>Financial Assets and Liabilities Not Measured at Fair Value</w:t>
      </w:r>
    </w:p>
    <w:p>
      <w:pPr>
        <w:pStyle w:val="TextBody"/>
        <w:spacing w:lineRule="auto" w:line="288" w:before="0" w:after="0"/>
        <w:jc w:val="left"/>
        <w:rPr>
          <w:rFonts w:ascii="inherit" w:hAnsi="inherit"/>
          <w:sz w:val="17"/>
        </w:rPr>
      </w:pPr>
      <w:r>
        <w:rPr>
          <w:rFonts w:ascii="inherit" w:hAnsi="inherit"/>
          <w:sz w:val="17"/>
        </w:rPr>
        <w:t>Our financial assets and liabilities as of September 30, 2013 and 2012 that are not measured at fair value in the consolidated balance sheets are as follows:</w:t>
      </w:r>
    </w:p>
    <w:tbl>
      <w:tblPr>
        <w:tblW w:w="10205" w:type="dxa"/>
        <w:jc w:val="left"/>
        <w:tblInd w:w="0" w:type="dxa"/>
        <w:tblCellMar>
          <w:top w:w="0" w:type="dxa"/>
          <w:left w:w="0" w:type="dxa"/>
          <w:bottom w:w="0" w:type="dxa"/>
          <w:right w:w="0" w:type="dxa"/>
        </w:tblCellMar>
      </w:tblPr>
      <w:tblGrid>
        <w:gridCol w:w="3041"/>
        <w:gridCol w:w="125"/>
        <w:gridCol w:w="151"/>
        <w:gridCol w:w="1158"/>
        <w:gridCol w:w="80"/>
        <w:gridCol w:w="125"/>
        <w:gridCol w:w="151"/>
        <w:gridCol w:w="1158"/>
        <w:gridCol w:w="80"/>
        <w:gridCol w:w="125"/>
        <w:gridCol w:w="151"/>
        <w:gridCol w:w="964"/>
        <w:gridCol w:w="80"/>
        <w:gridCol w:w="125"/>
        <w:gridCol w:w="151"/>
        <w:gridCol w:w="1042"/>
        <w:gridCol w:w="80"/>
        <w:gridCol w:w="125"/>
        <w:gridCol w:w="151"/>
        <w:gridCol w:w="1042"/>
        <w:gridCol w:w="100"/>
      </w:tblGrid>
      <w:tr>
        <w:trPr/>
        <w:tc>
          <w:tcPr>
            <w:tcW w:w="10205" w:type="dxa"/>
            <w:gridSpan w:val="21"/>
            <w:tcBorders/>
            <w:shd w:fill="auto" w:val="clear"/>
            <w:vAlign w:val="center"/>
          </w:tcPr>
          <w:p>
            <w:pPr>
              <w:pStyle w:val="TableContents"/>
              <w:spacing w:before="0" w:after="283"/>
              <w:rPr>
                <w:sz w:val="4"/>
                <w:szCs w:val="4"/>
              </w:rPr>
            </w:pPr>
            <w:r>
              <w:rPr>
                <w:sz w:val="4"/>
                <w:szCs w:val="4"/>
              </w:rPr>
            </w:r>
          </w:p>
        </w:tc>
      </w:tr>
      <w:tr>
        <w:trPr/>
        <w:tc>
          <w:tcPr>
            <w:tcW w:w="30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41"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8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 Value</w:t>
            </w:r>
          </w:p>
        </w:tc>
        <w:tc>
          <w:tcPr>
            <w:tcW w:w="125" w:type="dxa"/>
            <w:tcBorders/>
            <w:shd w:fill="auto" w:val="clear"/>
            <w:vAlign w:val="center"/>
          </w:tcPr>
          <w:p>
            <w:pPr>
              <w:pStyle w:val="TableContents"/>
              <w:spacing w:before="0" w:after="0"/>
              <w:ind w:left="0" w:right="0" w:firstLine="30"/>
              <w:rPr/>
            </w:pPr>
            <w:r>
              <w:rPr/>
              <w:t> </w:t>
            </w:r>
          </w:p>
        </w:tc>
        <w:tc>
          <w:tcPr>
            <w:tcW w:w="5525"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Estimated Fair Value</w:t>
            </w:r>
          </w:p>
        </w:tc>
      </w:tr>
      <w:tr>
        <w:trPr/>
        <w:tc>
          <w:tcPr>
            <w:tcW w:w="3041" w:type="dxa"/>
            <w:tcBorders/>
            <w:shd w:fill="auto" w:val="clear"/>
            <w:vAlign w:val="center"/>
          </w:tcPr>
          <w:p>
            <w:pPr>
              <w:pStyle w:val="TableContents"/>
              <w:spacing w:before="0" w:after="0"/>
              <w:ind w:left="0" w:right="0" w:firstLine="30"/>
              <w:jc w:val="left"/>
              <w:rPr/>
            </w:pPr>
            <w:r>
              <w:rPr/>
              <w:t> </w:t>
            </w:r>
          </w:p>
        </w:tc>
        <w:tc>
          <w:tcPr>
            <w:tcW w:w="125" w:type="dxa"/>
            <w:vMerge w:val="restart"/>
            <w:tcBorders/>
            <w:shd w:fill="auto" w:val="clear"/>
            <w:vAlign w:val="center"/>
          </w:tcPr>
          <w:p>
            <w:pPr>
              <w:pStyle w:val="TableContents"/>
              <w:spacing w:before="0" w:after="0"/>
              <w:ind w:left="0" w:right="0" w:firstLine="30"/>
              <w:rPr/>
            </w:pPr>
            <w:r>
              <w:rPr/>
              <w:t> </w:t>
            </w:r>
          </w:p>
        </w:tc>
        <w:tc>
          <w:tcPr>
            <w:tcW w:w="1389"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2013</w:t>
            </w:r>
          </w:p>
        </w:tc>
        <w:tc>
          <w:tcPr>
            <w:tcW w:w="125" w:type="dxa"/>
            <w:vMerge w:val="restart"/>
            <w:tcBorders/>
            <w:shd w:fill="auto" w:val="clear"/>
            <w:vAlign w:val="center"/>
          </w:tcPr>
          <w:p>
            <w:pPr>
              <w:pStyle w:val="TableContents"/>
              <w:spacing w:before="0" w:after="0"/>
              <w:ind w:left="0" w:right="0" w:firstLine="30"/>
              <w:rPr/>
            </w:pPr>
            <w:r>
              <w:rPr/>
              <w:t> </w:t>
            </w:r>
          </w:p>
        </w:tc>
        <w:tc>
          <w:tcPr>
            <w:tcW w:w="1389"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2013</w:t>
            </w:r>
          </w:p>
        </w:tc>
        <w:tc>
          <w:tcPr>
            <w:tcW w:w="125" w:type="dxa"/>
            <w:tcBorders/>
            <w:shd w:fill="auto" w:val="clear"/>
            <w:vAlign w:val="center"/>
          </w:tcPr>
          <w:p>
            <w:pPr>
              <w:pStyle w:val="TableContents"/>
              <w:spacing w:before="0" w:after="0"/>
              <w:ind w:left="0" w:right="0" w:firstLine="30"/>
              <w:rPr/>
            </w:pPr>
            <w:r>
              <w:rPr/>
              <w:t> </w:t>
            </w:r>
          </w:p>
        </w:tc>
        <w:tc>
          <w:tcPr>
            <w:tcW w:w="401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 Using</w:t>
            </w:r>
          </w:p>
        </w:tc>
      </w:tr>
      <w:tr>
        <w:trPr/>
        <w:tc>
          <w:tcPr>
            <w:tcW w:w="3041" w:type="dxa"/>
            <w:tcBorders/>
            <w:shd w:fill="auto" w:val="clear"/>
            <w:vAlign w:val="center"/>
          </w:tcPr>
          <w:p>
            <w:pPr>
              <w:pStyle w:val="TableContents"/>
              <w:spacing w:before="0" w:after="0"/>
              <w:ind w:left="0" w:right="0" w:firstLine="30"/>
              <w:rPr/>
            </w:pPr>
            <w:r>
              <w:rPr/>
              <w:t> </w:t>
            </w:r>
          </w:p>
        </w:tc>
        <w:tc>
          <w:tcPr>
            <w:tcW w:w="125" w:type="dxa"/>
            <w:vMerge w:val="continue"/>
            <w:tcBorders/>
            <w:shd w:fill="auto" w:val="clear"/>
            <w:vAlign w:val="center"/>
          </w:tcPr>
          <w:p>
            <w:pPr>
              <w:pStyle w:val="Normal"/>
              <w:rPr/>
            </w:pPr>
            <w:r>
              <w:rPr/>
            </w:r>
          </w:p>
        </w:tc>
        <w:tc>
          <w:tcPr>
            <w:tcW w:w="1389" w:type="dxa"/>
            <w:gridSpan w:val="3"/>
            <w:vMerge w:val="continue"/>
            <w:tcBorders>
              <w:bottom w:val="single" w:sz="2" w:space="0" w:color="000000"/>
            </w:tcBorders>
            <w:shd w:fill="auto" w:val="clear"/>
            <w:tcMar>
              <w:bottom w:w="30" w:type="dxa"/>
            </w:tcMar>
            <w:vAlign w:val="center"/>
          </w:tcPr>
          <w:p>
            <w:pPr>
              <w:pStyle w:val="Normal"/>
              <w:rPr/>
            </w:pPr>
            <w:r>
              <w:rPr/>
            </w:r>
          </w:p>
        </w:tc>
        <w:tc>
          <w:tcPr>
            <w:tcW w:w="125" w:type="dxa"/>
            <w:vMerge w:val="continue"/>
            <w:tcBorders/>
            <w:shd w:fill="auto" w:val="clear"/>
            <w:vAlign w:val="center"/>
          </w:tcPr>
          <w:p>
            <w:pPr>
              <w:pStyle w:val="Normal"/>
              <w:rPr/>
            </w:pPr>
            <w:r>
              <w:rPr/>
            </w:r>
          </w:p>
        </w:tc>
        <w:tc>
          <w:tcPr>
            <w:tcW w:w="1389" w:type="dxa"/>
            <w:gridSpan w:val="3"/>
            <w:vMerge w:val="continue"/>
            <w:tcBorders>
              <w:bottom w:val="single" w:sz="2" w:space="0" w:color="000000"/>
            </w:tcBorders>
            <w:shd w:fill="auto" w:val="clear"/>
            <w:tcMar>
              <w:bottom w:w="30" w:type="dxa"/>
            </w:tcMar>
            <w:vAlign w:val="center"/>
          </w:tcPr>
          <w:p>
            <w:pPr>
              <w:pStyle w:val="Normal"/>
              <w:rPr/>
            </w:pPr>
            <w:r>
              <w:rPr/>
            </w:r>
          </w:p>
        </w:tc>
        <w:tc>
          <w:tcPr>
            <w:tcW w:w="125" w:type="dxa"/>
            <w:tcBorders/>
            <w:shd w:fill="auto" w:val="clear"/>
            <w:vAlign w:val="center"/>
          </w:tcPr>
          <w:p>
            <w:pPr>
              <w:pStyle w:val="TableContents"/>
              <w:spacing w:before="0" w:after="0"/>
              <w:ind w:left="0" w:right="0" w:firstLine="30"/>
              <w:rPr/>
            </w:pPr>
            <w:r>
              <w:rPr/>
              <w:t> </w:t>
            </w:r>
          </w:p>
        </w:tc>
        <w:tc>
          <w:tcPr>
            <w:tcW w:w="11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125" w:type="dxa"/>
            <w:tcBorders/>
            <w:shd w:fill="auto" w:val="clear"/>
            <w:vAlign w:val="center"/>
          </w:tcPr>
          <w:p>
            <w:pPr>
              <w:pStyle w:val="TableContents"/>
              <w:spacing w:before="0" w:after="0"/>
              <w:ind w:left="0" w:right="0" w:firstLine="30"/>
              <w:rPr/>
            </w:pPr>
            <w:r>
              <w:rPr/>
              <w:t> </w:t>
            </w:r>
          </w:p>
        </w:tc>
        <w:tc>
          <w:tcPr>
            <w:tcW w:w="12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125" w:type="dxa"/>
            <w:tcBorders/>
            <w:shd w:fill="auto" w:val="clear"/>
            <w:vAlign w:val="center"/>
          </w:tcPr>
          <w:p>
            <w:pPr>
              <w:pStyle w:val="TableContents"/>
              <w:spacing w:before="0" w:after="0"/>
              <w:ind w:left="0" w:right="0" w:firstLine="30"/>
              <w:rPr/>
            </w:pPr>
            <w:r>
              <w:rPr/>
              <w:t> </w:t>
            </w:r>
          </w:p>
        </w:tc>
        <w:tc>
          <w:tcPr>
            <w:tcW w:w="12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041"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Financial assets:</w:t>
            </w:r>
          </w:p>
        </w:tc>
        <w:tc>
          <w:tcPr>
            <w:tcW w:w="125" w:type="dxa"/>
            <w:tcBorders/>
            <w:shd w:fill="auto" w:val="clear"/>
            <w:vAlign w:val="center"/>
          </w:tcPr>
          <w:p>
            <w:pPr>
              <w:pStyle w:val="TableContents"/>
              <w:spacing w:before="0" w:after="0"/>
              <w:ind w:left="0" w:right="0" w:firstLine="30"/>
              <w:rPr/>
            </w:pPr>
            <w:r>
              <w:rPr/>
              <w:t> </w:t>
            </w:r>
          </w:p>
        </w:tc>
        <w:tc>
          <w:tcPr>
            <w:tcW w:w="7039"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shd w:fill="CCEEFF" w:val="clear"/>
            <w:vAlign w:val="center"/>
          </w:tcPr>
          <w:p>
            <w:pPr>
              <w:pStyle w:val="TableContents"/>
              <w:spacing w:before="0" w:after="0"/>
              <w:jc w:val="right"/>
              <w:rPr>
                <w:rFonts w:ascii="inherit" w:hAnsi="inherit"/>
                <w:sz w:val="17"/>
              </w:rPr>
            </w:pPr>
            <w:r>
              <w:rPr>
                <w:rFonts w:ascii="inherit" w:hAnsi="inherit"/>
                <w:sz w:val="17"/>
              </w:rPr>
              <w:t>36,317</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shd w:fill="CCEEFF" w:val="clear"/>
            <w:vAlign w:val="center"/>
          </w:tcPr>
          <w:p>
            <w:pPr>
              <w:pStyle w:val="TableContents"/>
              <w:spacing w:before="0" w:after="0"/>
              <w:jc w:val="right"/>
              <w:rPr>
                <w:rFonts w:ascii="inherit" w:hAnsi="inherit"/>
                <w:sz w:val="17"/>
              </w:rPr>
            </w:pPr>
            <w:r>
              <w:rPr>
                <w:rFonts w:ascii="inherit" w:hAnsi="inherit"/>
                <w:sz w:val="17"/>
              </w:rPr>
              <w:t>36,317</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4" w:type="dxa"/>
            <w:tcBorders/>
            <w:shd w:fill="CCEEFF" w:val="clear"/>
            <w:vAlign w:val="center"/>
          </w:tcPr>
          <w:p>
            <w:pPr>
              <w:pStyle w:val="TableContents"/>
              <w:spacing w:before="0" w:after="0"/>
              <w:jc w:val="right"/>
              <w:rPr>
                <w:rFonts w:ascii="inherit" w:hAnsi="inherit"/>
                <w:sz w:val="17"/>
              </w:rPr>
            </w:pPr>
            <w:r>
              <w:rPr>
                <w:rFonts w:ascii="inherit" w:hAnsi="inherit"/>
                <w:sz w:val="17"/>
              </w:rPr>
              <w:t>36,317</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pPr>
            <w:r>
              <w:rPr/>
              <w:t>—</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3,312</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3,312</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3,312</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pPr>
            <w:r>
              <w:rPr/>
              <w:t>—</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156,637</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156,637</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156,637</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64,515</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74,979</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74,979</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30,362</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30,362</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30,362</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receivable, net</w:t>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36,588</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36,588</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36,588</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 non-current</w:t>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2,156</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2,156</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2,156</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consumer loans, net</w:t>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69,991</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89,693</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89,693</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Total</w:t>
            </w:r>
          </w:p>
        </w:tc>
        <w:tc>
          <w:tcPr>
            <w:tcW w:w="125"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399,878</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430,044</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41,785</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388,259</w:t>
            </w:r>
          </w:p>
        </w:tc>
        <w:tc>
          <w:tcPr>
            <w:tcW w:w="10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89"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89"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19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273"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293" w:type="dxa"/>
            <w:gridSpan w:val="3"/>
            <w:tcBorders/>
            <w:shd w:fill="auto" w:val="clear"/>
            <w:vAlign w:val="center"/>
          </w:tcPr>
          <w:p>
            <w:pPr>
              <w:pStyle w:val="TableContents"/>
              <w:spacing w:before="0" w:after="0"/>
              <w:ind w:left="0" w:right="0" w:firstLine="30"/>
              <w:rPr/>
            </w:pPr>
            <w:r>
              <w:rPr/>
              <w:t> </w:t>
            </w:r>
          </w:p>
        </w:tc>
      </w:tr>
      <w:tr>
        <w:trPr/>
        <w:tc>
          <w:tcPr>
            <w:tcW w:w="3041"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Temporary equity:</w:t>
            </w:r>
          </w:p>
        </w:tc>
        <w:tc>
          <w:tcPr>
            <w:tcW w:w="125" w:type="dxa"/>
            <w:tcBorders/>
            <w:shd w:fill="CCEEFF" w:val="clear"/>
            <w:vAlign w:val="center"/>
          </w:tcPr>
          <w:p>
            <w:pPr>
              <w:pStyle w:val="TableContents"/>
              <w:spacing w:before="0" w:after="0"/>
              <w:ind w:left="0" w:right="0" w:firstLine="30"/>
              <w:rPr/>
            </w:pPr>
            <w:r>
              <w:rPr/>
              <w:t> </w:t>
            </w:r>
          </w:p>
        </w:tc>
        <w:tc>
          <w:tcPr>
            <w:tcW w:w="1389"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89"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195"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273"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293" w:type="dxa"/>
            <w:gridSpan w:val="3"/>
            <w:tcBorders/>
            <w:shd w:fill="CCEEFF" w:val="clear"/>
            <w:vAlign w:val="center"/>
          </w:tcPr>
          <w:p>
            <w:pPr>
              <w:pStyle w:val="TableContents"/>
              <w:spacing w:before="0" w:after="0"/>
              <w:ind w:left="0" w:right="0" w:firstLine="30"/>
              <w:rPr/>
            </w:pPr>
            <w:r>
              <w:rPr/>
              <w:t> </w:t>
            </w:r>
          </w:p>
        </w:tc>
      </w:tr>
      <w:tr>
        <w:trPr/>
        <w:tc>
          <w:tcPr>
            <w:tcW w:w="3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25"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shd w:fill="auto" w:val="clear"/>
            <w:vAlign w:val="center"/>
          </w:tcPr>
          <w:p>
            <w:pPr>
              <w:pStyle w:val="TableContents"/>
              <w:spacing w:before="0" w:after="0"/>
              <w:jc w:val="right"/>
              <w:rPr>
                <w:rFonts w:ascii="inherit" w:hAnsi="inherit"/>
                <w:sz w:val="17"/>
              </w:rPr>
            </w:pPr>
            <w:r>
              <w:rPr>
                <w:rFonts w:ascii="inherit" w:hAnsi="inherit"/>
                <w:sz w:val="17"/>
              </w:rPr>
              <w:t>55,393</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shd w:fill="auto" w:val="clear"/>
            <w:vAlign w:val="center"/>
          </w:tcPr>
          <w:p>
            <w:pPr>
              <w:pStyle w:val="TableContents"/>
              <w:spacing w:before="0" w:after="0"/>
              <w:jc w:val="right"/>
              <w:rPr>
                <w:rFonts w:ascii="inherit" w:hAnsi="inherit"/>
                <w:sz w:val="17"/>
              </w:rPr>
            </w:pPr>
            <w:r>
              <w:rPr>
                <w:rFonts w:ascii="inherit" w:hAnsi="inherit"/>
                <w:sz w:val="17"/>
              </w:rPr>
              <w:t>55,557</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4"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auto" w:val="clear"/>
            <w:vAlign w:val="center"/>
          </w:tcPr>
          <w:p>
            <w:pPr>
              <w:pStyle w:val="TableContents"/>
              <w:spacing w:before="0" w:after="0"/>
              <w:jc w:val="right"/>
              <w:rPr>
                <w:rFonts w:ascii="inherit" w:hAnsi="inherit"/>
                <w:sz w:val="17"/>
              </w:rPr>
            </w:pPr>
            <w:r>
              <w:rPr>
                <w:rFonts w:ascii="inherit" w:hAnsi="inherit"/>
                <w:sz w:val="17"/>
              </w:rPr>
              <w:t>55,557</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89"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89"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195"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273"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293" w:type="dxa"/>
            <w:gridSpan w:val="3"/>
            <w:tcBorders/>
            <w:shd w:fill="CCEEFF" w:val="clear"/>
            <w:vAlign w:val="center"/>
          </w:tcPr>
          <w:p>
            <w:pPr>
              <w:pStyle w:val="TableContents"/>
              <w:spacing w:before="0" w:after="0"/>
              <w:ind w:left="0" w:right="0" w:firstLine="30"/>
              <w:rPr/>
            </w:pPr>
            <w:r>
              <w:rPr/>
              <w:t> </w:t>
            </w:r>
          </w:p>
        </w:tc>
      </w:tr>
      <w:tr>
        <w:trPr/>
        <w:tc>
          <w:tcPr>
            <w:tcW w:w="3041"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Financial liabilities:</w:t>
            </w:r>
          </w:p>
        </w:tc>
        <w:tc>
          <w:tcPr>
            <w:tcW w:w="125" w:type="dxa"/>
            <w:tcBorders/>
            <w:shd w:fill="auto" w:val="clear"/>
            <w:vAlign w:val="center"/>
          </w:tcPr>
          <w:p>
            <w:pPr>
              <w:pStyle w:val="TableContents"/>
              <w:spacing w:before="0" w:after="0"/>
              <w:ind w:left="0" w:right="0" w:firstLine="30"/>
              <w:rPr/>
            </w:pPr>
            <w:r>
              <w:rPr/>
              <w:t> </w:t>
            </w:r>
          </w:p>
        </w:tc>
        <w:tc>
          <w:tcPr>
            <w:tcW w:w="1389"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89"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19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273"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293" w:type="dxa"/>
            <w:gridSpan w:val="3"/>
            <w:tcBorders/>
            <w:shd w:fill="auto" w:val="clear"/>
            <w:vAlign w:val="center"/>
          </w:tcPr>
          <w:p>
            <w:pPr>
              <w:pStyle w:val="TableContents"/>
              <w:spacing w:before="0" w:after="0"/>
              <w:ind w:left="0" w:right="0" w:firstLine="30"/>
              <w:rPr/>
            </w:pPr>
            <w:r>
              <w:rPr/>
              <w:t> </w:t>
            </w:r>
          </w:p>
        </w:tc>
      </w:tr>
      <w:tr>
        <w:trPr/>
        <w:tc>
          <w:tcPr>
            <w:tcW w:w="3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Domestic line of credit</w:t>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shd w:fill="CCEEFF" w:val="clear"/>
            <w:vAlign w:val="center"/>
          </w:tcPr>
          <w:p>
            <w:pPr>
              <w:pStyle w:val="TableContents"/>
              <w:spacing w:before="0" w:after="0"/>
              <w:jc w:val="right"/>
              <w:rPr>
                <w:rFonts w:ascii="inherit" w:hAnsi="inherit"/>
                <w:sz w:val="17"/>
              </w:rPr>
            </w:pPr>
            <w:r>
              <w:rPr>
                <w:rFonts w:ascii="inherit" w:hAnsi="inherit"/>
                <w:sz w:val="17"/>
              </w:rPr>
              <w:t>140,900</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shd w:fill="CCEEFF" w:val="clear"/>
            <w:vAlign w:val="center"/>
          </w:tcPr>
          <w:p>
            <w:pPr>
              <w:pStyle w:val="TableContents"/>
              <w:spacing w:before="0" w:after="0"/>
              <w:jc w:val="right"/>
              <w:rPr>
                <w:rFonts w:ascii="inherit" w:hAnsi="inherit"/>
                <w:sz w:val="17"/>
              </w:rPr>
            </w:pPr>
            <w:r>
              <w:rPr>
                <w:rFonts w:ascii="inherit" w:hAnsi="inherit"/>
                <w:sz w:val="17"/>
              </w:rPr>
              <w:t>140,900</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4"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rFonts w:ascii="inherit" w:hAnsi="inherit"/>
                <w:sz w:val="17"/>
              </w:rPr>
            </w:pPr>
            <w:r>
              <w:rPr>
                <w:rFonts w:ascii="inherit" w:hAnsi="inherit"/>
                <w:sz w:val="17"/>
              </w:rPr>
              <w:t>140,900</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pPr>
            <w:r>
              <w:rPr/>
              <w:t>—</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lines of credit</w:t>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30,310</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31,832</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31,832</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pPr>
            <w:r>
              <w:rPr/>
              <w:t>—</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Securitization borrowing facility</w:t>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31,951</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32,027</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32,027</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Unsecured Notes</w:t>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39,029</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38,734</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15,686</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23,048</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pPr>
            <w:r>
              <w:rPr/>
              <w:t>—</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Secured Notes</w:t>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4,185</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4,026</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4,026</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Total</w:t>
            </w:r>
          </w:p>
        </w:tc>
        <w:tc>
          <w:tcPr>
            <w:tcW w:w="125"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246,375</w:t>
            </w:r>
          </w:p>
        </w:tc>
        <w:tc>
          <w:tcPr>
            <w:tcW w:w="8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247,519</w:t>
            </w:r>
          </w:p>
        </w:tc>
        <w:tc>
          <w:tcPr>
            <w:tcW w:w="8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47,713</w:t>
            </w:r>
          </w:p>
        </w:tc>
        <w:tc>
          <w:tcPr>
            <w:tcW w:w="8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199,806</w:t>
            </w:r>
          </w:p>
        </w:tc>
        <w:tc>
          <w:tcPr>
            <w:tcW w:w="8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0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89"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89"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19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273"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293" w:type="dxa"/>
            <w:gridSpan w:val="3"/>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102</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041"/>
        <w:gridCol w:w="125"/>
        <w:gridCol w:w="151"/>
        <w:gridCol w:w="1158"/>
        <w:gridCol w:w="80"/>
        <w:gridCol w:w="125"/>
        <w:gridCol w:w="151"/>
        <w:gridCol w:w="1158"/>
        <w:gridCol w:w="80"/>
        <w:gridCol w:w="125"/>
        <w:gridCol w:w="151"/>
        <w:gridCol w:w="964"/>
        <w:gridCol w:w="80"/>
        <w:gridCol w:w="125"/>
        <w:gridCol w:w="151"/>
        <w:gridCol w:w="1042"/>
        <w:gridCol w:w="80"/>
        <w:gridCol w:w="125"/>
        <w:gridCol w:w="151"/>
        <w:gridCol w:w="1042"/>
        <w:gridCol w:w="100"/>
      </w:tblGrid>
      <w:tr>
        <w:trPr/>
        <w:tc>
          <w:tcPr>
            <w:tcW w:w="10205" w:type="dxa"/>
            <w:gridSpan w:val="21"/>
            <w:tcBorders/>
            <w:shd w:fill="auto" w:val="clear"/>
            <w:vAlign w:val="center"/>
          </w:tcPr>
          <w:p>
            <w:pPr>
              <w:pStyle w:val="TableContents"/>
              <w:spacing w:before="0" w:after="283"/>
              <w:rPr>
                <w:sz w:val="4"/>
                <w:szCs w:val="4"/>
              </w:rPr>
            </w:pPr>
            <w:r>
              <w:rPr>
                <w:sz w:val="4"/>
                <w:szCs w:val="4"/>
              </w:rPr>
            </w:r>
          </w:p>
        </w:tc>
      </w:tr>
      <w:tr>
        <w:trPr/>
        <w:tc>
          <w:tcPr>
            <w:tcW w:w="30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41"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8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 Value</w:t>
            </w:r>
          </w:p>
        </w:tc>
        <w:tc>
          <w:tcPr>
            <w:tcW w:w="125" w:type="dxa"/>
            <w:tcBorders/>
            <w:shd w:fill="auto" w:val="clear"/>
            <w:vAlign w:val="center"/>
          </w:tcPr>
          <w:p>
            <w:pPr>
              <w:pStyle w:val="TableContents"/>
              <w:spacing w:before="0" w:after="0"/>
              <w:ind w:left="0" w:right="0" w:firstLine="30"/>
              <w:rPr/>
            </w:pPr>
            <w:r>
              <w:rPr/>
              <w:t> </w:t>
            </w:r>
          </w:p>
        </w:tc>
        <w:tc>
          <w:tcPr>
            <w:tcW w:w="5525"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Estimated Fair Value</w:t>
            </w:r>
          </w:p>
        </w:tc>
      </w:tr>
      <w:tr>
        <w:trPr/>
        <w:tc>
          <w:tcPr>
            <w:tcW w:w="3041" w:type="dxa"/>
            <w:tcBorders/>
            <w:shd w:fill="auto" w:val="clear"/>
            <w:vAlign w:val="center"/>
          </w:tcPr>
          <w:p>
            <w:pPr>
              <w:pStyle w:val="TableContents"/>
              <w:spacing w:before="0" w:after="0"/>
              <w:ind w:left="0" w:right="0" w:firstLine="30"/>
              <w:jc w:val="left"/>
              <w:rPr/>
            </w:pPr>
            <w:r>
              <w:rPr/>
              <w:t> </w:t>
            </w:r>
          </w:p>
        </w:tc>
        <w:tc>
          <w:tcPr>
            <w:tcW w:w="125" w:type="dxa"/>
            <w:vMerge w:val="restart"/>
            <w:tcBorders/>
            <w:shd w:fill="auto" w:val="clear"/>
            <w:vAlign w:val="center"/>
          </w:tcPr>
          <w:p>
            <w:pPr>
              <w:pStyle w:val="TableContents"/>
              <w:spacing w:before="0" w:after="0"/>
              <w:ind w:left="0" w:right="0" w:firstLine="30"/>
              <w:rPr/>
            </w:pPr>
            <w:r>
              <w:rPr/>
              <w:t> </w:t>
            </w:r>
          </w:p>
        </w:tc>
        <w:tc>
          <w:tcPr>
            <w:tcW w:w="1389"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2012</w:t>
            </w:r>
          </w:p>
        </w:tc>
        <w:tc>
          <w:tcPr>
            <w:tcW w:w="125" w:type="dxa"/>
            <w:vMerge w:val="restart"/>
            <w:tcBorders/>
            <w:shd w:fill="auto" w:val="clear"/>
            <w:vAlign w:val="center"/>
          </w:tcPr>
          <w:p>
            <w:pPr>
              <w:pStyle w:val="TableContents"/>
              <w:spacing w:before="0" w:after="0"/>
              <w:ind w:left="0" w:right="0" w:firstLine="30"/>
              <w:rPr/>
            </w:pPr>
            <w:r>
              <w:rPr/>
              <w:t> </w:t>
            </w:r>
          </w:p>
        </w:tc>
        <w:tc>
          <w:tcPr>
            <w:tcW w:w="1389"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2012</w:t>
            </w:r>
          </w:p>
        </w:tc>
        <w:tc>
          <w:tcPr>
            <w:tcW w:w="125" w:type="dxa"/>
            <w:tcBorders/>
            <w:shd w:fill="auto" w:val="clear"/>
            <w:vAlign w:val="center"/>
          </w:tcPr>
          <w:p>
            <w:pPr>
              <w:pStyle w:val="TableContents"/>
              <w:spacing w:before="0" w:after="0"/>
              <w:ind w:left="0" w:right="0" w:firstLine="30"/>
              <w:rPr/>
            </w:pPr>
            <w:r>
              <w:rPr/>
              <w:t> </w:t>
            </w:r>
          </w:p>
        </w:tc>
        <w:tc>
          <w:tcPr>
            <w:tcW w:w="401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 Using</w:t>
            </w:r>
          </w:p>
        </w:tc>
      </w:tr>
      <w:tr>
        <w:trPr/>
        <w:tc>
          <w:tcPr>
            <w:tcW w:w="3041" w:type="dxa"/>
            <w:tcBorders/>
            <w:shd w:fill="auto" w:val="clear"/>
            <w:vAlign w:val="center"/>
          </w:tcPr>
          <w:p>
            <w:pPr>
              <w:pStyle w:val="TableContents"/>
              <w:spacing w:before="0" w:after="0"/>
              <w:ind w:left="0" w:right="0" w:firstLine="30"/>
              <w:rPr/>
            </w:pPr>
            <w:r>
              <w:rPr/>
              <w:t> </w:t>
            </w:r>
          </w:p>
        </w:tc>
        <w:tc>
          <w:tcPr>
            <w:tcW w:w="125" w:type="dxa"/>
            <w:vMerge w:val="continue"/>
            <w:tcBorders/>
            <w:shd w:fill="auto" w:val="clear"/>
            <w:vAlign w:val="center"/>
          </w:tcPr>
          <w:p>
            <w:pPr>
              <w:pStyle w:val="Normal"/>
              <w:rPr/>
            </w:pPr>
            <w:r>
              <w:rPr/>
            </w:r>
          </w:p>
        </w:tc>
        <w:tc>
          <w:tcPr>
            <w:tcW w:w="1389" w:type="dxa"/>
            <w:gridSpan w:val="3"/>
            <w:vMerge w:val="continue"/>
            <w:tcBorders>
              <w:bottom w:val="single" w:sz="2" w:space="0" w:color="000000"/>
            </w:tcBorders>
            <w:shd w:fill="auto" w:val="clear"/>
            <w:tcMar>
              <w:bottom w:w="30" w:type="dxa"/>
            </w:tcMar>
            <w:vAlign w:val="center"/>
          </w:tcPr>
          <w:p>
            <w:pPr>
              <w:pStyle w:val="Normal"/>
              <w:rPr/>
            </w:pPr>
            <w:r>
              <w:rPr/>
            </w:r>
          </w:p>
        </w:tc>
        <w:tc>
          <w:tcPr>
            <w:tcW w:w="125" w:type="dxa"/>
            <w:vMerge w:val="continue"/>
            <w:tcBorders/>
            <w:shd w:fill="auto" w:val="clear"/>
            <w:vAlign w:val="center"/>
          </w:tcPr>
          <w:p>
            <w:pPr>
              <w:pStyle w:val="Normal"/>
              <w:rPr/>
            </w:pPr>
            <w:r>
              <w:rPr/>
            </w:r>
          </w:p>
        </w:tc>
        <w:tc>
          <w:tcPr>
            <w:tcW w:w="1389" w:type="dxa"/>
            <w:gridSpan w:val="3"/>
            <w:vMerge w:val="continue"/>
            <w:tcBorders>
              <w:bottom w:val="single" w:sz="2" w:space="0" w:color="000000"/>
            </w:tcBorders>
            <w:shd w:fill="auto" w:val="clear"/>
            <w:tcMar>
              <w:bottom w:w="30" w:type="dxa"/>
            </w:tcMar>
            <w:vAlign w:val="center"/>
          </w:tcPr>
          <w:p>
            <w:pPr>
              <w:pStyle w:val="Normal"/>
              <w:rPr/>
            </w:pPr>
            <w:r>
              <w:rPr/>
            </w:r>
          </w:p>
        </w:tc>
        <w:tc>
          <w:tcPr>
            <w:tcW w:w="125" w:type="dxa"/>
            <w:tcBorders/>
            <w:shd w:fill="auto" w:val="clear"/>
            <w:vAlign w:val="center"/>
          </w:tcPr>
          <w:p>
            <w:pPr>
              <w:pStyle w:val="TableContents"/>
              <w:spacing w:before="0" w:after="0"/>
              <w:ind w:left="0" w:right="0" w:firstLine="30"/>
              <w:rPr/>
            </w:pPr>
            <w:r>
              <w:rPr/>
              <w:t> </w:t>
            </w:r>
          </w:p>
        </w:tc>
        <w:tc>
          <w:tcPr>
            <w:tcW w:w="11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125" w:type="dxa"/>
            <w:tcBorders/>
            <w:shd w:fill="auto" w:val="clear"/>
            <w:vAlign w:val="center"/>
          </w:tcPr>
          <w:p>
            <w:pPr>
              <w:pStyle w:val="TableContents"/>
              <w:spacing w:before="0" w:after="0"/>
              <w:ind w:left="0" w:right="0" w:firstLine="30"/>
              <w:rPr/>
            </w:pPr>
            <w:r>
              <w:rPr/>
              <w:t> </w:t>
            </w:r>
          </w:p>
        </w:tc>
        <w:tc>
          <w:tcPr>
            <w:tcW w:w="12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125" w:type="dxa"/>
            <w:tcBorders/>
            <w:shd w:fill="auto" w:val="clear"/>
            <w:vAlign w:val="center"/>
          </w:tcPr>
          <w:p>
            <w:pPr>
              <w:pStyle w:val="TableContents"/>
              <w:spacing w:before="0" w:after="0"/>
              <w:ind w:left="0" w:right="0" w:firstLine="30"/>
              <w:rPr/>
            </w:pPr>
            <w:r>
              <w:rPr/>
              <w:t> </w:t>
            </w:r>
          </w:p>
        </w:tc>
        <w:tc>
          <w:tcPr>
            <w:tcW w:w="12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041"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Financial assets:</w:t>
            </w:r>
          </w:p>
        </w:tc>
        <w:tc>
          <w:tcPr>
            <w:tcW w:w="125" w:type="dxa"/>
            <w:tcBorders/>
            <w:shd w:fill="auto" w:val="clear"/>
            <w:vAlign w:val="center"/>
          </w:tcPr>
          <w:p>
            <w:pPr>
              <w:pStyle w:val="TableContents"/>
              <w:spacing w:before="0" w:after="0"/>
              <w:ind w:left="0" w:right="0" w:firstLine="30"/>
              <w:rPr/>
            </w:pPr>
            <w:r>
              <w:rPr/>
              <w:t> </w:t>
            </w:r>
          </w:p>
        </w:tc>
        <w:tc>
          <w:tcPr>
            <w:tcW w:w="7039"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shd w:fill="CCEEFF" w:val="clear"/>
            <w:vAlign w:val="center"/>
          </w:tcPr>
          <w:p>
            <w:pPr>
              <w:pStyle w:val="TableContents"/>
              <w:spacing w:before="0" w:after="0"/>
              <w:jc w:val="right"/>
              <w:rPr>
                <w:rFonts w:ascii="inherit" w:hAnsi="inherit"/>
                <w:sz w:val="17"/>
              </w:rPr>
            </w:pPr>
            <w:r>
              <w:rPr>
                <w:rFonts w:ascii="inherit" w:hAnsi="inherit"/>
                <w:sz w:val="17"/>
              </w:rPr>
              <w:t>48,477</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shd w:fill="CCEEFF" w:val="clear"/>
            <w:vAlign w:val="center"/>
          </w:tcPr>
          <w:p>
            <w:pPr>
              <w:pStyle w:val="TableContents"/>
              <w:spacing w:before="0" w:after="0"/>
              <w:jc w:val="right"/>
              <w:rPr>
                <w:rFonts w:ascii="inherit" w:hAnsi="inherit"/>
                <w:sz w:val="17"/>
              </w:rPr>
            </w:pPr>
            <w:r>
              <w:rPr>
                <w:rFonts w:ascii="inherit" w:hAnsi="inherit"/>
                <w:sz w:val="17"/>
              </w:rPr>
              <w:t>48,477</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4" w:type="dxa"/>
            <w:tcBorders/>
            <w:shd w:fill="CCEEFF" w:val="clear"/>
            <w:vAlign w:val="center"/>
          </w:tcPr>
          <w:p>
            <w:pPr>
              <w:pStyle w:val="TableContents"/>
              <w:spacing w:before="0" w:after="0"/>
              <w:jc w:val="right"/>
              <w:rPr>
                <w:rFonts w:ascii="inherit" w:hAnsi="inherit"/>
                <w:sz w:val="17"/>
              </w:rPr>
            </w:pPr>
            <w:r>
              <w:rPr>
                <w:rFonts w:ascii="inherit" w:hAnsi="inherit"/>
                <w:sz w:val="17"/>
              </w:rPr>
              <w:t>48,477</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pPr>
            <w:r>
              <w:rPr/>
              <w:t>—</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1,145</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1,145</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1,145</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pPr>
            <w:r>
              <w:rPr/>
              <w:t>—</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157,648</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157,648</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157,648</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34,152</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38,016</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38,016</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29,401</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29,401</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29,401</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receivable, net</w:t>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30,416</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30,416</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30,416</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 non-current</w:t>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4,337</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4,337</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4,337</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consumer loans, net</w:t>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61,997</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82,967</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82,967</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Total</w:t>
            </w:r>
          </w:p>
        </w:tc>
        <w:tc>
          <w:tcPr>
            <w:tcW w:w="125"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367,573</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392,407</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53,959</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338,448</w:t>
            </w:r>
          </w:p>
        </w:tc>
        <w:tc>
          <w:tcPr>
            <w:tcW w:w="10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89"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89"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19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273"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293" w:type="dxa"/>
            <w:gridSpan w:val="3"/>
            <w:tcBorders/>
            <w:shd w:fill="auto" w:val="clear"/>
            <w:vAlign w:val="center"/>
          </w:tcPr>
          <w:p>
            <w:pPr>
              <w:pStyle w:val="TableContents"/>
              <w:spacing w:before="0" w:after="0"/>
              <w:ind w:left="0" w:right="0" w:firstLine="30"/>
              <w:rPr/>
            </w:pPr>
            <w:r>
              <w:rPr/>
              <w:t> </w:t>
            </w:r>
          </w:p>
        </w:tc>
      </w:tr>
      <w:tr>
        <w:trPr/>
        <w:tc>
          <w:tcPr>
            <w:tcW w:w="3041"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Temporary equity:</w:t>
            </w:r>
          </w:p>
        </w:tc>
        <w:tc>
          <w:tcPr>
            <w:tcW w:w="125" w:type="dxa"/>
            <w:tcBorders/>
            <w:shd w:fill="CCEEFF" w:val="clear"/>
            <w:vAlign w:val="center"/>
          </w:tcPr>
          <w:p>
            <w:pPr>
              <w:pStyle w:val="TableContents"/>
              <w:spacing w:before="0" w:after="0"/>
              <w:ind w:left="0" w:right="0" w:firstLine="30"/>
              <w:rPr/>
            </w:pPr>
            <w:r>
              <w:rPr/>
              <w:t> </w:t>
            </w:r>
          </w:p>
        </w:tc>
        <w:tc>
          <w:tcPr>
            <w:tcW w:w="1389"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89"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195"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273"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293" w:type="dxa"/>
            <w:gridSpan w:val="3"/>
            <w:tcBorders/>
            <w:shd w:fill="CCEEFF" w:val="clear"/>
            <w:vAlign w:val="center"/>
          </w:tcPr>
          <w:p>
            <w:pPr>
              <w:pStyle w:val="TableContents"/>
              <w:spacing w:before="0" w:after="0"/>
              <w:ind w:left="0" w:right="0" w:firstLine="30"/>
              <w:rPr/>
            </w:pPr>
            <w:r>
              <w:rPr/>
              <w:t> </w:t>
            </w:r>
          </w:p>
        </w:tc>
      </w:tr>
      <w:tr>
        <w:trPr/>
        <w:tc>
          <w:tcPr>
            <w:tcW w:w="3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25"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shd w:fill="auto" w:val="clear"/>
            <w:vAlign w:val="center"/>
          </w:tcPr>
          <w:p>
            <w:pPr>
              <w:pStyle w:val="TableContents"/>
              <w:spacing w:before="0" w:after="0"/>
              <w:jc w:val="right"/>
              <w:rPr>
                <w:rFonts w:ascii="inherit" w:hAnsi="inherit"/>
                <w:sz w:val="17"/>
              </w:rPr>
            </w:pPr>
            <w:r>
              <w:rPr>
                <w:rFonts w:ascii="inherit" w:hAnsi="inherit"/>
                <w:sz w:val="17"/>
              </w:rPr>
              <w:t>53,681</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shd w:fill="auto" w:val="clear"/>
            <w:vAlign w:val="center"/>
          </w:tcPr>
          <w:p>
            <w:pPr>
              <w:pStyle w:val="TableContents"/>
              <w:spacing w:before="0" w:after="0"/>
              <w:jc w:val="right"/>
              <w:rPr>
                <w:rFonts w:ascii="inherit" w:hAnsi="inherit"/>
                <w:sz w:val="17"/>
              </w:rPr>
            </w:pPr>
            <w:r>
              <w:rPr>
                <w:rFonts w:ascii="inherit" w:hAnsi="inherit"/>
                <w:sz w:val="17"/>
              </w:rPr>
              <w:t>53,681</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4"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auto" w:val="clear"/>
            <w:vAlign w:val="center"/>
          </w:tcPr>
          <w:p>
            <w:pPr>
              <w:pStyle w:val="TableContents"/>
              <w:spacing w:before="0" w:after="0"/>
              <w:jc w:val="right"/>
              <w:rPr>
                <w:rFonts w:ascii="inherit" w:hAnsi="inherit"/>
                <w:sz w:val="17"/>
              </w:rPr>
            </w:pPr>
            <w:r>
              <w:rPr>
                <w:rFonts w:ascii="inherit" w:hAnsi="inherit"/>
                <w:sz w:val="17"/>
              </w:rPr>
              <w:t>53,681</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89"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89"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195"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273"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293" w:type="dxa"/>
            <w:gridSpan w:val="3"/>
            <w:tcBorders/>
            <w:shd w:fill="CCEEFF" w:val="clear"/>
            <w:vAlign w:val="center"/>
          </w:tcPr>
          <w:p>
            <w:pPr>
              <w:pStyle w:val="TableContents"/>
              <w:spacing w:before="0" w:after="0"/>
              <w:ind w:left="0" w:right="0" w:firstLine="30"/>
              <w:rPr/>
            </w:pPr>
            <w:r>
              <w:rPr/>
              <w:t> </w:t>
            </w:r>
          </w:p>
        </w:tc>
      </w:tr>
      <w:tr>
        <w:trPr/>
        <w:tc>
          <w:tcPr>
            <w:tcW w:w="3041"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Financial liabilities:</w:t>
            </w:r>
          </w:p>
        </w:tc>
        <w:tc>
          <w:tcPr>
            <w:tcW w:w="125" w:type="dxa"/>
            <w:tcBorders/>
            <w:shd w:fill="auto" w:val="clear"/>
            <w:vAlign w:val="center"/>
          </w:tcPr>
          <w:p>
            <w:pPr>
              <w:pStyle w:val="TableContents"/>
              <w:spacing w:before="0" w:after="0"/>
              <w:ind w:left="0" w:right="0" w:firstLine="30"/>
              <w:rPr/>
            </w:pPr>
            <w:r>
              <w:rPr/>
              <w:t> </w:t>
            </w:r>
          </w:p>
        </w:tc>
        <w:tc>
          <w:tcPr>
            <w:tcW w:w="1389"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89"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19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273"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293" w:type="dxa"/>
            <w:gridSpan w:val="3"/>
            <w:tcBorders/>
            <w:shd w:fill="auto" w:val="clear"/>
            <w:vAlign w:val="center"/>
          </w:tcPr>
          <w:p>
            <w:pPr>
              <w:pStyle w:val="TableContents"/>
              <w:spacing w:before="0" w:after="0"/>
              <w:ind w:left="0" w:right="0" w:firstLine="30"/>
              <w:rPr/>
            </w:pPr>
            <w:r>
              <w:rPr/>
              <w:t> </w:t>
            </w:r>
          </w:p>
        </w:tc>
      </w:tr>
      <w:tr>
        <w:trPr/>
        <w:tc>
          <w:tcPr>
            <w:tcW w:w="3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Domestic line of credit</w:t>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shd w:fill="CCEEFF" w:val="clear"/>
            <w:vAlign w:val="center"/>
          </w:tcPr>
          <w:p>
            <w:pPr>
              <w:pStyle w:val="TableContents"/>
              <w:spacing w:before="0" w:after="0"/>
              <w:jc w:val="right"/>
              <w:rPr>
                <w:rFonts w:ascii="inherit" w:hAnsi="inherit"/>
                <w:sz w:val="17"/>
              </w:rPr>
            </w:pPr>
            <w:r>
              <w:rPr>
                <w:rFonts w:ascii="inherit" w:hAnsi="inherit"/>
                <w:sz w:val="17"/>
              </w:rPr>
              <w:t>130,000</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shd w:fill="CCEEFF" w:val="clear"/>
            <w:vAlign w:val="center"/>
          </w:tcPr>
          <w:p>
            <w:pPr>
              <w:pStyle w:val="TableContents"/>
              <w:spacing w:before="0" w:after="0"/>
              <w:jc w:val="right"/>
              <w:rPr>
                <w:rFonts w:ascii="inherit" w:hAnsi="inherit"/>
                <w:sz w:val="17"/>
              </w:rPr>
            </w:pPr>
            <w:r>
              <w:rPr>
                <w:rFonts w:ascii="inherit" w:hAnsi="inherit"/>
                <w:sz w:val="17"/>
              </w:rPr>
              <w:t>130,000</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4" w:type="dxa"/>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rFonts w:ascii="inherit" w:hAnsi="inherit"/>
                <w:sz w:val="17"/>
              </w:rPr>
            </w:pPr>
            <w:r>
              <w:rPr>
                <w:rFonts w:ascii="inherit" w:hAnsi="inherit"/>
                <w:sz w:val="17"/>
              </w:rPr>
              <w:t>130,000</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shd w:fill="CCEEFF" w:val="clear"/>
            <w:vAlign w:val="center"/>
          </w:tcPr>
          <w:p>
            <w:pPr>
              <w:pStyle w:val="TableContents"/>
              <w:spacing w:before="0" w:after="0"/>
              <w:jc w:val="right"/>
              <w:rPr/>
            </w:pPr>
            <w:r>
              <w:rPr/>
              <w:t>—</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lines of credit</w:t>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29,965</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30,036</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30,036</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pPr>
            <w:r>
              <w:rPr/>
              <w:t>—</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Securitization borrowing facility</w:t>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32,679</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32,752</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32,752</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Unsecured Notes</w:t>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22,789</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3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21,584</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15"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21,584</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pPr>
            <w:r>
              <w:rPr/>
              <w:t>—</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Secured Notes</w:t>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4,488</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3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4,026</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15"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4,026</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41"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Total</w:t>
            </w:r>
          </w:p>
        </w:tc>
        <w:tc>
          <w:tcPr>
            <w:tcW w:w="125"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219,921</w:t>
            </w:r>
          </w:p>
        </w:tc>
        <w:tc>
          <w:tcPr>
            <w:tcW w:w="8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218,398</w:t>
            </w:r>
          </w:p>
        </w:tc>
        <w:tc>
          <w:tcPr>
            <w:tcW w:w="8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32,752</w:t>
            </w:r>
          </w:p>
        </w:tc>
        <w:tc>
          <w:tcPr>
            <w:tcW w:w="8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185,646</w:t>
            </w:r>
          </w:p>
        </w:tc>
        <w:tc>
          <w:tcPr>
            <w:tcW w:w="8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0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rPr>
          <w:rFonts w:ascii="inherit" w:hAnsi="inherit"/>
          <w:sz w:val="17"/>
        </w:rPr>
      </w:pPr>
      <w:r>
        <w:rPr>
          <w:rFonts w:ascii="inherit" w:hAnsi="inherit"/>
          <w:sz w:val="17"/>
        </w:rPr>
        <w:t>Cash and cash equivalents and restricted cash bear interest at market rates and have maturities of less than 90 days.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The total U.S. pawn loan term ranges between 60</w:t>
      </w:r>
      <w:r>
        <w:rPr>
          <w:sz w:val="17"/>
        </w:rPr>
        <w:t xml:space="preserve"> </w:t>
      </w:r>
      <w:r>
        <w:rPr>
          <w:rFonts w:ascii="inherit" w:hAnsi="inherit"/>
          <w:sz w:val="17"/>
        </w:rPr>
        <w:t xml:space="preserve">and 120 days, consisting of the primary term and grace period. The total Mexico pawn loan term is 40 days, consisting of the primary term and grace period.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We record pawn service charges using the interest method for all pawn loans we believe to be collectible. We base our estimate of collectible loans on several unobservable inputs, including recent redemption rates, historical trends in redemption rates and the amount of loans due in the following two months.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 xml:space="preserve">Consumer loan fees and interest receivable are carried in the consolidated balance sheet net of the allowance for uncollectible consumer loan fees and interest receivable, which is based on recent loan default experience adjusted for seasonal variations and collection percentages.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Based on the short-term nature of these assets we estimate that their carrying value approximates fair value.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 xml:space="preserve">Consumer loans, including long-term unsecured consumer loans made by Grupo Finmart, are carried in the consolidated balance sheet net of the allowance for estimated loan losses, which is based on recent loan default experience adjusted for seasonal variations. Consumer loans, other than those made by Grupo Finmart, have relatively short maturity periods that are generally 12 months; therefore, we estimate that their carrying value approximates fair value. Consumer loans made by Grupo Finmart have an average term of approximately 30 months. We estimated the fair value of the Grupo Finmart consumer loans by applying an income approach (the present value of future cash flows). Key assumptions include an annualized probability of default as well as a discount rate based on the funding rate plus the portfolio liquidity risk.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 xml:space="preserve">The fair value of the redeemable noncontrolling interest was estimated by applying an income approach. This fair value measurement is based on significant inputs that are not observable in the market and thus represents a Level 3 measurement. Key assumptions include discount rates representing discounts for lack of control and lack of marketability that market participants would consider when estimating the fair value of the noncontrolling interest.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103</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We measure the fair value of our financial liabilities using an income approach. Fair value measurements for our domestic line of credit were calculated using discount rates based on an estimated senior secured spread plus term matched risk free rate as of the valuation dates. We utilize credit quality-related zero rate curves for Mexican Pesos built by a price vendor authorized by the Comisión Nacional Bancaria y de Valores to determine the fair value measurements of the remaining financial liabilities that are classified as Level 2. For fair value measurements that are classified as Level 1, we utilize quoted price and yield inputs from Bloomberg and a price vendor authorized by the Comisión Nacional Bancaria y de Valores.</w:t>
      </w:r>
    </w:p>
    <w:p>
      <w:pPr>
        <w:pStyle w:val="TextBody"/>
        <w:spacing w:lineRule="auto" w:line="288" w:before="0" w:after="0"/>
        <w:jc w:val="left"/>
        <w:rPr>
          <w:rFonts w:ascii="inherit" w:hAnsi="inherit"/>
          <w:b/>
          <w:sz w:val="17"/>
        </w:rPr>
      </w:pPr>
      <w:bookmarkStart w:id="96" w:name="s36D9E2347839ED467ED183E26F1B9BA2"/>
      <w:bookmarkEnd w:id="96"/>
      <w:r>
        <w:rPr>
          <w:rFonts w:ascii="inherit" w:hAnsi="inherit"/>
          <w:b/>
          <w:sz w:val="17"/>
        </w:rPr>
        <w:t>NOTE 22: DERIVATIVE INSTRUMENTS AND HEDGING ACTIVITIES</w:t>
      </w:r>
    </w:p>
    <w:p>
      <w:pPr>
        <w:pStyle w:val="TextBody"/>
        <w:spacing w:lineRule="auto" w:line="288" w:before="0" w:after="0"/>
        <w:rPr>
          <w:sz w:val="17"/>
        </w:rPr>
      </w:pPr>
      <w:r>
        <w:rPr>
          <w:rFonts w:ascii="inherit" w:hAnsi="inherit"/>
          <w:sz w:val="17"/>
        </w:rPr>
        <w:t xml:space="preserve">Our earnings and financial position are affected by changes in gold values. In fiscal year </w:t>
      </w:r>
      <w:r>
        <w:rPr>
          <w:rFonts w:ascii="inherit" w:hAnsi="inherit"/>
          <w:strike w:val="false"/>
          <w:dstrike w:val="false"/>
          <w:color w:val="000000"/>
          <w:sz w:val="17"/>
          <w:u w:val="none"/>
          <w:effect w:val="none"/>
        </w:rPr>
        <w:t>2012</w:t>
      </w:r>
      <w:r>
        <w:rPr>
          <w:rFonts w:ascii="inherit" w:hAnsi="inherit"/>
          <w:sz w:val="17"/>
        </w:rPr>
        <w:t xml:space="preserve">, we used derivative financial instruments in order to manage our commodity price risk associated with the forecasted sales of gold scrap. These derivatives were not designated as hedges, and according to FASB ASC 815-20-25, “Derivatives and Hedging – Recognition,” changes in their fair value were recorded directly in earnings. As of September 30, 2013 and 2012, we did not have an outstanding balance of non-designated derivatives recorded on our balance sheet. </w:t>
      </w:r>
    </w:p>
    <w:p>
      <w:pPr>
        <w:pStyle w:val="TextBody"/>
        <w:spacing w:lineRule="auto" w:line="288" w:before="0" w:after="0"/>
        <w:rPr>
          <w:sz w:val="17"/>
        </w:rPr>
      </w:pPr>
      <w:r>
        <w:rPr>
          <w:rFonts w:ascii="inherit" w:hAnsi="inherit"/>
          <w:sz w:val="17"/>
        </w:rPr>
        <w:t xml:space="preserve">In the current fiscal year, Grupo Finmart completed a </w:t>
      </w:r>
      <w:r>
        <w:rPr>
          <w:rFonts w:ascii="inherit" w:hAnsi="inherit"/>
          <w:strike w:val="false"/>
          <w:dstrike w:val="false"/>
          <w:color w:val="000000"/>
          <w:sz w:val="17"/>
          <w:u w:val="none"/>
          <w:effect w:val="none"/>
        </w:rPr>
        <w:t>$30 million</w:t>
      </w:r>
      <w:r>
        <w:rPr>
          <w:sz w:val="17"/>
        </w:rPr>
        <w:t xml:space="preserve"> </w:t>
      </w:r>
      <w:r>
        <w:rPr>
          <w:rFonts w:ascii="inherit" w:hAnsi="inherit"/>
          <w:sz w:val="17"/>
        </w:rPr>
        <w:t xml:space="preserve">cross-border debt offering for which it has to pay interest on a semiannual basis at a fixed rate. Grupo Finmart used derivative instruments (cross currency forwards) to manage its exposure related to changes in exchange rate. Grupo Finmart does not enter into derivative instruments for any purpose other than cash flow hedging. </w:t>
      </w:r>
    </w:p>
    <w:p>
      <w:pPr>
        <w:pStyle w:val="TextBody"/>
        <w:spacing w:lineRule="auto" w:line="288" w:before="0" w:after="0"/>
        <w:rPr>
          <w:rFonts w:ascii="inherit" w:hAnsi="inherit"/>
          <w:sz w:val="17"/>
        </w:rPr>
      </w:pPr>
      <w:r>
        <w:rPr>
          <w:rFonts w:ascii="inherit" w:hAnsi="inherit"/>
          <w:sz w:val="17"/>
        </w:rPr>
        <w:t>Changes in the fair value of forward agreements designated as hedging instruments that effectively offset the variability of cash flows associated with exchange rate are reported in accumulated other comprehensive income. These amounts subsequently are reclassified into earnings in the same period or periods during which the hedged transaction affects earnings.</w:t>
      </w:r>
    </w:p>
    <w:p>
      <w:pPr>
        <w:pStyle w:val="TextBody"/>
        <w:spacing w:lineRule="auto" w:line="288" w:before="0" w:after="0"/>
        <w:jc w:val="both"/>
        <w:rPr>
          <w:rFonts w:ascii="inherit" w:hAnsi="inherit"/>
          <w:sz w:val="17"/>
        </w:rPr>
      </w:pPr>
      <w:r>
        <w:rPr>
          <w:rFonts w:ascii="inherit" w:hAnsi="inherit"/>
          <w:sz w:val="17"/>
        </w:rPr>
        <w:t>We assess the effectiveness of the hedges using linear regression for prospective testing, and the dollar offset method for retrospective testing. A hypothetical derivative with fair value of zero is created at the beginning of the hedge relationship; changes in actual derivative and hypothetical derivatives are used to carry out both testings.</w:t>
      </w:r>
    </w:p>
    <w:p>
      <w:pPr>
        <w:pStyle w:val="TextBody"/>
        <w:spacing w:lineRule="auto" w:line="288" w:before="0" w:after="0"/>
        <w:rPr>
          <w:rFonts w:ascii="inherit" w:hAnsi="inherit"/>
          <w:sz w:val="17"/>
        </w:rPr>
      </w:pPr>
      <w:r>
        <w:rPr>
          <w:rFonts w:ascii="inherit" w:hAnsi="inherit"/>
          <w:sz w:val="17"/>
        </w:rPr>
        <w:t xml:space="preserve">The following tables set forth certain information regarding our derivative instruments: </w:t>
      </w:r>
    </w:p>
    <w:tbl>
      <w:tblPr>
        <w:tblW w:w="10205" w:type="dxa"/>
        <w:jc w:val="left"/>
        <w:tblInd w:w="0" w:type="dxa"/>
        <w:tblCellMar>
          <w:top w:w="0" w:type="dxa"/>
          <w:left w:w="0" w:type="dxa"/>
          <w:bottom w:w="0" w:type="dxa"/>
          <w:right w:w="0" w:type="dxa"/>
        </w:tblCellMar>
      </w:tblPr>
      <w:tblGrid>
        <w:gridCol w:w="3496"/>
        <w:gridCol w:w="144"/>
        <w:gridCol w:w="2552"/>
        <w:gridCol w:w="144"/>
        <w:gridCol w:w="318"/>
        <w:gridCol w:w="1327"/>
        <w:gridCol w:w="93"/>
        <w:gridCol w:w="144"/>
        <w:gridCol w:w="347"/>
        <w:gridCol w:w="1465"/>
        <w:gridCol w:w="175"/>
      </w:tblGrid>
      <w:tr>
        <w:trPr/>
        <w:tc>
          <w:tcPr>
            <w:tcW w:w="10205" w:type="dxa"/>
            <w:gridSpan w:val="11"/>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552"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96"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2552" w:type="dxa"/>
            <w:tcBorders/>
            <w:shd w:fill="auto" w:val="clear"/>
            <w:vAlign w:val="center"/>
          </w:tcPr>
          <w:p>
            <w:pPr>
              <w:pStyle w:val="TableContents"/>
              <w:spacing w:before="0" w:after="0"/>
              <w:ind w:left="0" w:right="0" w:firstLine="30"/>
              <w:rPr/>
            </w:pPr>
            <w:r>
              <w:rPr/>
              <w:t> </w:t>
            </w:r>
          </w:p>
        </w:tc>
        <w:tc>
          <w:tcPr>
            <w:tcW w:w="144"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86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of Derivative Instruments</w:t>
            </w:r>
          </w:p>
        </w:tc>
      </w:tr>
      <w:tr>
        <w:trPr/>
        <w:tc>
          <w:tcPr>
            <w:tcW w:w="349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Derivative Instrument</w:t>
            </w:r>
          </w:p>
        </w:tc>
        <w:tc>
          <w:tcPr>
            <w:tcW w:w="144" w:type="dxa"/>
            <w:tcBorders/>
            <w:shd w:fill="auto" w:val="clear"/>
            <w:vAlign w:val="center"/>
          </w:tcPr>
          <w:p>
            <w:pPr>
              <w:pStyle w:val="TableContents"/>
              <w:spacing w:before="0" w:after="0"/>
              <w:ind w:left="0" w:right="0" w:firstLine="30"/>
              <w:rPr/>
            </w:pPr>
            <w:r>
              <w:rPr/>
              <w:t> </w:t>
            </w:r>
          </w:p>
        </w:tc>
        <w:tc>
          <w:tcPr>
            <w:tcW w:w="2552"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Balance Sheet Location</w:t>
            </w:r>
          </w:p>
        </w:tc>
        <w:tc>
          <w:tcPr>
            <w:tcW w:w="144" w:type="dxa"/>
            <w:tcBorders/>
            <w:shd w:fill="auto" w:val="clear"/>
            <w:vAlign w:val="center"/>
          </w:tcPr>
          <w:p>
            <w:pPr>
              <w:pStyle w:val="TableContents"/>
              <w:spacing w:before="0" w:after="0"/>
              <w:ind w:left="0" w:right="0" w:firstLine="30"/>
              <w:rPr/>
            </w:pPr>
            <w:r>
              <w:rPr/>
              <w:t> </w:t>
            </w:r>
          </w:p>
        </w:tc>
        <w:tc>
          <w:tcPr>
            <w:tcW w:w="173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2013</w:t>
            </w:r>
          </w:p>
        </w:tc>
        <w:tc>
          <w:tcPr>
            <w:tcW w:w="144" w:type="dxa"/>
            <w:tcBorders/>
            <w:shd w:fill="auto" w:val="clear"/>
            <w:vAlign w:val="center"/>
          </w:tcPr>
          <w:p>
            <w:pPr>
              <w:pStyle w:val="TableContents"/>
              <w:spacing w:before="0" w:after="0"/>
              <w:ind w:left="0" w:right="0" w:firstLine="30"/>
              <w:rPr/>
            </w:pPr>
            <w:r>
              <w:rPr/>
              <w:t> </w:t>
            </w:r>
          </w:p>
        </w:tc>
        <w:tc>
          <w:tcPr>
            <w:tcW w:w="198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2012</w:t>
            </w:r>
          </w:p>
        </w:tc>
      </w:tr>
      <w:tr>
        <w:trPr/>
        <w:tc>
          <w:tcPr>
            <w:tcW w:w="3496"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2552"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3869" w:type="dxa"/>
            <w:gridSpan w:val="7"/>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4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Designated as cash flow hedging instruments:</w:t>
            </w:r>
          </w:p>
        </w:tc>
        <w:tc>
          <w:tcPr>
            <w:tcW w:w="144" w:type="dxa"/>
            <w:tcBorders/>
            <w:shd w:fill="CCEEFF" w:val="clear"/>
            <w:vAlign w:val="center"/>
          </w:tcPr>
          <w:p>
            <w:pPr>
              <w:pStyle w:val="TableContents"/>
              <w:spacing w:before="0" w:after="0"/>
              <w:ind w:left="0" w:right="0" w:firstLine="30"/>
              <w:rPr/>
            </w:pPr>
            <w:r>
              <w:rPr/>
              <w:t> </w:t>
            </w:r>
          </w:p>
        </w:tc>
        <w:tc>
          <w:tcPr>
            <w:tcW w:w="2552"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738"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987" w:type="dxa"/>
            <w:gridSpan w:val="3"/>
            <w:tcBorders/>
            <w:shd w:fill="CCEEFF" w:val="clear"/>
            <w:vAlign w:val="center"/>
          </w:tcPr>
          <w:p>
            <w:pPr>
              <w:pStyle w:val="TableContents"/>
              <w:spacing w:before="0" w:after="0"/>
              <w:ind w:left="0" w:right="0" w:firstLine="30"/>
              <w:rPr/>
            </w:pPr>
            <w:r>
              <w:rPr/>
              <w:t> </w:t>
            </w:r>
          </w:p>
        </w:tc>
      </w:tr>
      <w:tr>
        <w:trPr/>
        <w:tc>
          <w:tcPr>
            <w:tcW w:w="34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forwards</w:t>
            </w:r>
          </w:p>
        </w:tc>
        <w:tc>
          <w:tcPr>
            <w:tcW w:w="144" w:type="dxa"/>
            <w:tcBorders/>
            <w:shd w:fill="auto" w:val="clear"/>
            <w:vAlign w:val="center"/>
          </w:tcPr>
          <w:p>
            <w:pPr>
              <w:pStyle w:val="TableContents"/>
              <w:spacing w:before="0" w:after="0"/>
              <w:ind w:left="0" w:right="0" w:firstLine="30"/>
              <w:rPr/>
            </w:pPr>
            <w:r>
              <w:rPr/>
              <w:t> </w:t>
            </w:r>
          </w:p>
        </w:tc>
        <w:tc>
          <w:tcPr>
            <w:tcW w:w="25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assets, net</w:t>
            </w:r>
          </w:p>
        </w:tc>
        <w:tc>
          <w:tcPr>
            <w:tcW w:w="144" w:type="dxa"/>
            <w:tcBorders/>
            <w:shd w:fill="auto" w:val="clear"/>
            <w:vAlign w:val="center"/>
          </w:tcPr>
          <w:p>
            <w:pPr>
              <w:pStyle w:val="TableContents"/>
              <w:spacing w:before="0" w:after="0"/>
              <w:ind w:left="0" w:right="0" w:firstLine="30"/>
              <w:rPr/>
            </w:pPr>
            <w:r>
              <w:rPr/>
              <w:t> </w:t>
            </w:r>
          </w:p>
        </w:tc>
        <w:tc>
          <w:tcPr>
            <w:tcW w:w="3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27" w:type="dxa"/>
            <w:tcBorders/>
            <w:shd w:fill="auto" w:val="clear"/>
            <w:vAlign w:val="center"/>
          </w:tcPr>
          <w:p>
            <w:pPr>
              <w:pStyle w:val="TableContents"/>
              <w:spacing w:before="0" w:after="0"/>
              <w:jc w:val="right"/>
              <w:rPr>
                <w:rFonts w:ascii="inherit" w:hAnsi="inherit"/>
                <w:sz w:val="17"/>
              </w:rPr>
            </w:pPr>
            <w:r>
              <w:rPr>
                <w:rFonts w:ascii="inherit" w:hAnsi="inherit"/>
                <w:sz w:val="17"/>
              </w:rPr>
              <w:t>1,813</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34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65" w:type="dxa"/>
            <w:tcBorders/>
            <w:shd w:fill="auto" w:val="clear"/>
            <w:vAlign w:val="center"/>
          </w:tcPr>
          <w:p>
            <w:pPr>
              <w:pStyle w:val="TableContents"/>
              <w:spacing w:before="0" w:after="0"/>
              <w:jc w:val="right"/>
              <w:rPr/>
            </w:pPr>
            <w:r>
              <w:rPr/>
              <w:t>—</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3511"/>
        <w:gridCol w:w="130"/>
        <w:gridCol w:w="2824"/>
        <w:gridCol w:w="130"/>
        <w:gridCol w:w="174"/>
        <w:gridCol w:w="772"/>
        <w:gridCol w:w="93"/>
        <w:gridCol w:w="144"/>
        <w:gridCol w:w="174"/>
        <w:gridCol w:w="885"/>
        <w:gridCol w:w="161"/>
        <w:gridCol w:w="144"/>
        <w:gridCol w:w="174"/>
        <w:gridCol w:w="772"/>
        <w:gridCol w:w="117"/>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82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11" w:type="dxa"/>
            <w:tcBorders/>
            <w:shd w:fill="auto" w:val="clear"/>
            <w:vAlign w:val="center"/>
          </w:tcPr>
          <w:p>
            <w:pPr>
              <w:pStyle w:val="TableContents"/>
              <w:spacing w:before="0" w:after="0"/>
              <w:ind w:left="0" w:right="0" w:firstLine="30"/>
              <w:jc w:val="left"/>
              <w:rPr/>
            </w:pPr>
            <w:r>
              <w:rPr/>
              <w:t> </w:t>
            </w:r>
          </w:p>
        </w:tc>
        <w:tc>
          <w:tcPr>
            <w:tcW w:w="130" w:type="dxa"/>
            <w:tcBorders/>
            <w:shd w:fill="auto" w:val="clear"/>
            <w:vAlign w:val="center"/>
          </w:tcPr>
          <w:p>
            <w:pPr>
              <w:pStyle w:val="TableContents"/>
              <w:spacing w:before="0" w:after="0"/>
              <w:ind w:left="0" w:right="0" w:firstLine="30"/>
              <w:rPr/>
            </w:pPr>
            <w:r>
              <w:rPr/>
              <w:t> </w:t>
            </w:r>
          </w:p>
        </w:tc>
        <w:tc>
          <w:tcPr>
            <w:tcW w:w="2824" w:type="dxa"/>
            <w:tcBorders/>
            <w:shd w:fill="auto" w:val="clear"/>
            <w:vAlign w:val="center"/>
          </w:tcPr>
          <w:p>
            <w:pPr>
              <w:pStyle w:val="TableContents"/>
              <w:spacing w:before="0" w:after="0"/>
              <w:ind w:left="0" w:right="0" w:firstLine="30"/>
              <w:jc w:val="left"/>
              <w:rPr/>
            </w:pPr>
            <w:r>
              <w:rPr/>
              <w:t> </w:t>
            </w:r>
          </w:p>
        </w:tc>
        <w:tc>
          <w:tcPr>
            <w:tcW w:w="130" w:type="dxa"/>
            <w:tcBorders/>
            <w:shd w:fill="auto" w:val="clear"/>
            <w:vAlign w:val="center"/>
          </w:tcPr>
          <w:p>
            <w:pPr>
              <w:pStyle w:val="TableContents"/>
              <w:spacing w:before="0" w:after="0"/>
              <w:ind w:left="0" w:right="0" w:firstLine="30"/>
              <w:rPr/>
            </w:pPr>
            <w:r>
              <w:rPr/>
              <w:t> </w:t>
            </w:r>
          </w:p>
        </w:tc>
        <w:tc>
          <w:tcPr>
            <w:tcW w:w="361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 of Gain Recognized in Income</w:t>
            </w:r>
          </w:p>
        </w:tc>
      </w:tr>
      <w:tr>
        <w:trPr/>
        <w:tc>
          <w:tcPr>
            <w:tcW w:w="3511" w:type="dxa"/>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2824" w:type="dxa"/>
            <w:tcBorders/>
            <w:shd w:fill="auto" w:val="clear"/>
            <w:vAlign w:val="center"/>
          </w:tcPr>
          <w:p>
            <w:pPr>
              <w:pStyle w:val="TableContents"/>
              <w:spacing w:before="0" w:after="0"/>
              <w:ind w:left="0" w:right="0" w:firstLine="30"/>
              <w:jc w:val="left"/>
              <w:rPr/>
            </w:pPr>
            <w:r>
              <w:rPr/>
              <w:t> </w:t>
            </w:r>
          </w:p>
        </w:tc>
        <w:tc>
          <w:tcPr>
            <w:tcW w:w="130" w:type="dxa"/>
            <w:tcBorders/>
            <w:shd w:fill="auto" w:val="clear"/>
            <w:vAlign w:val="center"/>
          </w:tcPr>
          <w:p>
            <w:pPr>
              <w:pStyle w:val="TableContents"/>
              <w:spacing w:before="0" w:after="0"/>
              <w:ind w:left="0" w:right="0" w:firstLine="30"/>
              <w:rPr/>
            </w:pPr>
            <w:r>
              <w:rPr/>
              <w:t> </w:t>
            </w:r>
          </w:p>
        </w:tc>
        <w:tc>
          <w:tcPr>
            <w:tcW w:w="361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Years Ended September 30,</w:t>
            </w:r>
          </w:p>
        </w:tc>
      </w:tr>
      <w:tr>
        <w:trPr/>
        <w:tc>
          <w:tcPr>
            <w:tcW w:w="351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Derivative Instrument</w:t>
            </w:r>
          </w:p>
        </w:tc>
        <w:tc>
          <w:tcPr>
            <w:tcW w:w="130" w:type="dxa"/>
            <w:tcBorders/>
            <w:shd w:fill="auto" w:val="clear"/>
            <w:vAlign w:val="center"/>
          </w:tcPr>
          <w:p>
            <w:pPr>
              <w:pStyle w:val="TableContents"/>
              <w:spacing w:before="0" w:after="0"/>
              <w:ind w:left="0" w:right="0" w:firstLine="30"/>
              <w:rPr/>
            </w:pPr>
            <w:r>
              <w:rPr/>
              <w:t> </w:t>
            </w:r>
          </w:p>
        </w:tc>
        <w:tc>
          <w:tcPr>
            <w:tcW w:w="282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Location of (Gain)</w:t>
            </w:r>
          </w:p>
        </w:tc>
        <w:tc>
          <w:tcPr>
            <w:tcW w:w="130" w:type="dxa"/>
            <w:tcBorders/>
            <w:shd w:fill="auto" w:val="clear"/>
            <w:vAlign w:val="center"/>
          </w:tcPr>
          <w:p>
            <w:pPr>
              <w:pStyle w:val="TableContents"/>
              <w:spacing w:before="0" w:after="0"/>
              <w:ind w:left="0" w:right="0" w:firstLine="30"/>
              <w:rPr/>
            </w:pPr>
            <w:r>
              <w:rPr/>
              <w:t> </w:t>
            </w:r>
          </w:p>
        </w:tc>
        <w:tc>
          <w:tcPr>
            <w:tcW w:w="103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4" w:type="dxa"/>
            <w:tcBorders/>
            <w:shd w:fill="auto" w:val="clear"/>
            <w:vAlign w:val="center"/>
          </w:tcPr>
          <w:p>
            <w:pPr>
              <w:pStyle w:val="TableContents"/>
              <w:spacing w:before="0" w:after="0"/>
              <w:ind w:left="0" w:right="0" w:firstLine="30"/>
              <w:rPr/>
            </w:pPr>
            <w:r>
              <w:rPr/>
              <w:t> </w:t>
            </w:r>
          </w:p>
        </w:tc>
        <w:tc>
          <w:tcPr>
            <w:tcW w:w="12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4" w:type="dxa"/>
            <w:tcBorders/>
            <w:shd w:fill="auto" w:val="clear"/>
            <w:vAlign w:val="center"/>
          </w:tcPr>
          <w:p>
            <w:pPr>
              <w:pStyle w:val="TableContents"/>
              <w:spacing w:before="0" w:after="0"/>
              <w:ind w:left="0" w:right="0" w:firstLine="30"/>
              <w:rPr/>
            </w:pPr>
            <w:r>
              <w:rPr/>
              <w:t> </w:t>
            </w:r>
          </w:p>
        </w:tc>
        <w:tc>
          <w:tcPr>
            <w:tcW w:w="106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3511" w:type="dxa"/>
            <w:tcBorders/>
            <w:shd w:fill="auto" w:val="clear"/>
            <w:vAlign w:val="center"/>
          </w:tcPr>
          <w:p>
            <w:pPr>
              <w:pStyle w:val="TableContents"/>
              <w:spacing w:before="0" w:after="0"/>
              <w:ind w:left="0" w:right="0" w:firstLine="30"/>
              <w:jc w:val="left"/>
              <w:rPr/>
            </w:pPr>
            <w:r>
              <w:rPr/>
              <w:t> </w:t>
            </w:r>
          </w:p>
        </w:tc>
        <w:tc>
          <w:tcPr>
            <w:tcW w:w="130" w:type="dxa"/>
            <w:tcBorders/>
            <w:shd w:fill="auto" w:val="clear"/>
            <w:vAlign w:val="center"/>
          </w:tcPr>
          <w:p>
            <w:pPr>
              <w:pStyle w:val="TableContents"/>
              <w:spacing w:before="0" w:after="0"/>
              <w:ind w:left="0" w:right="0" w:firstLine="30"/>
              <w:rPr/>
            </w:pPr>
            <w:r>
              <w:rPr/>
              <w:t> </w:t>
            </w:r>
          </w:p>
        </w:tc>
        <w:tc>
          <w:tcPr>
            <w:tcW w:w="2824" w:type="dxa"/>
            <w:tcBorders/>
            <w:shd w:fill="auto" w:val="clear"/>
            <w:vAlign w:val="center"/>
          </w:tcPr>
          <w:p>
            <w:pPr>
              <w:pStyle w:val="TableContents"/>
              <w:spacing w:before="0" w:after="0"/>
              <w:ind w:left="0" w:right="0" w:firstLine="30"/>
              <w:jc w:val="left"/>
              <w:rPr/>
            </w:pPr>
            <w:r>
              <w:rPr/>
              <w:t> </w:t>
            </w:r>
          </w:p>
        </w:tc>
        <w:tc>
          <w:tcPr>
            <w:tcW w:w="130" w:type="dxa"/>
            <w:tcBorders/>
            <w:shd w:fill="auto" w:val="clear"/>
            <w:vAlign w:val="center"/>
          </w:tcPr>
          <w:p>
            <w:pPr>
              <w:pStyle w:val="TableContents"/>
              <w:spacing w:before="0" w:after="0"/>
              <w:ind w:left="0" w:right="0" w:firstLine="30"/>
              <w:rPr/>
            </w:pPr>
            <w:r>
              <w:rPr/>
              <w:t> </w:t>
            </w:r>
          </w:p>
        </w:tc>
        <w:tc>
          <w:tcPr>
            <w:tcW w:w="3610"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Non-designated derivatives:</w:t>
            </w:r>
          </w:p>
        </w:tc>
        <w:tc>
          <w:tcPr>
            <w:tcW w:w="130" w:type="dxa"/>
            <w:tcBorders/>
            <w:shd w:fill="CCEEFF" w:val="clear"/>
            <w:vAlign w:val="center"/>
          </w:tcPr>
          <w:p>
            <w:pPr>
              <w:pStyle w:val="TableContents"/>
              <w:spacing w:before="0" w:after="0"/>
              <w:ind w:left="0" w:right="0" w:firstLine="30"/>
              <w:rPr/>
            </w:pPr>
            <w:r>
              <w:rPr/>
              <w:t> </w:t>
            </w:r>
          </w:p>
        </w:tc>
        <w:tc>
          <w:tcPr>
            <w:tcW w:w="2824" w:type="dxa"/>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039"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220"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063" w:type="dxa"/>
            <w:gridSpan w:val="3"/>
            <w:tcBorders/>
            <w:shd w:fill="CCEEFF" w:val="clear"/>
            <w:vAlign w:val="center"/>
          </w:tcPr>
          <w:p>
            <w:pPr>
              <w:pStyle w:val="TableContents"/>
              <w:spacing w:before="0" w:after="0"/>
              <w:ind w:left="0" w:right="0" w:firstLine="30"/>
              <w:rPr/>
            </w:pPr>
            <w:r>
              <w:rPr/>
              <w:t> </w:t>
            </w:r>
          </w:p>
        </w:tc>
      </w:tr>
      <w:tr>
        <w:trPr/>
        <w:tc>
          <w:tcPr>
            <w:tcW w:w="35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Gold Collar</w:t>
            </w:r>
          </w:p>
        </w:tc>
        <w:tc>
          <w:tcPr>
            <w:tcW w:w="130" w:type="dxa"/>
            <w:tcBorders/>
            <w:shd w:fill="auto" w:val="clear"/>
            <w:vAlign w:val="center"/>
          </w:tcPr>
          <w:p>
            <w:pPr>
              <w:pStyle w:val="TableContents"/>
              <w:spacing w:before="0" w:after="0"/>
              <w:ind w:left="0" w:right="0" w:firstLine="30"/>
              <w:rPr/>
            </w:pPr>
            <w:r>
              <w:rPr/>
              <w:t> </w:t>
            </w:r>
          </w:p>
        </w:tc>
        <w:tc>
          <w:tcPr>
            <w:tcW w:w="28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30" w:type="dxa"/>
            <w:tcBorders/>
            <w:shd w:fill="auto" w:val="clear"/>
            <w:vAlign w:val="center"/>
          </w:tcPr>
          <w:p>
            <w:pPr>
              <w:pStyle w:val="TableContents"/>
              <w:spacing w:before="0" w:after="0"/>
              <w:ind w:left="0" w:right="0" w:firstLine="30"/>
              <w:rPr/>
            </w:pPr>
            <w:r>
              <w:rPr/>
              <w:t> </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shd w:fill="auto" w:val="clear"/>
            <w:vAlign w:val="center"/>
          </w:tcPr>
          <w:p>
            <w:pPr>
              <w:pStyle w:val="TableContents"/>
              <w:spacing w:before="0" w:after="0"/>
              <w:jc w:val="right"/>
              <w:rPr/>
            </w:pPr>
            <w:r>
              <w:rPr/>
              <w:t>—</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85" w:type="dxa"/>
            <w:tcBorders/>
            <w:shd w:fill="auto" w:val="clear"/>
            <w:vAlign w:val="center"/>
          </w:tcPr>
          <w:p>
            <w:pPr>
              <w:pStyle w:val="TableContents"/>
              <w:spacing w:before="0" w:after="0"/>
              <w:jc w:val="right"/>
              <w:rPr>
                <w:rFonts w:ascii="inherit" w:hAnsi="inherit"/>
                <w:sz w:val="17"/>
              </w:rPr>
            </w:pPr>
            <w:r>
              <w:rPr>
                <w:rFonts w:ascii="inherit" w:hAnsi="inherit"/>
                <w:sz w:val="17"/>
              </w:rPr>
              <w:t>(151</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4" w:type="dxa"/>
            <w:tcBorders/>
            <w:shd w:fill="auto" w:val="clear"/>
            <w:vAlign w:val="center"/>
          </w:tcPr>
          <w:p>
            <w:pPr>
              <w:pStyle w:val="TableContents"/>
              <w:spacing w:before="0" w:after="0"/>
              <w:ind w:left="0" w:right="0" w:firstLine="30"/>
              <w:rPr/>
            </w:pPr>
            <w:r>
              <w:rPr/>
              <w:t> </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shd w:fill="auto" w:val="clear"/>
            <w:vAlign w:val="center"/>
          </w:tcPr>
          <w:p>
            <w:pPr>
              <w:pStyle w:val="TableContents"/>
              <w:spacing w:before="0" w:after="0"/>
              <w:jc w:val="right"/>
              <w:rPr/>
            </w:pPr>
            <w:r>
              <w:rPr/>
              <w:t>—</w:t>
            </w:r>
          </w:p>
        </w:tc>
        <w:tc>
          <w:tcPr>
            <w:tcW w:w="117"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center"/>
        <w:tblInd w:w="0" w:type="dxa"/>
        <w:tblCellMar>
          <w:top w:w="0" w:type="dxa"/>
          <w:left w:w="0" w:type="dxa"/>
          <w:bottom w:w="0" w:type="dxa"/>
          <w:right w:w="0" w:type="dxa"/>
        </w:tblCellMar>
      </w:tblPr>
      <w:tblGrid>
        <w:gridCol w:w="3532"/>
        <w:gridCol w:w="149"/>
        <w:gridCol w:w="2800"/>
        <w:gridCol w:w="149"/>
        <w:gridCol w:w="180"/>
        <w:gridCol w:w="855"/>
        <w:gridCol w:w="96"/>
        <w:gridCol w:w="149"/>
        <w:gridCol w:w="180"/>
        <w:gridCol w:w="788"/>
        <w:gridCol w:w="96"/>
        <w:gridCol w:w="149"/>
        <w:gridCol w:w="180"/>
        <w:gridCol w:w="788"/>
        <w:gridCol w:w="114"/>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353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80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32" w:type="dxa"/>
            <w:tcBorders/>
            <w:shd w:fill="auto" w:val="clear"/>
            <w:vAlign w:val="center"/>
          </w:tcPr>
          <w:p>
            <w:pPr>
              <w:pStyle w:val="TableContents"/>
              <w:spacing w:before="0" w:after="0"/>
              <w:ind w:left="0" w:right="0" w:firstLine="30"/>
              <w:jc w:val="left"/>
              <w:rPr/>
            </w:pPr>
            <w:r>
              <w:rPr/>
              <w:t> </w:t>
            </w:r>
          </w:p>
        </w:tc>
        <w:tc>
          <w:tcPr>
            <w:tcW w:w="149" w:type="dxa"/>
            <w:tcBorders/>
            <w:shd w:fill="auto" w:val="clear"/>
            <w:vAlign w:val="center"/>
          </w:tcPr>
          <w:p>
            <w:pPr>
              <w:pStyle w:val="TableContents"/>
              <w:spacing w:before="0" w:after="0"/>
              <w:ind w:left="0" w:right="0" w:firstLine="30"/>
              <w:rPr/>
            </w:pPr>
            <w:r>
              <w:rPr/>
              <w:t> </w:t>
            </w:r>
          </w:p>
        </w:tc>
        <w:tc>
          <w:tcPr>
            <w:tcW w:w="2800" w:type="dxa"/>
            <w:tcBorders/>
            <w:shd w:fill="auto" w:val="clear"/>
            <w:vAlign w:val="center"/>
          </w:tcPr>
          <w:p>
            <w:pPr>
              <w:pStyle w:val="TableContents"/>
              <w:spacing w:before="0" w:after="0"/>
              <w:ind w:left="0" w:right="0" w:firstLine="30"/>
              <w:jc w:val="left"/>
              <w:rPr/>
            </w:pPr>
            <w:r>
              <w:rPr/>
              <w:t> </w:t>
            </w:r>
          </w:p>
        </w:tc>
        <w:tc>
          <w:tcPr>
            <w:tcW w:w="149" w:type="dxa"/>
            <w:tcBorders/>
            <w:shd w:fill="auto" w:val="clear"/>
            <w:vAlign w:val="center"/>
          </w:tcPr>
          <w:p>
            <w:pPr>
              <w:pStyle w:val="TableContents"/>
              <w:spacing w:before="0" w:after="0"/>
              <w:ind w:left="0" w:right="0" w:firstLine="30"/>
              <w:rPr/>
            </w:pPr>
            <w:r>
              <w:rPr/>
              <w:t> </w:t>
            </w:r>
          </w:p>
        </w:tc>
        <w:tc>
          <w:tcPr>
            <w:tcW w:w="357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 of Loss Recognized in Other Comprehensive Income on Derivatives (Effective Portion)</w:t>
            </w:r>
          </w:p>
        </w:tc>
      </w:tr>
      <w:tr>
        <w:trPr/>
        <w:tc>
          <w:tcPr>
            <w:tcW w:w="3532" w:type="dxa"/>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800" w:type="dxa"/>
            <w:tcBorders/>
            <w:shd w:fill="auto" w:val="clear"/>
            <w:vAlign w:val="center"/>
          </w:tcPr>
          <w:p>
            <w:pPr>
              <w:pStyle w:val="TableContents"/>
              <w:spacing w:before="0" w:after="0"/>
              <w:ind w:left="0" w:right="0" w:firstLine="30"/>
              <w:jc w:val="left"/>
              <w:rPr/>
            </w:pPr>
            <w:r>
              <w:rPr/>
              <w:t> </w:t>
            </w:r>
          </w:p>
        </w:tc>
        <w:tc>
          <w:tcPr>
            <w:tcW w:w="149" w:type="dxa"/>
            <w:tcBorders/>
            <w:shd w:fill="auto" w:val="clear"/>
            <w:vAlign w:val="center"/>
          </w:tcPr>
          <w:p>
            <w:pPr>
              <w:pStyle w:val="TableContents"/>
              <w:spacing w:before="0" w:after="0"/>
              <w:ind w:left="0" w:right="0" w:firstLine="30"/>
              <w:rPr/>
            </w:pPr>
            <w:r>
              <w:rPr/>
              <w:t> </w:t>
            </w:r>
          </w:p>
        </w:tc>
        <w:tc>
          <w:tcPr>
            <w:tcW w:w="357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Years Ended September 30,</w:t>
            </w:r>
          </w:p>
        </w:tc>
      </w:tr>
      <w:tr>
        <w:trPr/>
        <w:tc>
          <w:tcPr>
            <w:tcW w:w="35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Derivative Instrument</w:t>
            </w:r>
          </w:p>
        </w:tc>
        <w:tc>
          <w:tcPr>
            <w:tcW w:w="149" w:type="dxa"/>
            <w:tcBorders/>
            <w:shd w:fill="auto" w:val="clear"/>
            <w:vAlign w:val="center"/>
          </w:tcPr>
          <w:p>
            <w:pPr>
              <w:pStyle w:val="TableContents"/>
              <w:spacing w:before="0" w:after="0"/>
              <w:ind w:left="0" w:right="0" w:firstLine="30"/>
              <w:rPr/>
            </w:pPr>
            <w:r>
              <w:rPr/>
              <w:t> </w:t>
            </w:r>
          </w:p>
        </w:tc>
        <w:tc>
          <w:tcPr>
            <w:tcW w:w="280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Location of Loss</w:t>
            </w:r>
          </w:p>
        </w:tc>
        <w:tc>
          <w:tcPr>
            <w:tcW w:w="149" w:type="dxa"/>
            <w:tcBorders/>
            <w:shd w:fill="auto" w:val="clear"/>
            <w:vAlign w:val="center"/>
          </w:tcPr>
          <w:p>
            <w:pPr>
              <w:pStyle w:val="TableContents"/>
              <w:spacing w:before="0" w:after="0"/>
              <w:ind w:left="0" w:right="0" w:firstLine="30"/>
              <w:rPr/>
            </w:pPr>
            <w:r>
              <w:rPr/>
              <w:t> </w:t>
            </w:r>
          </w:p>
        </w:tc>
        <w:tc>
          <w:tcPr>
            <w:tcW w:w="113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9" w:type="dxa"/>
            <w:tcBorders/>
            <w:shd w:fill="auto" w:val="clear"/>
            <w:vAlign w:val="center"/>
          </w:tcPr>
          <w:p>
            <w:pPr>
              <w:pStyle w:val="TableContents"/>
              <w:spacing w:before="0" w:after="0"/>
              <w:ind w:left="0" w:right="0" w:firstLine="30"/>
              <w:rPr/>
            </w:pPr>
            <w:r>
              <w:rPr/>
              <w:t> </w:t>
            </w:r>
          </w:p>
        </w:tc>
        <w:tc>
          <w:tcPr>
            <w:tcW w:w="10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9" w:type="dxa"/>
            <w:tcBorders/>
            <w:shd w:fill="auto" w:val="clear"/>
            <w:vAlign w:val="center"/>
          </w:tcPr>
          <w:p>
            <w:pPr>
              <w:pStyle w:val="TableContents"/>
              <w:spacing w:before="0" w:after="0"/>
              <w:ind w:left="0" w:right="0" w:firstLine="30"/>
              <w:rPr/>
            </w:pPr>
            <w:r>
              <w:rPr/>
              <w:t> </w:t>
            </w:r>
          </w:p>
        </w:tc>
        <w:tc>
          <w:tcPr>
            <w:tcW w:w="108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3532" w:type="dxa"/>
            <w:tcBorders/>
            <w:shd w:fill="auto" w:val="clear"/>
            <w:vAlign w:val="center"/>
          </w:tcPr>
          <w:p>
            <w:pPr>
              <w:pStyle w:val="TableContents"/>
              <w:spacing w:before="0" w:after="0"/>
              <w:ind w:left="0" w:right="0" w:firstLine="30"/>
              <w:jc w:val="left"/>
              <w:rPr/>
            </w:pPr>
            <w:r>
              <w:rPr/>
              <w:t> </w:t>
            </w:r>
          </w:p>
        </w:tc>
        <w:tc>
          <w:tcPr>
            <w:tcW w:w="149" w:type="dxa"/>
            <w:tcBorders/>
            <w:shd w:fill="auto" w:val="clear"/>
            <w:vAlign w:val="center"/>
          </w:tcPr>
          <w:p>
            <w:pPr>
              <w:pStyle w:val="TableContents"/>
              <w:spacing w:before="0" w:after="0"/>
              <w:ind w:left="0" w:right="0" w:firstLine="30"/>
              <w:rPr/>
            </w:pPr>
            <w:r>
              <w:rPr/>
              <w:t> </w:t>
            </w:r>
          </w:p>
        </w:tc>
        <w:tc>
          <w:tcPr>
            <w:tcW w:w="2800" w:type="dxa"/>
            <w:tcBorders/>
            <w:shd w:fill="auto" w:val="clear"/>
            <w:vAlign w:val="center"/>
          </w:tcPr>
          <w:p>
            <w:pPr>
              <w:pStyle w:val="TableContents"/>
              <w:spacing w:before="0" w:after="0"/>
              <w:ind w:left="0" w:right="0" w:firstLine="30"/>
              <w:jc w:val="left"/>
              <w:rPr/>
            </w:pPr>
            <w:r>
              <w:rPr/>
              <w:t> </w:t>
            </w:r>
          </w:p>
        </w:tc>
        <w:tc>
          <w:tcPr>
            <w:tcW w:w="149" w:type="dxa"/>
            <w:tcBorders/>
            <w:shd w:fill="auto" w:val="clear"/>
            <w:vAlign w:val="center"/>
          </w:tcPr>
          <w:p>
            <w:pPr>
              <w:pStyle w:val="TableContents"/>
              <w:spacing w:before="0" w:after="0"/>
              <w:ind w:left="0" w:right="0" w:firstLine="30"/>
              <w:rPr/>
            </w:pPr>
            <w:r>
              <w:rPr/>
              <w:t> </w:t>
            </w:r>
          </w:p>
        </w:tc>
        <w:tc>
          <w:tcPr>
            <w:tcW w:w="3575"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Designated as cash flow hedging instruments:</w:t>
            </w:r>
          </w:p>
        </w:tc>
        <w:tc>
          <w:tcPr>
            <w:tcW w:w="149" w:type="dxa"/>
            <w:tcBorders/>
            <w:shd w:fill="CCEEFF" w:val="clear"/>
            <w:vAlign w:val="center"/>
          </w:tcPr>
          <w:p>
            <w:pPr>
              <w:pStyle w:val="TableContents"/>
              <w:spacing w:before="0" w:after="0"/>
              <w:ind w:left="0" w:right="0" w:firstLine="30"/>
              <w:rPr/>
            </w:pPr>
            <w:r>
              <w:rPr/>
              <w:t> </w:t>
            </w:r>
          </w:p>
        </w:tc>
        <w:tc>
          <w:tcPr>
            <w:tcW w:w="2800"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1131"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1064"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1082" w:type="dxa"/>
            <w:gridSpan w:val="3"/>
            <w:tcBorders/>
            <w:shd w:fill="CCEEFF" w:val="clear"/>
            <w:vAlign w:val="center"/>
          </w:tcPr>
          <w:p>
            <w:pPr>
              <w:pStyle w:val="TableContents"/>
              <w:spacing w:before="0" w:after="0"/>
              <w:ind w:left="0" w:right="0" w:firstLine="30"/>
              <w:rPr/>
            </w:pPr>
            <w:r>
              <w:rPr/>
              <w:t> </w:t>
            </w:r>
          </w:p>
        </w:tc>
      </w:tr>
      <w:tr>
        <w:trPr/>
        <w:tc>
          <w:tcPr>
            <w:tcW w:w="35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forwards</w:t>
            </w:r>
          </w:p>
        </w:tc>
        <w:tc>
          <w:tcPr>
            <w:tcW w:w="149" w:type="dxa"/>
            <w:tcBorders/>
            <w:shd w:fill="auto" w:val="clear"/>
            <w:vAlign w:val="center"/>
          </w:tcPr>
          <w:p>
            <w:pPr>
              <w:pStyle w:val="TableContents"/>
              <w:spacing w:before="0" w:after="0"/>
              <w:ind w:left="0" w:right="0" w:firstLine="30"/>
              <w:rPr/>
            </w:pPr>
            <w:r>
              <w:rPr/>
              <w:t> </w:t>
            </w:r>
          </w:p>
        </w:tc>
        <w:tc>
          <w:tcPr>
            <w:tcW w:w="2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Effective portion of cash flow hedge</w:t>
            </w:r>
          </w:p>
        </w:tc>
        <w:tc>
          <w:tcPr>
            <w:tcW w:w="149"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5" w:type="dxa"/>
            <w:tcBorders/>
            <w:shd w:fill="auto" w:val="clear"/>
            <w:vAlign w:val="center"/>
          </w:tcPr>
          <w:p>
            <w:pPr>
              <w:pStyle w:val="TableContents"/>
              <w:spacing w:before="0" w:after="0"/>
              <w:jc w:val="right"/>
              <w:rPr>
                <w:rFonts w:ascii="inherit" w:hAnsi="inherit"/>
                <w:sz w:val="17"/>
              </w:rPr>
            </w:pPr>
            <w:r>
              <w:rPr>
                <w:rFonts w:ascii="inherit" w:hAnsi="inherit"/>
                <w:sz w:val="17"/>
              </w:rPr>
              <w:t>148</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8" w:type="dxa"/>
            <w:tcBorders/>
            <w:shd w:fill="auto" w:val="clear"/>
            <w:vAlign w:val="center"/>
          </w:tcPr>
          <w:p>
            <w:pPr>
              <w:pStyle w:val="TableContents"/>
              <w:spacing w:before="0" w:after="0"/>
              <w:jc w:val="right"/>
              <w:rPr/>
            </w:pPr>
            <w:r>
              <w:rPr/>
              <w:t>—</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8" w:type="dxa"/>
            <w:tcBorders/>
            <w:shd w:fill="auto" w:val="clear"/>
            <w:vAlign w:val="center"/>
          </w:tcPr>
          <w:p>
            <w:pPr>
              <w:pStyle w:val="TableContents"/>
              <w:spacing w:before="0" w:after="0"/>
              <w:jc w:val="right"/>
              <w:rPr/>
            </w:pPr>
            <w:r>
              <w:rPr/>
              <w:t>—</w:t>
            </w:r>
          </w:p>
        </w:tc>
        <w:tc>
          <w:tcPr>
            <w:tcW w:w="114"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104</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3300"/>
        <w:gridCol w:w="144"/>
        <w:gridCol w:w="2970"/>
        <w:gridCol w:w="144"/>
        <w:gridCol w:w="175"/>
        <w:gridCol w:w="996"/>
        <w:gridCol w:w="162"/>
        <w:gridCol w:w="144"/>
        <w:gridCol w:w="175"/>
        <w:gridCol w:w="739"/>
        <w:gridCol w:w="90"/>
        <w:gridCol w:w="144"/>
        <w:gridCol w:w="175"/>
        <w:gridCol w:w="739"/>
        <w:gridCol w:w="108"/>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330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97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00" w:type="dxa"/>
            <w:tcBorders/>
            <w:shd w:fill="auto" w:val="clear"/>
            <w:vAlign w:val="center"/>
          </w:tcPr>
          <w:p>
            <w:pPr>
              <w:pStyle w:val="TableContents"/>
              <w:spacing w:before="0" w:after="0"/>
              <w:ind w:left="0" w:right="0" w:firstLine="30"/>
              <w:jc w:val="left"/>
              <w:rPr/>
            </w:pPr>
            <w:r>
              <w:rPr/>
              <w:t> </w:t>
            </w:r>
          </w:p>
        </w:tc>
        <w:tc>
          <w:tcPr>
            <w:tcW w:w="144" w:type="dxa"/>
            <w:tcBorders/>
            <w:shd w:fill="auto" w:val="clear"/>
            <w:vAlign w:val="center"/>
          </w:tcPr>
          <w:p>
            <w:pPr>
              <w:pStyle w:val="TableContents"/>
              <w:spacing w:before="0" w:after="0"/>
              <w:ind w:left="0" w:right="0" w:firstLine="30"/>
              <w:rPr/>
            </w:pPr>
            <w:r>
              <w:rPr/>
              <w:t> </w:t>
            </w:r>
          </w:p>
        </w:tc>
        <w:tc>
          <w:tcPr>
            <w:tcW w:w="2970" w:type="dxa"/>
            <w:tcBorders/>
            <w:shd w:fill="auto" w:val="clear"/>
            <w:vAlign w:val="center"/>
          </w:tcPr>
          <w:p>
            <w:pPr>
              <w:pStyle w:val="TableContents"/>
              <w:spacing w:before="0" w:after="0"/>
              <w:ind w:left="0" w:right="0" w:firstLine="30"/>
              <w:jc w:val="left"/>
              <w:rPr/>
            </w:pPr>
            <w:r>
              <w:rPr/>
              <w:t> </w:t>
            </w:r>
          </w:p>
        </w:tc>
        <w:tc>
          <w:tcPr>
            <w:tcW w:w="144" w:type="dxa"/>
            <w:tcBorders/>
            <w:shd w:fill="auto" w:val="clear"/>
            <w:vAlign w:val="center"/>
          </w:tcPr>
          <w:p>
            <w:pPr>
              <w:pStyle w:val="TableContents"/>
              <w:spacing w:before="0" w:after="0"/>
              <w:ind w:left="0" w:right="0" w:firstLine="30"/>
              <w:rPr/>
            </w:pPr>
            <w:r>
              <w:rPr/>
              <w:t> </w:t>
            </w:r>
          </w:p>
        </w:tc>
        <w:tc>
          <w:tcPr>
            <w:tcW w:w="3647"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Amount of Gain on Derivatives Reclassified into Income from Accumulated Other Comprehensive Income (Effective Portion)</w:t>
            </w:r>
          </w:p>
        </w:tc>
      </w:tr>
      <w:tr>
        <w:trPr/>
        <w:tc>
          <w:tcPr>
            <w:tcW w:w="3300"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2970" w:type="dxa"/>
            <w:tcBorders/>
            <w:shd w:fill="auto" w:val="clear"/>
            <w:vAlign w:val="center"/>
          </w:tcPr>
          <w:p>
            <w:pPr>
              <w:pStyle w:val="TableContents"/>
              <w:spacing w:before="0" w:after="0"/>
              <w:ind w:left="0" w:right="0" w:firstLine="30"/>
              <w:jc w:val="left"/>
              <w:rPr/>
            </w:pPr>
            <w:r>
              <w:rPr/>
              <w:t> </w:t>
            </w:r>
          </w:p>
        </w:tc>
        <w:tc>
          <w:tcPr>
            <w:tcW w:w="144" w:type="dxa"/>
            <w:tcBorders/>
            <w:shd w:fill="auto" w:val="clear"/>
            <w:vAlign w:val="center"/>
          </w:tcPr>
          <w:p>
            <w:pPr>
              <w:pStyle w:val="TableContents"/>
              <w:spacing w:before="0" w:after="0"/>
              <w:ind w:left="0" w:right="0" w:firstLine="30"/>
              <w:rPr/>
            </w:pPr>
            <w:r>
              <w:rPr/>
              <w:t> </w:t>
            </w:r>
          </w:p>
        </w:tc>
        <w:tc>
          <w:tcPr>
            <w:tcW w:w="3647"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Years Ended September 30,</w:t>
            </w:r>
          </w:p>
        </w:tc>
      </w:tr>
      <w:tr>
        <w:trPr/>
        <w:tc>
          <w:tcPr>
            <w:tcW w:w="33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Derivative Instrument</w:t>
            </w:r>
          </w:p>
        </w:tc>
        <w:tc>
          <w:tcPr>
            <w:tcW w:w="144" w:type="dxa"/>
            <w:tcBorders/>
            <w:shd w:fill="auto" w:val="clear"/>
            <w:vAlign w:val="center"/>
          </w:tcPr>
          <w:p>
            <w:pPr>
              <w:pStyle w:val="TableContents"/>
              <w:spacing w:before="0" w:after="0"/>
              <w:ind w:left="0" w:right="0" w:firstLine="30"/>
              <w:rPr/>
            </w:pPr>
            <w:r>
              <w:rPr/>
              <w:t> </w:t>
            </w:r>
          </w:p>
        </w:tc>
        <w:tc>
          <w:tcPr>
            <w:tcW w:w="297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Location of (Gain)</w:t>
            </w:r>
          </w:p>
        </w:tc>
        <w:tc>
          <w:tcPr>
            <w:tcW w:w="144" w:type="dxa"/>
            <w:tcBorders/>
            <w:shd w:fill="auto" w:val="clear"/>
            <w:vAlign w:val="center"/>
          </w:tcPr>
          <w:p>
            <w:pPr>
              <w:pStyle w:val="TableContents"/>
              <w:spacing w:before="0" w:after="0"/>
              <w:ind w:left="0" w:right="0" w:firstLine="30"/>
              <w:rPr/>
            </w:pPr>
            <w:r>
              <w:rPr/>
              <w:t> </w:t>
            </w:r>
          </w:p>
        </w:tc>
        <w:tc>
          <w:tcPr>
            <w:tcW w:w="133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4" w:type="dxa"/>
            <w:tcBorders/>
            <w:shd w:fill="auto" w:val="clear"/>
            <w:vAlign w:val="center"/>
          </w:tcPr>
          <w:p>
            <w:pPr>
              <w:pStyle w:val="TableContents"/>
              <w:spacing w:before="0" w:after="0"/>
              <w:ind w:left="0" w:right="0" w:firstLine="30"/>
              <w:rPr/>
            </w:pPr>
            <w:r>
              <w:rPr/>
              <w:t> </w:t>
            </w:r>
          </w:p>
        </w:tc>
        <w:tc>
          <w:tcPr>
            <w:tcW w:w="100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4" w:type="dxa"/>
            <w:tcBorders/>
            <w:shd w:fill="auto" w:val="clear"/>
            <w:vAlign w:val="center"/>
          </w:tcPr>
          <w:p>
            <w:pPr>
              <w:pStyle w:val="TableContents"/>
              <w:spacing w:before="0" w:after="0"/>
              <w:ind w:left="0" w:right="0" w:firstLine="30"/>
              <w:rPr/>
            </w:pPr>
            <w:r>
              <w:rPr/>
              <w:t> </w:t>
            </w:r>
          </w:p>
        </w:tc>
        <w:tc>
          <w:tcPr>
            <w:tcW w:w="102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3300" w:type="dxa"/>
            <w:tcBorders/>
            <w:shd w:fill="auto" w:val="clear"/>
            <w:vAlign w:val="center"/>
          </w:tcPr>
          <w:p>
            <w:pPr>
              <w:pStyle w:val="TableContents"/>
              <w:spacing w:before="0" w:after="0"/>
              <w:ind w:left="0" w:right="0" w:firstLine="30"/>
              <w:jc w:val="left"/>
              <w:rPr/>
            </w:pPr>
            <w:r>
              <w:rPr/>
              <w:t> </w:t>
            </w:r>
          </w:p>
        </w:tc>
        <w:tc>
          <w:tcPr>
            <w:tcW w:w="144" w:type="dxa"/>
            <w:tcBorders/>
            <w:shd w:fill="auto" w:val="clear"/>
            <w:vAlign w:val="center"/>
          </w:tcPr>
          <w:p>
            <w:pPr>
              <w:pStyle w:val="TableContents"/>
              <w:spacing w:before="0" w:after="0"/>
              <w:ind w:left="0" w:right="0" w:firstLine="30"/>
              <w:rPr/>
            </w:pPr>
            <w:r>
              <w:rPr/>
              <w:t> </w:t>
            </w:r>
          </w:p>
        </w:tc>
        <w:tc>
          <w:tcPr>
            <w:tcW w:w="2970" w:type="dxa"/>
            <w:tcBorders/>
            <w:shd w:fill="auto" w:val="clear"/>
            <w:vAlign w:val="center"/>
          </w:tcPr>
          <w:p>
            <w:pPr>
              <w:pStyle w:val="TableContents"/>
              <w:spacing w:before="0" w:after="0"/>
              <w:ind w:left="0" w:right="0" w:firstLine="30"/>
              <w:jc w:val="left"/>
              <w:rPr/>
            </w:pPr>
            <w:r>
              <w:rPr/>
              <w:t> </w:t>
            </w:r>
          </w:p>
        </w:tc>
        <w:tc>
          <w:tcPr>
            <w:tcW w:w="144" w:type="dxa"/>
            <w:tcBorders/>
            <w:shd w:fill="auto" w:val="clear"/>
            <w:vAlign w:val="center"/>
          </w:tcPr>
          <w:p>
            <w:pPr>
              <w:pStyle w:val="TableContents"/>
              <w:spacing w:before="0" w:after="0"/>
              <w:ind w:left="0" w:right="0" w:firstLine="30"/>
              <w:rPr/>
            </w:pPr>
            <w:r>
              <w:rPr/>
              <w:t> </w:t>
            </w:r>
          </w:p>
        </w:tc>
        <w:tc>
          <w:tcPr>
            <w:tcW w:w="3647"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3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Designated as cash flow hedging instruments:</w:t>
            </w:r>
          </w:p>
        </w:tc>
        <w:tc>
          <w:tcPr>
            <w:tcW w:w="144" w:type="dxa"/>
            <w:tcBorders/>
            <w:shd w:fill="CCEEFF" w:val="clear"/>
            <w:vAlign w:val="center"/>
          </w:tcPr>
          <w:p>
            <w:pPr>
              <w:pStyle w:val="TableContents"/>
              <w:spacing w:before="0" w:after="0"/>
              <w:ind w:left="0" w:right="0" w:firstLine="30"/>
              <w:rPr/>
            </w:pPr>
            <w:r>
              <w:rPr/>
              <w:t> </w:t>
            </w:r>
          </w:p>
        </w:tc>
        <w:tc>
          <w:tcPr>
            <w:tcW w:w="2970"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333"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004"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022" w:type="dxa"/>
            <w:gridSpan w:val="3"/>
            <w:tcBorders/>
            <w:shd w:fill="CCEEFF" w:val="clear"/>
            <w:vAlign w:val="center"/>
          </w:tcPr>
          <w:p>
            <w:pPr>
              <w:pStyle w:val="TableContents"/>
              <w:spacing w:before="0" w:after="0"/>
              <w:ind w:left="0" w:right="0" w:firstLine="30"/>
              <w:rPr/>
            </w:pPr>
            <w:r>
              <w:rPr/>
              <w:t> </w:t>
            </w:r>
          </w:p>
        </w:tc>
      </w:tr>
      <w:tr>
        <w:trPr/>
        <w:tc>
          <w:tcPr>
            <w:tcW w:w="33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forwards</w:t>
            </w:r>
          </w:p>
        </w:tc>
        <w:tc>
          <w:tcPr>
            <w:tcW w:w="144" w:type="dxa"/>
            <w:tcBorders/>
            <w:shd w:fill="auto" w:val="clear"/>
            <w:vAlign w:val="center"/>
          </w:tcPr>
          <w:p>
            <w:pPr>
              <w:pStyle w:val="TableContents"/>
              <w:spacing w:before="0" w:after="0"/>
              <w:ind w:left="0" w:right="0" w:firstLine="30"/>
              <w:rPr/>
            </w:pPr>
            <w:r>
              <w:rPr/>
              <w:t> </w:t>
            </w:r>
          </w:p>
        </w:tc>
        <w:tc>
          <w:tcPr>
            <w:tcW w:w="29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 other income</w:t>
            </w:r>
          </w:p>
        </w:tc>
        <w:tc>
          <w:tcPr>
            <w:tcW w:w="144" w:type="dxa"/>
            <w:tcBorders/>
            <w:shd w:fill="auto" w:val="clear"/>
            <w:vAlign w:val="center"/>
          </w:tcPr>
          <w:p>
            <w:pPr>
              <w:pStyle w:val="TableContents"/>
              <w:spacing w:before="0" w:after="0"/>
              <w:ind w:left="0" w:right="0" w:firstLine="30"/>
              <w:rPr/>
            </w:pPr>
            <w:r>
              <w:rPr/>
              <w:t> </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6" w:type="dxa"/>
            <w:tcBorders/>
            <w:shd w:fill="auto" w:val="clear"/>
            <w:vAlign w:val="center"/>
          </w:tcPr>
          <w:p>
            <w:pPr>
              <w:pStyle w:val="TableContents"/>
              <w:spacing w:before="0" w:after="0"/>
              <w:jc w:val="right"/>
              <w:rPr>
                <w:rFonts w:ascii="inherit" w:hAnsi="inherit"/>
                <w:sz w:val="17"/>
              </w:rPr>
            </w:pPr>
            <w:r>
              <w:rPr>
                <w:rFonts w:ascii="inherit" w:hAnsi="inherit"/>
                <w:sz w:val="17"/>
              </w:rPr>
              <w:t>(1,974</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4" w:type="dxa"/>
            <w:tcBorders/>
            <w:shd w:fill="auto" w:val="clear"/>
            <w:vAlign w:val="center"/>
          </w:tcPr>
          <w:p>
            <w:pPr>
              <w:pStyle w:val="TableContents"/>
              <w:spacing w:before="0" w:after="0"/>
              <w:ind w:left="0" w:right="0" w:firstLine="30"/>
              <w:rPr/>
            </w:pPr>
            <w:r>
              <w:rPr/>
              <w:t> </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39" w:type="dxa"/>
            <w:tcBorders/>
            <w:shd w:fill="auto" w:val="clear"/>
            <w:vAlign w:val="center"/>
          </w:tcPr>
          <w:p>
            <w:pPr>
              <w:pStyle w:val="TableContents"/>
              <w:spacing w:before="0" w:after="0"/>
              <w:jc w:val="right"/>
              <w:rPr/>
            </w:pPr>
            <w:r>
              <w:rPr/>
              <w:t>—</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39" w:type="dxa"/>
            <w:tcBorders/>
            <w:shd w:fill="auto" w:val="clear"/>
            <w:vAlign w:val="center"/>
          </w:tcPr>
          <w:p>
            <w:pPr>
              <w:pStyle w:val="TableContents"/>
              <w:spacing w:before="0" w:after="0"/>
              <w:jc w:val="right"/>
              <w:rPr/>
            </w:pPr>
            <w:r>
              <w:rPr/>
              <w:t>—</w:t>
            </w:r>
          </w:p>
        </w:tc>
        <w:tc>
          <w:tcPr>
            <w:tcW w:w="108"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97" w:name="sC2A300080AA9B299DBFB83E270944145"/>
      <w:bookmarkEnd w:id="97"/>
      <w:r>
        <w:rPr>
          <w:rFonts w:ascii="inherit" w:hAnsi="inherit"/>
          <w:b/>
          <w:sz w:val="17"/>
        </w:rPr>
        <w:t>NOTE 23: SUPPLEMENTAL CONSOLIDATED FINANCIAL INFORMATION</w:t>
      </w:r>
    </w:p>
    <w:p>
      <w:pPr>
        <w:pStyle w:val="TextBody"/>
        <w:spacing w:lineRule="auto" w:line="288" w:before="0" w:after="0"/>
        <w:jc w:val="left"/>
        <w:rPr>
          <w:rFonts w:ascii="inherit" w:hAnsi="inherit"/>
          <w:b/>
          <w:sz w:val="17"/>
        </w:rPr>
      </w:pPr>
      <w:r>
        <w:rPr>
          <w:rFonts w:ascii="inherit" w:hAnsi="inherit"/>
          <w:b/>
          <w:sz w:val="17"/>
        </w:rPr>
        <w:t>Supplemental Consolidated Balance Sheet Information</w:t>
      </w:r>
    </w:p>
    <w:p>
      <w:pPr>
        <w:pStyle w:val="TextBody"/>
        <w:spacing w:lineRule="auto" w:line="288" w:before="0" w:after="0"/>
        <w:rPr>
          <w:rFonts w:ascii="inherit" w:hAnsi="inherit"/>
          <w:sz w:val="17"/>
        </w:rPr>
      </w:pPr>
      <w:r>
        <w:rPr>
          <w:rFonts w:ascii="inherit" w:hAnsi="inherit"/>
          <w:sz w:val="17"/>
        </w:rPr>
        <w:t>The following table provides information on net amounts included in pawn service charges receivable, consumer loan fees, and inventories: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017"/>
        <w:gridCol w:w="182"/>
        <w:gridCol w:w="1311"/>
        <w:gridCol w:w="168"/>
        <w:gridCol w:w="150"/>
        <w:gridCol w:w="182"/>
        <w:gridCol w:w="1311"/>
        <w:gridCol w:w="884"/>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01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17" w:type="dxa"/>
            <w:tcBorders/>
            <w:shd w:fill="auto" w:val="clear"/>
            <w:vAlign w:val="center"/>
          </w:tcPr>
          <w:p>
            <w:pPr>
              <w:pStyle w:val="TableContents"/>
              <w:spacing w:before="0" w:after="0"/>
              <w:ind w:left="0" w:right="0" w:firstLine="30"/>
              <w:jc w:val="left"/>
              <w:rPr/>
            </w:pPr>
            <w:r>
              <w:rPr/>
              <w:t> </w:t>
            </w:r>
          </w:p>
        </w:tc>
        <w:tc>
          <w:tcPr>
            <w:tcW w:w="418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6017" w:type="dxa"/>
            <w:tcBorders/>
            <w:shd w:fill="auto" w:val="clear"/>
            <w:vAlign w:val="center"/>
          </w:tcPr>
          <w:p>
            <w:pPr>
              <w:pStyle w:val="TableContents"/>
              <w:spacing w:before="0" w:after="0"/>
              <w:ind w:left="0" w:right="0" w:firstLine="30"/>
              <w:jc w:val="left"/>
              <w:rPr/>
            </w:pPr>
            <w:r>
              <w:rPr/>
              <w:t> </w:t>
            </w:r>
          </w:p>
        </w:tc>
        <w:tc>
          <w:tcPr>
            <w:tcW w:w="166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0" w:type="dxa"/>
            <w:tcBorders/>
            <w:shd w:fill="auto" w:val="clear"/>
            <w:vAlign w:val="center"/>
          </w:tcPr>
          <w:p>
            <w:pPr>
              <w:pStyle w:val="TableContents"/>
              <w:spacing w:before="0" w:after="0"/>
              <w:ind w:left="0" w:right="0" w:firstLine="30"/>
              <w:rPr/>
            </w:pPr>
            <w:r>
              <w:rPr/>
              <w:t> </w:t>
            </w:r>
          </w:p>
        </w:tc>
        <w:tc>
          <w:tcPr>
            <w:tcW w:w="237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017" w:type="dxa"/>
            <w:tcBorders/>
            <w:shd w:fill="auto" w:val="clear"/>
            <w:vAlign w:val="center"/>
          </w:tcPr>
          <w:p>
            <w:pPr>
              <w:pStyle w:val="TableContents"/>
              <w:spacing w:before="0" w:after="0"/>
              <w:ind w:left="0" w:right="0" w:firstLine="30"/>
              <w:jc w:val="left"/>
              <w:rPr/>
            </w:pPr>
            <w:r>
              <w:rPr/>
              <w:t> </w:t>
            </w:r>
          </w:p>
        </w:tc>
        <w:tc>
          <w:tcPr>
            <w:tcW w:w="4188"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0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w:t>
            </w:r>
          </w:p>
        </w:tc>
        <w:tc>
          <w:tcPr>
            <w:tcW w:w="1661"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2377" w:type="dxa"/>
            <w:gridSpan w:val="3"/>
            <w:tcBorders/>
            <w:shd w:fill="CCEEFF" w:val="clear"/>
            <w:vAlign w:val="center"/>
          </w:tcPr>
          <w:p>
            <w:pPr>
              <w:pStyle w:val="TableContents"/>
              <w:spacing w:before="0" w:after="0"/>
              <w:ind w:left="0" w:right="0" w:firstLine="420"/>
              <w:rPr/>
            </w:pPr>
            <w:r>
              <w:rPr/>
              <w:t> </w:t>
            </w:r>
          </w:p>
        </w:tc>
      </w:tr>
      <w:tr>
        <w:trPr/>
        <w:tc>
          <w:tcPr>
            <w:tcW w:w="60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pawn service charges receivable</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1" w:type="dxa"/>
            <w:tcBorders/>
            <w:shd w:fill="auto" w:val="clear"/>
            <w:vAlign w:val="center"/>
          </w:tcPr>
          <w:p>
            <w:pPr>
              <w:pStyle w:val="TableContents"/>
              <w:spacing w:before="0" w:after="0"/>
              <w:jc w:val="right"/>
              <w:rPr>
                <w:rFonts w:ascii="inherit" w:hAnsi="inherit"/>
                <w:sz w:val="17"/>
              </w:rPr>
            </w:pPr>
            <w:r>
              <w:rPr>
                <w:rFonts w:ascii="inherit" w:hAnsi="inherit"/>
                <w:sz w:val="17"/>
              </w:rPr>
              <w:t>40,336</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1" w:type="dxa"/>
            <w:tcBorders/>
            <w:shd w:fill="auto" w:val="clear"/>
            <w:vAlign w:val="center"/>
          </w:tcPr>
          <w:p>
            <w:pPr>
              <w:pStyle w:val="TableContents"/>
              <w:spacing w:before="0" w:after="0"/>
              <w:jc w:val="right"/>
              <w:rPr>
                <w:rFonts w:ascii="inherit" w:hAnsi="inherit"/>
                <w:sz w:val="17"/>
              </w:rPr>
            </w:pPr>
            <w:r>
              <w:rPr>
                <w:rFonts w:ascii="inherit" w:hAnsi="inherit"/>
                <w:sz w:val="17"/>
              </w:rPr>
              <w:t>40,828</w:t>
            </w:r>
          </w:p>
        </w:tc>
        <w:tc>
          <w:tcPr>
            <w:tcW w:w="88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uncollectible pawn service charges receivable</w:t>
            </w:r>
          </w:p>
        </w:tc>
        <w:tc>
          <w:tcPr>
            <w:tcW w:w="14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(9,974</w:t>
            </w:r>
          </w:p>
        </w:tc>
        <w:tc>
          <w:tcPr>
            <w:tcW w:w="16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(11,427</w:t>
            </w:r>
          </w:p>
        </w:tc>
        <w:tc>
          <w:tcPr>
            <w:tcW w:w="884" w:type="dxa"/>
            <w:tcBorders>
              <w:bottom w:val="single" w:sz="2" w:space="0" w:color="000000"/>
            </w:tcBorders>
            <w:shd w:fill="CCEEFF"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60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8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30,362</w:t>
            </w:r>
          </w:p>
        </w:tc>
        <w:tc>
          <w:tcPr>
            <w:tcW w:w="16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29,401</w:t>
            </w:r>
          </w:p>
        </w:tc>
        <w:tc>
          <w:tcPr>
            <w:tcW w:w="88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and interest receivable:</w:t>
            </w:r>
          </w:p>
        </w:tc>
        <w:tc>
          <w:tcPr>
            <w:tcW w:w="1661"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2377" w:type="dxa"/>
            <w:gridSpan w:val="3"/>
            <w:tcBorders/>
            <w:shd w:fill="CCEEFF" w:val="clear"/>
            <w:vAlign w:val="center"/>
          </w:tcPr>
          <w:p>
            <w:pPr>
              <w:pStyle w:val="TableContents"/>
              <w:spacing w:before="0" w:after="0"/>
              <w:ind w:left="0" w:right="0" w:firstLine="420"/>
              <w:rPr/>
            </w:pPr>
            <w:r>
              <w:rPr/>
              <w:t> </w:t>
            </w:r>
          </w:p>
        </w:tc>
      </w:tr>
      <w:tr>
        <w:trPr/>
        <w:tc>
          <w:tcPr>
            <w:tcW w:w="60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consumer loan fees and interest receivable</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1" w:type="dxa"/>
            <w:tcBorders/>
            <w:shd w:fill="auto" w:val="clear"/>
            <w:vAlign w:val="center"/>
          </w:tcPr>
          <w:p>
            <w:pPr>
              <w:pStyle w:val="TableContents"/>
              <w:spacing w:before="0" w:after="0"/>
              <w:jc w:val="right"/>
              <w:rPr>
                <w:rFonts w:ascii="inherit" w:hAnsi="inherit"/>
                <w:sz w:val="17"/>
              </w:rPr>
            </w:pPr>
            <w:r>
              <w:rPr>
                <w:rFonts w:ascii="inherit" w:hAnsi="inherit"/>
                <w:sz w:val="17"/>
              </w:rPr>
              <w:t>38,355</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1" w:type="dxa"/>
            <w:tcBorders/>
            <w:shd w:fill="auto" w:val="clear"/>
            <w:vAlign w:val="center"/>
          </w:tcPr>
          <w:p>
            <w:pPr>
              <w:pStyle w:val="TableContents"/>
              <w:spacing w:before="0" w:after="0"/>
              <w:jc w:val="right"/>
              <w:rPr>
                <w:rFonts w:ascii="inherit" w:hAnsi="inherit"/>
                <w:sz w:val="17"/>
              </w:rPr>
            </w:pPr>
            <w:r>
              <w:rPr>
                <w:rFonts w:ascii="inherit" w:hAnsi="inherit"/>
                <w:sz w:val="17"/>
              </w:rPr>
              <w:t>34,846</w:t>
            </w:r>
          </w:p>
        </w:tc>
        <w:tc>
          <w:tcPr>
            <w:tcW w:w="88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uncollectible consumer loan fees and interest receivable</w:t>
            </w:r>
          </w:p>
        </w:tc>
        <w:tc>
          <w:tcPr>
            <w:tcW w:w="14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(1,767</w:t>
            </w:r>
          </w:p>
        </w:tc>
        <w:tc>
          <w:tcPr>
            <w:tcW w:w="16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(4,430</w:t>
            </w:r>
          </w:p>
        </w:tc>
        <w:tc>
          <w:tcPr>
            <w:tcW w:w="884" w:type="dxa"/>
            <w:tcBorders>
              <w:bottom w:val="single" w:sz="2" w:space="0" w:color="000000"/>
            </w:tcBorders>
            <w:shd w:fill="CCEEFF"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60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and interest receivable, net</w:t>
            </w:r>
          </w:p>
        </w:tc>
        <w:tc>
          <w:tcPr>
            <w:tcW w:w="18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36,588</w:t>
            </w:r>
          </w:p>
        </w:tc>
        <w:tc>
          <w:tcPr>
            <w:tcW w:w="16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30,416</w:t>
            </w:r>
          </w:p>
        </w:tc>
        <w:tc>
          <w:tcPr>
            <w:tcW w:w="88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w:t>
            </w:r>
          </w:p>
        </w:tc>
        <w:tc>
          <w:tcPr>
            <w:tcW w:w="1661"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2377" w:type="dxa"/>
            <w:gridSpan w:val="3"/>
            <w:tcBorders/>
            <w:shd w:fill="CCEEFF" w:val="clear"/>
            <w:vAlign w:val="center"/>
          </w:tcPr>
          <w:p>
            <w:pPr>
              <w:pStyle w:val="TableContents"/>
              <w:spacing w:before="0" w:after="0"/>
              <w:ind w:left="0" w:right="0" w:firstLine="420"/>
              <w:rPr/>
            </w:pPr>
            <w:r>
              <w:rPr/>
              <w:t> </w:t>
            </w:r>
          </w:p>
        </w:tc>
      </w:tr>
      <w:tr>
        <w:trPr/>
        <w:tc>
          <w:tcPr>
            <w:tcW w:w="60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gross</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1" w:type="dxa"/>
            <w:tcBorders/>
            <w:shd w:fill="auto" w:val="clear"/>
            <w:vAlign w:val="center"/>
          </w:tcPr>
          <w:p>
            <w:pPr>
              <w:pStyle w:val="TableContents"/>
              <w:spacing w:before="0" w:after="0"/>
              <w:jc w:val="right"/>
              <w:rPr>
                <w:rFonts w:ascii="inherit" w:hAnsi="inherit"/>
                <w:sz w:val="17"/>
              </w:rPr>
            </w:pPr>
            <w:r>
              <w:rPr>
                <w:rFonts w:ascii="inherit" w:hAnsi="inherit"/>
                <w:sz w:val="17"/>
              </w:rPr>
              <w:t>149,446</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1" w:type="dxa"/>
            <w:tcBorders/>
            <w:shd w:fill="auto" w:val="clear"/>
            <w:vAlign w:val="center"/>
          </w:tcPr>
          <w:p>
            <w:pPr>
              <w:pStyle w:val="TableContents"/>
              <w:spacing w:before="0" w:after="0"/>
              <w:jc w:val="right"/>
              <w:rPr>
                <w:rFonts w:ascii="inherit" w:hAnsi="inherit"/>
                <w:sz w:val="17"/>
              </w:rPr>
            </w:pPr>
            <w:r>
              <w:rPr>
                <w:rFonts w:ascii="inherit" w:hAnsi="inherit"/>
                <w:sz w:val="17"/>
              </w:rPr>
              <w:t>114,788</w:t>
            </w:r>
          </w:p>
        </w:tc>
        <w:tc>
          <w:tcPr>
            <w:tcW w:w="88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reserves</w:t>
            </w:r>
          </w:p>
        </w:tc>
        <w:tc>
          <w:tcPr>
            <w:tcW w:w="14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(4,246</w:t>
            </w:r>
          </w:p>
        </w:tc>
        <w:tc>
          <w:tcPr>
            <w:tcW w:w="16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(5,574</w:t>
            </w:r>
          </w:p>
        </w:tc>
        <w:tc>
          <w:tcPr>
            <w:tcW w:w="884" w:type="dxa"/>
            <w:tcBorders>
              <w:bottom w:val="single" w:sz="2" w:space="0" w:color="000000"/>
            </w:tcBorders>
            <w:shd w:fill="CCEEFF"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60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8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145,200</w:t>
            </w:r>
          </w:p>
        </w:tc>
        <w:tc>
          <w:tcPr>
            <w:tcW w:w="16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109,214</w:t>
            </w:r>
          </w:p>
        </w:tc>
        <w:tc>
          <w:tcPr>
            <w:tcW w:w="884"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Supplemental Consolidated Statements of Operations Information</w:t>
      </w:r>
    </w:p>
    <w:p>
      <w:pPr>
        <w:pStyle w:val="TextBody"/>
        <w:spacing w:lineRule="auto" w:line="288" w:before="0" w:after="0"/>
        <w:jc w:val="left"/>
        <w:rPr>
          <w:rFonts w:ascii="inherit" w:hAnsi="inherit"/>
          <w:sz w:val="17"/>
        </w:rPr>
      </w:pPr>
      <w:r>
        <w:rPr>
          <w:rFonts w:ascii="inherit" w:hAnsi="inherit"/>
          <w:sz w:val="17"/>
        </w:rPr>
        <w:t>The table below provides advertising expense for periods presented. Advertising costs are included in administrative expenses in the Consolidated Statements of Income:</w:t>
      </w:r>
    </w:p>
    <w:tbl>
      <w:tblPr>
        <w:tblW w:w="10205" w:type="dxa"/>
        <w:jc w:val="left"/>
        <w:tblInd w:w="0" w:type="dxa"/>
        <w:tblCellMar>
          <w:top w:w="0" w:type="dxa"/>
          <w:left w:w="0" w:type="dxa"/>
          <w:bottom w:w="0" w:type="dxa"/>
          <w:right w:w="0" w:type="dxa"/>
        </w:tblCellMar>
      </w:tblPr>
      <w:tblGrid>
        <w:gridCol w:w="6238"/>
        <w:gridCol w:w="138"/>
        <w:gridCol w:w="997"/>
        <w:gridCol w:w="101"/>
        <w:gridCol w:w="124"/>
        <w:gridCol w:w="138"/>
        <w:gridCol w:w="997"/>
        <w:gridCol w:w="101"/>
        <w:gridCol w:w="124"/>
        <w:gridCol w:w="138"/>
        <w:gridCol w:w="997"/>
        <w:gridCol w:w="112"/>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62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38" w:type="dxa"/>
            <w:tcBorders/>
            <w:shd w:fill="auto" w:val="clear"/>
            <w:vAlign w:val="center"/>
          </w:tcPr>
          <w:p>
            <w:pPr>
              <w:pStyle w:val="TableContents"/>
              <w:spacing w:before="0" w:after="0"/>
              <w:ind w:left="0" w:right="0" w:firstLine="30"/>
              <w:jc w:val="left"/>
              <w:rPr/>
            </w:pPr>
            <w:r>
              <w:rPr/>
              <w:t> </w:t>
            </w:r>
          </w:p>
        </w:tc>
        <w:tc>
          <w:tcPr>
            <w:tcW w:w="3967"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 Ended September 30,</w:t>
            </w:r>
          </w:p>
        </w:tc>
      </w:tr>
      <w:tr>
        <w:trPr/>
        <w:tc>
          <w:tcPr>
            <w:tcW w:w="6238" w:type="dxa"/>
            <w:tcBorders/>
            <w:shd w:fill="auto" w:val="clear"/>
            <w:vAlign w:val="center"/>
          </w:tcPr>
          <w:p>
            <w:pPr>
              <w:pStyle w:val="TableContents"/>
              <w:spacing w:before="0" w:after="0"/>
              <w:ind w:left="0" w:right="0" w:firstLine="30"/>
              <w:jc w:val="left"/>
              <w:rPr/>
            </w:pPr>
            <w:r>
              <w:rPr/>
              <w:t> </w:t>
            </w:r>
          </w:p>
        </w:tc>
        <w:tc>
          <w:tcPr>
            <w:tcW w:w="123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4" w:type="dxa"/>
            <w:tcBorders/>
            <w:shd w:fill="auto" w:val="clear"/>
            <w:vAlign w:val="center"/>
          </w:tcPr>
          <w:p>
            <w:pPr>
              <w:pStyle w:val="TableContents"/>
              <w:spacing w:before="0" w:after="0"/>
              <w:ind w:left="0" w:right="0" w:firstLine="30"/>
              <w:rPr/>
            </w:pPr>
            <w:r>
              <w:rPr/>
              <w:t> </w:t>
            </w:r>
          </w:p>
        </w:tc>
        <w:tc>
          <w:tcPr>
            <w:tcW w:w="123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24" w:type="dxa"/>
            <w:tcBorders/>
            <w:shd w:fill="auto" w:val="clear"/>
            <w:vAlign w:val="center"/>
          </w:tcPr>
          <w:p>
            <w:pPr>
              <w:pStyle w:val="TableContents"/>
              <w:spacing w:before="0" w:after="0"/>
              <w:ind w:left="0" w:right="0" w:firstLine="30"/>
              <w:rPr/>
            </w:pPr>
            <w:r>
              <w:rPr/>
              <w:t> </w:t>
            </w:r>
          </w:p>
        </w:tc>
        <w:tc>
          <w:tcPr>
            <w:tcW w:w="124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238" w:type="dxa"/>
            <w:tcBorders/>
            <w:shd w:fill="auto" w:val="clear"/>
            <w:vAlign w:val="center"/>
          </w:tcPr>
          <w:p>
            <w:pPr>
              <w:pStyle w:val="TableContents"/>
              <w:spacing w:before="0" w:after="0"/>
              <w:ind w:left="0" w:right="0" w:firstLine="30"/>
              <w:jc w:val="left"/>
              <w:rPr/>
            </w:pPr>
            <w:r>
              <w:rPr/>
              <w:t> </w:t>
            </w:r>
          </w:p>
        </w:tc>
        <w:tc>
          <w:tcPr>
            <w:tcW w:w="3967"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2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Advertising Expense</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7" w:type="dxa"/>
            <w:tcBorders/>
            <w:shd w:fill="CCEEFF" w:val="clear"/>
            <w:vAlign w:val="center"/>
          </w:tcPr>
          <w:p>
            <w:pPr>
              <w:pStyle w:val="TableContents"/>
              <w:spacing w:before="0" w:after="0"/>
              <w:jc w:val="right"/>
              <w:rPr>
                <w:rFonts w:ascii="inherit" w:hAnsi="inherit"/>
                <w:sz w:val="17"/>
              </w:rPr>
            </w:pPr>
            <w:r>
              <w:rPr>
                <w:rFonts w:ascii="inherit" w:hAnsi="inherit"/>
                <w:sz w:val="17"/>
              </w:rPr>
              <w:t>8,568</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7" w:type="dxa"/>
            <w:tcBorders/>
            <w:shd w:fill="CCEEFF" w:val="clear"/>
            <w:vAlign w:val="center"/>
          </w:tcPr>
          <w:p>
            <w:pPr>
              <w:pStyle w:val="TableContents"/>
              <w:spacing w:before="0" w:after="0"/>
              <w:jc w:val="right"/>
              <w:rPr>
                <w:rFonts w:ascii="inherit" w:hAnsi="inherit"/>
                <w:sz w:val="17"/>
              </w:rPr>
            </w:pPr>
            <w:r>
              <w:rPr>
                <w:rFonts w:ascii="inherit" w:hAnsi="inherit"/>
                <w:sz w:val="17"/>
              </w:rPr>
              <w:t>5,910</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7" w:type="dxa"/>
            <w:tcBorders/>
            <w:shd w:fill="CCEEFF" w:val="clear"/>
            <w:vAlign w:val="center"/>
          </w:tcPr>
          <w:p>
            <w:pPr>
              <w:pStyle w:val="TableContents"/>
              <w:spacing w:before="0" w:after="0"/>
              <w:jc w:val="right"/>
              <w:rPr>
                <w:rFonts w:ascii="inherit" w:hAnsi="inherit"/>
                <w:sz w:val="17"/>
              </w:rPr>
            </w:pPr>
            <w:r>
              <w:rPr>
                <w:rFonts w:ascii="inherit" w:hAnsi="inherit"/>
                <w:sz w:val="17"/>
              </w:rPr>
              <w:t>3,577</w:t>
            </w:r>
          </w:p>
        </w:tc>
        <w:tc>
          <w:tcPr>
            <w:tcW w:w="112"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105</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Other Supplemental Information</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616"/>
        <w:gridCol w:w="181"/>
        <w:gridCol w:w="1267"/>
        <w:gridCol w:w="102"/>
        <w:gridCol w:w="152"/>
        <w:gridCol w:w="181"/>
        <w:gridCol w:w="1267"/>
        <w:gridCol w:w="439"/>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61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616" w:type="dxa"/>
            <w:tcBorders/>
            <w:shd w:fill="auto" w:val="clear"/>
            <w:vAlign w:val="center"/>
          </w:tcPr>
          <w:p>
            <w:pPr>
              <w:pStyle w:val="TableContents"/>
              <w:spacing w:before="0" w:after="0"/>
              <w:ind w:left="0" w:right="0" w:firstLine="30"/>
              <w:jc w:val="left"/>
              <w:rPr/>
            </w:pPr>
            <w:r>
              <w:rPr/>
              <w:t> </w:t>
            </w:r>
          </w:p>
        </w:tc>
        <w:tc>
          <w:tcPr>
            <w:tcW w:w="358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6616" w:type="dxa"/>
            <w:tcBorders/>
            <w:shd w:fill="auto" w:val="clear"/>
            <w:vAlign w:val="center"/>
          </w:tcPr>
          <w:p>
            <w:pPr>
              <w:pStyle w:val="TableContents"/>
              <w:spacing w:before="0" w:after="0"/>
              <w:ind w:left="0" w:right="0" w:firstLine="30"/>
              <w:jc w:val="left"/>
              <w:rPr/>
            </w:pPr>
            <w:r>
              <w:rPr/>
              <w:t> </w:t>
            </w:r>
          </w:p>
        </w:tc>
        <w:tc>
          <w:tcPr>
            <w:tcW w:w="15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2" w:type="dxa"/>
            <w:tcBorders/>
            <w:shd w:fill="auto" w:val="clear"/>
            <w:vAlign w:val="center"/>
          </w:tcPr>
          <w:p>
            <w:pPr>
              <w:pStyle w:val="TableContents"/>
              <w:spacing w:before="0" w:after="0"/>
              <w:ind w:left="0" w:right="0" w:firstLine="30"/>
              <w:rPr/>
            </w:pPr>
            <w:r>
              <w:rPr/>
              <w:t> </w:t>
            </w:r>
          </w:p>
        </w:tc>
        <w:tc>
          <w:tcPr>
            <w:tcW w:w="188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616" w:type="dxa"/>
            <w:tcBorders/>
            <w:shd w:fill="auto" w:val="clear"/>
            <w:vAlign w:val="center"/>
          </w:tcPr>
          <w:p>
            <w:pPr>
              <w:pStyle w:val="TableContents"/>
              <w:spacing w:before="0" w:after="0"/>
              <w:ind w:left="0" w:right="0" w:firstLine="30"/>
              <w:jc w:val="left"/>
              <w:rPr/>
            </w:pPr>
            <w:r>
              <w:rPr/>
              <w:t> </w:t>
            </w:r>
          </w:p>
        </w:tc>
        <w:tc>
          <w:tcPr>
            <w:tcW w:w="3589" w:type="dxa"/>
            <w:gridSpan w:val="7"/>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6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w:t>
            </w:r>
          </w:p>
        </w:tc>
        <w:tc>
          <w:tcPr>
            <w:tcW w:w="1550" w:type="dxa"/>
            <w:gridSpan w:val="3"/>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ind w:left="0" w:right="0" w:firstLine="30"/>
              <w:rPr/>
            </w:pPr>
            <w:r>
              <w:rPr/>
              <w:t> </w:t>
            </w:r>
          </w:p>
        </w:tc>
        <w:tc>
          <w:tcPr>
            <w:tcW w:w="1887" w:type="dxa"/>
            <w:gridSpan w:val="3"/>
            <w:tcBorders/>
            <w:shd w:fill="auto" w:val="clear"/>
            <w:vAlign w:val="center"/>
          </w:tcPr>
          <w:p>
            <w:pPr>
              <w:pStyle w:val="TableContents"/>
              <w:spacing w:before="0" w:after="0"/>
              <w:ind w:left="0" w:right="0" w:firstLine="420"/>
              <w:rPr/>
            </w:pPr>
            <w:r>
              <w:rPr/>
              <w:t> </w:t>
            </w:r>
          </w:p>
        </w:tc>
      </w:tr>
      <w:tr>
        <w:trPr/>
        <w:tc>
          <w:tcPr>
            <w:tcW w:w="66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Expected LOC losses</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67" w:type="dxa"/>
            <w:tcBorders/>
            <w:shd w:fill="CCEEFF" w:val="clear"/>
            <w:vAlign w:val="center"/>
          </w:tcPr>
          <w:p>
            <w:pPr>
              <w:pStyle w:val="TableContents"/>
              <w:spacing w:before="0" w:after="0"/>
              <w:jc w:val="right"/>
              <w:rPr>
                <w:rFonts w:ascii="inherit" w:hAnsi="inherit"/>
                <w:sz w:val="17"/>
              </w:rPr>
            </w:pPr>
            <w:r>
              <w:rPr>
                <w:rFonts w:ascii="inherit" w:hAnsi="inherit"/>
                <w:sz w:val="17"/>
              </w:rPr>
              <w:t>2,623</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67" w:type="dxa"/>
            <w:tcBorders/>
            <w:shd w:fill="CCEEFF" w:val="clear"/>
            <w:vAlign w:val="center"/>
          </w:tcPr>
          <w:p>
            <w:pPr>
              <w:pStyle w:val="TableContents"/>
              <w:spacing w:before="0" w:after="0"/>
              <w:jc w:val="right"/>
              <w:rPr>
                <w:rFonts w:ascii="inherit" w:hAnsi="inherit"/>
                <w:sz w:val="17"/>
              </w:rPr>
            </w:pPr>
            <w:r>
              <w:rPr>
                <w:rFonts w:ascii="inherit" w:hAnsi="inherit"/>
                <w:sz w:val="17"/>
              </w:rPr>
              <w:t>1,776</w:t>
            </w:r>
          </w:p>
        </w:tc>
        <w:tc>
          <w:tcPr>
            <w:tcW w:w="43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6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Maximum exposure for LOC losses</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67" w:type="dxa"/>
            <w:tcBorders/>
            <w:shd w:fill="auto" w:val="clear"/>
            <w:vAlign w:val="center"/>
          </w:tcPr>
          <w:p>
            <w:pPr>
              <w:pStyle w:val="TableContents"/>
              <w:spacing w:before="0" w:after="0"/>
              <w:jc w:val="right"/>
              <w:rPr>
                <w:rFonts w:ascii="inherit" w:hAnsi="inherit"/>
                <w:sz w:val="17"/>
              </w:rPr>
            </w:pPr>
            <w:r>
              <w:rPr>
                <w:rFonts w:ascii="inherit" w:hAnsi="inherit"/>
                <w:sz w:val="17"/>
              </w:rPr>
              <w:t>33,380</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67" w:type="dxa"/>
            <w:tcBorders/>
            <w:shd w:fill="auto" w:val="clear"/>
            <w:vAlign w:val="center"/>
          </w:tcPr>
          <w:p>
            <w:pPr>
              <w:pStyle w:val="TableContents"/>
              <w:spacing w:before="0" w:after="0"/>
              <w:jc w:val="right"/>
              <w:rPr>
                <w:rFonts w:ascii="inherit" w:hAnsi="inherit"/>
                <w:sz w:val="17"/>
              </w:rPr>
            </w:pPr>
            <w:r>
              <w:rPr>
                <w:rFonts w:ascii="inherit" w:hAnsi="inherit"/>
                <w:sz w:val="17"/>
              </w:rPr>
              <w:t>27,373</w:t>
            </w:r>
          </w:p>
        </w:tc>
        <w:tc>
          <w:tcPr>
            <w:tcW w:w="439"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7"/>
        </w:rPr>
      </w:pPr>
      <w:r>
        <w:rPr>
          <w:rFonts w:ascii="inherit" w:hAnsi="inherit"/>
          <w:b/>
          <w:sz w:val="17"/>
        </w:rPr>
        <w:t>Valuation and Qualifying Accounts</w:t>
      </w:r>
    </w:p>
    <w:tbl>
      <w:tblPr>
        <w:tblW w:w="10205" w:type="dxa"/>
        <w:jc w:val="center"/>
        <w:tblInd w:w="0" w:type="dxa"/>
        <w:tblCellMar>
          <w:top w:w="0" w:type="dxa"/>
          <w:left w:w="0" w:type="dxa"/>
          <w:bottom w:w="0" w:type="dxa"/>
          <w:right w:w="0" w:type="dxa"/>
        </w:tblCellMar>
      </w:tblPr>
      <w:tblGrid>
        <w:gridCol w:w="2936"/>
        <w:gridCol w:w="168"/>
        <w:gridCol w:w="1085"/>
        <w:gridCol w:w="83"/>
        <w:gridCol w:w="132"/>
        <w:gridCol w:w="166"/>
        <w:gridCol w:w="982"/>
        <w:gridCol w:w="83"/>
        <w:gridCol w:w="132"/>
        <w:gridCol w:w="174"/>
        <w:gridCol w:w="1013"/>
        <w:gridCol w:w="84"/>
        <w:gridCol w:w="132"/>
        <w:gridCol w:w="209"/>
        <w:gridCol w:w="1150"/>
        <w:gridCol w:w="92"/>
        <w:gridCol w:w="132"/>
        <w:gridCol w:w="162"/>
        <w:gridCol w:w="1058"/>
        <w:gridCol w:w="232"/>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93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36"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r>
              <w:rPr>
                <w:rFonts w:ascii="inherit" w:hAnsi="inherit"/>
                <w:b/>
                <w:sz w:val="13"/>
              </w:rPr>
              <w:t>Description</w:t>
            </w:r>
          </w:p>
        </w:tc>
        <w:tc>
          <w:tcPr>
            <w:tcW w:w="1336"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Balance at Beginning of Period</w:t>
            </w:r>
          </w:p>
        </w:tc>
        <w:tc>
          <w:tcPr>
            <w:tcW w:w="132" w:type="dxa"/>
            <w:tcBorders/>
            <w:shd w:fill="auto" w:val="clear"/>
            <w:vAlign w:val="center"/>
          </w:tcPr>
          <w:p>
            <w:pPr>
              <w:pStyle w:val="TableContents"/>
              <w:spacing w:before="0" w:after="0"/>
              <w:ind w:left="0" w:right="0" w:firstLine="30"/>
              <w:rPr/>
            </w:pPr>
            <w:r>
              <w:rPr/>
              <w:t> </w:t>
            </w:r>
          </w:p>
        </w:tc>
        <w:tc>
          <w:tcPr>
            <w:tcW w:w="263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Additions</w:t>
            </w:r>
          </w:p>
        </w:tc>
        <w:tc>
          <w:tcPr>
            <w:tcW w:w="132" w:type="dxa"/>
            <w:tcBorders/>
            <w:shd w:fill="auto" w:val="clear"/>
            <w:vAlign w:val="center"/>
          </w:tcPr>
          <w:p>
            <w:pPr>
              <w:pStyle w:val="TableContents"/>
              <w:spacing w:before="0" w:after="0"/>
              <w:ind w:left="0" w:right="0" w:firstLine="30"/>
              <w:rPr/>
            </w:pPr>
            <w:r>
              <w:rPr/>
              <w:t> </w:t>
            </w:r>
          </w:p>
        </w:tc>
        <w:tc>
          <w:tcPr>
            <w:tcW w:w="1451"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r>
              <w:rPr>
                <w:rFonts w:ascii="inherit" w:hAnsi="inherit"/>
                <w:b/>
                <w:sz w:val="13"/>
              </w:rPr>
              <w:t>Deductions</w:t>
            </w:r>
          </w:p>
        </w:tc>
        <w:tc>
          <w:tcPr>
            <w:tcW w:w="132" w:type="dxa"/>
            <w:tcBorders/>
            <w:shd w:fill="auto" w:val="clear"/>
            <w:vAlign w:val="center"/>
          </w:tcPr>
          <w:p>
            <w:pPr>
              <w:pStyle w:val="TableContents"/>
              <w:spacing w:before="0" w:after="0"/>
              <w:ind w:left="0" w:right="0" w:firstLine="30"/>
              <w:rPr/>
            </w:pPr>
            <w:r>
              <w:rPr/>
              <w:t> </w:t>
            </w:r>
          </w:p>
        </w:tc>
        <w:tc>
          <w:tcPr>
            <w:tcW w:w="1452"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Balance at End of Period</w:t>
            </w:r>
          </w:p>
        </w:tc>
      </w:tr>
      <w:tr>
        <w:trPr/>
        <w:tc>
          <w:tcPr>
            <w:tcW w:w="2936" w:type="dxa"/>
            <w:vMerge w:val="continue"/>
            <w:tcBorders>
              <w:bottom w:val="single" w:sz="2" w:space="0" w:color="000000"/>
            </w:tcBorders>
            <w:shd w:fill="auto" w:val="clear"/>
            <w:tcMar>
              <w:bottom w:w="30" w:type="dxa"/>
            </w:tcMar>
            <w:vAlign w:val="center"/>
          </w:tcPr>
          <w:p>
            <w:pPr>
              <w:pStyle w:val="Normal"/>
              <w:rPr/>
            </w:pPr>
            <w:r>
              <w:rPr/>
            </w:r>
          </w:p>
        </w:tc>
        <w:tc>
          <w:tcPr>
            <w:tcW w:w="1336" w:type="dxa"/>
            <w:gridSpan w:val="3"/>
            <w:vMerge w:val="continue"/>
            <w:tcBorders>
              <w:bottom w:val="single" w:sz="2" w:space="0" w:color="000000"/>
            </w:tcBorders>
            <w:shd w:fill="auto" w:val="clear"/>
            <w:tcMar>
              <w:bottom w:w="30" w:type="dxa"/>
            </w:tcMar>
            <w:vAlign w:val="center"/>
          </w:tcPr>
          <w:p>
            <w:pPr>
              <w:pStyle w:val="Normal"/>
              <w:rPr/>
            </w:pPr>
            <w:r>
              <w:rPr/>
            </w:r>
          </w:p>
        </w:tc>
        <w:tc>
          <w:tcPr>
            <w:tcW w:w="132" w:type="dxa"/>
            <w:tcBorders/>
            <w:shd w:fill="auto" w:val="clear"/>
            <w:vAlign w:val="center"/>
          </w:tcPr>
          <w:p>
            <w:pPr>
              <w:pStyle w:val="TableContents"/>
              <w:spacing w:before="0" w:after="0"/>
              <w:ind w:left="0" w:right="0" w:firstLine="30"/>
              <w:rPr/>
            </w:pPr>
            <w:r>
              <w:rPr/>
              <w:t> </w:t>
            </w:r>
          </w:p>
        </w:tc>
        <w:tc>
          <w:tcPr>
            <w:tcW w:w="1231"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Charged to Expense</w:t>
            </w:r>
          </w:p>
        </w:tc>
        <w:tc>
          <w:tcPr>
            <w:tcW w:w="132" w:type="dxa"/>
            <w:tcBorders/>
            <w:shd w:fill="auto" w:val="clear"/>
            <w:vAlign w:val="center"/>
          </w:tcPr>
          <w:p>
            <w:pPr>
              <w:pStyle w:val="TableContents"/>
              <w:spacing w:before="0" w:after="0"/>
              <w:ind w:left="0" w:right="0" w:firstLine="30"/>
              <w:rPr/>
            </w:pPr>
            <w:r>
              <w:rPr/>
              <w:t> </w:t>
            </w:r>
          </w:p>
        </w:tc>
        <w:tc>
          <w:tcPr>
            <w:tcW w:w="1271"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Charged to Other Accounts</w:t>
            </w:r>
          </w:p>
        </w:tc>
        <w:tc>
          <w:tcPr>
            <w:tcW w:w="132" w:type="dxa"/>
            <w:tcBorders/>
            <w:shd w:fill="auto" w:val="clear"/>
            <w:vAlign w:val="center"/>
          </w:tcPr>
          <w:p>
            <w:pPr>
              <w:pStyle w:val="TableContents"/>
              <w:spacing w:before="0" w:after="0"/>
              <w:ind w:left="0" w:right="0" w:firstLine="30"/>
              <w:rPr/>
            </w:pPr>
            <w:r>
              <w:rPr/>
              <w:t> </w:t>
            </w:r>
          </w:p>
        </w:tc>
        <w:tc>
          <w:tcPr>
            <w:tcW w:w="1451" w:type="dxa"/>
            <w:gridSpan w:val="3"/>
            <w:vMerge w:val="continue"/>
            <w:tcBorders>
              <w:bottom w:val="single" w:sz="2" w:space="0" w:color="000000"/>
            </w:tcBorders>
            <w:shd w:fill="auto" w:val="clear"/>
            <w:tcMar>
              <w:bottom w:w="30" w:type="dxa"/>
            </w:tcMar>
            <w:vAlign w:val="center"/>
          </w:tcPr>
          <w:p>
            <w:pPr>
              <w:pStyle w:val="Normal"/>
              <w:rPr/>
            </w:pPr>
            <w:r>
              <w:rPr/>
            </w:r>
          </w:p>
        </w:tc>
        <w:tc>
          <w:tcPr>
            <w:tcW w:w="132" w:type="dxa"/>
            <w:tcBorders/>
            <w:shd w:fill="auto" w:val="clear"/>
            <w:vAlign w:val="center"/>
          </w:tcPr>
          <w:p>
            <w:pPr>
              <w:pStyle w:val="TableContents"/>
              <w:spacing w:before="0" w:after="0"/>
              <w:ind w:left="0" w:right="0" w:firstLine="30"/>
              <w:rPr/>
            </w:pPr>
            <w:r>
              <w:rPr/>
              <w:t> </w:t>
            </w:r>
          </w:p>
        </w:tc>
        <w:tc>
          <w:tcPr>
            <w:tcW w:w="1452"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936" w:type="dxa"/>
            <w:vMerge w:val="continue"/>
            <w:tcBorders>
              <w:bottom w:val="single" w:sz="2" w:space="0" w:color="000000"/>
            </w:tcBorders>
            <w:shd w:fill="auto" w:val="clear"/>
            <w:tcMar>
              <w:bottom w:w="30" w:type="dxa"/>
            </w:tcMar>
            <w:vAlign w:val="center"/>
          </w:tcPr>
          <w:p>
            <w:pPr>
              <w:pStyle w:val="Normal"/>
              <w:rPr/>
            </w:pPr>
            <w:r>
              <w:rPr/>
            </w:r>
          </w:p>
        </w:tc>
        <w:tc>
          <w:tcPr>
            <w:tcW w:w="1336" w:type="dxa"/>
            <w:gridSpan w:val="3"/>
            <w:vMerge w:val="continue"/>
            <w:tcBorders>
              <w:bottom w:val="single" w:sz="2" w:space="0" w:color="000000"/>
            </w:tcBorders>
            <w:shd w:fill="auto" w:val="clear"/>
            <w:tcMar>
              <w:bottom w:w="30" w:type="dxa"/>
            </w:tcMar>
            <w:vAlign w:val="center"/>
          </w:tcPr>
          <w:p>
            <w:pPr>
              <w:pStyle w:val="Normal"/>
              <w:rPr/>
            </w:pPr>
            <w:r>
              <w:rPr/>
            </w:r>
          </w:p>
        </w:tc>
        <w:tc>
          <w:tcPr>
            <w:tcW w:w="132" w:type="dxa"/>
            <w:tcBorders/>
            <w:shd w:fill="auto" w:val="clear"/>
            <w:vAlign w:val="center"/>
          </w:tcPr>
          <w:p>
            <w:pPr>
              <w:pStyle w:val="TableContents"/>
              <w:spacing w:before="0" w:after="0"/>
              <w:ind w:left="0" w:right="0" w:firstLine="30"/>
              <w:rPr/>
            </w:pPr>
            <w:r>
              <w:rPr/>
              <w:t> </w:t>
            </w:r>
          </w:p>
        </w:tc>
        <w:tc>
          <w:tcPr>
            <w:tcW w:w="1231" w:type="dxa"/>
            <w:gridSpan w:val="3"/>
            <w:vMerge w:val="continue"/>
            <w:tcBorders>
              <w:bottom w:val="single" w:sz="2" w:space="0" w:color="000000"/>
            </w:tcBorders>
            <w:shd w:fill="auto" w:val="clear"/>
            <w:tcMar>
              <w:bottom w:w="30" w:type="dxa"/>
            </w:tcMar>
            <w:vAlign w:val="center"/>
          </w:tcPr>
          <w:p>
            <w:pPr>
              <w:pStyle w:val="Normal"/>
              <w:rPr/>
            </w:pPr>
            <w:r>
              <w:rPr/>
            </w:r>
          </w:p>
        </w:tc>
        <w:tc>
          <w:tcPr>
            <w:tcW w:w="132" w:type="dxa"/>
            <w:tcBorders/>
            <w:shd w:fill="auto" w:val="clear"/>
            <w:vAlign w:val="center"/>
          </w:tcPr>
          <w:p>
            <w:pPr>
              <w:pStyle w:val="TableContents"/>
              <w:spacing w:before="0" w:after="0"/>
              <w:ind w:left="0" w:right="0" w:firstLine="30"/>
              <w:rPr/>
            </w:pPr>
            <w:r>
              <w:rPr/>
              <w:t> </w:t>
            </w:r>
          </w:p>
        </w:tc>
        <w:tc>
          <w:tcPr>
            <w:tcW w:w="1271" w:type="dxa"/>
            <w:gridSpan w:val="3"/>
            <w:vMerge w:val="continue"/>
            <w:tcBorders>
              <w:bottom w:val="single" w:sz="2" w:space="0" w:color="000000"/>
            </w:tcBorders>
            <w:shd w:fill="auto" w:val="clear"/>
            <w:tcMar>
              <w:bottom w:w="30" w:type="dxa"/>
            </w:tcMar>
            <w:vAlign w:val="center"/>
          </w:tcPr>
          <w:p>
            <w:pPr>
              <w:pStyle w:val="Normal"/>
              <w:rPr/>
            </w:pPr>
            <w:r>
              <w:rPr/>
            </w:r>
          </w:p>
        </w:tc>
        <w:tc>
          <w:tcPr>
            <w:tcW w:w="132" w:type="dxa"/>
            <w:tcBorders/>
            <w:shd w:fill="auto" w:val="clear"/>
            <w:vAlign w:val="center"/>
          </w:tcPr>
          <w:p>
            <w:pPr>
              <w:pStyle w:val="TableContents"/>
              <w:spacing w:before="0" w:after="0"/>
              <w:ind w:left="0" w:right="0" w:firstLine="30"/>
              <w:rPr/>
            </w:pPr>
            <w:r>
              <w:rPr/>
              <w:t> </w:t>
            </w:r>
          </w:p>
        </w:tc>
        <w:tc>
          <w:tcPr>
            <w:tcW w:w="1451" w:type="dxa"/>
            <w:gridSpan w:val="3"/>
            <w:vMerge w:val="continue"/>
            <w:tcBorders>
              <w:bottom w:val="single" w:sz="2" w:space="0" w:color="000000"/>
            </w:tcBorders>
            <w:shd w:fill="auto" w:val="clear"/>
            <w:tcMar>
              <w:bottom w:w="30" w:type="dxa"/>
            </w:tcMar>
            <w:vAlign w:val="center"/>
          </w:tcPr>
          <w:p>
            <w:pPr>
              <w:pStyle w:val="Normal"/>
              <w:rPr/>
            </w:pPr>
            <w:r>
              <w:rPr/>
            </w:r>
          </w:p>
        </w:tc>
        <w:tc>
          <w:tcPr>
            <w:tcW w:w="132" w:type="dxa"/>
            <w:tcBorders/>
            <w:shd w:fill="auto" w:val="clear"/>
            <w:vAlign w:val="center"/>
          </w:tcPr>
          <w:p>
            <w:pPr>
              <w:pStyle w:val="TableContents"/>
              <w:spacing w:before="0" w:after="0"/>
              <w:ind w:left="0" w:right="0" w:firstLine="30"/>
              <w:rPr/>
            </w:pPr>
            <w:r>
              <w:rPr/>
              <w:t> </w:t>
            </w:r>
          </w:p>
        </w:tc>
        <w:tc>
          <w:tcPr>
            <w:tcW w:w="1452"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936" w:type="dxa"/>
            <w:tcBorders/>
            <w:shd w:fill="auto" w:val="clear"/>
            <w:vAlign w:val="center"/>
          </w:tcPr>
          <w:p>
            <w:pPr>
              <w:pStyle w:val="TableContents"/>
              <w:spacing w:before="0" w:after="0"/>
              <w:ind w:left="0" w:right="0" w:firstLine="30"/>
              <w:jc w:val="left"/>
              <w:rPr/>
            </w:pPr>
            <w:r>
              <w:rPr/>
              <w:t> </w:t>
            </w:r>
          </w:p>
        </w:tc>
        <w:tc>
          <w:tcPr>
            <w:tcW w:w="7269"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9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valuation of inventory:</w:t>
            </w:r>
          </w:p>
        </w:tc>
        <w:tc>
          <w:tcPr>
            <w:tcW w:w="1336"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3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2" w:type="dxa"/>
            <w:gridSpan w:val="3"/>
            <w:tcBorders/>
            <w:shd w:fill="CCEEFF" w:val="clear"/>
            <w:vAlign w:val="center"/>
          </w:tcPr>
          <w:p>
            <w:pPr>
              <w:pStyle w:val="TableContents"/>
              <w:spacing w:before="0" w:after="0"/>
              <w:ind w:left="0" w:right="0" w:firstLine="180"/>
              <w:jc w:val="left"/>
              <w:rPr/>
            </w:pPr>
            <w:r>
              <w:rPr/>
              <w:t> </w:t>
            </w:r>
          </w:p>
        </w:tc>
      </w:tr>
      <w:tr>
        <w:trPr/>
        <w:tc>
          <w:tcPr>
            <w:tcW w:w="29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2013</w:t>
            </w:r>
          </w:p>
        </w:tc>
        <w:tc>
          <w:tcPr>
            <w:tcW w:w="16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5,574</w:t>
            </w:r>
          </w:p>
        </w:tc>
        <w:tc>
          <w:tcPr>
            <w:tcW w:w="8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8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7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8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1,328</w:t>
            </w:r>
          </w:p>
        </w:tc>
        <w:tc>
          <w:tcPr>
            <w:tcW w:w="9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4,246</w:t>
            </w:r>
          </w:p>
        </w:tc>
        <w:tc>
          <w:tcPr>
            <w:tcW w:w="23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2012</w:t>
            </w:r>
          </w:p>
        </w:tc>
        <w:tc>
          <w:tcPr>
            <w:tcW w:w="168"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9,481</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6"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74"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9"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3,907</w:t>
            </w:r>
          </w:p>
        </w:tc>
        <w:tc>
          <w:tcPr>
            <w:tcW w:w="9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2"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5,574</w:t>
            </w:r>
          </w:p>
        </w:tc>
        <w:tc>
          <w:tcPr>
            <w:tcW w:w="232"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2011</w:t>
            </w:r>
          </w:p>
        </w:tc>
        <w:tc>
          <w:tcPr>
            <w:tcW w:w="168"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5,709</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3,772</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74"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9,481</w:t>
            </w:r>
          </w:p>
        </w:tc>
        <w:tc>
          <w:tcPr>
            <w:tcW w:w="23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uncollectible pawn service charges receivable:</w:t>
            </w:r>
          </w:p>
        </w:tc>
        <w:tc>
          <w:tcPr>
            <w:tcW w:w="1336"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3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2" w:type="dxa"/>
            <w:gridSpan w:val="3"/>
            <w:tcBorders/>
            <w:shd w:fill="CCEEFF" w:val="clear"/>
            <w:vAlign w:val="center"/>
          </w:tcPr>
          <w:p>
            <w:pPr>
              <w:pStyle w:val="TableContents"/>
              <w:spacing w:before="0" w:after="0"/>
              <w:ind w:left="0" w:right="0" w:firstLine="180"/>
              <w:jc w:val="left"/>
              <w:rPr/>
            </w:pPr>
            <w:r>
              <w:rPr/>
              <w:t> </w:t>
            </w:r>
          </w:p>
        </w:tc>
      </w:tr>
      <w:tr>
        <w:trPr/>
        <w:tc>
          <w:tcPr>
            <w:tcW w:w="29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2013</w:t>
            </w:r>
          </w:p>
        </w:tc>
        <w:tc>
          <w:tcPr>
            <w:tcW w:w="16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11,427</w:t>
            </w:r>
          </w:p>
        </w:tc>
        <w:tc>
          <w:tcPr>
            <w:tcW w:w="8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8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7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8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1,453</w:t>
            </w:r>
          </w:p>
        </w:tc>
        <w:tc>
          <w:tcPr>
            <w:tcW w:w="9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9,974</w:t>
            </w:r>
          </w:p>
        </w:tc>
        <w:tc>
          <w:tcPr>
            <w:tcW w:w="23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2012</w:t>
            </w:r>
          </w:p>
        </w:tc>
        <w:tc>
          <w:tcPr>
            <w:tcW w:w="168"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10,720</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6"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74"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707</w:t>
            </w:r>
          </w:p>
        </w:tc>
        <w:tc>
          <w:tcPr>
            <w:tcW w:w="8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9"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2"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11,427</w:t>
            </w:r>
          </w:p>
        </w:tc>
        <w:tc>
          <w:tcPr>
            <w:tcW w:w="232"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2011</w:t>
            </w:r>
          </w:p>
        </w:tc>
        <w:tc>
          <w:tcPr>
            <w:tcW w:w="168"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9,949</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74"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771</w:t>
            </w:r>
          </w:p>
        </w:tc>
        <w:tc>
          <w:tcPr>
            <w:tcW w:w="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10,720</w:t>
            </w:r>
          </w:p>
        </w:tc>
        <w:tc>
          <w:tcPr>
            <w:tcW w:w="2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uncollectible consumer loan fees and interest receivable:</w:t>
            </w:r>
          </w:p>
        </w:tc>
        <w:tc>
          <w:tcPr>
            <w:tcW w:w="1336"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3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2" w:type="dxa"/>
            <w:gridSpan w:val="3"/>
            <w:tcBorders/>
            <w:shd w:fill="CCEEFF" w:val="clear"/>
            <w:vAlign w:val="center"/>
          </w:tcPr>
          <w:p>
            <w:pPr>
              <w:pStyle w:val="TableContents"/>
              <w:spacing w:before="0" w:after="0"/>
              <w:ind w:left="0" w:right="0" w:firstLine="180"/>
              <w:jc w:val="left"/>
              <w:rPr/>
            </w:pPr>
            <w:r>
              <w:rPr/>
              <w:t> </w:t>
            </w:r>
          </w:p>
        </w:tc>
      </w:tr>
      <w:tr>
        <w:trPr/>
        <w:tc>
          <w:tcPr>
            <w:tcW w:w="29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2013</w:t>
            </w:r>
          </w:p>
        </w:tc>
        <w:tc>
          <w:tcPr>
            <w:tcW w:w="16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4,430</w:t>
            </w:r>
          </w:p>
        </w:tc>
        <w:tc>
          <w:tcPr>
            <w:tcW w:w="8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8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7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8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2,663</w:t>
            </w:r>
          </w:p>
        </w:tc>
        <w:tc>
          <w:tcPr>
            <w:tcW w:w="9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1,767</w:t>
            </w:r>
          </w:p>
        </w:tc>
        <w:tc>
          <w:tcPr>
            <w:tcW w:w="23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2012</w:t>
            </w:r>
          </w:p>
        </w:tc>
        <w:tc>
          <w:tcPr>
            <w:tcW w:w="168"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571</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6"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74"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3,859</w:t>
            </w:r>
          </w:p>
        </w:tc>
        <w:tc>
          <w:tcPr>
            <w:tcW w:w="8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9"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2"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4,430</w:t>
            </w:r>
          </w:p>
        </w:tc>
        <w:tc>
          <w:tcPr>
            <w:tcW w:w="232"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2011</w:t>
            </w:r>
          </w:p>
        </w:tc>
        <w:tc>
          <w:tcPr>
            <w:tcW w:w="168"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431</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74"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140</w:t>
            </w:r>
          </w:p>
        </w:tc>
        <w:tc>
          <w:tcPr>
            <w:tcW w:w="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571</w:t>
            </w:r>
          </w:p>
        </w:tc>
        <w:tc>
          <w:tcPr>
            <w:tcW w:w="2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valuation of deferred tax assets:</w:t>
            </w:r>
          </w:p>
        </w:tc>
        <w:tc>
          <w:tcPr>
            <w:tcW w:w="1336"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3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1" w:type="dxa"/>
            <w:gridSpan w:val="3"/>
            <w:tcBorders/>
            <w:shd w:fill="CCEEFF" w:val="clear"/>
            <w:vAlign w:val="center"/>
          </w:tcPr>
          <w:p>
            <w:pPr>
              <w:pStyle w:val="TableContents"/>
              <w:spacing w:before="0" w:after="0"/>
              <w:ind w:left="0" w:right="0" w:firstLine="30"/>
              <w:jc w:val="left"/>
              <w:rPr/>
            </w:pPr>
            <w:r>
              <w:rPr/>
              <w:t> </w:t>
            </w:r>
          </w:p>
        </w:tc>
        <w:tc>
          <w:tcPr>
            <w:tcW w:w="132" w:type="dxa"/>
            <w:tcBorders/>
            <w:shd w:fill="CCEEFF" w:val="clear"/>
            <w:vAlign w:val="center"/>
          </w:tcPr>
          <w:p>
            <w:pPr>
              <w:pStyle w:val="TableContents"/>
              <w:spacing w:before="0" w:after="0"/>
              <w:ind w:left="0" w:right="0" w:firstLine="30"/>
              <w:rPr/>
            </w:pPr>
            <w:r>
              <w:rPr/>
              <w:t> </w:t>
            </w:r>
          </w:p>
        </w:tc>
        <w:tc>
          <w:tcPr>
            <w:tcW w:w="1452" w:type="dxa"/>
            <w:gridSpan w:val="3"/>
            <w:tcBorders/>
            <w:shd w:fill="CCEEFF" w:val="clear"/>
            <w:vAlign w:val="center"/>
          </w:tcPr>
          <w:p>
            <w:pPr>
              <w:pStyle w:val="TableContents"/>
              <w:spacing w:before="0" w:after="0"/>
              <w:ind w:left="0" w:right="0" w:firstLine="180"/>
              <w:jc w:val="left"/>
              <w:rPr/>
            </w:pPr>
            <w:r>
              <w:rPr/>
              <w:t> </w:t>
            </w:r>
          </w:p>
        </w:tc>
      </w:tr>
      <w:tr>
        <w:trPr/>
        <w:tc>
          <w:tcPr>
            <w:tcW w:w="29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2013</w:t>
            </w:r>
          </w:p>
        </w:tc>
        <w:tc>
          <w:tcPr>
            <w:tcW w:w="16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2,242</w:t>
            </w:r>
          </w:p>
        </w:tc>
        <w:tc>
          <w:tcPr>
            <w:tcW w:w="8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8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7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8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1,583</w:t>
            </w:r>
          </w:p>
        </w:tc>
        <w:tc>
          <w:tcPr>
            <w:tcW w:w="9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659</w:t>
            </w:r>
          </w:p>
        </w:tc>
        <w:tc>
          <w:tcPr>
            <w:tcW w:w="23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2012</w:t>
            </w:r>
          </w:p>
        </w:tc>
        <w:tc>
          <w:tcPr>
            <w:tcW w:w="168"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1,425</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6"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817</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74"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9"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2"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2,242</w:t>
            </w:r>
          </w:p>
        </w:tc>
        <w:tc>
          <w:tcPr>
            <w:tcW w:w="232"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Year Ended September 30, 2011</w:t>
            </w:r>
          </w:p>
        </w:tc>
        <w:tc>
          <w:tcPr>
            <w:tcW w:w="168"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1,273</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6"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152</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74"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0"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1,425</w:t>
            </w:r>
          </w:p>
        </w:tc>
        <w:tc>
          <w:tcPr>
            <w:tcW w:w="232" w:type="dxa"/>
            <w:tcBorders>
              <w:bottom w:val="single" w:sz="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106</w:t>
      </w:r>
      <w:r>
        <w:br w:type="page"/>
      </w:r>
    </w:p>
    <w:p>
      <w:pPr>
        <w:pStyle w:val="TextBody"/>
        <w:spacing w:lineRule="auto" w:line="288" w:before="0" w:after="0"/>
        <w:rPr/>
      </w:pPr>
      <w:hyperlink w:anchor="sA13583D437E20DC41B4583E2BD74AA47">
        <w:bookmarkStart w:id="98" w:name="s638E50D56DCBE66CD5CD83E2C8D88E1C"/>
        <w:bookmarkEnd w:id="98"/>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9. CHANGES IN AND DISAGREEMENTS WITH ACCOUNTANTS ON ACCOUNTING AND FINANCIAL DISCLOSURE</w:t>
      </w:r>
    </w:p>
    <w:p>
      <w:pPr>
        <w:pStyle w:val="TextBody"/>
        <w:spacing w:lineRule="auto" w:line="288" w:before="0" w:after="0"/>
        <w:jc w:val="left"/>
        <w:rPr>
          <w:rFonts w:ascii="inherit" w:hAnsi="inherit"/>
          <w:sz w:val="17"/>
        </w:rPr>
      </w:pPr>
      <w:r>
        <w:rPr>
          <w:rFonts w:ascii="inherit" w:hAnsi="inherit"/>
          <w:sz w:val="17"/>
        </w:rPr>
        <w:t xml:space="preserve">During early fiscal 2013, the Audit Committee of the Board of Directors of the Company completed a competitive process to review the appointment of the Company's independent registered public accounting firm for the fiscal year ending September 30, 2013. As a result of that process, on December 3, 2012 the Audit Committee selected Deloitte &amp; Touche LLP as the Company's independent registered public accounting firm for the fiscal year ended September 30, 2013. </w:t>
      </w:r>
    </w:p>
    <w:p>
      <w:pPr>
        <w:pStyle w:val="TextBody"/>
        <w:spacing w:lineRule="auto" w:line="288" w:before="0" w:after="0"/>
        <w:jc w:val="left"/>
        <w:rPr>
          <w:rFonts w:ascii="inherit" w:hAnsi="inherit"/>
          <w:sz w:val="17"/>
        </w:rPr>
      </w:pPr>
      <w:r>
        <w:rPr>
          <w:rFonts w:ascii="inherit" w:hAnsi="inherit"/>
          <w:sz w:val="17"/>
        </w:rPr>
        <w:t xml:space="preserve">BDO USA, LLP is a registered public accounting firm and was our independent auditor from 2004 through 2012. </w:t>
      </w:r>
    </w:p>
    <w:p>
      <w:pPr>
        <w:pStyle w:val="TextBody"/>
        <w:spacing w:lineRule="auto" w:line="288" w:before="0" w:after="0"/>
        <w:jc w:val="left"/>
        <w:rPr>
          <w:rFonts w:ascii="inherit" w:hAnsi="inherit"/>
          <w:sz w:val="17"/>
        </w:rPr>
      </w:pPr>
      <w:r>
        <w:rPr>
          <w:rFonts w:ascii="inherit" w:hAnsi="inherit"/>
          <w:sz w:val="17"/>
        </w:rPr>
        <w:t xml:space="preserve">The Company had no disagreements with its current or former independent registered public accounting firm. </w:t>
      </w:r>
    </w:p>
    <w:p>
      <w:pPr>
        <w:pStyle w:val="TextBody"/>
        <w:spacing w:lineRule="auto" w:line="288" w:before="0" w:after="0"/>
        <w:jc w:val="left"/>
        <w:rPr>
          <w:rFonts w:ascii="inherit" w:hAnsi="inherit"/>
          <w:b/>
          <w:sz w:val="17"/>
        </w:rPr>
      </w:pPr>
      <w:bookmarkStart w:id="99" w:name="s3D71C2EEE0FF5A99043083E2C8F96F03"/>
      <w:bookmarkEnd w:id="99"/>
      <w:r>
        <w:rPr>
          <w:rFonts w:ascii="inherit" w:hAnsi="inherit"/>
          <w:b/>
          <w:sz w:val="17"/>
        </w:rPr>
        <w:t>ITEM 9A. CONTROLS AND PROCEDURES</w:t>
      </w:r>
    </w:p>
    <w:p>
      <w:pPr>
        <w:pStyle w:val="TextBody"/>
        <w:spacing w:lineRule="auto" w:line="288" w:before="0" w:after="0"/>
        <w:jc w:val="left"/>
        <w:rPr>
          <w:rFonts w:ascii="inherit" w:hAnsi="inherit"/>
          <w:b/>
          <w:sz w:val="17"/>
        </w:rPr>
      </w:pPr>
      <w:r>
        <w:rPr>
          <w:rFonts w:ascii="inherit" w:hAnsi="inherit"/>
          <w:b/>
          <w:sz w:val="17"/>
        </w:rPr>
        <w:t>Evaluation of Disclosure Controls and Procedures</w:t>
      </w:r>
    </w:p>
    <w:p>
      <w:pPr>
        <w:pStyle w:val="TextBody"/>
        <w:spacing w:lineRule="auto" w:line="288" w:before="0" w:after="0"/>
        <w:jc w:val="left"/>
        <w:rPr>
          <w:sz w:val="17"/>
        </w:rPr>
      </w:pPr>
      <w:r>
        <w:rPr>
          <w:rFonts w:ascii="inherit" w:hAnsi="inherit"/>
          <w:sz w:val="17"/>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w:t>
      </w:r>
      <w:r>
        <w:rPr>
          <w:rFonts w:ascii="inherit" w:hAnsi="inherit"/>
          <w:strike w:val="false"/>
          <w:dstrike w:val="false"/>
          <w:color w:val="000000"/>
          <w:sz w:val="17"/>
          <w:u w:val="none"/>
          <w:effect w:val="none"/>
        </w:rPr>
        <w:t>September 30, 2013</w:t>
      </w:r>
      <w:r>
        <w:rPr>
          <w:rFonts w:ascii="inherit" w:hAnsi="inherit"/>
          <w:sz w:val="17"/>
        </w:rPr>
        <w:t xml:space="preserve">. Based on that evaluation, our Chief Executive Officer and Chief Financial Officer concluded that our disclosure controls and procedures were effective as of </w:t>
      </w:r>
      <w:r>
        <w:rPr>
          <w:rFonts w:ascii="inherit" w:hAnsi="inherit"/>
          <w:strike w:val="false"/>
          <w:dstrike w:val="false"/>
          <w:color w:val="000000"/>
          <w:sz w:val="17"/>
          <w:u w:val="none"/>
          <w:effect w:val="none"/>
        </w:rPr>
        <w:t>September 30, 2013</w:t>
      </w:r>
      <w:r>
        <w:rPr>
          <w:rFonts w:ascii="inherit" w:hAnsi="inherit"/>
          <w:sz w:val="17"/>
        </w:rPr>
        <w:t>.</w:t>
      </w:r>
    </w:p>
    <w:p>
      <w:pPr>
        <w:pStyle w:val="TextBody"/>
        <w:spacing w:lineRule="auto" w:line="288" w:before="0" w:after="0"/>
        <w:jc w:val="left"/>
        <w:rPr>
          <w:rFonts w:ascii="inherit" w:hAnsi="inherit"/>
          <w:b/>
          <w:sz w:val="17"/>
        </w:rPr>
      </w:pPr>
      <w:r>
        <w:rPr>
          <w:rFonts w:ascii="inherit" w:hAnsi="inherit"/>
          <w:b/>
          <w:sz w:val="17"/>
        </w:rPr>
        <w:t>Management’s Report on Internal Control Over Financial Reporting</w:t>
      </w:r>
    </w:p>
    <w:p>
      <w:pPr>
        <w:pStyle w:val="TextBody"/>
        <w:spacing w:lineRule="auto" w:line="288" w:before="0" w:after="0"/>
        <w:jc w:val="left"/>
        <w:rPr>
          <w:rFonts w:ascii="inherit" w:hAnsi="inherit"/>
          <w:sz w:val="17"/>
        </w:rPr>
      </w:pPr>
      <w:r>
        <w:rPr>
          <w:rFonts w:ascii="inherit" w:hAnsi="inherit"/>
          <w:sz w:val="17"/>
        </w:rPr>
        <w:t>Management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Securities Exchange Act) is a process designed to provide reasonable assurance regarding the reliability of financial reporting and the preparation of financial statements for external reporting purposes in accordance with generally accepted accounting principles in the United States of America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pStyle w:val="TextBody"/>
        <w:spacing w:lineRule="auto" w:line="288" w:before="0" w:after="0"/>
        <w:jc w:val="left"/>
        <w:rPr>
          <w:sz w:val="17"/>
        </w:rPr>
      </w:pPr>
      <w:r>
        <w:rPr>
          <w:rFonts w:ascii="inherit" w:hAnsi="inherit"/>
          <w:sz w:val="17"/>
        </w:rPr>
        <w:t xml:space="preserve">Under the supervision and with the participation of our Chief Executive Officer and Chief Financial Officer, our management has assessed the effectiveness of our internal control over financial reporting as of </w:t>
      </w:r>
      <w:r>
        <w:rPr>
          <w:rFonts w:ascii="inherit" w:hAnsi="inherit"/>
          <w:strike w:val="false"/>
          <w:dstrike w:val="false"/>
          <w:color w:val="000000"/>
          <w:sz w:val="17"/>
          <w:u w:val="none"/>
          <w:effect w:val="none"/>
        </w:rPr>
        <w:t>September 30, 2013</w:t>
      </w:r>
      <w:r>
        <w:rPr>
          <w:rFonts w:ascii="inherit" w:hAnsi="inherit"/>
          <w:sz w:val="17"/>
        </w:rPr>
        <w:t xml:space="preserve">. To make this assessment, management utilized the criteria for effective internal control over financial reporting described in “Internal Control — Integrated Framework” issued by the Committee of Sponsoring Organizations of the Treadway Commission. Based on this assessment, management has concluded that our internal control over financial reporting was effective as of </w:t>
      </w:r>
      <w:r>
        <w:rPr>
          <w:rFonts w:ascii="inherit" w:hAnsi="inherit"/>
          <w:strike w:val="false"/>
          <w:dstrike w:val="false"/>
          <w:color w:val="000000"/>
          <w:sz w:val="17"/>
          <w:u w:val="none"/>
          <w:effect w:val="none"/>
        </w:rPr>
        <w:t>September 30, 2013</w:t>
      </w:r>
      <w:r>
        <w:rPr>
          <w:rFonts w:ascii="inherit" w:hAnsi="inherit"/>
          <w:sz w:val="17"/>
        </w:rPr>
        <w:t>.</w:t>
      </w:r>
    </w:p>
    <w:p>
      <w:pPr>
        <w:pStyle w:val="TextBody"/>
        <w:spacing w:lineRule="auto" w:line="288" w:before="0" w:after="0"/>
        <w:jc w:val="left"/>
        <w:rPr>
          <w:sz w:val="17"/>
        </w:rPr>
      </w:pPr>
      <w:r>
        <w:rPr>
          <w:rFonts w:ascii="inherit" w:hAnsi="inherit"/>
          <w:sz w:val="17"/>
        </w:rPr>
        <w:t xml:space="preserve">Our internal control over financial reporting as of </w:t>
      </w:r>
      <w:r>
        <w:rPr>
          <w:rFonts w:ascii="inherit" w:hAnsi="inherit"/>
          <w:strike w:val="false"/>
          <w:dstrike w:val="false"/>
          <w:color w:val="000000"/>
          <w:sz w:val="17"/>
          <w:u w:val="none"/>
          <w:effect w:val="none"/>
        </w:rPr>
        <w:t>September 30, 2013</w:t>
      </w:r>
      <w:r>
        <w:rPr>
          <w:sz w:val="17"/>
        </w:rPr>
        <w:t xml:space="preserve"> </w:t>
      </w:r>
      <w:r>
        <w:rPr>
          <w:rFonts w:ascii="inherit" w:hAnsi="inherit"/>
          <w:sz w:val="17"/>
        </w:rPr>
        <w:t>has been audited by Deloitte &amp; Touche, LLP, the independent registered public accounting firm that audited our financial statements included in this report, and their report follows immediately.</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107</w:t>
      </w:r>
      <w:r>
        <w:br w:type="page"/>
      </w:r>
    </w:p>
    <w:p>
      <w:pPr>
        <w:pStyle w:val="TextBody"/>
        <w:spacing w:lineRule="auto" w:line="288" w:before="0" w:after="0"/>
        <w:rPr/>
      </w:pPr>
      <w:hyperlink w:anchor="sA13583D437E20DC41B4583E2BD74AA47">
        <w:bookmarkStart w:id="100" w:name="sA8B775E9B0863ED5A7F083E2C92B5492"/>
        <w:bookmarkEnd w:id="100"/>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Report of Independent Registered Public Accounting Firm</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To the Board of Directors and Stockholders of </w:t>
      </w:r>
    </w:p>
    <w:p>
      <w:pPr>
        <w:pStyle w:val="TextBody"/>
        <w:spacing w:lineRule="auto" w:line="288" w:before="0" w:after="0"/>
        <w:jc w:val="left"/>
        <w:rPr>
          <w:rFonts w:ascii="inherit" w:hAnsi="inherit"/>
          <w:sz w:val="17"/>
        </w:rPr>
      </w:pPr>
      <w:r>
        <w:rPr>
          <w:rFonts w:ascii="inherit" w:hAnsi="inherit"/>
          <w:sz w:val="17"/>
        </w:rPr>
        <w:t>EZCORP, Inc.</w:t>
      </w:r>
    </w:p>
    <w:p>
      <w:pPr>
        <w:pStyle w:val="TextBody"/>
        <w:spacing w:lineRule="auto" w:line="288" w:before="0" w:after="0"/>
        <w:jc w:val="left"/>
        <w:rPr>
          <w:rFonts w:ascii="inherit" w:hAnsi="inherit"/>
          <w:sz w:val="17"/>
        </w:rPr>
      </w:pPr>
      <w:r>
        <w:rPr>
          <w:rFonts w:ascii="inherit" w:hAnsi="inherit"/>
          <w:sz w:val="17"/>
        </w:rPr>
        <w:t>Austin, Texas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We have audited the internal control over financial reporting of EZCORP, Inc. and subsidiaries (the "Company") as of September 30, 2013, based on criteria established in </w:t>
      </w:r>
      <w:r>
        <w:rPr>
          <w:rFonts w:ascii="inherit" w:hAnsi="inherit"/>
          <w:i/>
          <w:sz w:val="17"/>
        </w:rPr>
        <w:t>Internal Control - Integrated Framework (1992)</w:t>
      </w:r>
      <w:r>
        <w:rPr>
          <w:sz w:val="17"/>
        </w:rPr>
        <w:t xml:space="preserve"> </w:t>
      </w:r>
      <w:r>
        <w:rPr>
          <w:rFonts w:ascii="inherit" w:hAnsi="inherit"/>
          <w:sz w:val="17"/>
        </w:rPr>
        <w:t>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In our opinion, the Company maintained, in all material respects, effective internal control over financial reporting as of September 30, 2013, based on the criteria established in </w:t>
      </w:r>
      <w:r>
        <w:rPr>
          <w:rFonts w:ascii="inherit" w:hAnsi="inherit"/>
          <w:i/>
          <w:sz w:val="17"/>
        </w:rPr>
        <w:t xml:space="preserve">Internal Control - Integrated Framework (1992) </w:t>
      </w:r>
      <w:r>
        <w:rPr>
          <w:rFonts w:ascii="inherit" w:hAnsi="inherit"/>
          <w:sz w:val="17"/>
        </w:rPr>
        <w:t xml:space="preserve">issued by the Committee of Sponsoring Organizations of the Treadway Commission.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We have also audited, in accordance with the standards of the Public Company Accounting Oversight Board (United States), the consolidated financial statements as of and for the year ended September 30, 2013 of the Company and our report dated </w:t>
      </w:r>
      <w:r>
        <w:rPr>
          <w:rFonts w:ascii="Times New Roman" w:hAnsi="Times New Roman"/>
          <w:strike w:val="false"/>
          <w:dstrike w:val="false"/>
          <w:color w:val="000000"/>
          <w:sz w:val="17"/>
          <w:u w:val="none"/>
          <w:effect w:val="none"/>
        </w:rPr>
        <w:t>November 26, 2013</w:t>
      </w:r>
      <w:r>
        <w:rPr>
          <w:sz w:val="17"/>
        </w:rPr>
        <w:t xml:space="preserve"> </w:t>
      </w:r>
      <w:r>
        <w:rPr>
          <w:rFonts w:ascii="inherit" w:hAnsi="inherit"/>
          <w:sz w:val="17"/>
        </w:rPr>
        <w:t xml:space="preserve">expressed an unqualified opinion on those consolidated financial statements.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i/>
          <w:sz w:val="17"/>
        </w:rPr>
      </w:pPr>
      <w:r>
        <w:rPr>
          <w:rFonts w:ascii="inherit" w:hAnsi="inherit"/>
          <w:i/>
          <w:sz w:val="17"/>
        </w:rPr>
        <w:t xml:space="preserve">/s/ DELOITTE &amp; TOUCHE LLP </w:t>
      </w:r>
    </w:p>
    <w:p>
      <w:pPr>
        <w:pStyle w:val="TextBody"/>
        <w:spacing w:lineRule="auto" w:line="288" w:before="0" w:after="0"/>
        <w:jc w:val="left"/>
        <w:rPr>
          <w:rFonts w:ascii="inherit" w:hAnsi="inherit"/>
          <w:sz w:val="17"/>
        </w:rPr>
      </w:pPr>
      <w:r>
        <w:rPr>
          <w:rFonts w:ascii="inherit" w:hAnsi="inherit"/>
          <w:sz w:val="17"/>
        </w:rPr>
        <w:t>Austin, Texas</w:t>
      </w:r>
    </w:p>
    <w:p>
      <w:pPr>
        <w:pStyle w:val="TextBody"/>
        <w:spacing w:lineRule="auto" w:line="288" w:before="0" w:after="0"/>
        <w:jc w:val="left"/>
        <w:rPr>
          <w:rFonts w:ascii="Times New Roman" w:hAnsi="Times New Roman"/>
          <w:strike w:val="false"/>
          <w:dstrike w:val="false"/>
          <w:color w:val="000000"/>
          <w:sz w:val="17"/>
          <w:u w:val="none"/>
          <w:effect w:val="none"/>
        </w:rPr>
      </w:pPr>
      <w:r>
        <w:rPr>
          <w:rFonts w:ascii="Times New Roman" w:hAnsi="Times New Roman"/>
          <w:strike w:val="false"/>
          <w:dstrike w:val="false"/>
          <w:color w:val="000000"/>
          <w:sz w:val="17"/>
          <w:u w:val="none"/>
          <w:effect w:val="none"/>
        </w:rPr>
        <w:t>November 26, 2013</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108</w:t>
      </w:r>
      <w:r>
        <w:br w:type="page"/>
      </w:r>
    </w:p>
    <w:p>
      <w:pPr>
        <w:pStyle w:val="TextBody"/>
        <w:spacing w:lineRule="auto" w:line="288" w:before="0" w:after="0"/>
        <w:rPr/>
      </w:pPr>
      <w:hyperlink w:anchor="sA13583D437E20DC41B4583E2BD74AA47">
        <w:bookmarkStart w:id="101" w:name="sA01E370C7222E39CA01183E2C9501F65"/>
        <w:bookmarkEnd w:id="101"/>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Changes in Internal Control Over Financial Reporting</w:t>
      </w:r>
    </w:p>
    <w:p>
      <w:pPr>
        <w:pStyle w:val="TextBody"/>
        <w:spacing w:lineRule="auto" w:line="288" w:before="0" w:after="0"/>
        <w:jc w:val="left"/>
        <w:rPr>
          <w:sz w:val="17"/>
        </w:rPr>
      </w:pPr>
      <w:r>
        <w:rPr>
          <w:rFonts w:ascii="inherit" w:hAnsi="inherit"/>
          <w:sz w:val="17"/>
        </w:rPr>
        <w:t xml:space="preserve">There were no changes in our internal control over financial reporting during the fourth quarter of fiscal </w:t>
      </w:r>
      <w:r>
        <w:rPr>
          <w:rFonts w:ascii="inherit" w:hAnsi="inherit"/>
          <w:strike w:val="false"/>
          <w:dstrike w:val="false"/>
          <w:color w:val="000000"/>
          <w:sz w:val="17"/>
          <w:u w:val="none"/>
          <w:effect w:val="none"/>
        </w:rPr>
        <w:t>2013</w:t>
      </w:r>
      <w:r>
        <w:rPr>
          <w:sz w:val="17"/>
        </w:rPr>
        <w:t xml:space="preserve"> </w:t>
      </w:r>
      <w:r>
        <w:rPr>
          <w:rFonts w:ascii="inherit" w:hAnsi="inherit"/>
          <w:sz w:val="17"/>
        </w:rPr>
        <w:t>that have materially affected, or are reasonably likely to materially affect, our internal control over financial reporting.</w:t>
      </w:r>
    </w:p>
    <w:p>
      <w:pPr>
        <w:pStyle w:val="TextBody"/>
        <w:spacing w:lineRule="auto" w:line="288" w:before="0" w:after="0"/>
        <w:jc w:val="left"/>
        <w:rPr>
          <w:rFonts w:ascii="inherit" w:hAnsi="inherit"/>
          <w:b/>
          <w:sz w:val="17"/>
        </w:rPr>
      </w:pPr>
      <w:r>
        <w:rPr>
          <w:rFonts w:ascii="inherit" w:hAnsi="inherit"/>
          <w:b/>
          <w:sz w:val="17"/>
        </w:rPr>
        <w:t>Inherent Limitations on Internal Controls</w:t>
      </w:r>
    </w:p>
    <w:p>
      <w:pPr>
        <w:pStyle w:val="TextBody"/>
        <w:spacing w:lineRule="auto" w:line="288" w:before="0" w:after="0"/>
        <w:jc w:val="left"/>
        <w:rPr>
          <w:rFonts w:ascii="inherit" w:hAnsi="inherit"/>
          <w:sz w:val="17"/>
        </w:rPr>
      </w:pPr>
      <w:r>
        <w:rPr>
          <w:rFonts w:ascii="inherit" w:hAnsi="inherit"/>
          <w:sz w:val="17"/>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100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Judgments in decision-making can be faulty, and control and process breakdowns can occur because of simple errors or mistakes.</w:t>
            </w:r>
          </w:p>
        </w:tc>
      </w:tr>
    </w:tbl>
    <w:tbl>
      <w:tblPr>
        <w:tblW w:w="9685" w:type="dxa"/>
        <w:jc w:val="left"/>
        <w:tblInd w:w="0" w:type="dxa"/>
        <w:tblCellMar>
          <w:top w:w="0" w:type="dxa"/>
          <w:left w:w="0" w:type="dxa"/>
          <w:bottom w:w="0" w:type="dxa"/>
          <w:right w:w="0" w:type="dxa"/>
        </w:tblCellMar>
      </w:tblPr>
      <w:tblGrid>
        <w:gridCol w:w="155"/>
        <w:gridCol w:w="9530"/>
      </w:tblGrid>
      <w:tr>
        <w:trPr/>
        <w:tc>
          <w:tcPr>
            <w:tcW w:w="155" w:type="dxa"/>
            <w:tcBorders/>
            <w:shd w:fill="auto" w:val="clear"/>
            <w:vAlign w:val="center"/>
          </w:tcPr>
          <w:p>
            <w:pPr>
              <w:pStyle w:val="TableContents"/>
              <w:spacing w:before="0" w:after="283"/>
              <w:rPr>
                <w:sz w:val="4"/>
                <w:szCs w:val="4"/>
              </w:rPr>
            </w:pPr>
            <w:r>
              <w:rPr>
                <w:sz w:val="4"/>
                <w:szCs w:val="4"/>
              </w:rPr>
            </w:r>
          </w:p>
        </w:tc>
        <w:tc>
          <w:tcPr>
            <w:tcW w:w="953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9530" w:type="dxa"/>
            <w:tcBorders/>
            <w:shd w:fill="auto" w:val="clear"/>
            <w:vAlign w:val="center"/>
          </w:tcPr>
          <w:p>
            <w:pPr>
              <w:pStyle w:val="TableContents"/>
              <w:spacing w:lineRule="auto" w:line="288" w:before="0" w:after="0"/>
              <w:rPr>
                <w:rFonts w:ascii="inherit" w:hAnsi="inherit"/>
                <w:sz w:val="17"/>
              </w:rPr>
            </w:pPr>
            <w:r>
              <w:rPr>
                <w:rFonts w:ascii="inherit" w:hAnsi="inherit"/>
                <w:sz w:val="17"/>
              </w:rPr>
              <w:t>Controls can be circumvented by individuals, acting alone or in collusion with others, or by management override.</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100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design of any system of controls is based in part on certain assumptions about the likelihood of future events, and there can be no assurance that any design will succeed in achieving its stated goals under all potential future conditions.</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100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Over time, controls may become inadequate because of changes in conditions or deterioration in the degree of compliance with associated policies or procedures.</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firstLine="30"/>
              <w:rPr/>
            </w:pPr>
            <w:r>
              <w:rPr/>
              <w:t>•</w:t>
            </w:r>
          </w:p>
        </w:tc>
        <w:tc>
          <w:tcPr>
            <w:tcW w:w="100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design of a control system must reflect the fact that resources are constrained, and the benefits of controls must be considered relative to their costs.</w:t>
            </w:r>
          </w:p>
        </w:tc>
      </w:tr>
    </w:tbl>
    <w:p>
      <w:pPr>
        <w:pStyle w:val="TextBody"/>
        <w:spacing w:lineRule="auto" w:line="288" w:before="0" w:after="0"/>
        <w:jc w:val="left"/>
        <w:rPr>
          <w:rFonts w:ascii="inherit" w:hAnsi="inherit"/>
          <w:sz w:val="17"/>
        </w:rPr>
      </w:pPr>
      <w:r>
        <w:rPr>
          <w:rFonts w:ascii="inherit" w:hAnsi="inherit"/>
          <w:sz w:val="17"/>
        </w:rPr>
        <w:t>Because of the inherent limitations in all control systems, no evaluation of controls can provide absolute assurance that all control issues and instances of fraud, if any, have been detected.</w:t>
      </w:r>
    </w:p>
    <w:p>
      <w:pPr>
        <w:pStyle w:val="TextBody"/>
        <w:spacing w:lineRule="auto" w:line="288" w:before="0" w:after="0"/>
        <w:jc w:val="left"/>
        <w:rPr>
          <w:rFonts w:ascii="inherit" w:hAnsi="inherit"/>
          <w:b/>
          <w:sz w:val="17"/>
        </w:rPr>
      </w:pPr>
      <w:r>
        <w:rPr>
          <w:rFonts w:ascii="inherit" w:hAnsi="inherit"/>
          <w:b/>
          <w:sz w:val="17"/>
        </w:rPr>
        <w:t>ITEM 9B. OTHER INFORMATION</w:t>
      </w:r>
    </w:p>
    <w:p>
      <w:pPr>
        <w:pStyle w:val="TextBody"/>
        <w:spacing w:lineRule="auto" w:line="288" w:before="0" w:after="0"/>
        <w:jc w:val="left"/>
        <w:rPr>
          <w:rFonts w:ascii="inherit" w:hAnsi="inherit"/>
          <w:sz w:val="17"/>
        </w:rPr>
      </w:pPr>
      <w:r>
        <w:rPr>
          <w:rFonts w:ascii="inherit" w:hAnsi="inherit"/>
          <w:sz w:val="17"/>
        </w:rPr>
        <w:t>None.</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109</w:t>
      </w:r>
      <w:r>
        <w:br w:type="page"/>
      </w:r>
    </w:p>
    <w:p>
      <w:pPr>
        <w:pStyle w:val="TextBody"/>
        <w:spacing w:lineRule="auto" w:line="288" w:before="0" w:after="0"/>
        <w:rPr/>
      </w:pPr>
      <w:hyperlink w:anchor="sA13583D437E20DC41B4583E2BD74AA47">
        <w:bookmarkStart w:id="102" w:name="s363A886CEF6AA21ECE1E83E2C9829E2E"/>
        <w:bookmarkEnd w:id="102"/>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20"/>
        </w:rPr>
      </w:pPr>
      <w:r>
        <w:rPr>
          <w:rFonts w:ascii="inherit" w:hAnsi="inherit"/>
          <w:b/>
          <w:sz w:val="20"/>
        </w:rPr>
        <w:t>PART III</w:t>
      </w:r>
    </w:p>
    <w:p>
      <w:pPr>
        <w:pStyle w:val="TextBody"/>
        <w:spacing w:lineRule="auto" w:line="288" w:before="0" w:after="0"/>
        <w:jc w:val="left"/>
        <w:rPr>
          <w:rFonts w:ascii="inherit" w:hAnsi="inherit"/>
          <w:b/>
          <w:sz w:val="17"/>
        </w:rPr>
      </w:pPr>
      <w:bookmarkStart w:id="103" w:name="sACD0E4F37D5525496F7D83E2C9A0DAF4"/>
      <w:bookmarkEnd w:id="103"/>
      <w:r>
        <w:rPr>
          <w:rFonts w:ascii="inherit" w:hAnsi="inherit"/>
          <w:b/>
          <w:sz w:val="17"/>
        </w:rPr>
        <w:t>ITEM 10. DIRECTORS, EXECUTIVE OFFICERS AND CORPORATE GOVERNANCE</w:t>
      </w:r>
    </w:p>
    <w:p>
      <w:pPr>
        <w:pStyle w:val="TextBody"/>
        <w:spacing w:lineRule="auto" w:line="288" w:before="0" w:after="0"/>
        <w:jc w:val="left"/>
        <w:rPr>
          <w:rFonts w:ascii="inherit" w:hAnsi="inherit"/>
          <w:b/>
          <w:sz w:val="17"/>
        </w:rPr>
      </w:pPr>
      <w:r>
        <w:rPr>
          <w:rFonts w:ascii="inherit" w:hAnsi="inherit"/>
          <w:b/>
          <w:sz w:val="17"/>
        </w:rPr>
        <w:t>Board of Directors</w:t>
      </w:r>
    </w:p>
    <w:p>
      <w:pPr>
        <w:pStyle w:val="TextBody"/>
        <w:spacing w:lineRule="auto" w:line="288" w:before="0" w:after="0"/>
        <w:jc w:val="left"/>
        <w:rPr>
          <w:rFonts w:ascii="inherit" w:hAnsi="inherit"/>
          <w:sz w:val="17"/>
        </w:rPr>
      </w:pPr>
      <w:r>
        <w:rPr>
          <w:rFonts w:ascii="inherit" w:hAnsi="inherit"/>
          <w:sz w:val="17"/>
        </w:rPr>
        <w:t xml:space="preserve">Set forth below are the names of the persons who, as of October 31, 2013, constituted our Board of Directors and their ages and committee assignments as of that date. </w:t>
      </w:r>
    </w:p>
    <w:tbl>
      <w:tblPr>
        <w:tblW w:w="9070" w:type="dxa"/>
        <w:jc w:val="left"/>
        <w:tblInd w:w="0" w:type="dxa"/>
        <w:tblCellMar>
          <w:top w:w="0" w:type="dxa"/>
          <w:left w:w="0" w:type="dxa"/>
          <w:bottom w:w="0" w:type="dxa"/>
          <w:right w:w="0" w:type="dxa"/>
        </w:tblCellMar>
      </w:tblPr>
      <w:tblGrid>
        <w:gridCol w:w="2903"/>
        <w:gridCol w:w="90"/>
        <w:gridCol w:w="1270"/>
        <w:gridCol w:w="90"/>
        <w:gridCol w:w="4717"/>
      </w:tblGrid>
      <w:tr>
        <w:trPr/>
        <w:tc>
          <w:tcPr>
            <w:tcW w:w="9070" w:type="dxa"/>
            <w:gridSpan w:val="5"/>
            <w:tcBorders/>
            <w:shd w:fill="auto" w:val="clear"/>
            <w:vAlign w:val="center"/>
          </w:tcPr>
          <w:p>
            <w:pPr>
              <w:pStyle w:val="TableContents"/>
              <w:spacing w:before="0" w:after="283"/>
              <w:rPr>
                <w:sz w:val="4"/>
                <w:szCs w:val="4"/>
              </w:rPr>
            </w:pPr>
            <w:r>
              <w:rPr>
                <w:sz w:val="4"/>
                <w:szCs w:val="4"/>
              </w:rPr>
            </w:r>
          </w:p>
        </w:tc>
      </w:tr>
      <w:tr>
        <w:trPr/>
        <w:tc>
          <w:tcPr>
            <w:tcW w:w="290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7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0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Name</w:t>
            </w:r>
          </w:p>
        </w:tc>
        <w:tc>
          <w:tcPr>
            <w:tcW w:w="90" w:type="dxa"/>
            <w:tcBorders/>
            <w:shd w:fill="auto" w:val="clear"/>
            <w:vAlign w:val="center"/>
          </w:tcPr>
          <w:p>
            <w:pPr>
              <w:pStyle w:val="TableContents"/>
              <w:spacing w:before="0" w:after="0"/>
              <w:ind w:left="0" w:right="0" w:firstLine="30"/>
              <w:rPr/>
            </w:pPr>
            <w:r>
              <w:rPr/>
              <w:t> </w:t>
            </w:r>
          </w:p>
        </w:tc>
        <w:tc>
          <w:tcPr>
            <w:tcW w:w="127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Age</w:t>
            </w:r>
          </w:p>
        </w:tc>
        <w:tc>
          <w:tcPr>
            <w:tcW w:w="90" w:type="dxa"/>
            <w:tcBorders/>
            <w:shd w:fill="auto" w:val="clear"/>
            <w:vAlign w:val="center"/>
          </w:tcPr>
          <w:p>
            <w:pPr>
              <w:pStyle w:val="TableContents"/>
              <w:spacing w:before="0" w:after="0"/>
              <w:ind w:left="0" w:right="0" w:firstLine="30"/>
              <w:rPr/>
            </w:pPr>
            <w:r>
              <w:rPr/>
              <w:t> </w:t>
            </w:r>
          </w:p>
        </w:tc>
        <w:tc>
          <w:tcPr>
            <w:tcW w:w="471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Committees</w:t>
            </w:r>
          </w:p>
        </w:tc>
      </w:tr>
      <w:tr>
        <w:trPr/>
        <w:tc>
          <w:tcPr>
            <w:tcW w:w="29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Sterling B. Brinkley (Chairman)</w:t>
            </w:r>
          </w:p>
        </w:tc>
        <w:tc>
          <w:tcPr>
            <w:tcW w:w="90" w:type="dxa"/>
            <w:tcBorders/>
            <w:shd w:fill="CCEEFF" w:val="clear"/>
            <w:vAlign w:val="center"/>
          </w:tcPr>
          <w:p>
            <w:pPr>
              <w:pStyle w:val="TableContents"/>
              <w:spacing w:before="0" w:after="0"/>
              <w:ind w:left="0" w:right="0" w:firstLine="30"/>
              <w:rPr/>
            </w:pPr>
            <w:r>
              <w:rPr/>
              <w:t> </w:t>
            </w:r>
          </w:p>
        </w:tc>
        <w:tc>
          <w:tcPr>
            <w:tcW w:w="1270"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61</w:t>
            </w:r>
          </w:p>
        </w:tc>
        <w:tc>
          <w:tcPr>
            <w:tcW w:w="90" w:type="dxa"/>
            <w:tcBorders/>
            <w:shd w:fill="CCEEFF" w:val="clear"/>
            <w:vAlign w:val="center"/>
          </w:tcPr>
          <w:p>
            <w:pPr>
              <w:pStyle w:val="TableContents"/>
              <w:spacing w:before="0" w:after="0"/>
              <w:ind w:left="0" w:right="0" w:firstLine="30"/>
              <w:rPr/>
            </w:pPr>
            <w:r>
              <w:rPr/>
              <w:t> </w:t>
            </w:r>
          </w:p>
        </w:tc>
        <w:tc>
          <w:tcPr>
            <w:tcW w:w="4717"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w:t>
            </w:r>
          </w:p>
        </w:tc>
      </w:tr>
      <w:tr>
        <w:trPr/>
        <w:tc>
          <w:tcPr>
            <w:tcW w:w="29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w:t>
            </w:r>
          </w:p>
        </w:tc>
        <w:tc>
          <w:tcPr>
            <w:tcW w:w="90" w:type="dxa"/>
            <w:tcBorders/>
            <w:shd w:fill="auto" w:val="clear"/>
            <w:vAlign w:val="center"/>
          </w:tcPr>
          <w:p>
            <w:pPr>
              <w:pStyle w:val="TableContents"/>
              <w:spacing w:before="0" w:after="0"/>
              <w:ind w:left="0" w:right="0" w:firstLine="30"/>
              <w:rPr/>
            </w:pPr>
            <w:r>
              <w:rPr/>
              <w:t> </w:t>
            </w:r>
          </w:p>
        </w:tc>
        <w:tc>
          <w:tcPr>
            <w:tcW w:w="127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49</w:t>
            </w:r>
          </w:p>
        </w:tc>
        <w:tc>
          <w:tcPr>
            <w:tcW w:w="90" w:type="dxa"/>
            <w:tcBorders/>
            <w:shd w:fill="auto" w:val="clear"/>
            <w:vAlign w:val="center"/>
          </w:tcPr>
          <w:p>
            <w:pPr>
              <w:pStyle w:val="TableContents"/>
              <w:spacing w:before="0" w:after="0"/>
              <w:ind w:left="0" w:right="0" w:firstLine="30"/>
              <w:rPr/>
            </w:pPr>
            <w:r>
              <w:rPr/>
              <w:t> </w:t>
            </w:r>
          </w:p>
        </w:tc>
        <w:tc>
          <w:tcPr>
            <w:tcW w:w="4717" w:type="dxa"/>
            <w:tcBorders/>
            <w:shd w:fill="auto" w:val="clear"/>
            <w:vAlign w:val="center"/>
          </w:tcPr>
          <w:p>
            <w:pPr>
              <w:pStyle w:val="TableContents"/>
              <w:spacing w:before="0" w:after="0"/>
              <w:ind w:left="0" w:right="0" w:firstLine="30"/>
              <w:jc w:val="left"/>
              <w:rPr/>
            </w:pPr>
            <w:r>
              <w:rPr/>
              <w:t>—</w:t>
            </w:r>
          </w:p>
        </w:tc>
      </w:tr>
      <w:tr>
        <w:trPr/>
        <w:tc>
          <w:tcPr>
            <w:tcW w:w="29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Joseph J. Beal</w:t>
            </w:r>
          </w:p>
        </w:tc>
        <w:tc>
          <w:tcPr>
            <w:tcW w:w="90" w:type="dxa"/>
            <w:tcBorders/>
            <w:shd w:fill="CCEEFF" w:val="clear"/>
            <w:vAlign w:val="center"/>
          </w:tcPr>
          <w:p>
            <w:pPr>
              <w:pStyle w:val="TableContents"/>
              <w:spacing w:before="0" w:after="0"/>
              <w:ind w:left="0" w:right="0" w:firstLine="30"/>
              <w:rPr/>
            </w:pPr>
            <w:r>
              <w:rPr/>
              <w:t> </w:t>
            </w:r>
          </w:p>
        </w:tc>
        <w:tc>
          <w:tcPr>
            <w:tcW w:w="127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68</w:t>
            </w:r>
          </w:p>
        </w:tc>
        <w:tc>
          <w:tcPr>
            <w:tcW w:w="90" w:type="dxa"/>
            <w:tcBorders/>
            <w:shd w:fill="CCEEFF" w:val="clear"/>
            <w:vAlign w:val="center"/>
          </w:tcPr>
          <w:p>
            <w:pPr>
              <w:pStyle w:val="TableContents"/>
              <w:spacing w:before="0" w:after="0"/>
              <w:ind w:left="0" w:right="0" w:firstLine="30"/>
              <w:rPr/>
            </w:pPr>
            <w:r>
              <w:rPr/>
              <w:t> </w:t>
            </w:r>
          </w:p>
        </w:tc>
        <w:tc>
          <w:tcPr>
            <w:tcW w:w="47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Compensation (Chair), Audit </w:t>
            </w:r>
          </w:p>
        </w:tc>
      </w:tr>
      <w:tr>
        <w:trPr/>
        <w:tc>
          <w:tcPr>
            <w:tcW w:w="29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Pablo Lagos Espinosa</w:t>
            </w:r>
          </w:p>
        </w:tc>
        <w:tc>
          <w:tcPr>
            <w:tcW w:w="90" w:type="dxa"/>
            <w:tcBorders/>
            <w:shd w:fill="auto" w:val="clear"/>
            <w:vAlign w:val="center"/>
          </w:tcPr>
          <w:p>
            <w:pPr>
              <w:pStyle w:val="TableContents"/>
              <w:spacing w:before="0" w:after="0"/>
              <w:ind w:left="0" w:right="0" w:firstLine="30"/>
              <w:rPr/>
            </w:pPr>
            <w:r>
              <w:rPr/>
              <w:t> </w:t>
            </w:r>
          </w:p>
        </w:tc>
        <w:tc>
          <w:tcPr>
            <w:tcW w:w="127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58</w:t>
            </w:r>
          </w:p>
        </w:tc>
        <w:tc>
          <w:tcPr>
            <w:tcW w:w="90" w:type="dxa"/>
            <w:tcBorders/>
            <w:shd w:fill="auto" w:val="clear"/>
            <w:vAlign w:val="center"/>
          </w:tcPr>
          <w:p>
            <w:pPr>
              <w:pStyle w:val="TableContents"/>
              <w:spacing w:before="0" w:after="0"/>
              <w:ind w:left="0" w:right="0" w:firstLine="30"/>
              <w:rPr/>
            </w:pPr>
            <w:r>
              <w:rPr/>
              <w:t> </w:t>
            </w:r>
          </w:p>
        </w:tc>
        <w:tc>
          <w:tcPr>
            <w:tcW w:w="47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Compensation</w:t>
            </w:r>
          </w:p>
        </w:tc>
      </w:tr>
      <w:tr>
        <w:trPr/>
        <w:tc>
          <w:tcPr>
            <w:tcW w:w="29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John Farrell</w:t>
            </w:r>
          </w:p>
        </w:tc>
        <w:tc>
          <w:tcPr>
            <w:tcW w:w="90" w:type="dxa"/>
            <w:tcBorders/>
            <w:shd w:fill="CCEEFF" w:val="clear"/>
            <w:vAlign w:val="center"/>
          </w:tcPr>
          <w:p>
            <w:pPr>
              <w:pStyle w:val="TableContents"/>
              <w:spacing w:before="0" w:after="0"/>
              <w:ind w:left="0" w:right="0" w:firstLine="30"/>
              <w:rPr/>
            </w:pPr>
            <w:r>
              <w:rPr/>
              <w:t> </w:t>
            </w:r>
          </w:p>
        </w:tc>
        <w:tc>
          <w:tcPr>
            <w:tcW w:w="127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56</w:t>
            </w:r>
          </w:p>
        </w:tc>
        <w:tc>
          <w:tcPr>
            <w:tcW w:w="90" w:type="dxa"/>
            <w:tcBorders/>
            <w:shd w:fill="CCEEFF" w:val="clear"/>
            <w:vAlign w:val="center"/>
          </w:tcPr>
          <w:p>
            <w:pPr>
              <w:pStyle w:val="TableContents"/>
              <w:spacing w:before="0" w:after="0"/>
              <w:ind w:left="0" w:right="0" w:firstLine="30"/>
              <w:rPr/>
            </w:pPr>
            <w:r>
              <w:rPr/>
              <w:t> </w:t>
            </w:r>
          </w:p>
        </w:tc>
        <w:tc>
          <w:tcPr>
            <w:tcW w:w="47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Audit</w:t>
            </w:r>
          </w:p>
        </w:tc>
      </w:tr>
      <w:tr>
        <w:trPr/>
        <w:tc>
          <w:tcPr>
            <w:tcW w:w="29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William C. Love (Lead Director)</w:t>
            </w:r>
          </w:p>
        </w:tc>
        <w:tc>
          <w:tcPr>
            <w:tcW w:w="90" w:type="dxa"/>
            <w:tcBorders/>
            <w:shd w:fill="auto" w:val="clear"/>
            <w:vAlign w:val="center"/>
          </w:tcPr>
          <w:p>
            <w:pPr>
              <w:pStyle w:val="TableContents"/>
              <w:spacing w:before="0" w:after="0"/>
              <w:ind w:left="0" w:right="0" w:firstLine="30"/>
              <w:rPr/>
            </w:pPr>
            <w:r>
              <w:rPr/>
              <w:t> </w:t>
            </w:r>
          </w:p>
        </w:tc>
        <w:tc>
          <w:tcPr>
            <w:tcW w:w="127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64</w:t>
            </w:r>
          </w:p>
        </w:tc>
        <w:tc>
          <w:tcPr>
            <w:tcW w:w="90" w:type="dxa"/>
            <w:tcBorders/>
            <w:shd w:fill="auto" w:val="clear"/>
            <w:vAlign w:val="center"/>
          </w:tcPr>
          <w:p>
            <w:pPr>
              <w:pStyle w:val="TableContents"/>
              <w:spacing w:before="0" w:after="0"/>
              <w:ind w:left="0" w:right="0" w:firstLine="30"/>
              <w:rPr/>
            </w:pPr>
            <w:r>
              <w:rPr/>
              <w:t> </w:t>
            </w:r>
          </w:p>
        </w:tc>
        <w:tc>
          <w:tcPr>
            <w:tcW w:w="47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Audit (Chair), Compensation</w:t>
            </w:r>
          </w:p>
        </w:tc>
      </w:tr>
      <w:tr>
        <w:trPr/>
        <w:tc>
          <w:tcPr>
            <w:tcW w:w="29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Thomas C. Roberts</w:t>
            </w:r>
          </w:p>
        </w:tc>
        <w:tc>
          <w:tcPr>
            <w:tcW w:w="90" w:type="dxa"/>
            <w:tcBorders/>
            <w:shd w:fill="CCEEFF" w:val="clear"/>
            <w:vAlign w:val="center"/>
          </w:tcPr>
          <w:p>
            <w:pPr>
              <w:pStyle w:val="TableContents"/>
              <w:spacing w:before="0" w:after="0"/>
              <w:ind w:left="0" w:right="0" w:firstLine="30"/>
              <w:rPr/>
            </w:pPr>
            <w:r>
              <w:rPr/>
              <w:t> </w:t>
            </w:r>
          </w:p>
        </w:tc>
        <w:tc>
          <w:tcPr>
            <w:tcW w:w="127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71</w:t>
            </w:r>
          </w:p>
        </w:tc>
        <w:tc>
          <w:tcPr>
            <w:tcW w:w="90" w:type="dxa"/>
            <w:tcBorders/>
            <w:shd w:fill="CCEEFF" w:val="clear"/>
            <w:vAlign w:val="center"/>
          </w:tcPr>
          <w:p>
            <w:pPr>
              <w:pStyle w:val="TableContents"/>
              <w:spacing w:before="0" w:after="0"/>
              <w:ind w:left="0" w:right="0" w:firstLine="30"/>
              <w:rPr/>
            </w:pPr>
            <w:r>
              <w:rPr/>
              <w:t> </w:t>
            </w:r>
          </w:p>
        </w:tc>
        <w:tc>
          <w:tcPr>
            <w:tcW w:w="4717" w:type="dxa"/>
            <w:tcBorders/>
            <w:shd w:fill="CCEEFF" w:val="clear"/>
            <w:vAlign w:val="center"/>
          </w:tcPr>
          <w:p>
            <w:pPr>
              <w:pStyle w:val="TableContents"/>
              <w:spacing w:before="0" w:after="0"/>
              <w:jc w:val="left"/>
              <w:rPr/>
            </w:pPr>
            <w:r>
              <w:rPr/>
              <w:t>—</w:t>
            </w:r>
          </w:p>
        </w:tc>
      </w:tr>
    </w:tbl>
    <w:p>
      <w:pPr>
        <w:pStyle w:val="TextBody"/>
        <w:spacing w:lineRule="auto" w:line="288" w:before="0" w:after="0"/>
        <w:jc w:val="left"/>
        <w:rPr>
          <w:sz w:val="17"/>
        </w:rPr>
      </w:pPr>
      <w:r>
        <w:rPr>
          <w:rFonts w:ascii="inherit" w:hAnsi="inherit"/>
          <w:i/>
          <w:sz w:val="17"/>
        </w:rPr>
        <w:t>Director Qualifications</w:t>
      </w:r>
      <w:r>
        <w:rPr>
          <w:sz w:val="17"/>
        </w:rPr>
        <w:t xml:space="preserve"> — </w:t>
      </w:r>
      <w:r>
        <w:rPr>
          <w:rFonts w:ascii="inherit" w:hAnsi="inherit"/>
          <w:sz w:val="17"/>
        </w:rPr>
        <w:t>The Board believes that individuals who serve on the Board should have demonstrated notable or significant achievements in business, 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w:t>
      </w:r>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rPr>
                <w:sz w:val="4"/>
                <w:szCs w:val="4"/>
              </w:rPr>
            </w:pPr>
            <w:r>
              <w:rPr>
                <w:sz w:val="4"/>
                <w:szCs w:val="4"/>
              </w:rPr>
            </w:r>
          </w:p>
        </w:tc>
        <w:tc>
          <w:tcPr>
            <w:tcW w:w="9945"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firstLine="135"/>
              <w:rPr/>
            </w:pPr>
            <w:r>
              <w:rPr/>
              <w:t>•</w:t>
            </w:r>
          </w:p>
        </w:tc>
        <w:tc>
          <w:tcPr>
            <w:tcW w:w="9945" w:type="dxa"/>
            <w:tcBorders/>
            <w:shd w:fill="auto" w:val="clear"/>
            <w:vAlign w:val="center"/>
          </w:tcPr>
          <w:p>
            <w:pPr>
              <w:pStyle w:val="TableContents"/>
              <w:spacing w:lineRule="auto" w:line="288" w:before="0" w:after="0"/>
              <w:rPr>
                <w:sz w:val="17"/>
              </w:rPr>
            </w:pPr>
            <w:r>
              <w:rPr>
                <w:rFonts w:ascii="inherit" w:hAnsi="inherit"/>
                <w:i/>
                <w:sz w:val="17"/>
              </w:rPr>
              <w:t>Leadership Experience</w:t>
            </w:r>
            <w:r>
              <w:rPr>
                <w:sz w:val="17"/>
              </w:rPr>
              <w:t xml:space="preserve"> — </w:t>
            </w:r>
            <w:r>
              <w:rPr>
                <w:rFonts w:ascii="inherit" w:hAnsi="inherit"/>
                <w:sz w:val="17"/>
              </w:rPr>
              <w:t>Our directors should demonstrate extraordinary leadership qualities. Strong leaders bring vision, strategic agility, diverse and 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rPr>
                <w:sz w:val="4"/>
                <w:szCs w:val="4"/>
              </w:rPr>
            </w:pPr>
            <w:r>
              <w:rPr>
                <w:sz w:val="4"/>
                <w:szCs w:val="4"/>
              </w:rPr>
            </w:r>
          </w:p>
        </w:tc>
        <w:tc>
          <w:tcPr>
            <w:tcW w:w="9945"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firstLine="135"/>
              <w:rPr/>
            </w:pPr>
            <w:r>
              <w:rPr/>
              <w:t>•</w:t>
            </w:r>
          </w:p>
        </w:tc>
        <w:tc>
          <w:tcPr>
            <w:tcW w:w="9945" w:type="dxa"/>
            <w:tcBorders/>
            <w:shd w:fill="auto" w:val="clear"/>
            <w:vAlign w:val="center"/>
          </w:tcPr>
          <w:p>
            <w:pPr>
              <w:pStyle w:val="TableContents"/>
              <w:spacing w:lineRule="auto" w:line="288" w:before="0" w:after="0"/>
              <w:rPr>
                <w:sz w:val="17"/>
              </w:rPr>
            </w:pPr>
            <w:r>
              <w:rPr>
                <w:rFonts w:ascii="inherit" w:hAnsi="inherit"/>
                <w:i/>
                <w:sz w:val="17"/>
              </w:rPr>
              <w:t>Finance Experience —</w:t>
            </w:r>
            <w:r>
              <w:rPr>
                <w:sz w:val="17"/>
              </w:rPr>
              <w:t xml:space="preserve"> </w:t>
            </w:r>
            <w:r>
              <w:rPr>
                <w:rFonts w:ascii="inherit" w:hAnsi="inherit"/>
                <w:sz w:val="17"/>
              </w:rPr>
              <w:t>We believe that all directors should possess an understanding of finance and related reporting processes.</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rPr>
                <w:sz w:val="4"/>
                <w:szCs w:val="4"/>
              </w:rPr>
            </w:pPr>
            <w:r>
              <w:rPr>
                <w:sz w:val="4"/>
                <w:szCs w:val="4"/>
              </w:rPr>
            </w:r>
          </w:p>
        </w:tc>
        <w:tc>
          <w:tcPr>
            <w:tcW w:w="9945"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firstLine="135"/>
              <w:rPr/>
            </w:pPr>
            <w:r>
              <w:rPr/>
              <w:t>•</w:t>
            </w:r>
          </w:p>
        </w:tc>
        <w:tc>
          <w:tcPr>
            <w:tcW w:w="9945" w:type="dxa"/>
            <w:tcBorders/>
            <w:shd w:fill="auto" w:val="clear"/>
            <w:vAlign w:val="center"/>
          </w:tcPr>
          <w:p>
            <w:pPr>
              <w:pStyle w:val="TableContents"/>
              <w:spacing w:lineRule="auto" w:line="288" w:before="0" w:after="0"/>
              <w:rPr>
                <w:sz w:val="17"/>
              </w:rPr>
            </w:pPr>
            <w:r>
              <w:rPr>
                <w:rFonts w:ascii="inherit" w:hAnsi="inherit"/>
                <w:i/>
                <w:sz w:val="17"/>
              </w:rPr>
              <w:t>Strategically Relevant Experience —</w:t>
            </w:r>
            <w:r>
              <w:rPr>
                <w:sz w:val="17"/>
              </w:rPr>
              <w:t xml:space="preserve"> </w:t>
            </w:r>
            <w:r>
              <w:rPr>
                <w:rFonts w:ascii="inherit" w:hAnsi="inherit"/>
                <w:sz w:val="17"/>
              </w:rPr>
              <w:t>Our directors should have business experience that is relevant to our strategic goals and objectives, including 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rPr>
                <w:sz w:val="4"/>
                <w:szCs w:val="4"/>
              </w:rPr>
            </w:pPr>
            <w:r>
              <w:rPr>
                <w:sz w:val="4"/>
                <w:szCs w:val="4"/>
              </w:rPr>
            </w:r>
          </w:p>
        </w:tc>
        <w:tc>
          <w:tcPr>
            <w:tcW w:w="9945"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firstLine="135"/>
              <w:rPr/>
            </w:pPr>
            <w:r>
              <w:rPr/>
              <w:t>•</w:t>
            </w:r>
          </w:p>
        </w:tc>
        <w:tc>
          <w:tcPr>
            <w:tcW w:w="9945" w:type="dxa"/>
            <w:tcBorders/>
            <w:shd w:fill="auto" w:val="clear"/>
            <w:vAlign w:val="center"/>
          </w:tcPr>
          <w:p>
            <w:pPr>
              <w:pStyle w:val="TableContents"/>
              <w:spacing w:lineRule="auto" w:line="288" w:before="0" w:after="0"/>
              <w:rPr>
                <w:sz w:val="17"/>
              </w:rPr>
            </w:pPr>
            <w:r>
              <w:rPr>
                <w:rFonts w:ascii="inherit" w:hAnsi="inherit"/>
                <w:i/>
                <w:sz w:val="17"/>
              </w:rPr>
              <w:t>Government Experience</w:t>
            </w:r>
            <w:r>
              <w:rPr>
                <w:sz w:val="17"/>
              </w:rPr>
              <w:t xml:space="preserve"> — </w:t>
            </w:r>
            <w:r>
              <w:rPr>
                <w:rFonts w:ascii="inherit" w:hAnsi="inherit"/>
                <w:sz w:val="17"/>
              </w:rPr>
              <w:t>Our business is subject to a variety of legislative and regulatory risks. Accordingly, we value experience in the legislative, judicial or regulatory branches of government or government relations.</w:t>
            </w:r>
          </w:p>
        </w:tc>
      </w:tr>
    </w:tbl>
    <w:p>
      <w:pPr>
        <w:pStyle w:val="TextBody"/>
        <w:spacing w:lineRule="auto" w:line="288" w:before="0" w:after="0"/>
        <w:jc w:val="left"/>
        <w:rPr>
          <w:sz w:val="17"/>
        </w:rPr>
      </w:pPr>
      <w:r>
        <w:rPr>
          <w:rFonts w:ascii="inherit" w:hAnsi="inherit"/>
          <w:i/>
          <w:sz w:val="17"/>
        </w:rPr>
        <w:t>Biographical Information —</w:t>
      </w:r>
      <w:r>
        <w:rPr>
          <w:sz w:val="17"/>
        </w:rPr>
        <w:t xml:space="preserve"> </w:t>
      </w:r>
      <w:r>
        <w:rPr>
          <w:rFonts w:ascii="inherit" w:hAnsi="inherit"/>
          <w:sz w:val="17"/>
        </w:rPr>
        <w:t>Set forth below is current biographical information about our directors, including the qualifications, experience and skills that make them suitable for service as a director.</w:t>
      </w:r>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rPr>
                <w:sz w:val="4"/>
                <w:szCs w:val="4"/>
              </w:rPr>
            </w:pPr>
            <w:r>
              <w:rPr>
                <w:sz w:val="4"/>
                <w:szCs w:val="4"/>
              </w:rPr>
            </w:r>
          </w:p>
        </w:tc>
        <w:tc>
          <w:tcPr>
            <w:tcW w:w="9945"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firstLine="135"/>
              <w:rPr/>
            </w:pPr>
            <w:r>
              <w:rPr/>
              <w:t>•</w:t>
            </w:r>
          </w:p>
        </w:tc>
        <w:tc>
          <w:tcPr>
            <w:tcW w:w="9945" w:type="dxa"/>
            <w:tcBorders/>
            <w:shd w:fill="auto" w:val="clear"/>
            <w:vAlign w:val="center"/>
          </w:tcPr>
          <w:p>
            <w:pPr>
              <w:pStyle w:val="TableContents"/>
              <w:spacing w:lineRule="auto" w:line="288" w:before="0" w:after="0"/>
              <w:rPr>
                <w:sz w:val="17"/>
              </w:rPr>
            </w:pPr>
            <w:r>
              <w:rPr>
                <w:rFonts w:ascii="inherit" w:hAnsi="inherit"/>
                <w:i/>
                <w:sz w:val="17"/>
              </w:rPr>
              <w:t>Sterling B. Brinkley</w:t>
            </w:r>
            <w:r>
              <w:rPr>
                <w:sz w:val="17"/>
              </w:rPr>
              <w:t xml:space="preserve"> — </w:t>
            </w:r>
            <w:r>
              <w:rPr>
                <w:rFonts w:ascii="inherit" w:hAnsi="inherit"/>
                <w:sz w:val="17"/>
              </w:rPr>
              <w:t>Mr. Brinkley serves as our Chairman of the Board of Directors. He has served as either Chairman of the Board of Directors or Chairman of the Executive Committee of the Board of Directors since 1989. Mr. Brinkley also serves as a director and Deputy Chairman of Albemarle &amp; Bond Holdings PLC. From 1988 until March 2005, Mr. Brinkley served as Chairman of the Board, Chairman of the Executive Committee or Chief Executive Officer of Crescent Jewelers, Inc., and from 1990 until December 2003, he served as Chairman of the Board or Chairman of the Executive Committee of Friedman’s, Inc. Both Crescent Jewelers, Inc. and Friedman’s, Inc. were affiliates of MS Pawn Limited Partnership, the owner of all of our outstanding Class B Voting Common Stock. Crescent Jewelers filed for Chapter 11 bankruptcy protection in August 2004, and Friedman’s, Inc. filed for Chapter 11 bankruptcy protection in January 2005.</w:t>
            </w:r>
          </w:p>
        </w:tc>
      </w:tr>
    </w:tbl>
    <w:p>
      <w:pPr>
        <w:pStyle w:val="TextBody"/>
        <w:spacing w:lineRule="auto" w:line="288" w:before="0" w:after="0"/>
        <w:ind w:left="0" w:right="0" w:firstLine="495"/>
        <w:rPr>
          <w:rFonts w:ascii="inherit" w:hAnsi="inherit"/>
          <w:sz w:val="17"/>
        </w:rPr>
      </w:pPr>
      <w:r>
        <w:rPr>
          <w:rFonts w:ascii="inherit" w:hAnsi="inherit"/>
          <w:sz w:val="17"/>
        </w:rPr>
        <w:t>Director qualifications: leadership experience; broad business experience; financial experience; international experience and global perspective; industry knowledge; experience in developing growth strategies; understanding of our unique business environment.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110</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rPr>
                <w:sz w:val="17"/>
              </w:rPr>
            </w:pPr>
            <w:r>
              <w:rPr>
                <w:rFonts w:ascii="inherit" w:hAnsi="inherit"/>
                <w:i/>
                <w:sz w:val="17"/>
              </w:rPr>
              <w:t>Paul E. Rothamel</w:t>
            </w:r>
            <w:r>
              <w:rPr>
                <w:sz w:val="17"/>
              </w:rPr>
              <w:t xml:space="preserve"> — </w:t>
            </w:r>
            <w:r>
              <w:rPr>
                <w:rFonts w:ascii="inherit" w:hAnsi="inherit"/>
                <w:sz w:val="17"/>
              </w:rPr>
              <w:t>Mr. Rothamel is our President and Chief Executive Officer and also serves as a director. Mr. Rothamel joined us in September 2009 as Executive Vice President and Chief Operating Officer, became President in February 2010 and became Chief Executive Officer in November 2010. Prior to joining us, Mr. Rothamel was the President and Chief Executive Officer of Pamida, a privately held company that owns and operates more than 200 general merchandise and pharmacy stores. Mr. Rothamel joined Pamida in 1999 as Senior Vice President, Store Operations, was promoted to the position of Senior Vice President, Operations in 2005 and served in that capacity until assuming the President and Chief Executive Officer position in November 2007. From 1997 to 1999, Mr. Rothamel held the positions of Regional Vice President, Store Operations and District Team Leader at ShopKo Stores, Inc., also a publicly held owner and operator of general merchandise and pharmacy stores and an affiliate of Pamida. Before joining ShopKo, Mr. Rothamel held various operational positions with Target Stores, Inc. and Venture Stores Inc.</w:t>
            </w:r>
          </w:p>
        </w:tc>
      </w:tr>
    </w:tbl>
    <w:p>
      <w:pPr>
        <w:pStyle w:val="TextBody"/>
        <w:spacing w:lineRule="auto" w:line="288" w:before="0" w:after="0"/>
        <w:ind w:left="0" w:right="0" w:firstLine="540"/>
        <w:rPr>
          <w:rFonts w:ascii="inherit" w:hAnsi="inherit"/>
          <w:sz w:val="17"/>
        </w:rPr>
      </w:pPr>
      <w:r>
        <w:rPr>
          <w:rFonts w:ascii="inherit" w:hAnsi="inherit"/>
          <w:sz w:val="17"/>
        </w:rPr>
        <w:t>Director qualifications: leadership, chief executive officer and executive management experience; retail management experience; deep understanding of consumer businesses and customer service strategies; risk management experience; financial experience; experience in developing, implementing and managing strategic plans; personnel development; deep understanding of conducting business in highly regulated environments.</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rPr>
                <w:sz w:val="17"/>
              </w:rPr>
            </w:pPr>
            <w:r>
              <w:rPr>
                <w:rFonts w:ascii="inherit" w:hAnsi="inherit"/>
                <w:i/>
                <w:sz w:val="17"/>
              </w:rPr>
              <w:t>Joseph J. Beal</w:t>
            </w:r>
            <w:r>
              <w:rPr>
                <w:sz w:val="17"/>
              </w:rPr>
              <w:t xml:space="preserve"> — </w:t>
            </w:r>
            <w:r>
              <w:rPr>
                <w:rFonts w:ascii="inherit" w:hAnsi="inherit"/>
                <w:sz w:val="17"/>
              </w:rPr>
              <w:t>Mr. Beal has served as a director since August 2009 and serves as Chair of the Compensation Committee and a member of the Audit Committee. Mr. Beal also serves as a director of Cash Converters International Limited. Until his retirement in 2008, Mr. Beal was the General Manager and Chief Executive Officer of the Lower Colorado River Authority. Prior to joining the LCRA in 1995, he was the Senior Vice President and Chief Operating Officer for Espey Huston &amp; Associates, an international engineering and environmental consulting firm based in Austin, Texas.</w:t>
            </w:r>
          </w:p>
        </w:tc>
      </w:tr>
    </w:tbl>
    <w:p>
      <w:pPr>
        <w:pStyle w:val="TextBody"/>
        <w:spacing w:lineRule="auto" w:line="288" w:before="0" w:after="0"/>
        <w:ind w:left="0" w:right="0" w:firstLine="540"/>
        <w:rPr>
          <w:rFonts w:ascii="inherit" w:hAnsi="inherit"/>
          <w:sz w:val="17"/>
        </w:rPr>
      </w:pPr>
      <w:r>
        <w:rPr>
          <w:rFonts w:ascii="inherit" w:hAnsi="inherit"/>
          <w:sz w:val="17"/>
        </w:rPr>
        <w:t>Director qualifications: leadership, chief executive officer and executive management experience; risk management experience; financial experience; experience in developing, implementing and managing strategic plans; personnel development; deep understanding of conducting business in highly regulated environments; legislative and government relations experience.</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rPr>
                <w:sz w:val="17"/>
              </w:rPr>
            </w:pPr>
            <w:r>
              <w:rPr>
                <w:rFonts w:ascii="inherit" w:hAnsi="inherit"/>
                <w:i/>
                <w:sz w:val="17"/>
              </w:rPr>
              <w:t>Pablo Lagos Espinosa —</w:t>
            </w:r>
            <w:r>
              <w:rPr>
                <w:sz w:val="17"/>
              </w:rPr>
              <w:t xml:space="preserve"> </w:t>
            </w:r>
            <w:r>
              <w:rPr>
                <w:rFonts w:ascii="inherit" w:hAnsi="inherit"/>
                <w:sz w:val="17"/>
              </w:rPr>
              <w:t>Mr. Lagos joined us as a director in October 2010 and is a member of the Compensation Committee. Mr. Lagos served as 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 consultant in various private business ventures and has served as a keynote speaker on organizational leadership and management. He currently serves as Chairman of the Board and Executive President for the Mexican subsidiary of Areas, a Spanish global organization dedicated to restaurant and retailing operations in key public transportation hubs, and as Chairman of the board of Residencial Puente de Piedra, a privately held enterprise focused on developing affordable housing projects in and around Mexico City.</w:t>
            </w:r>
          </w:p>
        </w:tc>
      </w:tr>
    </w:tbl>
    <w:p>
      <w:pPr>
        <w:pStyle w:val="TextBody"/>
        <w:spacing w:lineRule="auto" w:line="288" w:before="0" w:after="0"/>
        <w:ind w:left="0" w:right="0" w:firstLine="540"/>
        <w:rPr>
          <w:rFonts w:ascii="inherit" w:hAnsi="inherit"/>
          <w:sz w:val="17"/>
        </w:rPr>
      </w:pPr>
      <w:r>
        <w:rPr>
          <w:rFonts w:ascii="inherit" w:hAnsi="inherit"/>
          <w:sz w:val="17"/>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rPr>
                <w:sz w:val="17"/>
              </w:rPr>
            </w:pPr>
            <w:r>
              <w:rPr>
                <w:rFonts w:ascii="inherit" w:hAnsi="inherit"/>
                <w:i/>
                <w:sz w:val="17"/>
              </w:rPr>
              <w:t>John Farrell</w:t>
            </w:r>
            <w:r>
              <w:rPr>
                <w:sz w:val="17"/>
              </w:rPr>
              <w:t xml:space="preserve"> — </w:t>
            </w:r>
            <w:r>
              <w:rPr>
                <w:rFonts w:ascii="inherit" w:hAnsi="inherit"/>
                <w:sz w:val="17"/>
              </w:rPr>
              <w:t>Mr. Farrell was appointed to our Board of Directors in July 2011 and serves on the Audit Committee. Mr. Farrell formerly served as President and Chief Executive Officer of the Specialised Agencies and Marketing Services business of Publicis Groupe, one of the world’s top three advertising and communications agency groups. During his business career, Mr. Farrell has held various executive management positions with a number of global advertising and communications firms, including Publicis Groupe (2003 – 2009); D’Arcy Masius Benton &amp; Bowles (1993 – 2003); and IMP International (1985 – 1993). He serves as non-executive director of a number of advertising and communications related businesses, including Huntsworth Plc and Albion Digital Advertising Group, and as senior consultant advisor to DNX, DWA, Acceleration, Saatchi &amp; Saatchi and the European Golf Tour.</w:t>
            </w:r>
          </w:p>
        </w:tc>
      </w:tr>
    </w:tbl>
    <w:p>
      <w:pPr>
        <w:pStyle w:val="TextBody"/>
        <w:spacing w:lineRule="auto" w:line="288" w:before="0" w:after="0"/>
        <w:ind w:left="0" w:right="0" w:firstLine="540"/>
        <w:rPr>
          <w:rFonts w:ascii="inherit" w:hAnsi="inherit"/>
          <w:sz w:val="17"/>
        </w:rPr>
      </w:pPr>
      <w:r>
        <w:rPr>
          <w:rFonts w:ascii="inherit" w:hAnsi="inherit"/>
          <w:sz w:val="17"/>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experience in developing, implementing and managing marketing plans; personnel development.</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rPr>
                <w:sz w:val="17"/>
              </w:rPr>
            </w:pPr>
            <w:r>
              <w:rPr>
                <w:rFonts w:ascii="inherit" w:hAnsi="inherit"/>
                <w:i/>
                <w:sz w:val="17"/>
              </w:rPr>
              <w:t>William C. Love</w:t>
            </w:r>
            <w:r>
              <w:rPr>
                <w:sz w:val="17"/>
              </w:rPr>
              <w:t xml:space="preserve"> — </w:t>
            </w:r>
            <w:r>
              <w:rPr>
                <w:rFonts w:ascii="inherit" w:hAnsi="inherit"/>
                <w:sz w:val="17"/>
              </w:rPr>
              <w:t xml:space="preserve">Mr. Love has served as a director since October 2008, and has been serving as Lead Director since September 2013. He is Chair of the Audit Committee and also serves on the Compensation Committee. Mr. Love also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111</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ind w:left="0" w:right="0" w:firstLine="540"/>
        <w:rPr>
          <w:rFonts w:ascii="inherit" w:hAnsi="inherit"/>
          <w:sz w:val="17"/>
        </w:rPr>
      </w:pPr>
      <w:r>
        <w:rPr>
          <w:rFonts w:ascii="inherit" w:hAnsi="inherit"/>
          <w:sz w:val="17"/>
        </w:rPr>
        <w:t>serves as a director of Cash Converters International Limited. Mr. Love is a Certified Public Accountant and Certified Valuation Analyst, and since January 1993 has practiced public accounting in the Austin, Texas based William C. Love accounting firm. From 1972 to 1993, Mr. Love worked with the accounting firm of KPMG Peat Marwick and its predecessors, including appointments as Partner in Charge of Audit, Partner in Charge of Tax and Managing Partner of its Austin, Texas office.</w:t>
      </w:r>
    </w:p>
    <w:p>
      <w:pPr>
        <w:pStyle w:val="TextBody"/>
        <w:spacing w:lineRule="auto" w:line="288" w:before="0" w:after="0"/>
        <w:ind w:left="0" w:right="0" w:firstLine="540"/>
        <w:rPr>
          <w:rFonts w:ascii="inherit" w:hAnsi="inherit"/>
          <w:sz w:val="17"/>
        </w:rPr>
      </w:pPr>
      <w:r>
        <w:rPr>
          <w:rFonts w:ascii="inherit" w:hAnsi="inherit"/>
          <w:sz w:val="17"/>
        </w:rPr>
        <w:t>Director qualifications: leadership experience; broad business insight; accounting, tax and financial reporting expertise.</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rPr>
                <w:sz w:val="17"/>
              </w:rPr>
            </w:pPr>
            <w:r>
              <w:rPr>
                <w:rFonts w:ascii="inherit" w:hAnsi="inherit"/>
                <w:i/>
                <w:sz w:val="17"/>
              </w:rPr>
              <w:t>Thomas C. Roberts</w:t>
            </w:r>
            <w:r>
              <w:rPr>
                <w:sz w:val="17"/>
              </w:rPr>
              <w:t xml:space="preserve"> — </w:t>
            </w:r>
            <w:r>
              <w:rPr>
                <w:rFonts w:ascii="inherit" w:hAnsi="inherit"/>
                <w:sz w:val="17"/>
              </w:rPr>
              <w:t>Mr. Roberts has served as a director since January 2005 and was Lead Director from November 2008 until September 2013. He also served as a member of both the Audit Committee and the Compensation Committee until September 2013. Mr. Roberts also serves as a director of Albemarle &amp; Bond Holdings PLC. Since 1990, Mr. Roberts has been a private investor and is currently Chairman of the Board of Directors of Pensco, Inc., a financial services company, having previously served as a senior executive (including Chief Financial Officer) of Schlumberger, Ltd. (1970 to 1985) and President and director of Control Data Computer Systems and Services (1985 to 1989). Mr. Roberts has informed the Company that he intends to retire from the Board of Directors before the end of the calendar year.</w:t>
            </w:r>
          </w:p>
        </w:tc>
      </w:tr>
    </w:tbl>
    <w:p>
      <w:pPr>
        <w:pStyle w:val="TextBody"/>
        <w:spacing w:lineRule="auto" w:line="288" w:before="0" w:after="0"/>
        <w:ind w:left="0" w:right="0" w:firstLine="540"/>
        <w:rPr>
          <w:rFonts w:ascii="inherit" w:hAnsi="inherit"/>
          <w:sz w:val="17"/>
        </w:rPr>
      </w:pPr>
      <w:r>
        <w:rPr>
          <w:rFonts w:ascii="inherit" w:hAnsi="inherit"/>
          <w:sz w:val="17"/>
        </w:rPr>
        <w:t>Director qualifications: leadership experience; chief financial officer, chief executive officer and general management experience in significant and complex multi-national environments; deep understanding of strategically important geographies and international markets; risk management experience; financial expertise; experience in developing, implementing and managing strategic plans, including international expansion; personnel development.</w:t>
      </w:r>
    </w:p>
    <w:p>
      <w:pPr>
        <w:pStyle w:val="TextBody"/>
        <w:spacing w:lineRule="auto" w:line="288" w:before="0" w:after="0"/>
        <w:jc w:val="left"/>
        <w:rPr>
          <w:rFonts w:ascii="inherit" w:hAnsi="inherit"/>
          <w:b/>
          <w:sz w:val="17"/>
        </w:rPr>
      </w:pPr>
      <w:r>
        <w:rPr>
          <w:rFonts w:ascii="inherit" w:hAnsi="inherit"/>
          <w:b/>
          <w:sz w:val="17"/>
        </w:rPr>
        <w:t>Executive Officers</w:t>
      </w:r>
    </w:p>
    <w:p>
      <w:pPr>
        <w:pStyle w:val="TextBody"/>
        <w:spacing w:lineRule="auto" w:line="288" w:before="0" w:after="0"/>
        <w:jc w:val="left"/>
        <w:rPr>
          <w:rFonts w:ascii="inherit" w:hAnsi="inherit"/>
          <w:sz w:val="17"/>
        </w:rPr>
      </w:pPr>
      <w:r>
        <w:rPr>
          <w:rFonts w:ascii="inherit" w:hAnsi="inherit"/>
          <w:sz w:val="17"/>
        </w:rPr>
        <w:t xml:space="preserve">Set forth below are the name, age, position and biographical information of each of the persons serving as our executive officers as of October 31, 2013 except for Mr. Brinkley and Mr. Rothamel, whose biographical information is included under “Board of Directors” above. </w:t>
      </w:r>
    </w:p>
    <w:tbl>
      <w:tblPr>
        <w:tblW w:w="9056" w:type="dxa"/>
        <w:jc w:val="left"/>
        <w:tblInd w:w="0" w:type="dxa"/>
        <w:tblCellMar>
          <w:top w:w="0" w:type="dxa"/>
          <w:left w:w="0" w:type="dxa"/>
          <w:bottom w:w="0" w:type="dxa"/>
          <w:right w:w="0" w:type="dxa"/>
        </w:tblCellMar>
      </w:tblPr>
      <w:tblGrid>
        <w:gridCol w:w="2898"/>
        <w:gridCol w:w="90"/>
        <w:gridCol w:w="1268"/>
        <w:gridCol w:w="90"/>
        <w:gridCol w:w="4710"/>
      </w:tblGrid>
      <w:tr>
        <w:trPr/>
        <w:tc>
          <w:tcPr>
            <w:tcW w:w="9056" w:type="dxa"/>
            <w:gridSpan w:val="5"/>
            <w:tcBorders/>
            <w:shd w:fill="auto" w:val="clear"/>
            <w:vAlign w:val="center"/>
          </w:tcPr>
          <w:p>
            <w:pPr>
              <w:pStyle w:val="TableContents"/>
              <w:spacing w:before="0" w:after="283"/>
              <w:rPr>
                <w:sz w:val="4"/>
                <w:szCs w:val="4"/>
              </w:rPr>
            </w:pPr>
            <w:r>
              <w:rPr>
                <w:sz w:val="4"/>
                <w:szCs w:val="4"/>
              </w:rPr>
            </w:r>
          </w:p>
        </w:tc>
      </w:tr>
      <w:tr>
        <w:trPr/>
        <w:tc>
          <w:tcPr>
            <w:tcW w:w="289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7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Name</w:t>
            </w:r>
          </w:p>
        </w:tc>
        <w:tc>
          <w:tcPr>
            <w:tcW w:w="90" w:type="dxa"/>
            <w:tcBorders/>
            <w:shd w:fill="auto" w:val="clear"/>
            <w:vAlign w:val="center"/>
          </w:tcPr>
          <w:p>
            <w:pPr>
              <w:pStyle w:val="TableContents"/>
              <w:spacing w:before="0" w:after="0"/>
              <w:ind w:left="0" w:right="0" w:firstLine="30"/>
              <w:rPr/>
            </w:pPr>
            <w:r>
              <w:rPr/>
              <w:t> </w:t>
            </w:r>
          </w:p>
        </w:tc>
        <w:tc>
          <w:tcPr>
            <w:tcW w:w="126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Age</w:t>
            </w:r>
          </w:p>
        </w:tc>
        <w:tc>
          <w:tcPr>
            <w:tcW w:w="90" w:type="dxa"/>
            <w:tcBorders/>
            <w:shd w:fill="auto" w:val="clear"/>
            <w:vAlign w:val="center"/>
          </w:tcPr>
          <w:p>
            <w:pPr>
              <w:pStyle w:val="TableContents"/>
              <w:spacing w:before="0" w:after="0"/>
              <w:ind w:left="0" w:right="0" w:firstLine="30"/>
              <w:rPr/>
            </w:pPr>
            <w:r>
              <w:rPr/>
              <w:t> </w:t>
            </w:r>
          </w:p>
        </w:tc>
        <w:tc>
          <w:tcPr>
            <w:tcW w:w="471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Title</w:t>
            </w:r>
          </w:p>
        </w:tc>
      </w:tr>
      <w:tr>
        <w:trPr/>
        <w:tc>
          <w:tcPr>
            <w:tcW w:w="2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Sterling B. Brinkley</w:t>
            </w:r>
          </w:p>
        </w:tc>
        <w:tc>
          <w:tcPr>
            <w:tcW w:w="90" w:type="dxa"/>
            <w:tcBorders/>
            <w:shd w:fill="CCEEFF" w:val="clear"/>
            <w:vAlign w:val="center"/>
          </w:tcPr>
          <w:p>
            <w:pPr>
              <w:pStyle w:val="TableContents"/>
              <w:spacing w:before="0" w:after="0"/>
              <w:ind w:left="0" w:right="0" w:firstLine="30"/>
              <w:rPr/>
            </w:pPr>
            <w:r>
              <w:rPr/>
              <w:t> </w:t>
            </w:r>
          </w:p>
        </w:tc>
        <w:tc>
          <w:tcPr>
            <w:tcW w:w="1268"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61</w:t>
            </w:r>
          </w:p>
        </w:tc>
        <w:tc>
          <w:tcPr>
            <w:tcW w:w="90" w:type="dxa"/>
            <w:tcBorders/>
            <w:shd w:fill="CCEEFF" w:val="clear"/>
            <w:vAlign w:val="center"/>
          </w:tcPr>
          <w:p>
            <w:pPr>
              <w:pStyle w:val="TableContents"/>
              <w:spacing w:before="0" w:after="0"/>
              <w:ind w:left="0" w:right="0" w:firstLine="30"/>
              <w:rPr/>
            </w:pPr>
            <w:r>
              <w:rPr/>
              <w:t> </w:t>
            </w:r>
          </w:p>
        </w:tc>
        <w:tc>
          <w:tcPr>
            <w:tcW w:w="4710"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Chairman of the Board of Directors</w:t>
            </w:r>
          </w:p>
        </w:tc>
      </w:tr>
      <w:tr>
        <w:trPr/>
        <w:tc>
          <w:tcPr>
            <w:tcW w:w="2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w:t>
            </w:r>
          </w:p>
        </w:tc>
        <w:tc>
          <w:tcPr>
            <w:tcW w:w="90" w:type="dxa"/>
            <w:tcBorders/>
            <w:shd w:fill="auto" w:val="clear"/>
            <w:vAlign w:val="center"/>
          </w:tcPr>
          <w:p>
            <w:pPr>
              <w:pStyle w:val="TableContents"/>
              <w:spacing w:before="0" w:after="0"/>
              <w:ind w:left="0" w:right="0" w:firstLine="30"/>
              <w:rPr/>
            </w:pPr>
            <w:r>
              <w:rPr/>
              <w:t> </w:t>
            </w:r>
          </w:p>
        </w:tc>
        <w:tc>
          <w:tcPr>
            <w:tcW w:w="126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49</w:t>
            </w:r>
          </w:p>
        </w:tc>
        <w:tc>
          <w:tcPr>
            <w:tcW w:w="90" w:type="dxa"/>
            <w:tcBorders/>
            <w:shd w:fill="auto" w:val="clear"/>
            <w:vAlign w:val="center"/>
          </w:tcPr>
          <w:p>
            <w:pPr>
              <w:pStyle w:val="TableContents"/>
              <w:spacing w:before="0" w:after="0"/>
              <w:ind w:left="0" w:right="0" w:firstLine="30"/>
              <w:rPr/>
            </w:pPr>
            <w:r>
              <w:rPr/>
              <w:t> </w:t>
            </w:r>
          </w:p>
        </w:tc>
        <w:tc>
          <w:tcPr>
            <w:tcW w:w="4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and Chief Executive Officer</w:t>
            </w:r>
          </w:p>
        </w:tc>
      </w:tr>
      <w:tr>
        <w:trPr/>
        <w:tc>
          <w:tcPr>
            <w:tcW w:w="2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 Kuchenrither</w:t>
            </w:r>
          </w:p>
        </w:tc>
        <w:tc>
          <w:tcPr>
            <w:tcW w:w="90" w:type="dxa"/>
            <w:tcBorders/>
            <w:shd w:fill="CCEEFF" w:val="clear"/>
            <w:vAlign w:val="center"/>
          </w:tcPr>
          <w:p>
            <w:pPr>
              <w:pStyle w:val="TableContents"/>
              <w:spacing w:before="0" w:after="0"/>
              <w:ind w:left="0" w:right="0" w:firstLine="30"/>
              <w:rPr/>
            </w:pPr>
            <w:r>
              <w:rPr/>
              <w:t> </w:t>
            </w:r>
          </w:p>
        </w:tc>
        <w:tc>
          <w:tcPr>
            <w:tcW w:w="1268"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51</w:t>
            </w:r>
          </w:p>
        </w:tc>
        <w:tc>
          <w:tcPr>
            <w:tcW w:w="90" w:type="dxa"/>
            <w:tcBorders/>
            <w:shd w:fill="CCEEFF" w:val="clear"/>
            <w:vAlign w:val="center"/>
          </w:tcPr>
          <w:p>
            <w:pPr>
              <w:pStyle w:val="TableContents"/>
              <w:spacing w:before="0" w:after="0"/>
              <w:ind w:left="0" w:right="0" w:firstLine="30"/>
              <w:rPr/>
            </w:pPr>
            <w:r>
              <w:rPr/>
              <w:t> </w:t>
            </w:r>
          </w:p>
        </w:tc>
        <w:tc>
          <w:tcPr>
            <w:tcW w:w="4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Executive Vice President and Chief Financial Officer</w:t>
            </w:r>
          </w:p>
        </w:tc>
      </w:tr>
      <w:tr>
        <w:trPr/>
        <w:tc>
          <w:tcPr>
            <w:tcW w:w="2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Rodrigo Garcia-Romo</w:t>
            </w:r>
          </w:p>
        </w:tc>
        <w:tc>
          <w:tcPr>
            <w:tcW w:w="90" w:type="dxa"/>
            <w:tcBorders/>
            <w:shd w:fill="auto" w:val="clear"/>
            <w:vAlign w:val="center"/>
          </w:tcPr>
          <w:p>
            <w:pPr>
              <w:pStyle w:val="TableContents"/>
              <w:spacing w:before="0" w:after="0"/>
              <w:ind w:left="0" w:right="0" w:firstLine="30"/>
              <w:rPr/>
            </w:pPr>
            <w:r>
              <w:rPr/>
              <w:t> </w:t>
            </w:r>
          </w:p>
        </w:tc>
        <w:tc>
          <w:tcPr>
            <w:tcW w:w="126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45</w:t>
            </w:r>
          </w:p>
        </w:tc>
        <w:tc>
          <w:tcPr>
            <w:tcW w:w="90" w:type="dxa"/>
            <w:tcBorders/>
            <w:shd w:fill="auto" w:val="clear"/>
            <w:vAlign w:val="center"/>
          </w:tcPr>
          <w:p>
            <w:pPr>
              <w:pStyle w:val="TableContents"/>
              <w:spacing w:before="0" w:after="0"/>
              <w:ind w:left="0" w:right="0" w:firstLine="30"/>
              <w:rPr/>
            </w:pPr>
            <w:r>
              <w:rPr/>
              <w:t> </w:t>
            </w:r>
          </w:p>
        </w:tc>
        <w:tc>
          <w:tcPr>
            <w:tcW w:w="4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&amp; General Director, Empeño Fácil</w:t>
            </w:r>
          </w:p>
        </w:tc>
      </w:tr>
      <w:tr>
        <w:trPr/>
        <w:tc>
          <w:tcPr>
            <w:tcW w:w="2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Barry W. Guest</w:t>
            </w:r>
          </w:p>
        </w:tc>
        <w:tc>
          <w:tcPr>
            <w:tcW w:w="90" w:type="dxa"/>
            <w:tcBorders/>
            <w:shd w:fill="CCEEFF" w:val="clear"/>
            <w:vAlign w:val="center"/>
          </w:tcPr>
          <w:p>
            <w:pPr>
              <w:pStyle w:val="TableContents"/>
              <w:spacing w:before="0" w:after="0"/>
              <w:ind w:left="0" w:right="0" w:firstLine="30"/>
              <w:rPr/>
            </w:pPr>
            <w:r>
              <w:rPr/>
              <w:t> </w:t>
            </w:r>
          </w:p>
        </w:tc>
        <w:tc>
          <w:tcPr>
            <w:tcW w:w="1268"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49</w:t>
            </w:r>
          </w:p>
        </w:tc>
        <w:tc>
          <w:tcPr>
            <w:tcW w:w="90" w:type="dxa"/>
            <w:tcBorders/>
            <w:shd w:fill="CCEEFF" w:val="clear"/>
            <w:vAlign w:val="center"/>
          </w:tcPr>
          <w:p>
            <w:pPr>
              <w:pStyle w:val="TableContents"/>
              <w:spacing w:before="0" w:after="0"/>
              <w:ind w:left="0" w:right="0" w:firstLine="30"/>
              <w:rPr/>
            </w:pPr>
            <w:r>
              <w:rPr/>
              <w:t> </w:t>
            </w:r>
          </w:p>
        </w:tc>
        <w:tc>
          <w:tcPr>
            <w:tcW w:w="4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President, U.S. Pawn &amp; Retail</w:t>
            </w:r>
          </w:p>
        </w:tc>
      </w:tr>
      <w:tr>
        <w:trPr/>
        <w:tc>
          <w:tcPr>
            <w:tcW w:w="2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Shanna L. Munro</w:t>
            </w:r>
          </w:p>
        </w:tc>
        <w:tc>
          <w:tcPr>
            <w:tcW w:w="90" w:type="dxa"/>
            <w:tcBorders/>
            <w:shd w:fill="auto" w:val="clear"/>
            <w:vAlign w:val="center"/>
          </w:tcPr>
          <w:p>
            <w:pPr>
              <w:pStyle w:val="TableContents"/>
              <w:spacing w:before="0" w:after="0"/>
              <w:ind w:left="0" w:right="0" w:firstLine="30"/>
              <w:rPr/>
            </w:pPr>
            <w:r>
              <w:rPr/>
              <w:t> </w:t>
            </w:r>
          </w:p>
        </w:tc>
        <w:tc>
          <w:tcPr>
            <w:tcW w:w="126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49</w:t>
            </w:r>
          </w:p>
        </w:tc>
        <w:tc>
          <w:tcPr>
            <w:tcW w:w="90" w:type="dxa"/>
            <w:tcBorders/>
            <w:shd w:fill="auto" w:val="clear"/>
            <w:vAlign w:val="center"/>
          </w:tcPr>
          <w:p>
            <w:pPr>
              <w:pStyle w:val="TableContents"/>
              <w:spacing w:before="0" w:after="0"/>
              <w:ind w:left="0" w:right="0" w:firstLine="30"/>
              <w:rPr/>
            </w:pPr>
            <w:r>
              <w:rPr/>
              <w:t> </w:t>
            </w:r>
          </w:p>
        </w:tc>
        <w:tc>
          <w:tcPr>
            <w:tcW w:w="4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Cash Converters North America</w:t>
            </w:r>
          </w:p>
        </w:tc>
      </w:tr>
      <w:tr>
        <w:trPr/>
        <w:tc>
          <w:tcPr>
            <w:tcW w:w="2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James Whatley</w:t>
            </w:r>
          </w:p>
        </w:tc>
        <w:tc>
          <w:tcPr>
            <w:tcW w:w="90" w:type="dxa"/>
            <w:tcBorders/>
            <w:shd w:fill="CCEEFF" w:val="clear"/>
            <w:vAlign w:val="center"/>
          </w:tcPr>
          <w:p>
            <w:pPr>
              <w:pStyle w:val="TableContents"/>
              <w:spacing w:before="0" w:after="0"/>
              <w:ind w:left="0" w:right="0" w:firstLine="30"/>
              <w:rPr/>
            </w:pPr>
            <w:r>
              <w:rPr/>
              <w:t> </w:t>
            </w:r>
          </w:p>
        </w:tc>
        <w:tc>
          <w:tcPr>
            <w:tcW w:w="1268"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53</w:t>
            </w:r>
          </w:p>
        </w:tc>
        <w:tc>
          <w:tcPr>
            <w:tcW w:w="90" w:type="dxa"/>
            <w:tcBorders/>
            <w:shd w:fill="CCEEFF" w:val="clear"/>
            <w:vAlign w:val="center"/>
          </w:tcPr>
          <w:p>
            <w:pPr>
              <w:pStyle w:val="TableContents"/>
              <w:spacing w:before="0" w:after="0"/>
              <w:ind w:left="0" w:right="0" w:firstLine="30"/>
              <w:rPr/>
            </w:pPr>
            <w:r>
              <w:rPr/>
              <w:t> </w:t>
            </w:r>
          </w:p>
        </w:tc>
        <w:tc>
          <w:tcPr>
            <w:tcW w:w="4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President, U.S. Financial Services</w:t>
            </w:r>
          </w:p>
        </w:tc>
      </w:tr>
      <w:tr>
        <w:trPr/>
        <w:tc>
          <w:tcPr>
            <w:tcW w:w="2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Richard Bluntzer</w:t>
            </w:r>
          </w:p>
        </w:tc>
        <w:tc>
          <w:tcPr>
            <w:tcW w:w="90" w:type="dxa"/>
            <w:tcBorders/>
            <w:shd w:fill="auto" w:val="clear"/>
            <w:vAlign w:val="center"/>
          </w:tcPr>
          <w:p>
            <w:pPr>
              <w:pStyle w:val="TableContents"/>
              <w:spacing w:before="0" w:after="0"/>
              <w:ind w:left="0" w:right="0" w:firstLine="30"/>
              <w:rPr/>
            </w:pPr>
            <w:r>
              <w:rPr/>
              <w:t> </w:t>
            </w:r>
          </w:p>
        </w:tc>
        <w:tc>
          <w:tcPr>
            <w:tcW w:w="126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48</w:t>
            </w:r>
          </w:p>
        </w:tc>
        <w:tc>
          <w:tcPr>
            <w:tcW w:w="90" w:type="dxa"/>
            <w:tcBorders/>
            <w:shd w:fill="auto" w:val="clear"/>
            <w:vAlign w:val="center"/>
          </w:tcPr>
          <w:p>
            <w:pPr>
              <w:pStyle w:val="TableContents"/>
              <w:spacing w:before="0" w:after="0"/>
              <w:ind w:left="0" w:right="0" w:firstLine="30"/>
              <w:rPr/>
            </w:pPr>
            <w:r>
              <w:rPr/>
              <w:t> </w:t>
            </w:r>
          </w:p>
        </w:tc>
        <w:tc>
          <w:tcPr>
            <w:tcW w:w="4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 Communications &amp; Public Affairs</w:t>
            </w:r>
          </w:p>
        </w:tc>
      </w:tr>
      <w:tr>
        <w:trPr/>
        <w:tc>
          <w:tcPr>
            <w:tcW w:w="2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Anthony M. Sanders</w:t>
            </w:r>
          </w:p>
        </w:tc>
        <w:tc>
          <w:tcPr>
            <w:tcW w:w="90" w:type="dxa"/>
            <w:tcBorders/>
            <w:shd w:fill="CCEEFF" w:val="clear"/>
            <w:vAlign w:val="center"/>
          </w:tcPr>
          <w:p>
            <w:pPr>
              <w:pStyle w:val="TableContents"/>
              <w:spacing w:before="0" w:after="0"/>
              <w:ind w:left="0" w:right="0" w:firstLine="30"/>
              <w:rPr/>
            </w:pPr>
            <w:r>
              <w:rPr/>
              <w:t> </w:t>
            </w:r>
          </w:p>
        </w:tc>
        <w:tc>
          <w:tcPr>
            <w:tcW w:w="1268"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56</w:t>
            </w:r>
          </w:p>
        </w:tc>
        <w:tc>
          <w:tcPr>
            <w:tcW w:w="90" w:type="dxa"/>
            <w:tcBorders/>
            <w:shd w:fill="CCEEFF" w:val="clear"/>
            <w:vAlign w:val="center"/>
          </w:tcPr>
          <w:p>
            <w:pPr>
              <w:pStyle w:val="TableContents"/>
              <w:spacing w:before="0" w:after="0"/>
              <w:ind w:left="0" w:right="0" w:firstLine="30"/>
              <w:rPr/>
            </w:pPr>
            <w:r>
              <w:rPr/>
              <w:t> </w:t>
            </w:r>
          </w:p>
        </w:tc>
        <w:tc>
          <w:tcPr>
            <w:tcW w:w="4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 Human Resources</w:t>
            </w:r>
          </w:p>
        </w:tc>
      </w:tr>
      <w:tr>
        <w:trPr/>
        <w:tc>
          <w:tcPr>
            <w:tcW w:w="2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c>
          <w:tcPr>
            <w:tcW w:w="90" w:type="dxa"/>
            <w:tcBorders/>
            <w:shd w:fill="auto" w:val="clear"/>
            <w:vAlign w:val="center"/>
          </w:tcPr>
          <w:p>
            <w:pPr>
              <w:pStyle w:val="TableContents"/>
              <w:spacing w:before="0" w:after="0"/>
              <w:ind w:left="0" w:right="0" w:firstLine="30"/>
              <w:rPr/>
            </w:pPr>
            <w:r>
              <w:rPr/>
              <w:t> </w:t>
            </w:r>
          </w:p>
        </w:tc>
        <w:tc>
          <w:tcPr>
            <w:tcW w:w="126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58</w:t>
            </w:r>
          </w:p>
        </w:tc>
        <w:tc>
          <w:tcPr>
            <w:tcW w:w="90" w:type="dxa"/>
            <w:tcBorders/>
            <w:shd w:fill="auto" w:val="clear"/>
            <w:vAlign w:val="center"/>
          </w:tcPr>
          <w:p>
            <w:pPr>
              <w:pStyle w:val="TableContents"/>
              <w:spacing w:before="0" w:after="0"/>
              <w:ind w:left="0" w:right="0" w:firstLine="30"/>
              <w:rPr/>
            </w:pPr>
            <w:r>
              <w:rPr/>
              <w:t> </w:t>
            </w:r>
          </w:p>
        </w:tc>
        <w:tc>
          <w:tcPr>
            <w:tcW w:w="4710" w:type="dxa"/>
            <w:tcBorders/>
            <w:shd w:fill="auto" w:val="clear"/>
            <w:vAlign w:val="center"/>
          </w:tcPr>
          <w:p>
            <w:pPr>
              <w:pStyle w:val="TableContents"/>
              <w:spacing w:before="0" w:after="0"/>
              <w:jc w:val="left"/>
              <w:rPr>
                <w:rFonts w:ascii="inherit" w:hAnsi="inherit"/>
                <w:sz w:val="17"/>
              </w:rPr>
            </w:pPr>
            <w:r>
              <w:rPr>
                <w:rFonts w:ascii="inherit" w:hAnsi="inherit"/>
                <w:sz w:val="17"/>
              </w:rPr>
              <w:t>Senior Vice President, General Counsel and Secretary</w:t>
            </w:r>
          </w:p>
        </w:tc>
      </w:tr>
    </w:tbl>
    <w:p>
      <w:pPr>
        <w:pStyle w:val="TextBody"/>
        <w:spacing w:lineRule="auto" w:line="288" w:before="0" w:after="0"/>
        <w:jc w:val="left"/>
        <w:rPr>
          <w:sz w:val="17"/>
        </w:rPr>
      </w:pPr>
      <w:r>
        <w:rPr>
          <w:rFonts w:ascii="inherit" w:hAnsi="inherit"/>
          <w:i/>
          <w:sz w:val="17"/>
        </w:rPr>
        <w:t>Mark Kuchenrither</w:t>
      </w:r>
      <w:r>
        <w:rPr>
          <w:sz w:val="17"/>
        </w:rPr>
        <w:t xml:space="preserve"> — </w:t>
      </w:r>
      <w:r>
        <w:rPr>
          <w:rFonts w:ascii="inherit" w:hAnsi="inherit"/>
          <w:sz w:val="17"/>
        </w:rPr>
        <w:t>Mr. Kuchenrither joined us as Senior Vice President, Strategic Development in March 2010 and was promoted to President, Change Capital in October 2011 and to Executive Vice President in May 2012. Mr. Kuchenrither was also named Chief Financial Officer in October 2012. From 2007 to March 2010, Mr. Kuchenrither served as Vice President of Operations of Sun Capital Partners, a major private equity firm, where he was responsible for the oversight of ten portfolio companies with emphasis on profit improvement. He was Chief Financial Officer of Arch Aluminum &amp; Glass from 2003 to 2007, and was Chief Financial Officer and Treasurer of Peavey Electronics Corporation from 2000 to 2003. He began his career in various accounting and controller functions.</w:t>
      </w:r>
    </w:p>
    <w:p>
      <w:pPr>
        <w:pStyle w:val="TextBody"/>
        <w:spacing w:lineRule="auto" w:line="288" w:before="0" w:after="0"/>
        <w:rPr>
          <w:sz w:val="17"/>
        </w:rPr>
      </w:pPr>
      <w:r>
        <w:rPr>
          <w:rFonts w:ascii="inherit" w:hAnsi="inherit"/>
          <w:i/>
          <w:sz w:val="17"/>
        </w:rPr>
        <w:t xml:space="preserve">Rodrigo Garcia-Romo </w:t>
      </w:r>
      <w:r>
        <w:rPr>
          <w:sz w:val="17"/>
        </w:rPr>
        <w:t xml:space="preserve">— </w:t>
      </w:r>
      <w:r>
        <w:rPr>
          <w:rFonts w:ascii="inherit" w:hAnsi="inherit"/>
          <w:sz w:val="17"/>
        </w:rPr>
        <w:t>Mr. Garcia-Romo joined us as General Director, Empeño Fácil in February 2011, and was named President &amp; General Director in October 2012. Prior to joining EZCORP, Mr. Garcia-Romo spent eleven years with YUM! Brands, most recently as Vice President, One System Operations, YUM! Mexico from 2008 until 2011.  In that role, he was responsible for the Mexico operations of Pizza Hut and KFC comprising more than 500 stores and $400 million in revenues. He served as Senior Director, KFC Mexico from 2007 to 2008, Senior Director Operations, Pizza Hut Mexico from 2004 to 2007, and Director, Planning and Information Technology, YUM! Mexico from 2003 to 2004. From 1999 to 2003, Mr. Garcia-Romo worked at YUM!'s Dallas, Texas headquarters, first as International Business Senior Planning Manager, then as Director, International Franchise Finance, and finally as Director, Financial Planning, Capital Expenditure, and Treasury Refranchising.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112</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i/>
          <w:sz w:val="17"/>
        </w:rPr>
        <w:t xml:space="preserve">Barry W. Guest </w:t>
      </w:r>
      <w:r>
        <w:rPr>
          <w:sz w:val="17"/>
        </w:rPr>
        <w:t xml:space="preserve">— </w:t>
      </w:r>
      <w:r>
        <w:rPr>
          <w:rFonts w:ascii="inherit" w:hAnsi="inherit"/>
          <w:sz w:val="17"/>
        </w:rPr>
        <w:t>Mr. Guest joined us as President, U.S. Pawn and Retail in October 2011 after spending 20 years with Blockbuster Canada.  From 2008 to 2011, Mr. Guest was Vice President &amp; General Manager, Blockbuster Canada, responsible for the strategic and tactical direction of the Canadian organization.  He had full P&amp;L responsibility for over 400 stores and $500 million in revenues. From 2000 to 2008 Mr. Guest was Vice President, Blockbuster Canadian Operations, with responsibility for all aspects of store operations.  Before then, Mr. Guest served as Director of Operations, Blockbuster Canada (1998 to 2000) and Regional Director (1994 to 1998).  Mr. Guest joined Blockbuster Canada in 1991 as an Area Manager.</w:t>
      </w:r>
    </w:p>
    <w:p>
      <w:pPr>
        <w:pStyle w:val="TextBody"/>
        <w:spacing w:lineRule="auto" w:line="288" w:before="0" w:after="0"/>
        <w:jc w:val="left"/>
        <w:rPr>
          <w:sz w:val="17"/>
        </w:rPr>
      </w:pPr>
      <w:r>
        <w:rPr>
          <w:rFonts w:ascii="inherit" w:hAnsi="inherit"/>
          <w:i/>
          <w:sz w:val="17"/>
        </w:rPr>
        <w:t>Shanna L. Munro</w:t>
      </w:r>
      <w:r>
        <w:rPr>
          <w:sz w:val="17"/>
        </w:rPr>
        <w:t xml:space="preserve"> — </w:t>
      </w:r>
      <w:r>
        <w:rPr>
          <w:rFonts w:ascii="inherit" w:hAnsi="inherit"/>
          <w:sz w:val="17"/>
        </w:rPr>
        <w:t>Ms. Munro joined us in April 2011 as Vice President &amp; General Manager, Cash Converters Canada. She was named President, Cash Converters Canada in October 2012, and President, Cash Converters North America in July 2013. From 2009 to 2011, Ms. Munro was Executive Vice President and Chief Operating Officer for Mr. Greek Restaurants, a privately owned operator of company owned and franchised restaurants based in Ontario, Canada.  Ms. Munro was President and Chief Operating Officer of Putting Edge Corporation, a privately held Ontario-based operation of indoor entertainment centers, from 2005 to 2009, and Senior Vice President, Scott's Restaurants, the parent company of the Canadian KFC Income Trust, from 2003 to 2005.  From 2000 to 2003 Ms. Munro served as Vice President, KFC, Pizza Hut, Taco Bell, and Long John Silver for Priszm Brands, the Ontario-based YUM! Brands Canadian master franchisor, where she had full P&amp;L responsibility for four brands with over $300 million in revenues. </w:t>
      </w:r>
    </w:p>
    <w:p>
      <w:pPr>
        <w:pStyle w:val="TextBody"/>
        <w:spacing w:lineRule="auto" w:line="288" w:before="0" w:after="0"/>
        <w:jc w:val="left"/>
        <w:rPr>
          <w:sz w:val="17"/>
        </w:rPr>
      </w:pPr>
      <w:r>
        <w:rPr>
          <w:rFonts w:ascii="inherit" w:hAnsi="inherit"/>
          <w:i/>
          <w:sz w:val="17"/>
        </w:rPr>
        <w:t>James Whatley</w:t>
      </w:r>
      <w:r>
        <w:rPr>
          <w:sz w:val="17"/>
        </w:rPr>
        <w:t xml:space="preserve"> — </w:t>
      </w:r>
      <w:r>
        <w:rPr>
          <w:rFonts w:ascii="inherit" w:hAnsi="inherit"/>
          <w:sz w:val="17"/>
        </w:rPr>
        <w:t xml:space="preserve">Mr. Whatley joined us as President, U.S. Financial Services in October 2011, bringing over 30 years of leadership experience in the financial services and retail industries. Prior to joining us, Mr. Whatley spent two years as Senior Vice President – Sales and Retail Operations for Direct General Insurance; eleven years with Blockbuster, Inc. in various positions, including Head of Global Franchise and International Corporate Operations; and seven years as Executive Vice President and Chief Operating Office for Advance America Cash Advance Centers, Inc. Mr. Whatley earned a Bachelor of Science degree in Business Administration at the University of North Carolina. </w:t>
      </w:r>
    </w:p>
    <w:p>
      <w:pPr>
        <w:pStyle w:val="TextBody"/>
        <w:spacing w:lineRule="auto" w:line="288" w:before="0" w:after="0"/>
        <w:jc w:val="left"/>
        <w:rPr>
          <w:sz w:val="17"/>
        </w:rPr>
      </w:pPr>
      <w:r>
        <w:rPr>
          <w:rFonts w:ascii="inherit" w:hAnsi="inherit"/>
          <w:i/>
          <w:sz w:val="17"/>
        </w:rPr>
        <w:t>Richard Bluntzer</w:t>
      </w:r>
      <w:r>
        <w:rPr>
          <w:sz w:val="17"/>
        </w:rPr>
        <w:t xml:space="preserve"> — </w:t>
      </w:r>
      <w:r>
        <w:rPr>
          <w:rFonts w:ascii="inherit" w:hAnsi="inherit"/>
          <w:sz w:val="17"/>
        </w:rPr>
        <w:t xml:space="preserve">Mr. Bluntzer joined us in January 2013 as Senior Vice President, Communications &amp; Public Affairs with over 25 years of experience managing public affairs, governmental relations and communications. Prior to joining EZCORP, Mr. Bluntzer serviced as Senior Vice President of Regulatory and Government Affairs for NRG Energy, Inc., a Fortune 500 company (August 2009 to January 2013); held a variety of leadership positions at the Lower Colorado River Authority (2003 to 2009), including Assistant General Manager and Chief Administrative Officer; and served as a Managing Director of Public Strategies (now Hill + Knowlton Strategies), overseeing public affairs activities at a large electric utility and a large telecommunications company (2000 to 2003). Mr. Bluntzer began his career in the Texas Legislature in 1984 and earned his degree at the University of Texas at Austin. </w:t>
      </w:r>
    </w:p>
    <w:p>
      <w:pPr>
        <w:pStyle w:val="TextBody"/>
        <w:spacing w:lineRule="auto" w:line="288" w:before="0" w:after="0"/>
        <w:jc w:val="left"/>
        <w:rPr>
          <w:sz w:val="17"/>
        </w:rPr>
      </w:pPr>
      <w:r>
        <w:rPr>
          <w:rFonts w:ascii="inherit" w:hAnsi="inherit"/>
          <w:i/>
          <w:sz w:val="17"/>
        </w:rPr>
        <w:t>Anthony M. Sanders —</w:t>
      </w:r>
      <w:r>
        <w:rPr>
          <w:sz w:val="17"/>
        </w:rPr>
        <w:t xml:space="preserve"> </w:t>
      </w:r>
      <w:r>
        <w:rPr>
          <w:rFonts w:ascii="inherit" w:hAnsi="inherit"/>
          <w:sz w:val="17"/>
        </w:rPr>
        <w:t>Mr. Sanders joined us in April 2010 as Senior Vice President, Human resources. Mr. Sanders was the Managing Director of Human Resources Services and Administration for United Airlines from 2007 to 2010. From 2000 to 2006, Mr. Sanders served as the Vice President Human Resource Business Center for ConAgra Foods, a $14 billion food packaging company, where he was responsible for human resources administrative services, benefits planning and administration, payroll and human resource acquisition management. From 1998 to 2000, Mr. Sanders served as Director of Benefits and Corporate Human Resources for Baker Hughes Incorporated, a 35,000 person multi-national oilfield services company. From 1989 to 1998 he served in various tax leadership roles at Baker Hughes.</w:t>
      </w:r>
    </w:p>
    <w:p>
      <w:pPr>
        <w:pStyle w:val="TextBody"/>
        <w:spacing w:lineRule="auto" w:line="288" w:before="0" w:after="0"/>
        <w:jc w:val="left"/>
        <w:rPr>
          <w:sz w:val="17"/>
        </w:rPr>
      </w:pPr>
      <w:r>
        <w:rPr>
          <w:rFonts w:ascii="inherit" w:hAnsi="inherit"/>
          <w:i/>
          <w:sz w:val="17"/>
        </w:rPr>
        <w:t>Thomas H. Welch, Jr. —</w:t>
      </w:r>
      <w:r>
        <w:rPr>
          <w:sz w:val="17"/>
        </w:rPr>
        <w:t xml:space="preserve"> </w:t>
      </w:r>
      <w:r>
        <w:rPr>
          <w:rFonts w:ascii="inherit" w:hAnsi="inherit"/>
          <w:sz w:val="17"/>
        </w:rPr>
        <w:t>Mr. Welch joined us in April 2009 as Senior Vice President, General Counsel and Secretary. He joined Dell Inc.’s legal department in 1995, and served as Vice President, Legal and General Corporate Counsel from April 1999 to April 2008. Mr. Welch was principally responsible for legal support of Dell’s corporate securities, corporate finance, mergers and acquisitions, financial services, executive compensation and benefits, facilities, corporate governance and general corporate matters. From 1992 to 1995, Mr. Welch was Vice President – Corporate Development of Parker &amp; Parsley Petroleum Company (predecessor to Pioneer Natural Resources), and previously was a shareholder with the law firm of Johnson &amp; Gibbs, P.C., Dallas, Texas.</w:t>
      </w:r>
    </w:p>
    <w:p>
      <w:pPr>
        <w:pStyle w:val="TextBody"/>
        <w:spacing w:lineRule="auto" w:line="288" w:before="0" w:after="0"/>
        <w:jc w:val="left"/>
        <w:rPr>
          <w:rFonts w:ascii="inherit" w:hAnsi="inherit"/>
          <w:b/>
          <w:sz w:val="17"/>
        </w:rPr>
      </w:pPr>
      <w:r>
        <w:rPr>
          <w:rFonts w:ascii="inherit" w:hAnsi="inherit"/>
          <w:b/>
          <w:sz w:val="17"/>
        </w:rPr>
        <w:t>Section 16(a) Beneficial Ownership Reporting Compliance</w:t>
      </w:r>
    </w:p>
    <w:p>
      <w:pPr>
        <w:pStyle w:val="TextBody"/>
        <w:spacing w:lineRule="auto" w:line="288" w:before="0" w:after="0"/>
        <w:jc w:val="left"/>
        <w:rPr>
          <w:rFonts w:ascii="inherit" w:hAnsi="inherit"/>
          <w:sz w:val="17"/>
        </w:rPr>
      </w:pPr>
      <w:r>
        <w:rPr>
          <w:rFonts w:ascii="inherit" w:hAnsi="inherit"/>
          <w:sz w:val="17"/>
        </w:rPr>
        <w:t>Based on written representations and a review of the relevant Forms 3, 4 and 5, during fiscal 2013, all persons subject to Section 16 of the Securities Exchange Act of 1934 with respect to EZCORP timely filed all reports required by Section 16(a) of the Securities Exchange Act.</w:t>
      </w:r>
    </w:p>
    <w:p>
      <w:pPr>
        <w:pStyle w:val="TextBody"/>
        <w:spacing w:lineRule="auto" w:line="288" w:before="0" w:after="0"/>
        <w:jc w:val="left"/>
        <w:rPr>
          <w:rFonts w:ascii="inherit" w:hAnsi="inherit"/>
          <w:b/>
          <w:sz w:val="17"/>
        </w:rPr>
      </w:pPr>
      <w:r>
        <w:rPr>
          <w:rFonts w:ascii="inherit" w:hAnsi="inherit"/>
          <w:b/>
          <w:sz w:val="17"/>
        </w:rPr>
        <w:t>Code of Conduct</w:t>
      </w:r>
    </w:p>
    <w:p>
      <w:pPr>
        <w:pStyle w:val="TextBody"/>
        <w:spacing w:lineRule="auto" w:line="288" w:before="0" w:after="0"/>
        <w:jc w:val="left"/>
        <w:rPr>
          <w:rFonts w:ascii="inherit" w:hAnsi="inherit"/>
          <w:sz w:val="17"/>
        </w:rPr>
      </w:pPr>
      <w:r>
        <w:rPr>
          <w:rFonts w:ascii="inherit" w:hAnsi="inherit"/>
          <w:sz w:val="17"/>
        </w:rPr>
        <w:t xml:space="preserve">We maintain a Code of Conduct that is applicable to all of our employees, including our chief executive officer, chief financial officer and chief accounting officer. That Code of Conduct,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113</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public disclosures and communications, including financial reporting; compliance with applicable laws, rules and regulations; prompt internal reporting of violations of the code, and accountability for adherence to the code. A copy of the Code of Conduct is posted in the Investor Relations section of on our website at www.ezcorp.com.</w:t>
      </w:r>
    </w:p>
    <w:p>
      <w:pPr>
        <w:pStyle w:val="TextBody"/>
        <w:spacing w:lineRule="auto" w:line="288" w:before="0" w:after="0"/>
        <w:jc w:val="left"/>
        <w:rPr>
          <w:rFonts w:ascii="inherit" w:hAnsi="inherit"/>
          <w:sz w:val="17"/>
        </w:rPr>
      </w:pPr>
      <w:r>
        <w:rPr>
          <w:rFonts w:ascii="inherit" w:hAnsi="inherit"/>
          <w:sz w:val="17"/>
        </w:rPr>
        <w:t>We will post any waivers of the Code of Conduct, or amendments thereto, that are applicable to our chief executive officer, our chief financial officer or chief accounting officer in the Investor Relations section of our website at www.ezcorp.com. To date, there have been no such waivers.</w:t>
      </w:r>
    </w:p>
    <w:p>
      <w:pPr>
        <w:pStyle w:val="TextBody"/>
        <w:spacing w:lineRule="auto" w:line="288" w:before="0" w:after="0"/>
        <w:jc w:val="left"/>
        <w:rPr>
          <w:rFonts w:ascii="inherit" w:hAnsi="inherit"/>
          <w:b/>
          <w:sz w:val="17"/>
        </w:rPr>
      </w:pPr>
      <w:r>
        <w:rPr>
          <w:rFonts w:ascii="inherit" w:hAnsi="inherit"/>
          <w:b/>
          <w:sz w:val="17"/>
        </w:rPr>
        <w:t>Corporate Governance</w:t>
      </w:r>
    </w:p>
    <w:p>
      <w:pPr>
        <w:pStyle w:val="TextBody"/>
        <w:spacing w:lineRule="auto" w:line="288" w:before="0" w:after="0"/>
        <w:jc w:val="left"/>
        <w:rPr>
          <w:sz w:val="17"/>
        </w:rPr>
      </w:pPr>
      <w:r>
        <w:rPr>
          <w:rFonts w:ascii="inherit" w:hAnsi="inherit"/>
          <w:i/>
          <w:sz w:val="17"/>
        </w:rPr>
        <w:t>Committees of the Board</w:t>
      </w:r>
      <w:r>
        <w:rPr>
          <w:sz w:val="17"/>
        </w:rPr>
        <w:t xml:space="preserve"> — </w:t>
      </w:r>
      <w:r>
        <w:rPr>
          <w:rFonts w:ascii="inherit" w:hAnsi="inherit"/>
          <w:sz w:val="17"/>
        </w:rPr>
        <w:t>The Board of Directors maintains the following committees to assist it in its oversight responsibilities. The current membership of each committee is indicated in the list of directors set forth under “Board of Directors” above.</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jc w:val="left"/>
              <w:rPr>
                <w:sz w:val="17"/>
              </w:rPr>
            </w:pPr>
            <w:r>
              <w:rPr>
                <w:rFonts w:ascii="inherit" w:hAnsi="inherit"/>
                <w:i/>
                <w:sz w:val="17"/>
              </w:rPr>
              <w:t>Audit Committee</w:t>
            </w:r>
            <w:r>
              <w:rPr>
                <w:sz w:val="17"/>
              </w:rPr>
              <w:t xml:space="preserve"> — </w:t>
            </w:r>
            <w:r>
              <w:rPr>
                <w:rFonts w:ascii="inherit" w:hAnsi="inherit"/>
                <w:sz w:val="17"/>
              </w:rPr>
              <w:t>The Audit Committee assists the Board in fulfilling its responsibility to provide oversight with respect to our financial statements and reports and other disclosures provided to stockholders, the system of internal controls, the audit process and legal and ethical compliance. Its primary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appraising our financial reporting activities and the accounting standards and principles followed; and reviewing and approving ethics and compliance policies. The Audit Committee also selects, engages, compensates and oversees our independent auditor and pre-approves all services to be performed by the independent auditing firm.</w:t>
            </w:r>
          </w:p>
        </w:tc>
      </w:tr>
    </w:tbl>
    <w:p>
      <w:pPr>
        <w:pStyle w:val="TextBody"/>
        <w:spacing w:lineRule="auto" w:line="288" w:before="0" w:after="0"/>
        <w:ind w:left="0" w:right="0" w:firstLine="540"/>
        <w:jc w:val="left"/>
        <w:rPr>
          <w:rFonts w:ascii="inherit" w:hAnsi="inherit"/>
          <w:sz w:val="17"/>
        </w:rPr>
      </w:pPr>
      <w:r>
        <w:rPr>
          <w:rFonts w:ascii="inherit" w:hAnsi="inherit"/>
          <w:sz w:val="17"/>
        </w:rPr>
        <w:t>The Audit Committee is comprised entirely of directors who satisfy the standards of independence described under “Item 13 —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Committee member meets the NASDAQ “financial literacy” requirement and that Mr. Love is a “financial expert” within the meaning of the current rules of the SEC.</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jc w:val="left"/>
              <w:rPr>
                <w:sz w:val="17"/>
              </w:rPr>
            </w:pPr>
            <w:r>
              <w:rPr>
                <w:rFonts w:ascii="inherit" w:hAnsi="inherit"/>
                <w:i/>
                <w:sz w:val="17"/>
              </w:rPr>
              <w:t>Compensation Committee</w:t>
            </w:r>
            <w:r>
              <w:rPr>
                <w:sz w:val="17"/>
              </w:rPr>
              <w:t xml:space="preserve"> — </w:t>
            </w:r>
            <w:r>
              <w:rPr>
                <w:rFonts w:ascii="inherit" w:hAnsi="inherit"/>
                <w:sz w:val="17"/>
              </w:rPr>
              <w:t>The Compensation Committee reviews and approves, on behalf of the Board, the amounts and types of compensation to be paid to our senior executives, reviews and recommends to the full Board the amount and type of compensation to be paid to our non-employee directors, reviews and approves, on behalf of the Board, all bonus and equity compensation to be paid to our other employees, and administers our stock compensation plans. The Compensation Committee is comprised entirely of directors who satisfy the standards of independence described under “Item 13 — Certain Relationships and Related Transactions, and Director Independence — Director Independence,” as well as additional or supplemental independence standards applicable to compensation committee members established under applicable law and NASDAQ listing requirements.</w:t>
            </w:r>
          </w:p>
        </w:tc>
      </w:tr>
    </w:tbl>
    <w:p>
      <w:pPr>
        <w:pStyle w:val="TextBody"/>
        <w:spacing w:lineRule="auto" w:line="288" w:before="0" w:after="0"/>
        <w:jc w:val="left"/>
        <w:rPr>
          <w:rFonts w:ascii="inherit" w:hAnsi="inherit"/>
          <w:sz w:val="17"/>
        </w:rPr>
      </w:pPr>
      <w:r>
        <w:rPr>
          <w:rFonts w:ascii="inherit" w:hAnsi="inherit"/>
          <w:sz w:val="17"/>
        </w:rPr>
        <w:t>Each committee is governed by a written charter, a copy of which can be found in the Investor Relations section of our website at www.ezcorp.com.</w:t>
      </w:r>
    </w:p>
    <w:p>
      <w:pPr>
        <w:pStyle w:val="TextBody"/>
        <w:spacing w:lineRule="auto" w:line="288" w:before="0" w:after="0"/>
        <w:jc w:val="left"/>
        <w:rPr>
          <w:rFonts w:ascii="inherit" w:hAnsi="inherit"/>
          <w:sz w:val="17"/>
        </w:rPr>
      </w:pPr>
      <w:r>
        <w:rPr>
          <w:rFonts w:ascii="inherit" w:hAnsi="inherit"/>
          <w:sz w:val="17"/>
        </w:rPr>
        <w:t>Because all of our voting stock is beneficially owned by Phillip E. Cohen and the remaining stockholders are not entitled to vote on the election of directors, we do not maintain a standing nominating committee of the Board of Directors. In the absence of a nominating committee, director nominees are typically considered by the full Board.</w:t>
      </w:r>
    </w:p>
    <w:p>
      <w:pPr>
        <w:pStyle w:val="TextBody"/>
        <w:spacing w:lineRule="auto" w:line="288" w:before="0" w:after="0"/>
        <w:jc w:val="left"/>
        <w:rPr>
          <w:sz w:val="17"/>
        </w:rPr>
      </w:pPr>
      <w:r>
        <w:rPr>
          <w:rFonts w:ascii="inherit" w:hAnsi="inherit"/>
          <w:i/>
          <w:sz w:val="17"/>
        </w:rPr>
        <w:t>Meetings and Attendance</w:t>
      </w:r>
      <w:r>
        <w:rPr>
          <w:sz w:val="17"/>
        </w:rPr>
        <w:t xml:space="preserve"> — </w:t>
      </w:r>
      <w:r>
        <w:rPr>
          <w:rFonts w:ascii="inherit" w:hAnsi="inherit"/>
          <w:sz w:val="17"/>
        </w:rPr>
        <w:t xml:space="preserve">During fiscal </w:t>
      </w:r>
      <w:r>
        <w:rPr>
          <w:rFonts w:ascii="inherit" w:hAnsi="inherit"/>
          <w:strike w:val="false"/>
          <w:dstrike w:val="false"/>
          <w:color w:val="000000"/>
          <w:sz w:val="17"/>
          <w:u w:val="none"/>
          <w:effect w:val="none"/>
        </w:rPr>
        <w:t>2013</w:t>
      </w:r>
      <w:r>
        <w:rPr>
          <w:rFonts w:ascii="inherit" w:hAnsi="inherit"/>
          <w:sz w:val="17"/>
        </w:rPr>
        <w:t>, the Board of Directors held five meetings, the Audit Committee held seven meetings, and the Compensation Committee held five meetings. Mr. Farrell missed one Board of Directors meeting; Mr. Lagos missed one Board of Directors meeting and one Compensation Committee meeting; and Mr. Roberts missed one Board of Directors meeting, one Audit Committee meeting and one Compensation Committee meeting. Otherwise, all directors attended all meetings of the Board and of the committees on which they served.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114</w:t>
      </w:r>
      <w:r>
        <w:br w:type="page"/>
      </w:r>
    </w:p>
    <w:p>
      <w:pPr>
        <w:pStyle w:val="TextBody"/>
        <w:spacing w:lineRule="auto" w:line="288" w:before="0" w:after="0"/>
        <w:rPr/>
      </w:pPr>
      <w:hyperlink w:anchor="sA13583D437E20DC41B4583E2BD74AA47">
        <w:bookmarkStart w:id="104" w:name="sBC009B78D36482D7B10E83E2C9D35C38"/>
        <w:bookmarkEnd w:id="104"/>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11. EXECUTIVE COMPENSATION</w:t>
      </w:r>
    </w:p>
    <w:p>
      <w:pPr>
        <w:pStyle w:val="TextBody"/>
        <w:spacing w:lineRule="auto" w:line="288" w:before="0" w:after="0"/>
        <w:jc w:val="center"/>
        <w:rPr>
          <w:rFonts w:ascii="inherit" w:hAnsi="inherit"/>
          <w:b/>
          <w:sz w:val="17"/>
        </w:rPr>
      </w:pPr>
      <w:bookmarkStart w:id="105" w:name="sC6731759A5926DB9C69083E28798C958"/>
      <w:bookmarkEnd w:id="105"/>
      <w:r>
        <w:rPr>
          <w:rFonts w:ascii="inherit" w:hAnsi="inherit"/>
          <w:b/>
          <w:sz w:val="17"/>
        </w:rPr>
        <w:t>COMPENSATION DISCUSSION AND ANALYSIS</w:t>
      </w:r>
    </w:p>
    <w:p>
      <w:pPr>
        <w:pStyle w:val="TextBody"/>
        <w:spacing w:lineRule="auto" w:line="288" w:before="0" w:after="0"/>
        <w:jc w:val="left"/>
        <w:rPr>
          <w:rFonts w:ascii="inherit" w:hAnsi="inherit"/>
          <w:sz w:val="17"/>
        </w:rPr>
      </w:pPr>
      <w:r>
        <w:rPr>
          <w:rFonts w:ascii="inherit" w:hAnsi="inherit"/>
          <w:sz w:val="17"/>
        </w:rPr>
        <w:t>This Compensation Discussion &amp; Analysis (“CD&amp;A”) describes our compensation practices and the executive compensation policies, decisions and actions of the Compensation Committee of our Board of Directors (the “Committee”). The CD&amp;A focuses specifically on compensation earned during fiscal 2013 by our CEO, CFO and the three other most highly compensated executive officers who were serving as such at the end of fiscal 2013, collectively referred to as our "Named Executive Officers."</w:t>
      </w:r>
    </w:p>
    <w:p>
      <w:pPr>
        <w:pStyle w:val="TextBody"/>
        <w:spacing w:lineRule="auto" w:line="288" w:before="0" w:after="0"/>
        <w:jc w:val="left"/>
        <w:rPr>
          <w:rFonts w:ascii="inherit" w:hAnsi="inherit"/>
          <w:b/>
          <w:sz w:val="17"/>
        </w:rPr>
      </w:pPr>
      <w:r>
        <w:rPr>
          <w:rFonts w:ascii="inherit" w:hAnsi="inherit"/>
          <w:b/>
          <w:sz w:val="17"/>
        </w:rPr>
        <w:t>Compensation Philosophy</w:t>
      </w:r>
    </w:p>
    <w:p>
      <w:pPr>
        <w:pStyle w:val="TextBody"/>
        <w:spacing w:lineRule="auto" w:line="288" w:before="0" w:after="0"/>
        <w:jc w:val="left"/>
        <w:rPr>
          <w:rFonts w:ascii="inherit" w:hAnsi="inherit"/>
          <w:sz w:val="17"/>
        </w:rPr>
      </w:pPr>
      <w:r>
        <w:rPr>
          <w:rFonts w:ascii="inherit" w:hAnsi="inherit"/>
          <w:sz w:val="17"/>
        </w:rPr>
        <w:t>Our executive compensation philosophy is grounded in two fundamental principles: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i/>
                <w:sz w:val="17"/>
              </w:rPr>
              <w:t>Pay at a level commensurate with other value creators</w:t>
            </w:r>
            <w:r>
              <w:rPr>
                <w:sz w:val="17"/>
              </w:rPr>
              <w:t xml:space="preserve"> — </w:t>
            </w:r>
            <w:r>
              <w:rPr>
                <w:rFonts w:ascii="inherit" w:hAnsi="inherit"/>
                <w:sz w:val="17"/>
              </w:rPr>
              <w:t>Pay opportunities should be competitive and set at a level where we are able to attract and retain executives of the caliber we need to execute our strategic plan.</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i/>
                <w:sz w:val="17"/>
              </w:rPr>
              <w:t>Pay for performance —</w:t>
            </w:r>
            <w:r>
              <w:rPr>
                <w:sz w:val="17"/>
              </w:rPr>
              <w:t xml:space="preserve"> </w:t>
            </w:r>
            <w:r>
              <w:rPr>
                <w:rFonts w:ascii="inherit" w:hAnsi="inherit"/>
                <w:sz w:val="17"/>
              </w:rPr>
              <w:t xml:space="preserve">Actual realized compensation should reflect Company and individual performance. Executives should be compensated based on their ability to achieve (or to help drive the Company's achievement of) specific operational, financial and strategic results, including sustained growth in terms of profitability and shareholder value. </w:t>
            </w:r>
          </w:p>
        </w:tc>
      </w:tr>
    </w:tbl>
    <w:p>
      <w:pPr>
        <w:pStyle w:val="TextBody"/>
        <w:spacing w:lineRule="auto" w:line="288" w:before="0" w:after="0"/>
        <w:jc w:val="left"/>
        <w:rPr>
          <w:rFonts w:ascii="inherit" w:hAnsi="inherit"/>
          <w:sz w:val="17"/>
        </w:rPr>
      </w:pPr>
      <w:r>
        <w:rPr>
          <w:rFonts w:ascii="inherit" w:hAnsi="inherit"/>
          <w:sz w:val="17"/>
        </w:rPr>
        <w:t>In support of this philosophy, the Committee has designed compensation plans that:</w:t>
      </w:r>
    </w:p>
    <w:tbl>
      <w:tblPr>
        <w:tblW w:w="4990" w:type="dxa"/>
        <w:jc w:val="left"/>
        <w:tblInd w:w="0" w:type="dxa"/>
        <w:tblCellMar>
          <w:top w:w="0" w:type="dxa"/>
          <w:left w:w="0" w:type="dxa"/>
          <w:bottom w:w="0" w:type="dxa"/>
          <w:right w:w="0" w:type="dxa"/>
        </w:tblCellMar>
      </w:tblPr>
      <w:tblGrid>
        <w:gridCol w:w="485"/>
        <w:gridCol w:w="4505"/>
      </w:tblGrid>
      <w:tr>
        <w:trPr/>
        <w:tc>
          <w:tcPr>
            <w:tcW w:w="485" w:type="dxa"/>
            <w:tcBorders/>
            <w:shd w:fill="auto" w:val="clear"/>
            <w:vAlign w:val="center"/>
          </w:tcPr>
          <w:p>
            <w:pPr>
              <w:pStyle w:val="TableContents"/>
              <w:spacing w:before="0" w:after="283"/>
              <w:rPr>
                <w:sz w:val="4"/>
                <w:szCs w:val="4"/>
              </w:rPr>
            </w:pPr>
            <w:r>
              <w:rPr>
                <w:sz w:val="4"/>
                <w:szCs w:val="4"/>
              </w:rPr>
            </w:r>
          </w:p>
        </w:tc>
        <w:tc>
          <w:tcPr>
            <w:tcW w:w="45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5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Reward executives with incentives that are based on:</w:t>
            </w:r>
          </w:p>
        </w:tc>
      </w:tr>
    </w:tbl>
    <w:tbl>
      <w:tblPr>
        <w:tblW w:w="5845" w:type="dxa"/>
        <w:jc w:val="left"/>
        <w:tblInd w:w="0" w:type="dxa"/>
        <w:tblCellMar>
          <w:top w:w="0" w:type="dxa"/>
          <w:left w:w="0" w:type="dxa"/>
          <w:bottom w:w="0" w:type="dxa"/>
          <w:right w:w="0" w:type="dxa"/>
        </w:tblCellMar>
      </w:tblPr>
      <w:tblGrid>
        <w:gridCol w:w="1205"/>
        <w:gridCol w:w="4640"/>
      </w:tblGrid>
      <w:tr>
        <w:trPr/>
        <w:tc>
          <w:tcPr>
            <w:tcW w:w="1205" w:type="dxa"/>
            <w:tcBorders/>
            <w:shd w:fill="auto" w:val="clear"/>
            <w:vAlign w:val="center"/>
          </w:tcPr>
          <w:p>
            <w:pPr>
              <w:pStyle w:val="TableContents"/>
              <w:spacing w:before="0" w:after="283"/>
              <w:rPr>
                <w:sz w:val="4"/>
                <w:szCs w:val="4"/>
              </w:rPr>
            </w:pPr>
            <w:r>
              <w:rPr>
                <w:sz w:val="4"/>
                <w:szCs w:val="4"/>
              </w:rPr>
            </w:r>
          </w:p>
        </w:tc>
        <w:tc>
          <w:tcPr>
            <w:tcW w:w="464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6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Overall company performance (annual and long-term);</w:t>
            </w:r>
          </w:p>
        </w:tc>
      </w:tr>
    </w:tbl>
    <w:tbl>
      <w:tblPr>
        <w:tblW w:w="3610" w:type="dxa"/>
        <w:jc w:val="left"/>
        <w:tblInd w:w="0" w:type="dxa"/>
        <w:tblCellMar>
          <w:top w:w="0" w:type="dxa"/>
          <w:left w:w="0" w:type="dxa"/>
          <w:bottom w:w="0" w:type="dxa"/>
          <w:right w:w="0" w:type="dxa"/>
        </w:tblCellMar>
      </w:tblPr>
      <w:tblGrid>
        <w:gridCol w:w="1205"/>
        <w:gridCol w:w="2405"/>
      </w:tblGrid>
      <w:tr>
        <w:trPr/>
        <w:tc>
          <w:tcPr>
            <w:tcW w:w="1205" w:type="dxa"/>
            <w:tcBorders/>
            <w:shd w:fill="auto" w:val="clear"/>
            <w:vAlign w:val="center"/>
          </w:tcPr>
          <w:p>
            <w:pPr>
              <w:pStyle w:val="TableContents"/>
              <w:spacing w:before="0" w:after="283"/>
              <w:rPr>
                <w:sz w:val="4"/>
                <w:szCs w:val="4"/>
              </w:rPr>
            </w:pPr>
            <w:r>
              <w:rPr>
                <w:sz w:val="4"/>
                <w:szCs w:val="4"/>
              </w:rPr>
            </w:r>
          </w:p>
        </w:tc>
        <w:tc>
          <w:tcPr>
            <w:tcW w:w="240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24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Individual contributions; and</w:t>
            </w:r>
          </w:p>
        </w:tc>
      </w:tr>
    </w:tbl>
    <w:tbl>
      <w:tblPr>
        <w:tblW w:w="4645" w:type="dxa"/>
        <w:jc w:val="left"/>
        <w:tblInd w:w="0" w:type="dxa"/>
        <w:tblCellMar>
          <w:top w:w="0" w:type="dxa"/>
          <w:left w:w="0" w:type="dxa"/>
          <w:bottom w:w="0" w:type="dxa"/>
          <w:right w:w="0" w:type="dxa"/>
        </w:tblCellMar>
      </w:tblPr>
      <w:tblGrid>
        <w:gridCol w:w="1205"/>
        <w:gridCol w:w="3440"/>
      </w:tblGrid>
      <w:tr>
        <w:trPr/>
        <w:tc>
          <w:tcPr>
            <w:tcW w:w="1205" w:type="dxa"/>
            <w:tcBorders/>
            <w:shd w:fill="auto" w:val="clear"/>
            <w:vAlign w:val="center"/>
          </w:tcPr>
          <w:p>
            <w:pPr>
              <w:pStyle w:val="TableContents"/>
              <w:spacing w:before="0" w:after="283"/>
              <w:rPr>
                <w:sz w:val="4"/>
                <w:szCs w:val="4"/>
              </w:rPr>
            </w:pPr>
            <w:r>
              <w:rPr>
                <w:sz w:val="4"/>
                <w:szCs w:val="4"/>
              </w:rPr>
            </w:r>
          </w:p>
        </w:tc>
        <w:tc>
          <w:tcPr>
            <w:tcW w:w="344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4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Long-term creation of stockholder value;</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Encourage top performers to make long-term commitments to the Company through the use of competitive incentive opportunities and awards that are vested and earned over multi-year periods; and</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Align executive interests with the long-term interests of stockholders through the use of equity incentives that vest over multiple years.</w:t>
            </w:r>
          </w:p>
        </w:tc>
      </w:tr>
    </w:tbl>
    <w:p>
      <w:pPr>
        <w:pStyle w:val="TextBody"/>
        <w:spacing w:lineRule="auto" w:line="288" w:before="0" w:after="0"/>
        <w:jc w:val="left"/>
        <w:rPr>
          <w:rFonts w:ascii="inherit" w:hAnsi="inherit"/>
          <w:b/>
          <w:sz w:val="17"/>
        </w:rPr>
      </w:pPr>
      <w:r>
        <w:rPr>
          <w:rFonts w:ascii="inherit" w:hAnsi="inherit"/>
          <w:b/>
          <w:sz w:val="17"/>
        </w:rPr>
        <w:t>Program Characteristics that Align Management with Shareholders</w:t>
      </w:r>
    </w:p>
    <w:tbl>
      <w:tblPr>
        <w:tblW w:w="8890" w:type="dxa"/>
        <w:jc w:val="left"/>
        <w:tblInd w:w="0" w:type="dxa"/>
        <w:tblCellMar>
          <w:top w:w="0" w:type="dxa"/>
          <w:left w:w="0" w:type="dxa"/>
          <w:bottom w:w="0" w:type="dxa"/>
          <w:right w:w="0" w:type="dxa"/>
        </w:tblCellMar>
      </w:tblPr>
      <w:tblGrid>
        <w:gridCol w:w="485"/>
        <w:gridCol w:w="8405"/>
      </w:tblGrid>
      <w:tr>
        <w:trPr/>
        <w:tc>
          <w:tcPr>
            <w:tcW w:w="485" w:type="dxa"/>
            <w:tcBorders/>
            <w:shd w:fill="auto" w:val="clear"/>
            <w:vAlign w:val="center"/>
          </w:tcPr>
          <w:p>
            <w:pPr>
              <w:pStyle w:val="TableContents"/>
              <w:spacing w:before="0" w:after="283"/>
              <w:rPr>
                <w:sz w:val="4"/>
                <w:szCs w:val="4"/>
              </w:rPr>
            </w:pPr>
            <w:r>
              <w:rPr>
                <w:sz w:val="4"/>
                <w:szCs w:val="4"/>
              </w:rPr>
            </w:r>
          </w:p>
        </w:tc>
        <w:tc>
          <w:tcPr>
            <w:tcW w:w="84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4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Majority of executive officer pay at risk in the form of annual and long-term incentive compensation;</w:t>
            </w:r>
          </w:p>
        </w:tc>
      </w:tr>
    </w:tbl>
    <w:tbl>
      <w:tblPr>
        <w:tblW w:w="9175" w:type="dxa"/>
        <w:jc w:val="left"/>
        <w:tblInd w:w="0" w:type="dxa"/>
        <w:tblCellMar>
          <w:top w:w="0" w:type="dxa"/>
          <w:left w:w="0" w:type="dxa"/>
          <w:bottom w:w="0" w:type="dxa"/>
          <w:right w:w="0" w:type="dxa"/>
        </w:tblCellMar>
      </w:tblPr>
      <w:tblGrid>
        <w:gridCol w:w="485"/>
        <w:gridCol w:w="8690"/>
      </w:tblGrid>
      <w:tr>
        <w:trPr/>
        <w:tc>
          <w:tcPr>
            <w:tcW w:w="485" w:type="dxa"/>
            <w:tcBorders/>
            <w:shd w:fill="auto" w:val="clear"/>
            <w:vAlign w:val="center"/>
          </w:tcPr>
          <w:p>
            <w:pPr>
              <w:pStyle w:val="TableContents"/>
              <w:spacing w:before="0" w:after="283"/>
              <w:rPr>
                <w:sz w:val="4"/>
                <w:szCs w:val="4"/>
              </w:rPr>
            </w:pPr>
            <w:r>
              <w:rPr>
                <w:sz w:val="4"/>
                <w:szCs w:val="4"/>
              </w:rPr>
            </w:r>
          </w:p>
        </w:tc>
        <w:tc>
          <w:tcPr>
            <w:tcW w:w="869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6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All equity awards for our executive officers are subject to achievement of specific performance criteria;</w:t>
            </w:r>
          </w:p>
        </w:tc>
      </w:tr>
    </w:tbl>
    <w:tbl>
      <w:tblPr>
        <w:tblW w:w="7855" w:type="dxa"/>
        <w:jc w:val="left"/>
        <w:tblInd w:w="0" w:type="dxa"/>
        <w:tblCellMar>
          <w:top w:w="0" w:type="dxa"/>
          <w:left w:w="0" w:type="dxa"/>
          <w:bottom w:w="0" w:type="dxa"/>
          <w:right w:w="0" w:type="dxa"/>
        </w:tblCellMar>
      </w:tblPr>
      <w:tblGrid>
        <w:gridCol w:w="485"/>
        <w:gridCol w:w="7370"/>
      </w:tblGrid>
      <w:tr>
        <w:trPr/>
        <w:tc>
          <w:tcPr>
            <w:tcW w:w="485" w:type="dxa"/>
            <w:tcBorders/>
            <w:shd w:fill="auto" w:val="clear"/>
            <w:vAlign w:val="center"/>
          </w:tcPr>
          <w:p>
            <w:pPr>
              <w:pStyle w:val="TableContents"/>
              <w:spacing w:before="0" w:after="283"/>
              <w:rPr>
                <w:sz w:val="4"/>
                <w:szCs w:val="4"/>
              </w:rPr>
            </w:pPr>
            <w:r>
              <w:rPr>
                <w:sz w:val="4"/>
                <w:szCs w:val="4"/>
              </w:rPr>
            </w:r>
          </w:p>
        </w:tc>
        <w:tc>
          <w:tcPr>
            <w:tcW w:w="73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37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Stock ownership requirements for executive officers and directors (new for fiscal 2014);</w:t>
            </w:r>
          </w:p>
        </w:tc>
      </w:tr>
    </w:tbl>
    <w:tbl>
      <w:tblPr>
        <w:tblW w:w="3070" w:type="dxa"/>
        <w:jc w:val="left"/>
        <w:tblInd w:w="0" w:type="dxa"/>
        <w:tblCellMar>
          <w:top w:w="0" w:type="dxa"/>
          <w:left w:w="0" w:type="dxa"/>
          <w:bottom w:w="0" w:type="dxa"/>
          <w:right w:w="0" w:type="dxa"/>
        </w:tblCellMar>
      </w:tblPr>
      <w:tblGrid>
        <w:gridCol w:w="485"/>
        <w:gridCol w:w="2585"/>
      </w:tblGrid>
      <w:tr>
        <w:trPr/>
        <w:tc>
          <w:tcPr>
            <w:tcW w:w="485" w:type="dxa"/>
            <w:tcBorders/>
            <w:shd w:fill="auto" w:val="clear"/>
            <w:vAlign w:val="center"/>
          </w:tcPr>
          <w:p>
            <w:pPr>
              <w:pStyle w:val="TableContents"/>
              <w:spacing w:before="0" w:after="283"/>
              <w:rPr>
                <w:sz w:val="4"/>
                <w:szCs w:val="4"/>
              </w:rPr>
            </w:pPr>
            <w:r>
              <w:rPr>
                <w:sz w:val="4"/>
                <w:szCs w:val="4"/>
              </w:rPr>
            </w:r>
          </w:p>
        </w:tc>
        <w:tc>
          <w:tcPr>
            <w:tcW w:w="258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58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No 280G excise tax gross-ups;</w:t>
            </w:r>
          </w:p>
        </w:tc>
      </w:tr>
    </w:tbl>
    <w:tbl>
      <w:tblPr>
        <w:tblW w:w="5500" w:type="dxa"/>
        <w:jc w:val="left"/>
        <w:tblInd w:w="0" w:type="dxa"/>
        <w:tblCellMar>
          <w:top w:w="0" w:type="dxa"/>
          <w:left w:w="0" w:type="dxa"/>
          <w:bottom w:w="0" w:type="dxa"/>
          <w:right w:w="0" w:type="dxa"/>
        </w:tblCellMar>
      </w:tblPr>
      <w:tblGrid>
        <w:gridCol w:w="485"/>
        <w:gridCol w:w="5015"/>
      </w:tblGrid>
      <w:tr>
        <w:trPr/>
        <w:tc>
          <w:tcPr>
            <w:tcW w:w="485" w:type="dxa"/>
            <w:tcBorders/>
            <w:shd w:fill="auto" w:val="clear"/>
            <w:vAlign w:val="center"/>
          </w:tcPr>
          <w:p>
            <w:pPr>
              <w:pStyle w:val="TableContents"/>
              <w:spacing w:before="0" w:after="283"/>
              <w:rPr>
                <w:sz w:val="4"/>
                <w:szCs w:val="4"/>
              </w:rPr>
            </w:pPr>
            <w:r>
              <w:rPr>
                <w:sz w:val="4"/>
                <w:szCs w:val="4"/>
              </w:rPr>
            </w:r>
          </w:p>
        </w:tc>
        <w:tc>
          <w:tcPr>
            <w:tcW w:w="50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0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No single-trigger change-in-control severance benefits; and</w:t>
            </w:r>
          </w:p>
        </w:tc>
      </w:tr>
    </w:tbl>
    <w:tbl>
      <w:tblPr>
        <w:tblW w:w="7015" w:type="dxa"/>
        <w:jc w:val="left"/>
        <w:tblInd w:w="0" w:type="dxa"/>
        <w:tblCellMar>
          <w:top w:w="0" w:type="dxa"/>
          <w:left w:w="0" w:type="dxa"/>
          <w:bottom w:w="0" w:type="dxa"/>
          <w:right w:w="0" w:type="dxa"/>
        </w:tblCellMar>
      </w:tblPr>
      <w:tblGrid>
        <w:gridCol w:w="485"/>
        <w:gridCol w:w="6530"/>
      </w:tblGrid>
      <w:tr>
        <w:trPr/>
        <w:tc>
          <w:tcPr>
            <w:tcW w:w="485" w:type="dxa"/>
            <w:tcBorders/>
            <w:shd w:fill="auto" w:val="clear"/>
            <w:vAlign w:val="center"/>
          </w:tcPr>
          <w:p>
            <w:pPr>
              <w:pStyle w:val="TableContents"/>
              <w:spacing w:before="0" w:after="283"/>
              <w:rPr>
                <w:sz w:val="4"/>
                <w:szCs w:val="4"/>
              </w:rPr>
            </w:pPr>
            <w:r>
              <w:rPr>
                <w:sz w:val="4"/>
                <w:szCs w:val="4"/>
              </w:rPr>
            </w:r>
          </w:p>
        </w:tc>
        <w:tc>
          <w:tcPr>
            <w:tcW w:w="653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5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Committee retains the services of an independent compensation advisor.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115</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Executive Compensation Program Design</w:t>
      </w:r>
    </w:p>
    <w:p>
      <w:pPr>
        <w:pStyle w:val="TextBody"/>
        <w:spacing w:lineRule="auto" w:line="288" w:before="0" w:after="0"/>
        <w:jc w:val="left"/>
        <w:rPr>
          <w:sz w:val="17"/>
        </w:rPr>
      </w:pPr>
      <w:r>
        <w:rPr>
          <w:rFonts w:ascii="inherit" w:hAnsi="inherit"/>
          <w:i/>
          <w:sz w:val="17"/>
        </w:rPr>
        <w:t>Goals</w:t>
      </w:r>
      <w:r>
        <w:rPr>
          <w:sz w:val="17"/>
        </w:rPr>
        <w:t xml:space="preserve"> — </w:t>
      </w:r>
      <w:r>
        <w:rPr>
          <w:rFonts w:ascii="inherit" w:hAnsi="inherit"/>
          <w:sz w:val="17"/>
        </w:rPr>
        <w:t>In support of the grounding principles of our compensation philosophy (pay for performance and pay commensurate with other value creators) and our interest in ensuring shareholder alignment, we have designed our executive compensation programs to accomplish the following primary goals:</w:t>
      </w:r>
    </w:p>
    <w:tbl>
      <w:tblPr>
        <w:tblW w:w="10205" w:type="dxa"/>
        <w:jc w:val="left"/>
        <w:tblInd w:w="0" w:type="dxa"/>
        <w:tblCellMar>
          <w:top w:w="0" w:type="dxa"/>
          <w:left w:w="0" w:type="dxa"/>
          <w:bottom w:w="0" w:type="dxa"/>
          <w:right w:w="0" w:type="dxa"/>
        </w:tblCellMar>
      </w:tblPr>
      <w:tblGrid>
        <w:gridCol w:w="4019"/>
        <w:gridCol w:w="6186"/>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4019" w:type="dxa"/>
            <w:tcBorders/>
            <w:shd w:fill="auto" w:val="clear"/>
            <w:vAlign w:val="center"/>
          </w:tcPr>
          <w:p>
            <w:pPr>
              <w:pStyle w:val="TableContents"/>
              <w:spacing w:before="0" w:after="283"/>
              <w:rPr>
                <w:sz w:val="4"/>
                <w:szCs w:val="4"/>
              </w:rPr>
            </w:pPr>
            <w:r>
              <w:rPr>
                <w:sz w:val="4"/>
                <w:szCs w:val="4"/>
              </w:rPr>
            </w:r>
          </w:p>
        </w:tc>
        <w:tc>
          <w:tcPr>
            <w:tcW w:w="618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19"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Goal</w:t>
            </w:r>
          </w:p>
        </w:tc>
        <w:tc>
          <w:tcPr>
            <w:tcW w:w="6186"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How Accomplished</w:t>
            </w:r>
          </w:p>
        </w:tc>
      </w:tr>
      <w:tr>
        <w:trPr/>
        <w:tc>
          <w:tcPr>
            <w:tcW w:w="4019" w:type="dxa"/>
            <w:tcBorders/>
            <w:shd w:fill="CCEEFF" w:val="clear"/>
            <w:vAlign w:val="center"/>
          </w:tcPr>
          <w:p>
            <w:pPr>
              <w:pStyle w:val="TableContents"/>
              <w:spacing w:before="0" w:after="0"/>
              <w:rPr>
                <w:sz w:val="15"/>
              </w:rPr>
            </w:pPr>
            <w:r>
              <w:rPr>
                <w:rFonts w:ascii="inherit" w:hAnsi="inherit"/>
                <w:b/>
                <w:sz w:val="15"/>
              </w:rPr>
              <w:t>Pay for performance —</w:t>
            </w:r>
            <w:r>
              <w:rPr>
                <w:sz w:val="15"/>
              </w:rPr>
              <w:t> </w:t>
            </w:r>
            <w:r>
              <w:rPr>
                <w:rFonts w:ascii="inherit" w:hAnsi="inherit"/>
                <w:sz w:val="15"/>
              </w:rPr>
              <w:t>providing actual realized compensation that increases when we have strong financial performance and declines when we have weak financial performance</w:t>
            </w:r>
          </w:p>
          <w:p>
            <w:pPr>
              <w:pStyle w:val="TableContents"/>
              <w:spacing w:before="0" w:after="0"/>
              <w:ind w:left="0" w:right="0" w:firstLine="30"/>
              <w:rPr>
                <w:rFonts w:ascii="inherit" w:hAnsi="inherit"/>
                <w:sz w:val="15"/>
              </w:rPr>
            </w:pPr>
            <w:r>
              <w:rPr>
                <w:rFonts w:ascii="inherit" w:hAnsi="inherit"/>
                <w:sz w:val="15"/>
              </w:rPr>
            </w:r>
          </w:p>
        </w:tc>
        <w:tc>
          <w:tcPr>
            <w:tcW w:w="6186" w:type="dxa"/>
            <w:tcBorders/>
            <w:shd w:fill="CCEEFF" w:val="clear"/>
            <w:vAlign w:val="center"/>
          </w:tcPr>
          <w:p>
            <w:pPr>
              <w:pStyle w:val="TableContents"/>
              <w:spacing w:before="0" w:after="0"/>
              <w:ind w:left="0" w:right="0" w:hanging="180"/>
              <w:rPr/>
            </w:pPr>
            <w:r>
              <w:rPr/>
              <w:t>•  </w:t>
            </w:r>
            <w:r>
              <w:rPr>
                <w:rFonts w:ascii="inherit" w:hAnsi="inherit"/>
                <w:sz w:val="15"/>
              </w:rPr>
              <w:t>Provide a significant portion of executive compensation in the form of performance-based incentives tied both to achievement of specific business objectives and to growth in shareholder value.</w:t>
            </w:r>
          </w:p>
          <w:p>
            <w:pPr>
              <w:pStyle w:val="TableContents"/>
              <w:spacing w:before="0" w:after="0"/>
              <w:ind w:left="0" w:right="0" w:hanging="180"/>
              <w:rPr/>
            </w:pPr>
            <w:r>
              <w:rPr/>
              <w:t>•  </w:t>
            </w:r>
            <w:r>
              <w:rPr>
                <w:rFonts w:ascii="inherit" w:hAnsi="inherit"/>
                <w:sz w:val="15"/>
              </w:rPr>
              <w:t>Achievement of business objectives is measured against specific annual financial and long-term growth goals.</w:t>
            </w:r>
          </w:p>
          <w:p>
            <w:pPr>
              <w:pStyle w:val="TableContents"/>
              <w:spacing w:before="0" w:after="0"/>
              <w:ind w:left="0" w:right="0" w:firstLine="30"/>
              <w:rPr/>
            </w:pPr>
            <w:r>
              <w:rPr/>
              <w:t>•  </w:t>
            </w:r>
            <w:r>
              <w:rPr>
                <w:rFonts w:ascii="inherit" w:hAnsi="inherit"/>
                <w:sz w:val="15"/>
              </w:rPr>
              <w:t>Achievement of growth in shareholder value is measured implicitly through the use of equity incentives that are vested and earned over multiple years.</w:t>
            </w:r>
          </w:p>
        </w:tc>
      </w:tr>
      <w:tr>
        <w:trPr/>
        <w:tc>
          <w:tcPr>
            <w:tcW w:w="4019" w:type="dxa"/>
            <w:tcBorders/>
            <w:shd w:fill="auto" w:val="clear"/>
            <w:vAlign w:val="center"/>
          </w:tcPr>
          <w:p>
            <w:pPr>
              <w:pStyle w:val="TableContents"/>
              <w:spacing w:before="0" w:after="0"/>
              <w:rPr>
                <w:sz w:val="15"/>
              </w:rPr>
            </w:pPr>
            <w:r>
              <w:rPr>
                <w:rFonts w:ascii="inherit" w:hAnsi="inherit"/>
                <w:b/>
                <w:sz w:val="15"/>
              </w:rPr>
              <w:t>Pay commensurate with other value creators —</w:t>
            </w:r>
            <w:r>
              <w:rPr>
                <w:sz w:val="15"/>
              </w:rPr>
              <w:t> </w:t>
            </w:r>
            <w:r>
              <w:rPr>
                <w:rFonts w:ascii="inherit" w:hAnsi="inherit"/>
                <w:sz w:val="15"/>
              </w:rPr>
              <w:t>attracting and retaining highly qualified individuals capable of leading us to achieve our business objectives</w:t>
            </w:r>
          </w:p>
          <w:p>
            <w:pPr>
              <w:pStyle w:val="TableContents"/>
              <w:spacing w:before="0" w:after="0"/>
              <w:ind w:left="0" w:right="0" w:firstLine="30"/>
              <w:rPr>
                <w:rFonts w:ascii="inherit" w:hAnsi="inherit"/>
                <w:sz w:val="15"/>
              </w:rPr>
            </w:pPr>
            <w:r>
              <w:rPr>
                <w:rFonts w:ascii="inherit" w:hAnsi="inherit"/>
                <w:sz w:val="15"/>
              </w:rPr>
            </w:r>
          </w:p>
        </w:tc>
        <w:tc>
          <w:tcPr>
            <w:tcW w:w="6186" w:type="dxa"/>
            <w:tcBorders/>
            <w:shd w:fill="auto" w:val="clear"/>
            <w:vAlign w:val="center"/>
          </w:tcPr>
          <w:p>
            <w:pPr>
              <w:pStyle w:val="TableContents"/>
              <w:spacing w:before="0" w:after="0"/>
              <w:ind w:left="0" w:right="0" w:hanging="180"/>
              <w:rPr/>
            </w:pPr>
            <w:r>
              <w:rPr/>
              <w:t>•  </w:t>
            </w:r>
            <w:r>
              <w:rPr>
                <w:rFonts w:ascii="inherit" w:hAnsi="inherit"/>
                <w:sz w:val="15"/>
              </w:rPr>
              <w:t>Utilize survey and peer group compensation data, as well as the advice and counsel of the Committee's independent advisor, to help ensure that we are providing total direct compensation opportunities that are competitive with the market within which we compete for talent.</w:t>
            </w:r>
          </w:p>
          <w:p>
            <w:pPr>
              <w:pStyle w:val="TableContents"/>
              <w:spacing w:before="0" w:after="0"/>
              <w:ind w:left="0" w:right="0" w:firstLine="30"/>
              <w:rPr/>
            </w:pPr>
            <w:r>
              <w:rPr/>
              <w:t>•  </w:t>
            </w:r>
            <w:r>
              <w:rPr>
                <w:rFonts w:ascii="inherit" w:hAnsi="inherit"/>
                <w:sz w:val="15"/>
              </w:rPr>
              <w:t>Leave a meaningful portion of pay “at risk” based in part on continued employment beyond the current year.</w:t>
            </w:r>
          </w:p>
        </w:tc>
      </w:tr>
      <w:tr>
        <w:trPr/>
        <w:tc>
          <w:tcPr>
            <w:tcW w:w="4019" w:type="dxa"/>
            <w:tcBorders/>
            <w:shd w:fill="CCEEFF" w:val="clear"/>
            <w:vAlign w:val="center"/>
          </w:tcPr>
          <w:p>
            <w:pPr>
              <w:pStyle w:val="TableContents"/>
              <w:spacing w:before="0" w:after="0"/>
              <w:rPr>
                <w:rFonts w:ascii="inherit" w:hAnsi="inherit"/>
                <w:b/>
                <w:sz w:val="15"/>
              </w:rPr>
            </w:pPr>
            <w:r>
              <w:rPr>
                <w:rFonts w:ascii="inherit" w:hAnsi="inherit"/>
                <w:b/>
                <w:sz w:val="15"/>
              </w:rPr>
              <w:t>Shareholder alignment and long-term commitment</w:t>
            </w:r>
          </w:p>
          <w:p>
            <w:pPr>
              <w:pStyle w:val="TableContents"/>
              <w:spacing w:before="0" w:after="0"/>
              <w:ind w:left="0" w:right="0" w:firstLine="30"/>
              <w:rPr>
                <w:rFonts w:ascii="inherit" w:hAnsi="inherit"/>
                <w:sz w:val="15"/>
              </w:rPr>
            </w:pPr>
            <w:r>
              <w:rPr>
                <w:rFonts w:ascii="inherit" w:hAnsi="inherit"/>
                <w:sz w:val="15"/>
              </w:rPr>
            </w:r>
          </w:p>
        </w:tc>
        <w:tc>
          <w:tcPr>
            <w:tcW w:w="6186" w:type="dxa"/>
            <w:tcBorders/>
            <w:shd w:fill="CCEEFF" w:val="clear"/>
            <w:vAlign w:val="center"/>
          </w:tcPr>
          <w:p>
            <w:pPr>
              <w:pStyle w:val="TableContents"/>
              <w:spacing w:before="0" w:after="0"/>
              <w:ind w:left="0" w:right="0" w:hanging="180"/>
              <w:rPr/>
            </w:pPr>
            <w:r>
              <w:rPr/>
              <w:t>•  </w:t>
            </w:r>
            <w:r>
              <w:rPr>
                <w:rFonts w:ascii="inherit" w:hAnsi="inherit"/>
                <w:sz w:val="15"/>
              </w:rPr>
              <w:t>Tie a meaningful portion of executive rewards to growth in shareholder value through grants of restricted shares that vest over multiple years.</w:t>
            </w:r>
          </w:p>
          <w:p>
            <w:pPr>
              <w:pStyle w:val="TableContents"/>
              <w:spacing w:before="0" w:after="0"/>
              <w:ind w:left="0" w:right="0" w:hanging="180"/>
              <w:rPr/>
            </w:pPr>
            <w:r>
              <w:rPr/>
              <w:t>•  </w:t>
            </w:r>
            <w:r>
              <w:rPr>
                <w:rFonts w:ascii="inherit" w:hAnsi="inherit"/>
                <w:sz w:val="15"/>
              </w:rPr>
              <w:t>Further promote focus on growth in shareholder value through the use of performance-vested long-term incentive awards for our most senior executives.</w:t>
            </w:r>
          </w:p>
          <w:p>
            <w:pPr>
              <w:pStyle w:val="TableContents"/>
              <w:spacing w:before="0" w:after="0"/>
              <w:ind w:left="0" w:right="0" w:hanging="180"/>
              <w:rPr>
                <w:rFonts w:ascii="inherit" w:hAnsi="inherit"/>
                <w:sz w:val="15"/>
              </w:rPr>
            </w:pPr>
            <w:r>
              <w:rPr>
                <w:rFonts w:ascii="inherit" w:hAnsi="inherit"/>
                <w:sz w:val="15"/>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i/>
          <w:sz w:val="17"/>
        </w:rPr>
        <w:t>Components</w:t>
      </w:r>
      <w:r>
        <w:rPr>
          <w:sz w:val="17"/>
        </w:rPr>
        <w:t xml:space="preserve"> — </w:t>
      </w:r>
      <w:r>
        <w:rPr>
          <w:rFonts w:ascii="inherit" w:hAnsi="inherit"/>
          <w:sz w:val="17"/>
        </w:rPr>
        <w:t>Executive officer “total direct” compensation is composed of three principal components, each one contributing to the accomplishment of our compensation program goals.</w:t>
      </w:r>
    </w:p>
    <w:tbl>
      <w:tblPr>
        <w:tblW w:w="10205" w:type="dxa"/>
        <w:jc w:val="center"/>
        <w:tblInd w:w="0" w:type="dxa"/>
        <w:tblCellMar>
          <w:top w:w="0" w:type="dxa"/>
          <w:left w:w="0" w:type="dxa"/>
          <w:bottom w:w="0" w:type="dxa"/>
          <w:right w:w="0" w:type="dxa"/>
        </w:tblCellMar>
      </w:tblPr>
      <w:tblGrid>
        <w:gridCol w:w="1946"/>
        <w:gridCol w:w="3297"/>
        <w:gridCol w:w="975"/>
        <w:gridCol w:w="1322"/>
        <w:gridCol w:w="1274"/>
        <w:gridCol w:w="1391"/>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1946" w:type="dxa"/>
            <w:tcBorders/>
            <w:shd w:fill="auto" w:val="clear"/>
            <w:vAlign w:val="center"/>
          </w:tcPr>
          <w:p>
            <w:pPr>
              <w:pStyle w:val="TableContents"/>
              <w:spacing w:before="0" w:after="283"/>
              <w:rPr>
                <w:sz w:val="4"/>
                <w:szCs w:val="4"/>
              </w:rPr>
            </w:pPr>
            <w:r>
              <w:rPr>
                <w:sz w:val="4"/>
                <w:szCs w:val="4"/>
              </w:rPr>
            </w:r>
          </w:p>
        </w:tc>
        <w:tc>
          <w:tcPr>
            <w:tcW w:w="3297"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46"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Compensation Component</w:t>
            </w:r>
          </w:p>
        </w:tc>
        <w:tc>
          <w:tcPr>
            <w:tcW w:w="3297"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Description</w:t>
            </w:r>
          </w:p>
        </w:tc>
        <w:tc>
          <w:tcPr>
            <w:tcW w:w="97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Attract and Retain</w:t>
            </w:r>
          </w:p>
        </w:tc>
        <w:tc>
          <w:tcPr>
            <w:tcW w:w="1322"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Pay for Performance</w:t>
            </w:r>
          </w:p>
        </w:tc>
        <w:tc>
          <w:tcPr>
            <w:tcW w:w="1274"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Shareholder Alignment</w:t>
            </w:r>
          </w:p>
        </w:tc>
        <w:tc>
          <w:tcPr>
            <w:tcW w:w="1391"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Long-term Commitment</w:t>
            </w:r>
          </w:p>
        </w:tc>
      </w:tr>
      <w:tr>
        <w:trPr/>
        <w:tc>
          <w:tcPr>
            <w:tcW w:w="1946"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Base Salary</w:t>
            </w:r>
          </w:p>
        </w:tc>
        <w:tc>
          <w:tcPr>
            <w:tcW w:w="3297"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r>
              <w:rPr>
                <w:rFonts w:ascii="inherit" w:hAnsi="inherit"/>
                <w:sz w:val="15"/>
              </w:rPr>
              <w:t>A market-competitive salary is an essential factor in attracting and retaining qualified personnel.</w:t>
            </w:r>
          </w:p>
        </w:tc>
        <w:tc>
          <w:tcPr>
            <w:tcW w:w="975"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Wingdings" w:hAnsi="Wingdings"/>
                <w:sz w:val="23"/>
              </w:rPr>
            </w:pPr>
            <w:r>
              <w:rPr>
                <w:rFonts w:ascii="Wingdings" w:hAnsi="Wingdings"/>
                <w:sz w:val="23"/>
              </w:rPr>
              <w:t>ü</w:t>
            </w:r>
          </w:p>
        </w:tc>
        <w:tc>
          <w:tcPr>
            <w:tcW w:w="1322"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274"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91"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r>
      <w:tr>
        <w:trPr/>
        <w:tc>
          <w:tcPr>
            <w:tcW w:w="1946" w:type="dxa"/>
            <w:tcBorders/>
            <w:shd w:fill="auto" w:val="clear"/>
            <w:vAlign w:val="center"/>
          </w:tcPr>
          <w:p>
            <w:pPr>
              <w:pStyle w:val="TableContents"/>
              <w:spacing w:before="0" w:after="0"/>
              <w:ind w:left="0" w:right="0" w:firstLine="30"/>
              <w:jc w:val="left"/>
              <w:rPr>
                <w:rFonts w:ascii="inherit" w:hAnsi="inherit"/>
                <w:b/>
                <w:sz w:val="15"/>
              </w:rPr>
            </w:pPr>
            <w:r>
              <w:rPr>
                <w:rFonts w:ascii="inherit" w:hAnsi="inherit"/>
                <w:b/>
                <w:sz w:val="15"/>
              </w:rPr>
              <w:t>Annual Incentives</w:t>
            </w:r>
          </w:p>
        </w:tc>
        <w:tc>
          <w:tcPr>
            <w:tcW w:w="3297" w:type="dxa"/>
            <w:tcBorders/>
            <w:shd w:fill="auto" w:val="clear"/>
            <w:vAlign w:val="center"/>
          </w:tcPr>
          <w:p>
            <w:pPr>
              <w:pStyle w:val="TableContents"/>
              <w:spacing w:before="0" w:after="0"/>
              <w:ind w:left="0" w:right="0" w:hanging="180"/>
              <w:jc w:val="left"/>
              <w:rPr/>
            </w:pPr>
            <w:r>
              <w:rPr/>
              <w:t>•  </w:t>
            </w:r>
            <w:r>
              <w:rPr>
                <w:rFonts w:ascii="inherit" w:hAnsi="inherit"/>
                <w:sz w:val="15"/>
              </w:rPr>
              <w:t>Annual cash bonus opportunity.</w:t>
            </w:r>
          </w:p>
          <w:p>
            <w:pPr>
              <w:pStyle w:val="TableContents"/>
              <w:spacing w:before="0" w:after="0"/>
              <w:ind w:left="0" w:right="0" w:firstLine="30"/>
              <w:jc w:val="left"/>
              <w:rPr/>
            </w:pPr>
            <w:r>
              <w:rPr/>
              <w:t>•  </w:t>
            </w:r>
            <w:r>
              <w:rPr>
                <w:rFonts w:ascii="inherit" w:hAnsi="inherit"/>
                <w:sz w:val="15"/>
              </w:rPr>
              <w:t>Awards are tied to an assessment of annual corporate and business unit financial performance and individual contribution.</w:t>
            </w:r>
          </w:p>
        </w:tc>
        <w:tc>
          <w:tcPr>
            <w:tcW w:w="975" w:type="dxa"/>
            <w:tcBorders/>
            <w:shd w:fill="auto" w:val="clear"/>
            <w:vAlign w:val="center"/>
          </w:tcPr>
          <w:p>
            <w:pPr>
              <w:pStyle w:val="TableContents"/>
              <w:spacing w:before="0" w:after="0"/>
              <w:ind w:left="0" w:right="0" w:firstLine="30"/>
              <w:jc w:val="center"/>
              <w:rPr>
                <w:rFonts w:ascii="Wingdings" w:hAnsi="Wingdings"/>
                <w:sz w:val="23"/>
              </w:rPr>
            </w:pPr>
            <w:r>
              <w:rPr>
                <w:rFonts w:ascii="Wingdings" w:hAnsi="Wingdings"/>
                <w:sz w:val="23"/>
              </w:rPr>
              <w:t>ü</w:t>
            </w:r>
          </w:p>
        </w:tc>
        <w:tc>
          <w:tcPr>
            <w:tcW w:w="1322" w:type="dxa"/>
            <w:tcBorders/>
            <w:shd w:fill="auto" w:val="clear"/>
            <w:vAlign w:val="center"/>
          </w:tcPr>
          <w:p>
            <w:pPr>
              <w:pStyle w:val="TableContents"/>
              <w:spacing w:before="0" w:after="0"/>
              <w:ind w:left="0" w:right="0" w:firstLine="30"/>
              <w:jc w:val="center"/>
              <w:rPr>
                <w:rFonts w:ascii="Wingdings" w:hAnsi="Wingdings"/>
                <w:sz w:val="23"/>
              </w:rPr>
            </w:pPr>
            <w:r>
              <w:rPr>
                <w:rFonts w:ascii="Wingdings" w:hAnsi="Wingdings"/>
                <w:sz w:val="23"/>
              </w:rPr>
              <w:t>ü</w:t>
            </w:r>
          </w:p>
        </w:tc>
        <w:tc>
          <w:tcPr>
            <w:tcW w:w="1274" w:type="dxa"/>
            <w:tcBorders/>
            <w:shd w:fill="auto" w:val="clear"/>
            <w:vAlign w:val="center"/>
          </w:tcPr>
          <w:p>
            <w:pPr>
              <w:pStyle w:val="TableContents"/>
              <w:spacing w:before="0" w:after="0"/>
              <w:ind w:left="0" w:right="0" w:firstLine="30"/>
              <w:jc w:val="center"/>
              <w:rPr>
                <w:rFonts w:ascii="Wingdings" w:hAnsi="Wingdings"/>
                <w:sz w:val="23"/>
              </w:rPr>
            </w:pPr>
            <w:r>
              <w:rPr>
                <w:rFonts w:ascii="Wingdings" w:hAnsi="Wingdings"/>
                <w:sz w:val="23"/>
              </w:rPr>
              <w:t>ü</w:t>
            </w:r>
          </w:p>
        </w:tc>
        <w:tc>
          <w:tcPr>
            <w:tcW w:w="1391" w:type="dxa"/>
            <w:tcBorders/>
            <w:shd w:fill="auto" w:val="clear"/>
            <w:vAlign w:val="center"/>
          </w:tcPr>
          <w:p>
            <w:pPr>
              <w:pStyle w:val="TableContents"/>
              <w:spacing w:before="0" w:after="0"/>
              <w:ind w:left="0" w:right="0" w:firstLine="30"/>
              <w:rPr/>
            </w:pPr>
            <w:r>
              <w:rPr/>
              <w:t> </w:t>
            </w:r>
          </w:p>
        </w:tc>
      </w:tr>
      <w:tr>
        <w:trPr/>
        <w:tc>
          <w:tcPr>
            <w:tcW w:w="1946"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Long-term Incentives</w:t>
            </w:r>
          </w:p>
        </w:tc>
        <w:tc>
          <w:tcPr>
            <w:tcW w:w="3297" w:type="dxa"/>
            <w:tcBorders/>
            <w:shd w:fill="CCEEFF" w:val="clear"/>
            <w:vAlign w:val="center"/>
          </w:tcPr>
          <w:p>
            <w:pPr>
              <w:pStyle w:val="TableContents"/>
              <w:spacing w:before="0" w:after="0"/>
              <w:ind w:left="0" w:right="0" w:hanging="180"/>
              <w:rPr/>
            </w:pPr>
            <w:r>
              <w:rPr/>
              <w:t>•  </w:t>
            </w:r>
            <w:r>
              <w:rPr>
                <w:rFonts w:ascii="inherit" w:hAnsi="inherit"/>
                <w:sz w:val="15"/>
              </w:rPr>
              <w:t>Equity incentive grants.</w:t>
            </w:r>
          </w:p>
          <w:p>
            <w:pPr>
              <w:pStyle w:val="TableContents"/>
              <w:spacing w:before="0" w:after="0"/>
              <w:ind w:left="0" w:right="0" w:hanging="180"/>
              <w:rPr/>
            </w:pPr>
            <w:r>
              <w:rPr/>
              <w:t>•  </w:t>
            </w:r>
            <w:r>
              <w:rPr>
                <w:rFonts w:ascii="inherit" w:hAnsi="inherit"/>
                <w:sz w:val="15"/>
              </w:rPr>
              <w:t>Performance-vested restricted stock grants for our executive officers tied to achievement of consistent multi-year growth in earnings.</w:t>
            </w:r>
          </w:p>
          <w:p>
            <w:pPr>
              <w:pStyle w:val="TableContents"/>
              <w:spacing w:before="0" w:after="0"/>
              <w:ind w:left="0" w:right="0" w:firstLine="30"/>
              <w:rPr>
                <w:rFonts w:ascii="inherit" w:hAnsi="inherit"/>
                <w:sz w:val="15"/>
              </w:rPr>
            </w:pPr>
            <w:r>
              <w:rPr>
                <w:rFonts w:ascii="inherit" w:hAnsi="inherit"/>
                <w:sz w:val="15"/>
              </w:rPr>
            </w:r>
          </w:p>
        </w:tc>
        <w:tc>
          <w:tcPr>
            <w:tcW w:w="975" w:type="dxa"/>
            <w:tcBorders/>
            <w:shd w:fill="CCEEFF" w:val="clear"/>
            <w:vAlign w:val="center"/>
          </w:tcPr>
          <w:p>
            <w:pPr>
              <w:pStyle w:val="TableContents"/>
              <w:spacing w:before="0" w:after="0"/>
              <w:ind w:left="0" w:right="0" w:firstLine="30"/>
              <w:jc w:val="center"/>
              <w:rPr>
                <w:rFonts w:ascii="Wingdings" w:hAnsi="Wingdings"/>
                <w:sz w:val="23"/>
              </w:rPr>
            </w:pPr>
            <w:r>
              <w:rPr>
                <w:rFonts w:ascii="Wingdings" w:hAnsi="Wingdings"/>
                <w:sz w:val="23"/>
              </w:rPr>
              <w:t>ü</w:t>
            </w:r>
          </w:p>
        </w:tc>
        <w:tc>
          <w:tcPr>
            <w:tcW w:w="1322" w:type="dxa"/>
            <w:tcBorders/>
            <w:shd w:fill="CCEEFF" w:val="clear"/>
            <w:vAlign w:val="center"/>
          </w:tcPr>
          <w:p>
            <w:pPr>
              <w:pStyle w:val="TableContents"/>
              <w:spacing w:before="0" w:after="0"/>
              <w:ind w:left="0" w:right="0" w:firstLine="30"/>
              <w:jc w:val="center"/>
              <w:rPr>
                <w:rFonts w:ascii="Wingdings" w:hAnsi="Wingdings"/>
                <w:sz w:val="23"/>
              </w:rPr>
            </w:pPr>
            <w:r>
              <w:rPr>
                <w:rFonts w:ascii="Wingdings" w:hAnsi="Wingdings"/>
                <w:sz w:val="23"/>
              </w:rPr>
              <w:t>ü</w:t>
            </w:r>
          </w:p>
        </w:tc>
        <w:tc>
          <w:tcPr>
            <w:tcW w:w="1274" w:type="dxa"/>
            <w:tcBorders/>
            <w:shd w:fill="CCEEFF" w:val="clear"/>
            <w:vAlign w:val="center"/>
          </w:tcPr>
          <w:p>
            <w:pPr>
              <w:pStyle w:val="TableContents"/>
              <w:spacing w:before="0" w:after="0"/>
              <w:ind w:left="0" w:right="0" w:firstLine="30"/>
              <w:jc w:val="center"/>
              <w:rPr>
                <w:rFonts w:ascii="Wingdings" w:hAnsi="Wingdings"/>
                <w:sz w:val="23"/>
              </w:rPr>
            </w:pPr>
            <w:r>
              <w:rPr>
                <w:rFonts w:ascii="Wingdings" w:hAnsi="Wingdings"/>
                <w:sz w:val="23"/>
              </w:rPr>
              <w:t>ü</w:t>
            </w:r>
          </w:p>
        </w:tc>
        <w:tc>
          <w:tcPr>
            <w:tcW w:w="1391" w:type="dxa"/>
            <w:tcBorders/>
            <w:shd w:fill="CCEEFF" w:val="clear"/>
            <w:vAlign w:val="center"/>
          </w:tcPr>
          <w:p>
            <w:pPr>
              <w:pStyle w:val="TableContents"/>
              <w:spacing w:before="0" w:after="0"/>
              <w:jc w:val="center"/>
              <w:rPr>
                <w:rFonts w:ascii="Wingdings" w:hAnsi="Wingdings"/>
                <w:sz w:val="23"/>
              </w:rPr>
            </w:pPr>
            <w:r>
              <w:rPr>
                <w:rFonts w:ascii="Wingdings" w:hAnsi="Wingdings"/>
                <w:sz w:val="23"/>
              </w:rPr>
              <w:t>ü</w:t>
            </w:r>
          </w:p>
        </w:tc>
      </w:tr>
    </w:tbl>
    <w:p>
      <w:pPr>
        <w:pStyle w:val="TextBody"/>
        <w:spacing w:lineRule="auto" w:line="288" w:before="0" w:after="0"/>
        <w:jc w:val="center"/>
        <w:rPr/>
      </w:pPr>
      <w:r>
        <w:rPr/>
        <w:drawing>
          <wp:inline distT="0" distB="0" distL="0" distR="0">
            <wp:extent cx="5076825" cy="2686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076825" cy="2686050"/>
                    </a:xfrm>
                    <a:prstGeom prst="rect">
                      <a:avLst/>
                    </a:prstGeom>
                  </pic:spPr>
                </pic:pic>
              </a:graphicData>
            </a:graphic>
          </wp:inline>
        </w:drawing>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116</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i/>
          <w:sz w:val="17"/>
        </w:rPr>
        <w:t>Competitive Posture —</w:t>
      </w:r>
      <w:r>
        <w:rPr>
          <w:sz w:val="17"/>
        </w:rPr>
        <w:t xml:space="preserve"> </w:t>
      </w:r>
      <w:r>
        <w:rPr>
          <w:rFonts w:ascii="inherit" w:hAnsi="inherit"/>
          <w:sz w:val="17"/>
        </w:rPr>
        <w:t xml:space="preserve">We target compensation for our executive officers as a group at a level of the marketplace that is consistent with our performance relative to our direct competitors, as well as other high-performing companies in similar industries (the “competitive market”). The Committee has historically targeted compensation opportunities for senior executives at roughly the 75th percentile of our competitive market. The Committee feels that this competitive posture has proven a competitive advantage to the Company, allowing us to attract and retain the caliber of executives required to maintain exceptional operations and financial results. </w:t>
      </w:r>
    </w:p>
    <w:p>
      <w:pPr>
        <w:pStyle w:val="TextBody"/>
        <w:spacing w:lineRule="auto" w:line="288" w:before="0" w:after="0"/>
        <w:jc w:val="left"/>
        <w:rPr>
          <w:rFonts w:ascii="inherit" w:hAnsi="inherit"/>
          <w:sz w:val="17"/>
        </w:rPr>
      </w:pPr>
      <w:r>
        <w:rPr>
          <w:rFonts w:ascii="inherit" w:hAnsi="inherit"/>
          <w:sz w:val="17"/>
        </w:rPr>
        <w:t>It is important to note, however, that the majority of pay opportunities for our top executives are incentive based and that actual realizable compensation is heavily dependent upon actual Company performance. The Committee believes that actual realizable compensation for our top executives remains well aligned with our performance.</w:t>
      </w:r>
    </w:p>
    <w:p>
      <w:pPr>
        <w:pStyle w:val="TextBody"/>
        <w:spacing w:lineRule="auto" w:line="288" w:before="0" w:after="0"/>
        <w:jc w:val="left"/>
        <w:rPr>
          <w:sz w:val="17"/>
        </w:rPr>
      </w:pPr>
      <w:r>
        <w:rPr>
          <w:rFonts w:ascii="inherit" w:hAnsi="inherit"/>
          <w:i/>
          <w:sz w:val="17"/>
        </w:rPr>
        <w:t>Pay Mix</w:t>
      </w:r>
      <w:r>
        <w:rPr>
          <w:sz w:val="17"/>
        </w:rPr>
        <w:t xml:space="preserve"> — </w:t>
      </w:r>
      <w:r>
        <w:rPr>
          <w:rFonts w:ascii="inherit" w:hAnsi="inherit"/>
          <w:sz w:val="17"/>
        </w:rPr>
        <w:t>The Committee reviews the mix of base salary, cash bonus and long-term incentives annually. The Committee does not target a fixed percentage allocation among the compensation elements, but rather aims to provide the majority of executive officer compensation opportunities in the form of incentive compensation. The charts below show the mix of target compensation opportunities for our Named Executive Officers in fiscal 2013.</w:t>
      </w:r>
    </w:p>
    <w:tbl>
      <w:tblPr>
        <w:tblW w:w="4488" w:type="dxa"/>
        <w:jc w:val="center"/>
        <w:tblInd w:w="0" w:type="dxa"/>
        <w:tblCellMar>
          <w:top w:w="0" w:type="dxa"/>
          <w:left w:w="0" w:type="dxa"/>
          <w:bottom w:w="0" w:type="dxa"/>
          <w:right w:w="0" w:type="dxa"/>
        </w:tblCellMar>
      </w:tblPr>
      <w:tblGrid>
        <w:gridCol w:w="2244"/>
        <w:gridCol w:w="2244"/>
      </w:tblGrid>
      <w:tr>
        <w:trPr/>
        <w:tc>
          <w:tcPr>
            <w:tcW w:w="4488" w:type="dxa"/>
            <w:gridSpan w:val="2"/>
            <w:tcBorders/>
            <w:shd w:fill="auto" w:val="clear"/>
            <w:vAlign w:val="center"/>
          </w:tcPr>
          <w:p>
            <w:pPr>
              <w:pStyle w:val="TableContents"/>
              <w:spacing w:before="0" w:after="283"/>
              <w:rPr>
                <w:sz w:val="4"/>
                <w:szCs w:val="4"/>
              </w:rPr>
            </w:pPr>
            <w:r>
              <w:rPr>
                <w:sz w:val="4"/>
                <w:szCs w:val="4"/>
              </w:rPr>
            </w:r>
          </w:p>
        </w:tc>
      </w:tr>
      <w:tr>
        <w:trPr/>
        <w:tc>
          <w:tcPr>
            <w:tcW w:w="2244" w:type="dxa"/>
            <w:tcBorders/>
            <w:shd w:fill="auto" w:val="clear"/>
            <w:vAlign w:val="center"/>
          </w:tcPr>
          <w:p>
            <w:pPr>
              <w:pStyle w:val="TableContents"/>
              <w:spacing w:before="0" w:after="283"/>
              <w:rPr>
                <w:sz w:val="4"/>
                <w:szCs w:val="4"/>
              </w:rPr>
            </w:pPr>
            <w:r>
              <w:rPr>
                <w:sz w:val="4"/>
                <w:szCs w:val="4"/>
              </w:rPr>
            </w:r>
          </w:p>
        </w:tc>
        <w:tc>
          <w:tcPr>
            <w:tcW w:w="224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88" w:type="dxa"/>
            <w:gridSpan w:val="2"/>
            <w:tcBorders/>
            <w:shd w:fill="auto" w:val="clear"/>
            <w:vAlign w:val="center"/>
          </w:tcPr>
          <w:p>
            <w:pPr>
              <w:pStyle w:val="TableContents"/>
              <w:spacing w:before="0" w:after="0"/>
              <w:jc w:val="center"/>
              <w:rPr>
                <w:rFonts w:ascii="inherit" w:hAnsi="inherit"/>
                <w:b/>
                <w:sz w:val="17"/>
              </w:rPr>
            </w:pPr>
            <w:r>
              <w:rPr>
                <w:rFonts w:ascii="inherit" w:hAnsi="inherit"/>
                <w:b/>
                <w:sz w:val="17"/>
              </w:rPr>
              <w:t>2013 Target Total Direct Compensation Mix</w:t>
            </w:r>
          </w:p>
        </w:tc>
      </w:tr>
    </w:tbl>
    <w:p>
      <w:pPr>
        <w:pStyle w:val="TextBody"/>
        <w:spacing w:lineRule="auto" w:line="288" w:before="0" w:after="0"/>
        <w:ind w:left="0" w:right="0" w:firstLine="2160"/>
        <w:jc w:val="left"/>
        <w:rPr/>
      </w:pPr>
      <w:r>
        <w:rPr/>
        <w:t xml:space="preserve"> </w:t>
      </w:r>
      <w:r>
        <w:rPr>
          <w:rFonts w:ascii="inherit" w:hAnsi="inherit"/>
          <w:b/>
          <w:sz w:val="17"/>
        </w:rPr>
        <w:t>Top 2 Executives:</w:t>
      </w:r>
    </w:p>
    <w:p>
      <w:pPr>
        <w:pStyle w:val="TextBody"/>
        <w:spacing w:lineRule="auto" w:line="288" w:before="0" w:after="0"/>
        <w:ind w:left="0" w:right="0" w:firstLine="1440"/>
        <w:jc w:val="left"/>
        <w:rPr/>
      </w:pPr>
      <w:r>
        <w:rPr/>
        <w:t xml:space="preserve">      </w:t>
      </w:r>
      <w:r>
        <w:rPr>
          <w:rFonts w:ascii="inherit" w:hAnsi="inherit"/>
          <w:b/>
          <w:sz w:val="17"/>
        </w:rPr>
        <w:t>Executive Chairman &amp; CEO</w:t>
      </w:r>
      <w:r>
        <w:rPr>
          <w:sz w:val="17"/>
        </w:rPr>
        <w:t>                </w:t>
      </w:r>
      <w:r>
        <w:rPr>
          <w:rFonts w:ascii="inherit" w:hAnsi="inherit"/>
          <w:b/>
          <w:sz w:val="17"/>
        </w:rPr>
        <w:t>Other NEOs</w:t>
      </w:r>
    </w:p>
    <w:p>
      <w:pPr>
        <w:pStyle w:val="TextBody"/>
        <w:spacing w:lineRule="auto" w:line="288" w:before="0" w:after="0"/>
        <w:jc w:val="center"/>
        <w:rPr/>
      </w:pPr>
      <w:r>
        <w:rPr/>
        <w:drawing>
          <wp:inline distT="0" distB="0" distL="0" distR="0">
            <wp:extent cx="2381250" cy="2524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0" cy="2524125"/>
                    </a:xfrm>
                    <a:prstGeom prst="rect">
                      <a:avLst/>
                    </a:prstGeom>
                  </pic:spPr>
                </pic:pic>
              </a:graphicData>
            </a:graphic>
          </wp:inline>
        </w:drawing>
      </w:r>
      <w:r>
        <w:rPr/>
        <w:drawing>
          <wp:inline distT="0" distB="0" distL="0" distR="0">
            <wp:extent cx="2628900" cy="2524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628900" cy="2524125"/>
                    </a:xfrm>
                    <a:prstGeom prst="rect">
                      <a:avLst/>
                    </a:prstGeom>
                  </pic:spPr>
                </pic:pic>
              </a:graphicData>
            </a:graphic>
          </wp:inline>
        </w:drawing>
      </w:r>
    </w:p>
    <w:p>
      <w:pPr>
        <w:pStyle w:val="TextBody"/>
        <w:spacing w:lineRule="auto" w:line="288" w:before="0" w:after="0"/>
        <w:jc w:val="left"/>
        <w:rPr>
          <w:sz w:val="17"/>
        </w:rPr>
      </w:pPr>
      <w:r>
        <w:rPr>
          <w:rFonts w:ascii="inherit" w:hAnsi="inherit"/>
          <w:b/>
          <w:sz w:val="17"/>
        </w:rPr>
        <w:t>Compensation Methodology and Process</w:t>
      </w:r>
      <w:r>
        <w:rPr>
          <w:sz w:val="17"/>
        </w:rPr>
        <w:t xml:space="preserve"> </w:t>
      </w:r>
    </w:p>
    <w:p>
      <w:pPr>
        <w:pStyle w:val="TextBody"/>
        <w:spacing w:lineRule="auto" w:line="288" w:before="0" w:after="0"/>
        <w:jc w:val="left"/>
        <w:rPr>
          <w:rFonts w:ascii="inherit" w:hAnsi="inherit"/>
          <w:i/>
          <w:sz w:val="17"/>
        </w:rPr>
      </w:pPr>
      <w:r>
        <w:rPr>
          <w:rFonts w:ascii="inherit" w:hAnsi="inherit"/>
          <w:i/>
          <w:sz w:val="17"/>
        </w:rPr>
        <w:t>Role of the Committee</w:t>
      </w:r>
    </w:p>
    <w:p>
      <w:pPr>
        <w:pStyle w:val="TextBody"/>
        <w:spacing w:lineRule="auto" w:line="288" w:before="0" w:after="0"/>
        <w:rPr>
          <w:rFonts w:ascii="inherit" w:hAnsi="inherit"/>
          <w:sz w:val="17"/>
        </w:rPr>
      </w:pPr>
      <w:r>
        <w:rPr>
          <w:rFonts w:ascii="inherit" w:hAnsi="inherit"/>
          <w:sz w:val="17"/>
        </w:rPr>
        <w:t>The Board of Directors has authorized the Committee to establish the compensation programs for all senior executives and to provide oversight for compliance with our compensation philosophy. The Committee delegates the day-to-day administration of the compensation plans to management (except with respect to our senior executives), but retains responsibility for ensuring that the plan administration is consistent with the Company's policies.</w:t>
      </w:r>
    </w:p>
    <w:p>
      <w:pPr>
        <w:pStyle w:val="TextBody"/>
        <w:spacing w:lineRule="auto" w:line="288" w:before="0" w:after="0"/>
        <w:jc w:val="left"/>
        <w:rPr>
          <w:rFonts w:ascii="inherit" w:hAnsi="inherit"/>
          <w:sz w:val="17"/>
        </w:rPr>
      </w:pPr>
      <w:r>
        <w:rPr>
          <w:rFonts w:ascii="inherit" w:hAnsi="inherit"/>
          <w:sz w:val="17"/>
        </w:rPr>
        <w:t>Annually, the Committee sets the compensation for senior executives, including objectives and awards under incentive plans. For this purpose, “senior executives” include the executive officers and any other employee with an annual base salary of $250,000 or more. The Committee also makes recommendations to the Board of Directors on appropriate compensation for the non-employee directors.</w:t>
      </w:r>
    </w:p>
    <w:p>
      <w:pPr>
        <w:pStyle w:val="TextBody"/>
        <w:spacing w:lineRule="auto" w:line="288" w:before="0" w:after="0"/>
        <w:jc w:val="left"/>
        <w:rPr>
          <w:rFonts w:ascii="inherit" w:hAnsi="inherit"/>
          <w:sz w:val="17"/>
        </w:rPr>
      </w:pPr>
      <w:r>
        <w:rPr>
          <w:rFonts w:ascii="inherit" w:hAnsi="inherit"/>
          <w:sz w:val="17"/>
        </w:rPr>
        <w:t>In addition to overseeing the compensation of senior executives, the Committee approves all awards under equity-based compensation plans and long-term cash incentive plans for all other employees. For more information on the Committee's role, see the Committee's charter, which can be found in the Investor Relations section of our website at www.ezcorp.com.</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117</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i/>
          <w:sz w:val="17"/>
        </w:rPr>
      </w:pPr>
      <w:r>
        <w:rPr>
          <w:rFonts w:ascii="inherit" w:hAnsi="inherit"/>
          <w:i/>
          <w:sz w:val="17"/>
        </w:rPr>
        <w:t>Role of the Compensation Consultant</w:t>
      </w:r>
    </w:p>
    <w:p>
      <w:pPr>
        <w:pStyle w:val="TextBody"/>
        <w:spacing w:lineRule="auto" w:line="288" w:before="0" w:after="0"/>
        <w:jc w:val="left"/>
        <w:rPr>
          <w:rFonts w:ascii="inherit" w:hAnsi="inherit"/>
          <w:sz w:val="17"/>
        </w:rPr>
      </w:pPr>
      <w:r>
        <w:rPr>
          <w:rFonts w:ascii="inherit" w:hAnsi="inherit"/>
          <w:sz w:val="17"/>
        </w:rPr>
        <w:t xml:space="preserve">Pursuant to its charter, the Committee has the sole authority to retain, terminate, obtain advice from, oversee and compensate its outside advisors, including its compensation consultant. The Company has provided appropriate funding to the Committee to do so. </w:t>
      </w:r>
    </w:p>
    <w:p>
      <w:pPr>
        <w:pStyle w:val="TextBody"/>
        <w:spacing w:lineRule="auto" w:line="288" w:before="0" w:after="0"/>
        <w:jc w:val="left"/>
        <w:rPr>
          <w:rFonts w:ascii="inherit" w:hAnsi="inherit"/>
          <w:sz w:val="17"/>
        </w:rPr>
      </w:pPr>
      <w:r>
        <w:rPr>
          <w:rFonts w:ascii="inherit" w:hAnsi="inherit"/>
          <w:sz w:val="17"/>
        </w:rPr>
        <w:t xml:space="preserve">In fiscal 2013, the Committee retained Pearl Meyer &amp; Partners (“Pearl Meyer”) as its independent executive compensation consultant. None of EZCORP's management participated in the Committee's decision to retain Pearl Meyer. Pearl Meyer reports directly to the Committee, and the Committee may replace Pearl Meyer or hire additional consultants at any time. Pearl Meyer attends meetings of the Committee, as requested, and communicates with the Chair of the Committee between meetings; however, the Committee makes all decisions regarding the compensation of the Company's senior executives. </w:t>
      </w:r>
    </w:p>
    <w:p>
      <w:pPr>
        <w:pStyle w:val="TextBody"/>
        <w:spacing w:lineRule="auto" w:line="288" w:before="0" w:after="0"/>
        <w:jc w:val="left"/>
        <w:rPr>
          <w:rFonts w:ascii="inherit" w:hAnsi="inherit"/>
          <w:sz w:val="17"/>
        </w:rPr>
      </w:pPr>
      <w:r>
        <w:rPr>
          <w:rFonts w:ascii="inherit" w:hAnsi="inherit"/>
          <w:sz w:val="17"/>
        </w:rPr>
        <w:t>Pearl Meyer provides various executive compensation services to the Committee with respect to the senior executives pursuant to a written consulting agreement with the Committee. The services Pearl Meyer provides under the agreement include advising the Committee on the principal aspects of our executive compensation program and evolving best practices, and providing market information and analysis regarding the competitiveness of our program design and award values in relationship to our performance.</w:t>
      </w:r>
    </w:p>
    <w:p>
      <w:pPr>
        <w:pStyle w:val="TextBody"/>
        <w:spacing w:lineRule="auto" w:line="288" w:before="0" w:after="0"/>
        <w:jc w:val="left"/>
        <w:rPr>
          <w:rFonts w:ascii="inherit" w:hAnsi="inherit"/>
          <w:sz w:val="17"/>
        </w:rPr>
      </w:pPr>
      <w:r>
        <w:rPr>
          <w:rFonts w:ascii="inherit" w:hAnsi="inherit"/>
          <w:sz w:val="17"/>
        </w:rPr>
        <w:t>The Committee regularly reviews the services provided by its outside consultants and believes that Pearl Meyer is independent in providing executive compensation consulting services. In making this determination, the Committee noted that during fiscal 2013:</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Pearl Meyer did not provide any services to the Company or management other than services requested by or with the approval of the Committee, and it its services were limited to executive compensation consulting. Specifically, Pearl Meyer does not provide, directly or indirectly through affiliates, any non-executive compensation services, including pension consulting or human resource outsourcing.</w:t>
            </w:r>
          </w:p>
        </w:tc>
      </w:tr>
    </w:tbl>
    <w:tbl>
      <w:tblPr>
        <w:tblW w:w="7030" w:type="dxa"/>
        <w:jc w:val="left"/>
        <w:tblInd w:w="0" w:type="dxa"/>
        <w:tblCellMar>
          <w:top w:w="0" w:type="dxa"/>
          <w:left w:w="0" w:type="dxa"/>
          <w:bottom w:w="0" w:type="dxa"/>
          <w:right w:w="0" w:type="dxa"/>
        </w:tblCellMar>
      </w:tblPr>
      <w:tblGrid>
        <w:gridCol w:w="485"/>
        <w:gridCol w:w="6545"/>
      </w:tblGrid>
      <w:tr>
        <w:trPr/>
        <w:tc>
          <w:tcPr>
            <w:tcW w:w="485" w:type="dxa"/>
            <w:tcBorders/>
            <w:shd w:fill="auto" w:val="clear"/>
            <w:vAlign w:val="center"/>
          </w:tcPr>
          <w:p>
            <w:pPr>
              <w:pStyle w:val="TableContents"/>
              <w:spacing w:before="0" w:after="283"/>
              <w:rPr>
                <w:sz w:val="4"/>
                <w:szCs w:val="4"/>
              </w:rPr>
            </w:pPr>
            <w:r>
              <w:rPr>
                <w:sz w:val="4"/>
                <w:szCs w:val="4"/>
              </w:rPr>
            </w:r>
          </w:p>
        </w:tc>
        <w:tc>
          <w:tcPr>
            <w:tcW w:w="654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5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Fees we paid to Pearl Meyer were less than 1% of Pearl Meyer's total revenue.</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Pearl Meyer maintains a conflicts policy, which was provided to the Committee with specific policies and procedures designed to ensure independence.</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None of the Pearl Meyer consultants working for the Company, or Pearl Meyer, had any business or personal relationship with Committee members.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None of the Pearl Meyer consultants working for the Company, or Pearl Meyer, had any business or personal relationship with any executive officer of the Company.</w:t>
            </w:r>
          </w:p>
        </w:tc>
      </w:tr>
    </w:tbl>
    <w:tbl>
      <w:tblPr>
        <w:tblW w:w="8500" w:type="dxa"/>
        <w:jc w:val="left"/>
        <w:tblInd w:w="0" w:type="dxa"/>
        <w:tblCellMar>
          <w:top w:w="0" w:type="dxa"/>
          <w:left w:w="0" w:type="dxa"/>
          <w:bottom w:w="0" w:type="dxa"/>
          <w:right w:w="0" w:type="dxa"/>
        </w:tblCellMar>
      </w:tblPr>
      <w:tblGrid>
        <w:gridCol w:w="485"/>
        <w:gridCol w:w="8015"/>
      </w:tblGrid>
      <w:tr>
        <w:trPr/>
        <w:tc>
          <w:tcPr>
            <w:tcW w:w="485" w:type="dxa"/>
            <w:tcBorders/>
            <w:shd w:fill="auto" w:val="clear"/>
            <w:vAlign w:val="center"/>
          </w:tcPr>
          <w:p>
            <w:pPr>
              <w:pStyle w:val="TableContents"/>
              <w:spacing w:before="0" w:after="283"/>
              <w:rPr>
                <w:sz w:val="4"/>
                <w:szCs w:val="4"/>
              </w:rPr>
            </w:pPr>
            <w:r>
              <w:rPr>
                <w:sz w:val="4"/>
                <w:szCs w:val="4"/>
              </w:rPr>
            </w:r>
          </w:p>
        </w:tc>
        <w:tc>
          <w:tcPr>
            <w:tcW w:w="80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0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None of the Pearl Meyer consultants working on Company matters directly own Company stock.</w:t>
            </w:r>
          </w:p>
        </w:tc>
      </w:tr>
    </w:tbl>
    <w:p>
      <w:pPr>
        <w:pStyle w:val="TextBody"/>
        <w:spacing w:lineRule="auto" w:line="288" w:before="0" w:after="0"/>
        <w:jc w:val="left"/>
        <w:rPr>
          <w:rFonts w:ascii="inherit" w:hAnsi="inherit"/>
          <w:sz w:val="17"/>
        </w:rPr>
      </w:pPr>
      <w:r>
        <w:rPr>
          <w:rFonts w:ascii="inherit" w:hAnsi="inherit"/>
          <w:sz w:val="17"/>
        </w:rPr>
        <w:t>The Committee continues to monitor the independence of its compensation consultant on a periodic basis.</w:t>
      </w:r>
    </w:p>
    <w:p>
      <w:pPr>
        <w:pStyle w:val="TextBody"/>
        <w:spacing w:lineRule="auto" w:line="288" w:before="0" w:after="0"/>
        <w:jc w:val="left"/>
        <w:rPr>
          <w:rFonts w:ascii="inherit" w:hAnsi="inherit"/>
          <w:i/>
          <w:sz w:val="17"/>
        </w:rPr>
      </w:pPr>
      <w:r>
        <w:rPr>
          <w:rFonts w:ascii="inherit" w:hAnsi="inherit"/>
          <w:i/>
          <w:sz w:val="17"/>
        </w:rPr>
        <w:t>Role of Management</w:t>
      </w:r>
    </w:p>
    <w:p>
      <w:pPr>
        <w:pStyle w:val="TextBody"/>
        <w:spacing w:lineRule="auto" w:line="288" w:before="0" w:after="0"/>
        <w:jc w:val="left"/>
        <w:rPr>
          <w:rFonts w:ascii="inherit" w:hAnsi="inherit"/>
          <w:sz w:val="17"/>
        </w:rPr>
      </w:pPr>
      <w:r>
        <w:rPr>
          <w:rFonts w:ascii="inherit" w:hAnsi="inherit"/>
          <w:sz w:val="17"/>
        </w:rPr>
        <w:t>The Committee also received data regarding compensation trends, issues and recommendations from management, including from our Senior Vice President of Human Resources, who attends all Committee meeting general sessions. In addition, our Chief Executive Officer and Executive Chairman provided input on individual performance, and recommendations regarding compensation adjustments, to the Committee for positions besides their own.</w:t>
      </w:r>
    </w:p>
    <w:p>
      <w:pPr>
        <w:pStyle w:val="TextBody"/>
        <w:spacing w:lineRule="auto" w:line="288" w:before="0" w:after="0"/>
        <w:jc w:val="left"/>
        <w:rPr>
          <w:rFonts w:ascii="inherit" w:hAnsi="inherit"/>
          <w:i/>
          <w:sz w:val="17"/>
        </w:rPr>
      </w:pPr>
      <w:r>
        <w:rPr>
          <w:rFonts w:ascii="inherit" w:hAnsi="inherit"/>
          <w:i/>
          <w:sz w:val="17"/>
        </w:rPr>
        <w:t>Benchmarking and Peer Group Data</w:t>
      </w:r>
    </w:p>
    <w:p>
      <w:pPr>
        <w:pStyle w:val="TextBody"/>
        <w:spacing w:lineRule="auto" w:line="288" w:before="0" w:after="0"/>
        <w:jc w:val="left"/>
        <w:rPr>
          <w:rFonts w:ascii="inherit" w:hAnsi="inherit"/>
          <w:sz w:val="17"/>
        </w:rPr>
      </w:pPr>
      <w:r>
        <w:rPr>
          <w:rFonts w:ascii="inherit" w:hAnsi="inherit"/>
          <w:sz w:val="17"/>
        </w:rPr>
        <w:t>While the Committee does not set compensation levels for our key executives based solely on survey or peer group benchmarks, the Committee does regularly refer to external benchmarking data in their deliberations in order to ensure that the pay opportunities offered to our executives are appropriate in light of our performance relative to our peers. In fiscal 2013, the Committee asked Pearl Meyer to conduct a competitive compensation review for our key executives, including our NEOs. Data in the Pearl Meyer study were collected from several sources, including published compensation surveys and peer company proxy statements.</w:t>
      </w:r>
    </w:p>
    <w:p>
      <w:pPr>
        <w:pStyle w:val="TextBody"/>
        <w:spacing w:lineRule="auto" w:line="288" w:before="0" w:after="0"/>
        <w:jc w:val="left"/>
        <w:rPr>
          <w:rFonts w:ascii="inherit" w:hAnsi="inherit"/>
          <w:sz w:val="17"/>
        </w:rPr>
      </w:pPr>
      <w:r>
        <w:rPr>
          <w:rFonts w:ascii="inherit" w:hAnsi="inherit"/>
          <w:sz w:val="17"/>
        </w:rPr>
        <w:t xml:space="preserve">Competitive pay data for our Named Executive Officers were collected from SEC filings for a peer group of 18 publicly traded companies. The peer group, which was approved by the Committee in consultation with management and Pearl Meyer, includes companies that are direct competitors within our industry, have similar business models to our company or have comparable key executive roles.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118</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tbl>
      <w:tblPr>
        <w:tblW w:w="9605" w:type="dxa"/>
        <w:jc w:val="center"/>
        <w:tblInd w:w="0" w:type="dxa"/>
        <w:tblCellMar>
          <w:top w:w="0" w:type="dxa"/>
          <w:left w:w="0" w:type="dxa"/>
          <w:bottom w:w="0" w:type="dxa"/>
          <w:right w:w="0" w:type="dxa"/>
        </w:tblCellMar>
      </w:tblPr>
      <w:tblGrid>
        <w:gridCol w:w="3554"/>
        <w:gridCol w:w="3938"/>
        <w:gridCol w:w="2113"/>
      </w:tblGrid>
      <w:tr>
        <w:trPr/>
        <w:tc>
          <w:tcPr>
            <w:tcW w:w="9605" w:type="dxa"/>
            <w:gridSpan w:val="3"/>
            <w:tcBorders/>
            <w:shd w:fill="auto" w:val="clear"/>
            <w:vAlign w:val="center"/>
          </w:tcPr>
          <w:p>
            <w:pPr>
              <w:pStyle w:val="TableContents"/>
              <w:spacing w:before="0" w:after="283"/>
              <w:rPr>
                <w:sz w:val="4"/>
                <w:szCs w:val="4"/>
              </w:rPr>
            </w:pPr>
            <w:r>
              <w:rPr>
                <w:sz w:val="4"/>
                <w:szCs w:val="4"/>
              </w:rPr>
            </w:r>
          </w:p>
        </w:tc>
      </w:tr>
      <w:tr>
        <w:trPr/>
        <w:tc>
          <w:tcPr>
            <w:tcW w:w="3554" w:type="dxa"/>
            <w:tcBorders/>
            <w:shd w:fill="auto" w:val="clear"/>
            <w:vAlign w:val="center"/>
          </w:tcPr>
          <w:p>
            <w:pPr>
              <w:pStyle w:val="TableContents"/>
              <w:spacing w:before="0" w:after="283"/>
              <w:rPr>
                <w:sz w:val="4"/>
                <w:szCs w:val="4"/>
              </w:rPr>
            </w:pPr>
            <w:r>
              <w:rPr>
                <w:sz w:val="4"/>
                <w:szCs w:val="4"/>
              </w:rPr>
            </w:r>
          </w:p>
        </w:tc>
        <w:tc>
          <w:tcPr>
            <w:tcW w:w="3938"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605"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2013 Compensation Peer Group</w:t>
            </w:r>
          </w:p>
        </w:tc>
      </w:tr>
      <w:tr>
        <w:trPr/>
        <w:tc>
          <w:tcPr>
            <w:tcW w:w="355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Peer Company</w:t>
            </w:r>
          </w:p>
        </w:tc>
        <w:tc>
          <w:tcPr>
            <w:tcW w:w="393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Stock Symbol</w:t>
            </w:r>
          </w:p>
        </w:tc>
        <w:tc>
          <w:tcPr>
            <w:tcW w:w="211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Primary Business</w:t>
            </w:r>
          </w:p>
        </w:tc>
      </w:tr>
      <w:tr>
        <w:trPr/>
        <w:tc>
          <w:tcPr>
            <w:tcW w:w="35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America's Car Mart</w:t>
            </w:r>
          </w:p>
        </w:tc>
        <w:tc>
          <w:tcPr>
            <w:tcW w:w="39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CRMT</w:t>
            </w:r>
          </w:p>
        </w:tc>
        <w:tc>
          <w:tcPr>
            <w:tcW w:w="2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Auto Retail</w:t>
            </w:r>
          </w:p>
        </w:tc>
      </w:tr>
      <w:tr>
        <w:trPr/>
        <w:tc>
          <w:tcPr>
            <w:tcW w:w="35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Cardtronics Inc.</w:t>
            </w:r>
          </w:p>
        </w:tc>
        <w:tc>
          <w:tcPr>
            <w:tcW w:w="39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CATM</w:t>
            </w:r>
          </w:p>
        </w:tc>
        <w:tc>
          <w:tcPr>
            <w:tcW w:w="2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Specialty Finance</w:t>
            </w:r>
          </w:p>
        </w:tc>
      </w:tr>
      <w:tr>
        <w:trPr/>
        <w:tc>
          <w:tcPr>
            <w:tcW w:w="35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America</w:t>
            </w:r>
          </w:p>
        </w:tc>
        <w:tc>
          <w:tcPr>
            <w:tcW w:w="39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CSH</w:t>
            </w:r>
          </w:p>
        </w:tc>
        <w:tc>
          <w:tcPr>
            <w:tcW w:w="2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&amp; Payday Lending</w:t>
            </w:r>
          </w:p>
        </w:tc>
      </w:tr>
      <w:tr>
        <w:trPr/>
        <w:tc>
          <w:tcPr>
            <w:tcW w:w="35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Coinstar Inc.</w:t>
            </w:r>
          </w:p>
        </w:tc>
        <w:tc>
          <w:tcPr>
            <w:tcW w:w="39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CSTR</w:t>
            </w:r>
          </w:p>
        </w:tc>
        <w:tc>
          <w:tcPr>
            <w:tcW w:w="2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Specialty Finance</w:t>
            </w:r>
          </w:p>
        </w:tc>
      </w:tr>
      <w:tr>
        <w:trPr/>
        <w:tc>
          <w:tcPr>
            <w:tcW w:w="35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Credit Acceptance</w:t>
            </w:r>
          </w:p>
        </w:tc>
        <w:tc>
          <w:tcPr>
            <w:tcW w:w="39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CACC</w:t>
            </w:r>
          </w:p>
        </w:tc>
        <w:tc>
          <w:tcPr>
            <w:tcW w:w="2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Finance</w:t>
            </w:r>
          </w:p>
        </w:tc>
      </w:tr>
      <w:tr>
        <w:trPr/>
        <w:tc>
          <w:tcPr>
            <w:tcW w:w="35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DFC Global</w:t>
            </w:r>
          </w:p>
        </w:tc>
        <w:tc>
          <w:tcPr>
            <w:tcW w:w="39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DLLR</w:t>
            </w:r>
          </w:p>
        </w:tc>
        <w:tc>
          <w:tcPr>
            <w:tcW w:w="2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Payday Lending</w:t>
            </w:r>
          </w:p>
        </w:tc>
      </w:tr>
      <w:tr>
        <w:trPr/>
        <w:tc>
          <w:tcPr>
            <w:tcW w:w="35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First Cash Financial</w:t>
            </w:r>
          </w:p>
        </w:tc>
        <w:tc>
          <w:tcPr>
            <w:tcW w:w="39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FCFS</w:t>
            </w:r>
          </w:p>
        </w:tc>
        <w:tc>
          <w:tcPr>
            <w:tcW w:w="2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&amp; Payday Lending</w:t>
            </w:r>
          </w:p>
        </w:tc>
      </w:tr>
      <w:tr>
        <w:trPr/>
        <w:tc>
          <w:tcPr>
            <w:tcW w:w="35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Green Dot Corp.</w:t>
            </w:r>
          </w:p>
        </w:tc>
        <w:tc>
          <w:tcPr>
            <w:tcW w:w="39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GDOT</w:t>
            </w:r>
          </w:p>
        </w:tc>
        <w:tc>
          <w:tcPr>
            <w:tcW w:w="2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Debit Cards</w:t>
            </w:r>
          </w:p>
        </w:tc>
      </w:tr>
      <w:tr>
        <w:trPr/>
        <w:tc>
          <w:tcPr>
            <w:tcW w:w="35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World Acceptance</w:t>
            </w:r>
          </w:p>
        </w:tc>
        <w:tc>
          <w:tcPr>
            <w:tcW w:w="39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WRLD</w:t>
            </w:r>
          </w:p>
        </w:tc>
        <w:tc>
          <w:tcPr>
            <w:tcW w:w="2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Small Loans</w:t>
            </w:r>
          </w:p>
        </w:tc>
      </w:tr>
      <w:tr>
        <w:trPr/>
        <w:tc>
          <w:tcPr>
            <w:tcW w:w="35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Aaron's Inc.</w:t>
            </w:r>
          </w:p>
        </w:tc>
        <w:tc>
          <w:tcPr>
            <w:tcW w:w="39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AAN</w:t>
            </w:r>
          </w:p>
        </w:tc>
        <w:tc>
          <w:tcPr>
            <w:tcW w:w="2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Retail</w:t>
            </w:r>
          </w:p>
        </w:tc>
      </w:tr>
      <w:tr>
        <w:trPr/>
        <w:tc>
          <w:tcPr>
            <w:tcW w:w="35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Chipotle Mexican Grill</w:t>
            </w:r>
          </w:p>
        </w:tc>
        <w:tc>
          <w:tcPr>
            <w:tcW w:w="39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CMG</w:t>
            </w:r>
          </w:p>
        </w:tc>
        <w:tc>
          <w:tcPr>
            <w:tcW w:w="2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Retail</w:t>
            </w:r>
          </w:p>
        </w:tc>
      </w:tr>
      <w:tr>
        <w:trPr/>
        <w:tc>
          <w:tcPr>
            <w:tcW w:w="35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Fossil Inc.</w:t>
            </w:r>
          </w:p>
        </w:tc>
        <w:tc>
          <w:tcPr>
            <w:tcW w:w="39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FOSL</w:t>
            </w:r>
          </w:p>
        </w:tc>
        <w:tc>
          <w:tcPr>
            <w:tcW w:w="2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Retail</w:t>
            </w:r>
          </w:p>
        </w:tc>
      </w:tr>
      <w:tr>
        <w:trPr/>
        <w:tc>
          <w:tcPr>
            <w:tcW w:w="35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Jos. A. Bank</w:t>
            </w:r>
          </w:p>
        </w:tc>
        <w:tc>
          <w:tcPr>
            <w:tcW w:w="39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JOSB</w:t>
            </w:r>
          </w:p>
        </w:tc>
        <w:tc>
          <w:tcPr>
            <w:tcW w:w="2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Retail</w:t>
            </w:r>
          </w:p>
        </w:tc>
      </w:tr>
      <w:tr>
        <w:trPr/>
        <w:tc>
          <w:tcPr>
            <w:tcW w:w="35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Netspend</w:t>
            </w:r>
          </w:p>
        </w:tc>
        <w:tc>
          <w:tcPr>
            <w:tcW w:w="39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NTSP</w:t>
            </w:r>
          </w:p>
        </w:tc>
        <w:tc>
          <w:tcPr>
            <w:tcW w:w="2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Debit Cards</w:t>
            </w:r>
          </w:p>
        </w:tc>
      </w:tr>
      <w:tr>
        <w:trPr/>
        <w:tc>
          <w:tcPr>
            <w:tcW w:w="35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PriceSmart Inc.</w:t>
            </w:r>
          </w:p>
        </w:tc>
        <w:tc>
          <w:tcPr>
            <w:tcW w:w="39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PSMT</w:t>
            </w:r>
          </w:p>
        </w:tc>
        <w:tc>
          <w:tcPr>
            <w:tcW w:w="2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Retail</w:t>
            </w:r>
          </w:p>
        </w:tc>
      </w:tr>
      <w:tr>
        <w:trPr/>
        <w:tc>
          <w:tcPr>
            <w:tcW w:w="35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Rent-a-Center</w:t>
            </w:r>
          </w:p>
        </w:tc>
        <w:tc>
          <w:tcPr>
            <w:tcW w:w="39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RCII</w:t>
            </w:r>
          </w:p>
        </w:tc>
        <w:tc>
          <w:tcPr>
            <w:tcW w:w="2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Retail</w:t>
            </w:r>
          </w:p>
        </w:tc>
      </w:tr>
      <w:tr>
        <w:trPr/>
        <w:tc>
          <w:tcPr>
            <w:tcW w:w="35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Ulta Salon</w:t>
            </w:r>
          </w:p>
        </w:tc>
        <w:tc>
          <w:tcPr>
            <w:tcW w:w="39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ULTA</w:t>
            </w:r>
          </w:p>
        </w:tc>
        <w:tc>
          <w:tcPr>
            <w:tcW w:w="2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Retail</w:t>
            </w:r>
          </w:p>
        </w:tc>
      </w:tr>
      <w:tr>
        <w:trPr/>
        <w:tc>
          <w:tcPr>
            <w:tcW w:w="35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WEX Inc.</w:t>
            </w:r>
          </w:p>
        </w:tc>
        <w:tc>
          <w:tcPr>
            <w:tcW w:w="39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WEX</w:t>
            </w:r>
          </w:p>
        </w:tc>
        <w:tc>
          <w:tcPr>
            <w:tcW w:w="2113" w:type="dxa"/>
            <w:tcBorders/>
            <w:shd w:fill="auto" w:val="clear"/>
            <w:vAlign w:val="center"/>
          </w:tcPr>
          <w:p>
            <w:pPr>
              <w:pStyle w:val="TableContents"/>
              <w:spacing w:before="0" w:after="0"/>
              <w:jc w:val="left"/>
              <w:rPr>
                <w:rFonts w:ascii="inherit" w:hAnsi="inherit"/>
                <w:sz w:val="17"/>
              </w:rPr>
            </w:pPr>
            <w:r>
              <w:rPr>
                <w:rFonts w:ascii="inherit" w:hAnsi="inherit"/>
                <w:sz w:val="17"/>
              </w:rPr>
              <w:t>Payment Card Solutions</w:t>
            </w:r>
          </w:p>
        </w:tc>
      </w:tr>
    </w:tbl>
    <w:p>
      <w:pPr>
        <w:pStyle w:val="TextBody"/>
        <w:spacing w:lineRule="auto" w:line="288" w:before="0" w:after="0"/>
        <w:jc w:val="left"/>
        <w:rPr>
          <w:rFonts w:ascii="inherit" w:hAnsi="inherit"/>
          <w:i/>
          <w:sz w:val="17"/>
        </w:rPr>
      </w:pPr>
      <w:r>
        <w:rPr>
          <w:rFonts w:ascii="inherit" w:hAnsi="inherit"/>
          <w:i/>
          <w:sz w:val="17"/>
        </w:rPr>
        <w:t>Survey Data</w:t>
      </w:r>
    </w:p>
    <w:p>
      <w:pPr>
        <w:pStyle w:val="TextBody"/>
        <w:spacing w:lineRule="auto" w:line="288" w:before="0" w:after="0"/>
        <w:jc w:val="left"/>
        <w:rPr>
          <w:rFonts w:ascii="inherit" w:hAnsi="inherit"/>
          <w:sz w:val="17"/>
        </w:rPr>
      </w:pPr>
      <w:r>
        <w:rPr>
          <w:rFonts w:ascii="inherit" w:hAnsi="inherit"/>
          <w:sz w:val="17"/>
        </w:rPr>
        <w:t>To supplement the peer group data, Pearl Meyer also provided compensation statistics from a review of published compensation surveys. Survey data reflected compensation rates across a broad group of general industry companies with revenues of around $1 billion. Using a robust survey sample in combination with peer group data (along with the practice of reviewing market quartiles as opposed to averages) mitigates the impact of outliers, year-over-year volatility of compensation levels, and the risk of selection bias.</w:t>
      </w:r>
    </w:p>
    <w:p>
      <w:pPr>
        <w:pStyle w:val="TextBody"/>
        <w:spacing w:lineRule="auto" w:line="288" w:before="0" w:after="0"/>
        <w:jc w:val="left"/>
        <w:rPr>
          <w:rFonts w:ascii="inherit" w:hAnsi="inherit"/>
          <w:i/>
          <w:sz w:val="17"/>
        </w:rPr>
      </w:pPr>
      <w:r>
        <w:rPr>
          <w:rFonts w:ascii="inherit" w:hAnsi="inherit"/>
          <w:i/>
          <w:sz w:val="17"/>
        </w:rPr>
        <w:t>2013 Competitive Posture</w:t>
      </w:r>
    </w:p>
    <w:p>
      <w:pPr>
        <w:pStyle w:val="TextBody"/>
        <w:spacing w:lineRule="auto" w:line="288" w:before="0" w:after="0"/>
        <w:jc w:val="left"/>
        <w:rPr>
          <w:rFonts w:ascii="inherit" w:hAnsi="inherit"/>
          <w:sz w:val="17"/>
        </w:rPr>
      </w:pPr>
      <w:r>
        <w:rPr>
          <w:rFonts w:ascii="inherit" w:hAnsi="inherit"/>
          <w:sz w:val="17"/>
        </w:rPr>
        <w:t>While the Committee has historically targeted the 75th percentile for our senior executives as a group, it does not consider that philosophy to be a prescription for individual executives. Various factors affect the relationship between target total direct compensation for each individual executive and our targeted market reference point, including specific retention concerns, tenure, internal equity, year-over-year volatility of market data, the comparability of available market benchmarks and the difference in the strategic value of a position among the companies in our peer group. No single position in the survey data or within our peer group fully captures the breadth of the responsibilities of certain of our executive officers.</w:t>
      </w:r>
    </w:p>
    <w:p>
      <w:pPr>
        <w:pStyle w:val="TextBody"/>
        <w:spacing w:lineRule="auto" w:line="288" w:before="0" w:after="0"/>
        <w:jc w:val="left"/>
        <w:rPr>
          <w:rFonts w:ascii="inherit" w:hAnsi="inherit"/>
          <w:sz w:val="17"/>
        </w:rPr>
      </w:pPr>
      <w:r>
        <w:rPr>
          <w:rFonts w:ascii="inherit" w:hAnsi="inherit"/>
          <w:sz w:val="17"/>
        </w:rPr>
        <w:t>Based on Pearl Meyer's fiscal 2013 competitive review, we found that target total direct compensation opportunities (in aggregate) fell at:</w:t>
      </w:r>
    </w:p>
    <w:tbl>
      <w:tblPr>
        <w:tblW w:w="5020" w:type="dxa"/>
        <w:jc w:val="left"/>
        <w:tblInd w:w="0" w:type="dxa"/>
        <w:tblCellMar>
          <w:top w:w="0" w:type="dxa"/>
          <w:left w:w="0" w:type="dxa"/>
          <w:bottom w:w="0" w:type="dxa"/>
          <w:right w:w="0" w:type="dxa"/>
        </w:tblCellMar>
      </w:tblPr>
      <w:tblGrid>
        <w:gridCol w:w="125"/>
        <w:gridCol w:w="4895"/>
      </w:tblGrid>
      <w:tr>
        <w:trPr/>
        <w:tc>
          <w:tcPr>
            <w:tcW w:w="125" w:type="dxa"/>
            <w:tcBorders/>
            <w:shd w:fill="auto" w:val="clear"/>
            <w:vAlign w:val="center"/>
          </w:tcPr>
          <w:p>
            <w:pPr>
              <w:pStyle w:val="TableContents"/>
              <w:spacing w:before="0" w:after="283"/>
              <w:rPr>
                <w:sz w:val="4"/>
                <w:szCs w:val="4"/>
              </w:rPr>
            </w:pPr>
            <w:r>
              <w:rPr>
                <w:sz w:val="4"/>
                <w:szCs w:val="4"/>
              </w:rPr>
            </w:r>
          </w:p>
        </w:tc>
        <w:tc>
          <w:tcPr>
            <w:tcW w:w="489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30"/>
              <w:rPr/>
            </w:pPr>
            <w:r>
              <w:rPr/>
              <w:t>•</w:t>
            </w:r>
          </w:p>
        </w:tc>
        <w:tc>
          <w:tcPr>
            <w:tcW w:w="4895" w:type="dxa"/>
            <w:tcBorders/>
            <w:shd w:fill="auto" w:val="clear"/>
            <w:vAlign w:val="center"/>
          </w:tcPr>
          <w:p>
            <w:pPr>
              <w:pStyle w:val="TableContents"/>
              <w:spacing w:lineRule="auto" w:line="288" w:before="0" w:after="0"/>
              <w:jc w:val="left"/>
              <w:rPr>
                <w:sz w:val="17"/>
              </w:rPr>
            </w:pPr>
            <w:r>
              <w:rPr>
                <w:rFonts w:ascii="inherit" w:hAnsi="inherit"/>
                <w:sz w:val="17"/>
              </w:rPr>
              <w:t>The 75</w:t>
            </w:r>
            <w:r>
              <w:rPr>
                <w:rFonts w:ascii="inherit" w:hAnsi="inherit"/>
                <w:sz w:val="12"/>
              </w:rPr>
              <w:t>nd</w:t>
            </w:r>
            <w:r>
              <w:rPr>
                <w:sz w:val="17"/>
              </w:rPr>
              <w:t xml:space="preserve"> </w:t>
            </w:r>
            <w:r>
              <w:rPr>
                <w:rFonts w:ascii="inherit" w:hAnsi="inherit"/>
                <w:sz w:val="17"/>
              </w:rPr>
              <w:t>percentile for our Named Executive Officers; and</w:t>
            </w:r>
          </w:p>
        </w:tc>
      </w:tr>
    </w:tbl>
    <w:tbl>
      <w:tblPr>
        <w:tblW w:w="5305" w:type="dxa"/>
        <w:jc w:val="left"/>
        <w:tblInd w:w="0" w:type="dxa"/>
        <w:tblCellMar>
          <w:top w:w="0" w:type="dxa"/>
          <w:left w:w="0" w:type="dxa"/>
          <w:bottom w:w="0" w:type="dxa"/>
          <w:right w:w="0" w:type="dxa"/>
        </w:tblCellMar>
      </w:tblPr>
      <w:tblGrid>
        <w:gridCol w:w="125"/>
        <w:gridCol w:w="5180"/>
      </w:tblGrid>
      <w:tr>
        <w:trPr/>
        <w:tc>
          <w:tcPr>
            <w:tcW w:w="125" w:type="dxa"/>
            <w:tcBorders/>
            <w:shd w:fill="auto" w:val="clear"/>
            <w:vAlign w:val="center"/>
          </w:tcPr>
          <w:p>
            <w:pPr>
              <w:pStyle w:val="TableContents"/>
              <w:spacing w:before="0" w:after="283"/>
              <w:rPr>
                <w:sz w:val="4"/>
                <w:szCs w:val="4"/>
              </w:rPr>
            </w:pPr>
            <w:r>
              <w:rPr>
                <w:sz w:val="4"/>
                <w:szCs w:val="4"/>
              </w:rPr>
            </w:r>
          </w:p>
        </w:tc>
        <w:tc>
          <w:tcPr>
            <w:tcW w:w="51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30"/>
              <w:rPr/>
            </w:pPr>
            <w:r>
              <w:rPr/>
              <w:t>•</w:t>
            </w:r>
          </w:p>
        </w:tc>
        <w:tc>
          <w:tcPr>
            <w:tcW w:w="5180" w:type="dxa"/>
            <w:tcBorders/>
            <w:shd w:fill="auto" w:val="clear"/>
            <w:vAlign w:val="center"/>
          </w:tcPr>
          <w:p>
            <w:pPr>
              <w:pStyle w:val="TableContents"/>
              <w:spacing w:lineRule="auto" w:line="288" w:before="0" w:after="0"/>
              <w:jc w:val="left"/>
              <w:rPr>
                <w:sz w:val="17"/>
              </w:rPr>
            </w:pPr>
            <w:r>
              <w:rPr>
                <w:rFonts w:ascii="inherit" w:hAnsi="inherit"/>
                <w:sz w:val="17"/>
              </w:rPr>
              <w:t>The 66</w:t>
            </w:r>
            <w:r>
              <w:rPr>
                <w:rFonts w:ascii="inherit" w:hAnsi="inherit"/>
                <w:sz w:val="12"/>
              </w:rPr>
              <w:t>th</w:t>
            </w:r>
            <w:r>
              <w:rPr>
                <w:sz w:val="17"/>
              </w:rPr>
              <w:t xml:space="preserve"> </w:t>
            </w:r>
            <w:r>
              <w:rPr>
                <w:rFonts w:ascii="inherit" w:hAnsi="inherit"/>
                <w:sz w:val="17"/>
              </w:rPr>
              <w:t>percentile for all of our senior executives as a group.</w:t>
            </w:r>
          </w:p>
        </w:tc>
      </w:tr>
    </w:tbl>
    <w:p>
      <w:pPr>
        <w:pStyle w:val="TextBody"/>
        <w:spacing w:lineRule="auto" w:line="288" w:before="0" w:after="0"/>
        <w:jc w:val="left"/>
        <w:rPr>
          <w:rFonts w:ascii="inherit" w:hAnsi="inherit"/>
          <w:sz w:val="17"/>
        </w:rPr>
      </w:pPr>
      <w:r>
        <w:rPr>
          <w:rFonts w:ascii="inherit" w:hAnsi="inherit"/>
          <w:sz w:val="17"/>
        </w:rPr>
        <w:t xml:space="preserve">As previously stated, the actual total (realizable) compensation of our top executives remains heavily dependent upon actual performance. For example, during fiscal 2013 when the Company's financial performance was below the Board's expectations, our senior executives, as a group, realized actual bonus compensation that was less than 50% of their total bonus opportunities. </w:t>
      </w:r>
    </w:p>
    <w:p>
      <w:pPr>
        <w:pStyle w:val="TextBody"/>
        <w:spacing w:lineRule="auto" w:line="288" w:before="0" w:after="0"/>
        <w:jc w:val="left"/>
        <w:rPr>
          <w:rFonts w:ascii="inherit" w:hAnsi="inherit"/>
          <w:i/>
          <w:sz w:val="17"/>
        </w:rPr>
      </w:pPr>
      <w:r>
        <w:rPr>
          <w:rFonts w:ascii="inherit" w:hAnsi="inherit"/>
          <w:i/>
          <w:sz w:val="17"/>
        </w:rPr>
        <w:t>Compensation Risk</w:t>
      </w:r>
    </w:p>
    <w:p>
      <w:pPr>
        <w:pStyle w:val="TextBody"/>
        <w:spacing w:lineRule="auto" w:line="288" w:before="0" w:after="0"/>
        <w:jc w:val="left"/>
        <w:rPr>
          <w:rFonts w:ascii="inherit" w:hAnsi="inherit"/>
          <w:sz w:val="17"/>
        </w:rPr>
      </w:pPr>
      <w:r>
        <w:rPr>
          <w:rFonts w:ascii="inherit" w:hAnsi="inherit"/>
          <w:sz w:val="17"/>
        </w:rPr>
        <w:t>The Committee continually monitors the Company's general compensation practices, specifically the design, administration and assessment of our incentive plans, to identify any components, measurement factors or potential outcomes that might create an incentive for excessive risk-taking detrimental to the Company. The Committee has determined that the Company's compensation plans and policies do not encourage excessive risk taking.</w:t>
      </w:r>
    </w:p>
    <w:p>
      <w:pPr>
        <w:pStyle w:val="TextBody"/>
        <w:spacing w:lineRule="auto" w:line="288" w:before="0" w:after="0"/>
        <w:jc w:val="left"/>
        <w:rPr>
          <w:rFonts w:ascii="inherit" w:hAnsi="inherit"/>
          <w:sz w:val="17"/>
        </w:rPr>
      </w:pPr>
      <w:r>
        <w:rPr>
          <w:rFonts w:ascii="inherit" w:hAnsi="inherit"/>
          <w:sz w:val="17"/>
        </w:rPr>
        <w:t xml:space="preserve">The Committee believes that the Company has a strong set of internal controls that minimize the risk that financial performance can be misstated in order to achieve incentive compensation payouts. Furthermore, our executive compensation program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119</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provides a balance of short-term and long-term incentives that reward achievement of profitable, consistent and sustainable results:</w:t>
      </w:r>
    </w:p>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283"/>
              <w:rPr>
                <w:sz w:val="4"/>
                <w:szCs w:val="4"/>
              </w:rPr>
            </w:pPr>
            <w:r>
              <w:rPr>
                <w:sz w:val="4"/>
                <w:szCs w:val="4"/>
              </w:rPr>
            </w:r>
          </w:p>
        </w:tc>
        <w:tc>
          <w:tcPr>
            <w:tcW w:w="1000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lineRule="auto" w:line="288" w:before="0" w:after="0"/>
              <w:ind w:left="0" w:right="0" w:firstLine="75"/>
              <w:rPr/>
            </w:pPr>
            <w:r>
              <w:rPr/>
              <w:t>•</w:t>
            </w:r>
          </w:p>
        </w:tc>
        <w:tc>
          <w:tcPr>
            <w:tcW w:w="100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Annual incentive compensation tied to achievement of profitable company or business unit performance (as measured by consolidated net income, EBITDA and/or business unit operating income); and</w:t>
            </w:r>
          </w:p>
        </w:tc>
      </w:tr>
    </w:tbl>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283"/>
              <w:rPr>
                <w:sz w:val="4"/>
                <w:szCs w:val="4"/>
              </w:rPr>
            </w:pPr>
            <w:r>
              <w:rPr>
                <w:sz w:val="4"/>
                <w:szCs w:val="4"/>
              </w:rPr>
            </w:r>
          </w:p>
        </w:tc>
        <w:tc>
          <w:tcPr>
            <w:tcW w:w="1000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lineRule="auto" w:line="288" w:before="0" w:after="0"/>
              <w:ind w:left="0" w:right="0" w:firstLine="75"/>
              <w:rPr/>
            </w:pPr>
            <w:r>
              <w:rPr/>
              <w:t>•</w:t>
            </w:r>
          </w:p>
        </w:tc>
        <w:tc>
          <w:tcPr>
            <w:tcW w:w="100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Meaningful equity incentive opportunities that provide an incentive to deliver sustained long-term growth in shareholder value and earnings.</w:t>
            </w:r>
          </w:p>
        </w:tc>
      </w:tr>
    </w:tbl>
    <w:p>
      <w:pPr>
        <w:pStyle w:val="TextBody"/>
        <w:spacing w:lineRule="auto" w:line="288" w:before="0" w:after="0"/>
        <w:jc w:val="left"/>
        <w:rPr>
          <w:sz w:val="17"/>
        </w:rPr>
      </w:pPr>
      <w:r>
        <w:rPr>
          <w:rFonts w:ascii="inherit" w:hAnsi="inherit"/>
          <w:b/>
          <w:sz w:val="17"/>
        </w:rPr>
        <w:t>2013</w:t>
      </w:r>
      <w:r>
        <w:rPr>
          <w:sz w:val="17"/>
        </w:rPr>
        <w:t xml:space="preserve"> </w:t>
      </w:r>
      <w:r>
        <w:rPr>
          <w:rFonts w:ascii="inherit" w:hAnsi="inherit"/>
          <w:b/>
          <w:sz w:val="17"/>
        </w:rPr>
        <w:t>Performance Highlights</w:t>
      </w:r>
    </w:p>
    <w:p>
      <w:pPr>
        <w:pStyle w:val="TextBody"/>
        <w:spacing w:lineRule="auto" w:line="288" w:before="0" w:after="0"/>
        <w:jc w:val="left"/>
        <w:rPr>
          <w:rFonts w:ascii="inherit" w:hAnsi="inherit"/>
          <w:sz w:val="17"/>
        </w:rPr>
      </w:pPr>
      <w:r>
        <w:rPr>
          <w:rFonts w:ascii="inherit" w:hAnsi="inherit"/>
          <w:sz w:val="17"/>
        </w:rPr>
        <w:t>The following are highlights of the Company's performance during fiscal 2013:</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Total revenues were $1.0 billion, a Company record. Excluding jewelry scrapping, total revenues grew 14% driven by a 24% increase in consumer loan fees and interest, an 11% increase in merchandise sales and an 8% increase in pawn service charges.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Net income from continuing operations attributable to EZCORP was $57.4 million, while diluted earnings per share from continuing operations attributable to EZCORP was $1.06.</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Net earning assets were $466.0 million, a 20% increase over 2012. Net earning assets consists of pawn loans, consumer loans and inventory on the balance sheet, combined with CSO loans not on the balance sheet, net of reserves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Total revenue in the Latin America and Other International segments increased 54% compared to fiscal 2012, which reflects the continued successful execution of the Company's geographic, product and channel diversification.</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During the year the Company acquired a U.S. online lending business from Go Cash, LLC and certain of its affiliates; a 51% interest in Renueva Comercial S.A. de C.V., which operates a chain of buy/sell stores in and around Mexico City under the name "TUYO"; and 12 pawn stores in Arizona, a new market for the Company.</w:t>
            </w:r>
          </w:p>
        </w:tc>
      </w:tr>
    </w:tbl>
    <w:p>
      <w:pPr>
        <w:pStyle w:val="TextBody"/>
        <w:spacing w:lineRule="auto" w:line="288" w:before="0" w:after="0"/>
        <w:jc w:val="left"/>
        <w:rPr>
          <w:rFonts w:ascii="inherit" w:hAnsi="inherit"/>
          <w:sz w:val="17"/>
        </w:rPr>
      </w:pPr>
      <w:r>
        <w:rPr>
          <w:rFonts w:ascii="inherit" w:hAnsi="inherit"/>
          <w:sz w:val="17"/>
        </w:rPr>
        <w:t>Despite these highlights, the Company faced significant challenges during fiscal 2013 and failed to achieve the levels of net income and earnings per share that were expected by the Board or that are necessary for the continued delivery of long-term shareholder value. As discussed below, some of those challenges were due to factors beyond management's control (such as the gold environment) or to specific long-term strategic initiatives that were supported by the Board.</w:t>
      </w:r>
    </w:p>
    <w:p>
      <w:pPr>
        <w:pStyle w:val="TextBody"/>
        <w:spacing w:lineRule="auto" w:line="288" w:before="0" w:after="0"/>
        <w:jc w:val="left"/>
        <w:rPr>
          <w:rFonts w:ascii="inherit" w:hAnsi="inherit"/>
          <w:b/>
          <w:sz w:val="17"/>
        </w:rPr>
      </w:pPr>
      <w:r>
        <w:rPr>
          <w:rFonts w:ascii="inherit" w:hAnsi="inherit"/>
          <w:b/>
          <w:sz w:val="17"/>
        </w:rPr>
        <w:t>Pay and Performance Alignment</w:t>
      </w:r>
    </w:p>
    <w:p>
      <w:pPr>
        <w:pStyle w:val="TextBody"/>
        <w:spacing w:lineRule="auto" w:line="288" w:before="0" w:after="0"/>
        <w:jc w:val="left"/>
        <w:rPr>
          <w:rFonts w:ascii="inherit" w:hAnsi="inherit"/>
          <w:sz w:val="17"/>
        </w:rPr>
      </w:pPr>
      <w:r>
        <w:rPr>
          <w:rFonts w:ascii="inherit" w:hAnsi="inherit"/>
          <w:sz w:val="17"/>
        </w:rPr>
        <w:t>The Committee's consultant, Pearl Meyer, reviewed the relationship between total compensation for our CEO and our Executive Chairman and our performance against our compensation peer group for the three fiscal years ended September 30, 2013.</w:t>
      </w:r>
    </w:p>
    <w:p>
      <w:pPr>
        <w:pStyle w:val="TextBody"/>
        <w:spacing w:lineRule="auto" w:line="288" w:before="0" w:after="0"/>
        <w:jc w:val="left"/>
        <w:rPr>
          <w:rFonts w:ascii="inherit" w:hAnsi="inherit"/>
          <w:sz w:val="17"/>
        </w:rPr>
      </w:pPr>
      <w:r>
        <w:rPr>
          <w:rFonts w:ascii="inherit" w:hAnsi="inherit"/>
          <w:sz w:val="17"/>
        </w:rPr>
        <w:t>Company performance was defined as a blend of the following two performance measures:</w:t>
      </w:r>
    </w:p>
    <w:tbl>
      <w:tblPr>
        <w:tblW w:w="5620" w:type="dxa"/>
        <w:jc w:val="left"/>
        <w:tblInd w:w="0" w:type="dxa"/>
        <w:tblCellMar>
          <w:top w:w="0" w:type="dxa"/>
          <w:left w:w="0" w:type="dxa"/>
          <w:bottom w:w="0" w:type="dxa"/>
          <w:right w:w="0" w:type="dxa"/>
        </w:tblCellMar>
      </w:tblPr>
      <w:tblGrid>
        <w:gridCol w:w="485"/>
        <w:gridCol w:w="5135"/>
      </w:tblGrid>
      <w:tr>
        <w:trPr/>
        <w:tc>
          <w:tcPr>
            <w:tcW w:w="485" w:type="dxa"/>
            <w:tcBorders/>
            <w:shd w:fill="auto" w:val="clear"/>
            <w:vAlign w:val="center"/>
          </w:tcPr>
          <w:p>
            <w:pPr>
              <w:pStyle w:val="TableContents"/>
              <w:spacing w:before="0" w:after="283"/>
              <w:rPr>
                <w:sz w:val="4"/>
                <w:szCs w:val="4"/>
              </w:rPr>
            </w:pPr>
            <w:r>
              <w:rPr>
                <w:sz w:val="4"/>
                <w:szCs w:val="4"/>
              </w:rPr>
            </w:r>
          </w:p>
        </w:tc>
        <w:tc>
          <w:tcPr>
            <w:tcW w:w="51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13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Total shareholder return (TSR) for the three-year period; and</w:t>
            </w:r>
          </w:p>
        </w:tc>
      </w:tr>
    </w:tbl>
    <w:tbl>
      <w:tblPr>
        <w:tblW w:w="4165" w:type="dxa"/>
        <w:jc w:val="left"/>
        <w:tblInd w:w="0" w:type="dxa"/>
        <w:tblCellMar>
          <w:top w:w="0" w:type="dxa"/>
          <w:left w:w="0" w:type="dxa"/>
          <w:bottom w:w="0" w:type="dxa"/>
          <w:right w:w="0" w:type="dxa"/>
        </w:tblCellMar>
      </w:tblPr>
      <w:tblGrid>
        <w:gridCol w:w="485"/>
        <w:gridCol w:w="3680"/>
      </w:tblGrid>
      <w:tr>
        <w:trPr/>
        <w:tc>
          <w:tcPr>
            <w:tcW w:w="485" w:type="dxa"/>
            <w:tcBorders/>
            <w:shd w:fill="auto" w:val="clear"/>
            <w:vAlign w:val="center"/>
          </w:tcPr>
          <w:p>
            <w:pPr>
              <w:pStyle w:val="TableContents"/>
              <w:spacing w:before="0" w:after="283"/>
              <w:rPr>
                <w:sz w:val="4"/>
                <w:szCs w:val="4"/>
              </w:rPr>
            </w:pPr>
            <w:r>
              <w:rPr>
                <w:sz w:val="4"/>
                <w:szCs w:val="4"/>
              </w:rPr>
            </w:r>
          </w:p>
        </w:tc>
        <w:tc>
          <w:tcPr>
            <w:tcW w:w="368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6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Growth in EBITDA for the three-year period.</w:t>
            </w:r>
          </w:p>
        </w:tc>
      </w:tr>
    </w:tbl>
    <w:p>
      <w:pPr>
        <w:pStyle w:val="TextBody"/>
        <w:spacing w:lineRule="auto" w:line="288" w:before="0" w:after="0"/>
        <w:jc w:val="left"/>
        <w:rPr>
          <w:rFonts w:ascii="inherit" w:hAnsi="inherit"/>
          <w:sz w:val="17"/>
        </w:rPr>
      </w:pPr>
      <w:r>
        <w:rPr>
          <w:rFonts w:ascii="inherit" w:hAnsi="inherit"/>
          <w:sz w:val="17"/>
        </w:rPr>
        <w:t>Compensation for our CEO and our Executive Chairman was measured in terms of the following components of realizable pay, as compared to realizable pay for the two most highly compensated executives at each of the peer companies: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120</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3200"/>
        <w:gridCol w:w="5474"/>
        <w:gridCol w:w="1531"/>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3200" w:type="dxa"/>
            <w:tcBorders/>
            <w:shd w:fill="auto" w:val="clear"/>
            <w:vAlign w:val="center"/>
          </w:tcPr>
          <w:p>
            <w:pPr>
              <w:pStyle w:val="TableContents"/>
              <w:spacing w:before="0" w:after="283"/>
              <w:rPr>
                <w:sz w:val="4"/>
                <w:szCs w:val="4"/>
              </w:rPr>
            </w:pPr>
            <w:r>
              <w:rPr>
                <w:sz w:val="4"/>
                <w:szCs w:val="4"/>
              </w:rPr>
            </w:r>
          </w:p>
        </w:tc>
        <w:tc>
          <w:tcPr>
            <w:tcW w:w="5474"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0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Components of Pay</w:t>
            </w:r>
          </w:p>
        </w:tc>
        <w:tc>
          <w:tcPr>
            <w:tcW w:w="5474"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Portion Included in Realizable Pay</w:t>
            </w:r>
          </w:p>
        </w:tc>
        <w:tc>
          <w:tcPr>
            <w:tcW w:w="1531"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Provided by EZCORP</w:t>
            </w:r>
          </w:p>
        </w:tc>
      </w:tr>
      <w:tr>
        <w:trPr/>
        <w:tc>
          <w:tcPr>
            <w:tcW w:w="3200"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Salary</w:t>
            </w:r>
          </w:p>
        </w:tc>
        <w:tc>
          <w:tcPr>
            <w:tcW w:w="5474"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xml:space="preserve">• </w:t>
            </w:r>
            <w:r>
              <w:rPr>
                <w:rFonts w:ascii="inherit" w:hAnsi="inherit"/>
                <w:sz w:val="17"/>
              </w:rPr>
              <w:t xml:space="preserve">Cumulative salary paid over the period </w:t>
            </w:r>
          </w:p>
        </w:tc>
        <w:tc>
          <w:tcPr>
            <w:tcW w:w="1531"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Wingdings" w:hAnsi="Wingdings"/>
                <w:sz w:val="23"/>
              </w:rPr>
            </w:pPr>
            <w:r>
              <w:rPr>
                <w:rFonts w:ascii="Wingdings" w:hAnsi="Wingdings"/>
                <w:sz w:val="23"/>
              </w:rPr>
              <w:t>ü</w:t>
            </w:r>
          </w:p>
        </w:tc>
      </w:tr>
      <w:tr>
        <w:trPr/>
        <w:tc>
          <w:tcPr>
            <w:tcW w:w="3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Annual Incentive</w:t>
            </w:r>
          </w:p>
        </w:tc>
        <w:tc>
          <w:tcPr>
            <w:tcW w:w="5474" w:type="dxa"/>
            <w:tcBorders/>
            <w:shd w:fill="auto" w:val="clear"/>
            <w:vAlign w:val="center"/>
          </w:tcPr>
          <w:p>
            <w:pPr>
              <w:pStyle w:val="TableContents"/>
              <w:spacing w:before="0" w:after="0"/>
              <w:ind w:left="0" w:right="0" w:firstLine="30"/>
              <w:jc w:val="left"/>
              <w:rPr/>
            </w:pPr>
            <w:r>
              <w:rPr/>
              <w:t xml:space="preserve">• </w:t>
            </w:r>
            <w:r>
              <w:rPr>
                <w:rFonts w:ascii="inherit" w:hAnsi="inherit"/>
                <w:sz w:val="17"/>
              </w:rPr>
              <w:t>Cumulative annual bonuses earned/paid for performance during the period</w:t>
            </w:r>
          </w:p>
        </w:tc>
        <w:tc>
          <w:tcPr>
            <w:tcW w:w="1531" w:type="dxa"/>
            <w:tcBorders/>
            <w:shd w:fill="auto" w:val="clear"/>
            <w:vAlign w:val="center"/>
          </w:tcPr>
          <w:p>
            <w:pPr>
              <w:pStyle w:val="TableContents"/>
              <w:spacing w:before="0" w:after="0"/>
              <w:ind w:left="0" w:right="0" w:firstLine="30"/>
              <w:jc w:val="center"/>
              <w:rPr>
                <w:rFonts w:ascii="Wingdings" w:hAnsi="Wingdings"/>
                <w:sz w:val="23"/>
              </w:rPr>
            </w:pPr>
            <w:r>
              <w:rPr>
                <w:rFonts w:ascii="Wingdings" w:hAnsi="Wingdings"/>
                <w:sz w:val="23"/>
              </w:rPr>
              <w:t>ü</w:t>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 Options</w:t>
            </w:r>
          </w:p>
        </w:tc>
        <w:tc>
          <w:tcPr>
            <w:tcW w:w="5474" w:type="dxa"/>
            <w:tcBorders/>
            <w:shd w:fill="CCEEFF" w:val="clear"/>
            <w:vAlign w:val="center"/>
          </w:tcPr>
          <w:p>
            <w:pPr>
              <w:pStyle w:val="TableContents"/>
              <w:spacing w:before="0" w:after="0"/>
              <w:ind w:left="0" w:right="0" w:firstLine="30"/>
              <w:jc w:val="left"/>
              <w:rPr/>
            </w:pPr>
            <w:r>
              <w:rPr/>
              <w:t xml:space="preserve">• </w:t>
            </w:r>
            <w:r>
              <w:rPr>
                <w:rFonts w:ascii="inherit" w:hAnsi="inherit"/>
                <w:sz w:val="17"/>
              </w:rPr>
              <w:t>In-the-money value of all options granted during period, valued at the end of most recent fiscal year</w:t>
            </w:r>
          </w:p>
        </w:tc>
        <w:tc>
          <w:tcPr>
            <w:tcW w:w="1531" w:type="dxa"/>
            <w:tcBorders/>
            <w:shd w:fill="CCEEFF" w:val="clear"/>
            <w:vAlign w:val="center"/>
          </w:tcPr>
          <w:p>
            <w:pPr>
              <w:pStyle w:val="TableContents"/>
              <w:spacing w:before="0" w:after="0"/>
              <w:ind w:left="0" w:right="0" w:firstLine="30"/>
              <w:rPr/>
            </w:pPr>
            <w:r>
              <w:rPr/>
              <w:t> </w:t>
            </w:r>
          </w:p>
        </w:tc>
      </w:tr>
      <w:tr>
        <w:trPr/>
        <w:tc>
          <w:tcPr>
            <w:tcW w:w="3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Stock</w:t>
            </w:r>
          </w:p>
        </w:tc>
        <w:tc>
          <w:tcPr>
            <w:tcW w:w="5474" w:type="dxa"/>
            <w:tcBorders/>
            <w:shd w:fill="auto" w:val="clear"/>
            <w:vAlign w:val="center"/>
          </w:tcPr>
          <w:p>
            <w:pPr>
              <w:pStyle w:val="TableContents"/>
              <w:spacing w:before="0" w:after="0"/>
              <w:ind w:left="0" w:right="0" w:firstLine="30"/>
              <w:jc w:val="left"/>
              <w:rPr/>
            </w:pPr>
            <w:r>
              <w:rPr/>
              <w:t xml:space="preserve">• </w:t>
            </w:r>
            <w:r>
              <w:rPr>
                <w:rFonts w:ascii="inherit" w:hAnsi="inherit"/>
                <w:sz w:val="17"/>
              </w:rPr>
              <w:t>Face value of all restricted shares granted during period, valued at the end of the most recent fiscal year</w:t>
            </w:r>
          </w:p>
        </w:tc>
        <w:tc>
          <w:tcPr>
            <w:tcW w:w="1531" w:type="dxa"/>
            <w:tcBorders/>
            <w:shd w:fill="auto" w:val="clear"/>
            <w:vAlign w:val="center"/>
          </w:tcPr>
          <w:p>
            <w:pPr>
              <w:pStyle w:val="TableContents"/>
              <w:spacing w:before="0" w:after="0"/>
              <w:ind w:left="0" w:right="0" w:firstLine="30"/>
              <w:rPr/>
            </w:pPr>
            <w:r>
              <w:rPr/>
              <w:t> </w:t>
            </w:r>
          </w:p>
        </w:tc>
      </w:tr>
      <w:tr>
        <w:trPr/>
        <w:tc>
          <w:tcPr>
            <w:tcW w:w="3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Performance-based cash</w:t>
            </w:r>
          </w:p>
        </w:tc>
        <w:tc>
          <w:tcPr>
            <w:tcW w:w="5474" w:type="dxa"/>
            <w:tcBorders/>
            <w:shd w:fill="CCEEFF" w:val="clear"/>
            <w:vAlign w:val="center"/>
          </w:tcPr>
          <w:p>
            <w:pPr>
              <w:pStyle w:val="TableContents"/>
              <w:spacing w:before="0" w:after="0"/>
              <w:ind w:left="0" w:right="0" w:firstLine="30"/>
              <w:jc w:val="left"/>
              <w:rPr/>
            </w:pPr>
            <w:r>
              <w:rPr/>
              <w:t xml:space="preserve">• </w:t>
            </w:r>
            <w:r>
              <w:rPr>
                <w:rFonts w:ascii="inherit" w:hAnsi="inherit"/>
                <w:sz w:val="17"/>
              </w:rPr>
              <w:t>Cash payout earned based upon performance within the period</w:t>
            </w:r>
          </w:p>
        </w:tc>
        <w:tc>
          <w:tcPr>
            <w:tcW w:w="1531" w:type="dxa"/>
            <w:tcBorders/>
            <w:shd w:fill="CCEEFF" w:val="clear"/>
            <w:vAlign w:val="center"/>
          </w:tcPr>
          <w:p>
            <w:pPr>
              <w:pStyle w:val="TableContents"/>
              <w:spacing w:before="0" w:after="0"/>
              <w:ind w:left="0" w:right="0" w:firstLine="30"/>
              <w:rPr/>
            </w:pPr>
            <w:r>
              <w:rPr/>
              <w:t> </w:t>
            </w:r>
          </w:p>
        </w:tc>
      </w:tr>
      <w:tr>
        <w:trPr/>
        <w:tc>
          <w:tcPr>
            <w:tcW w:w="3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Performance-based equity</w:t>
            </w:r>
          </w:p>
        </w:tc>
        <w:tc>
          <w:tcPr>
            <w:tcW w:w="5474" w:type="dxa"/>
            <w:tcBorders/>
            <w:shd w:fill="auto" w:val="clear"/>
            <w:vAlign w:val="center"/>
          </w:tcPr>
          <w:p>
            <w:pPr>
              <w:pStyle w:val="TableContents"/>
              <w:spacing w:before="0" w:after="0"/>
              <w:ind w:left="0" w:right="0" w:firstLine="30"/>
              <w:jc w:val="left"/>
              <w:rPr/>
            </w:pPr>
            <w:r>
              <w:rPr/>
              <w:t xml:space="preserve">• </w:t>
            </w:r>
            <w:r>
              <w:rPr>
                <w:rFonts w:ascii="inherit" w:hAnsi="inherit"/>
                <w:sz w:val="17"/>
              </w:rPr>
              <w:t>Performance shares earned based on performance within the period, valued at the end of the most recent fiscal year</w:t>
            </w:r>
          </w:p>
        </w:tc>
        <w:tc>
          <w:tcPr>
            <w:tcW w:w="1531" w:type="dxa"/>
            <w:tcBorders/>
            <w:shd w:fill="auto" w:val="clear"/>
            <w:vAlign w:val="center"/>
          </w:tcPr>
          <w:p>
            <w:pPr>
              <w:pStyle w:val="TableContents"/>
              <w:spacing w:before="0" w:after="0"/>
              <w:jc w:val="center"/>
              <w:rPr>
                <w:rFonts w:ascii="Wingdings" w:hAnsi="Wingdings"/>
                <w:sz w:val="23"/>
              </w:rPr>
            </w:pPr>
            <w:r>
              <w:rPr>
                <w:rFonts w:ascii="Wingdings" w:hAnsi="Wingdings"/>
                <w:sz w:val="23"/>
              </w:rPr>
              <w:t>ü</w:t>
            </w:r>
          </w:p>
        </w:tc>
      </w:tr>
    </w:tbl>
    <w:p>
      <w:pPr>
        <w:pStyle w:val="TextBody"/>
        <w:spacing w:lineRule="auto" w:line="288" w:before="0" w:after="0"/>
        <w:jc w:val="left"/>
        <w:rPr>
          <w:sz w:val="17"/>
        </w:rPr>
      </w:pPr>
      <w:r>
        <w:rPr>
          <w:rFonts w:ascii="inherit" w:hAnsi="inherit"/>
          <w:sz w:val="17"/>
        </w:rPr>
        <w:t>The results of Pearl Meyer's analysis are shown in the chart below, revealing that our average percentile ranking for performance (47</w:t>
      </w:r>
      <w:r>
        <w:rPr>
          <w:rFonts w:ascii="inherit" w:hAnsi="inherit"/>
          <w:sz w:val="12"/>
        </w:rPr>
        <w:t>th</w:t>
      </w:r>
      <w:r>
        <w:rPr>
          <w:sz w:val="17"/>
        </w:rPr>
        <w:t xml:space="preserve"> </w:t>
      </w:r>
      <w:r>
        <w:rPr>
          <w:rFonts w:ascii="inherit" w:hAnsi="inherit"/>
          <w:sz w:val="17"/>
        </w:rPr>
        <w:t>percentile) was substantially aligned with our ranking for realizable pay over the period (56</w:t>
      </w:r>
      <w:r>
        <w:rPr>
          <w:rFonts w:ascii="inherit" w:hAnsi="inherit"/>
          <w:sz w:val="12"/>
        </w:rPr>
        <w:t>th</w:t>
      </w:r>
      <w:r>
        <w:rPr>
          <w:sz w:val="17"/>
        </w:rPr>
        <w:t xml:space="preserve"> </w:t>
      </w:r>
      <w:r>
        <w:rPr>
          <w:rFonts w:ascii="inherit" w:hAnsi="inherit"/>
          <w:sz w:val="17"/>
        </w:rPr>
        <w:t>percentile).</w:t>
      </w:r>
    </w:p>
    <w:p>
      <w:pPr>
        <w:pStyle w:val="TextBody"/>
        <w:spacing w:lineRule="auto" w:line="288" w:before="0" w:after="0"/>
        <w:jc w:val="center"/>
        <w:rPr/>
      </w:pPr>
      <w:r>
        <w:rPr/>
        <w:drawing>
          <wp:inline distT="0" distB="0" distL="0" distR="0">
            <wp:extent cx="5229225" cy="3790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229225" cy="3790950"/>
                    </a:xfrm>
                    <a:prstGeom prst="rect">
                      <a:avLst/>
                    </a:prstGeom>
                  </pic:spPr>
                </pic:pic>
              </a:graphicData>
            </a:graphic>
          </wp:inline>
        </w:drawing>
      </w:r>
    </w:p>
    <w:p>
      <w:pPr>
        <w:pStyle w:val="TextBody"/>
        <w:spacing w:lineRule="auto" w:line="288" w:before="0" w:after="0"/>
        <w:jc w:val="left"/>
        <w:rPr>
          <w:rFonts w:ascii="inherit" w:hAnsi="inherit"/>
          <w:b/>
          <w:sz w:val="17"/>
        </w:rPr>
      </w:pPr>
      <w:r>
        <w:rPr>
          <w:rFonts w:ascii="inherit" w:hAnsi="inherit"/>
          <w:b/>
          <w:sz w:val="17"/>
        </w:rPr>
        <w:t>Components of Compensation</w:t>
      </w:r>
    </w:p>
    <w:p>
      <w:pPr>
        <w:pStyle w:val="TextBody"/>
        <w:spacing w:lineRule="auto" w:line="288" w:before="0" w:after="0"/>
        <w:jc w:val="left"/>
        <w:rPr>
          <w:rFonts w:ascii="inherit" w:hAnsi="inherit"/>
          <w:i/>
          <w:sz w:val="17"/>
        </w:rPr>
      </w:pPr>
      <w:r>
        <w:rPr>
          <w:rFonts w:ascii="inherit" w:hAnsi="inherit"/>
          <w:i/>
          <w:sz w:val="17"/>
        </w:rPr>
        <w:t>Base Salary</w:t>
      </w:r>
    </w:p>
    <w:p>
      <w:pPr>
        <w:pStyle w:val="TextBody"/>
        <w:spacing w:lineRule="auto" w:line="288" w:before="0" w:after="0"/>
        <w:jc w:val="left"/>
        <w:rPr>
          <w:rFonts w:ascii="inherit" w:hAnsi="inherit"/>
          <w:sz w:val="17"/>
        </w:rPr>
      </w:pPr>
      <w:r>
        <w:rPr>
          <w:rFonts w:ascii="inherit" w:hAnsi="inherit"/>
          <w:sz w:val="17"/>
        </w:rPr>
        <w:t>Our primary objective with respect to the base salary levels of our executive officers is to provide sufficient fixed cash income to retain and attract these experienced and valuable executives in a competitive market for executive talent. The base salaries of our executive officers are reviewed and adjusted (if appropriate) annually to reflect, among other things, economic conditions, base salaries for comparable positions from a review of market data discussed previously, the tenure of the officers and the base salaries of the officers relative to one another.</w:t>
      </w:r>
    </w:p>
    <w:p>
      <w:pPr>
        <w:pStyle w:val="TextBody"/>
        <w:spacing w:lineRule="auto" w:line="288" w:before="0" w:after="0"/>
        <w:jc w:val="left"/>
        <w:rPr>
          <w:rFonts w:ascii="inherit" w:hAnsi="inherit"/>
          <w:sz w:val="17"/>
        </w:rPr>
      </w:pPr>
      <w:r>
        <w:rPr>
          <w:rFonts w:ascii="inherit" w:hAnsi="inherit"/>
          <w:sz w:val="17"/>
        </w:rPr>
        <w:t>In 2011, we began awarding base salary increases on a calendar year basis rather than a fiscal year. Effective January 1, 2013, our Named Executive Officers received salary increases that averaged 19% of calendar 2012 base salaries, as indicated in the following table: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121</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026"/>
        <w:gridCol w:w="2564"/>
        <w:gridCol w:w="164"/>
        <w:gridCol w:w="1199"/>
        <w:gridCol w:w="87"/>
        <w:gridCol w:w="136"/>
        <w:gridCol w:w="164"/>
        <w:gridCol w:w="1321"/>
        <w:gridCol w:w="87"/>
        <w:gridCol w:w="136"/>
        <w:gridCol w:w="983"/>
        <w:gridCol w:w="338"/>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3026" w:type="dxa"/>
            <w:tcBorders/>
            <w:shd w:fill="auto" w:val="clear"/>
            <w:vAlign w:val="center"/>
          </w:tcPr>
          <w:p>
            <w:pPr>
              <w:pStyle w:val="TableContents"/>
              <w:spacing w:before="0" w:after="283"/>
              <w:rPr>
                <w:sz w:val="4"/>
                <w:szCs w:val="4"/>
              </w:rPr>
            </w:pPr>
            <w:r>
              <w:rPr>
                <w:sz w:val="4"/>
                <w:szCs w:val="4"/>
              </w:rPr>
            </w:r>
          </w:p>
        </w:tc>
        <w:tc>
          <w:tcPr>
            <w:tcW w:w="25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r>
      <w:tr>
        <w:trPr/>
        <w:tc>
          <w:tcPr>
            <w:tcW w:w="3026"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Named Executive Officer</w:t>
            </w:r>
          </w:p>
        </w:tc>
        <w:tc>
          <w:tcPr>
            <w:tcW w:w="2564"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Position</w:t>
            </w:r>
          </w:p>
        </w:tc>
        <w:tc>
          <w:tcPr>
            <w:tcW w:w="1450"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Calendar 2012 Base Salary</w:t>
            </w:r>
          </w:p>
        </w:tc>
        <w:tc>
          <w:tcPr>
            <w:tcW w:w="136" w:type="dxa"/>
            <w:tcBorders/>
            <w:shd w:fill="auto" w:val="clear"/>
            <w:vAlign w:val="center"/>
          </w:tcPr>
          <w:p>
            <w:pPr>
              <w:pStyle w:val="TableContents"/>
              <w:spacing w:before="0" w:after="0"/>
              <w:ind w:left="0" w:right="0" w:firstLine="30"/>
              <w:rPr/>
            </w:pPr>
            <w:r>
              <w:rPr/>
              <w:t> </w:t>
            </w:r>
          </w:p>
        </w:tc>
        <w:tc>
          <w:tcPr>
            <w:tcW w:w="1572"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Calendar 2013 Base Salary</w:t>
            </w:r>
          </w:p>
        </w:tc>
        <w:tc>
          <w:tcPr>
            <w:tcW w:w="136" w:type="dxa"/>
            <w:tcBorders/>
            <w:shd w:fill="auto" w:val="clear"/>
            <w:vAlign w:val="center"/>
          </w:tcPr>
          <w:p>
            <w:pPr>
              <w:pStyle w:val="TableContents"/>
              <w:spacing w:before="0" w:after="0"/>
              <w:rPr/>
            </w:pPr>
            <w:r>
              <w:rPr/>
              <w:t> </w:t>
            </w:r>
          </w:p>
        </w:tc>
        <w:tc>
          <w:tcPr>
            <w:tcW w:w="1321" w:type="dxa"/>
            <w:gridSpan w:val="2"/>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Increase</w:t>
            </w:r>
          </w:p>
        </w:tc>
      </w:tr>
      <w:tr>
        <w:trPr/>
        <w:tc>
          <w:tcPr>
            <w:tcW w:w="3026" w:type="dxa"/>
            <w:vMerge w:val="continue"/>
            <w:tcBorders>
              <w:bottom w:val="single" w:sz="2" w:space="0" w:color="000000"/>
            </w:tcBorders>
            <w:shd w:fill="auto" w:val="clear"/>
            <w:tcMar>
              <w:bottom w:w="30" w:type="dxa"/>
            </w:tcMar>
            <w:vAlign w:val="center"/>
          </w:tcPr>
          <w:p>
            <w:pPr>
              <w:pStyle w:val="Normal"/>
              <w:rPr/>
            </w:pPr>
            <w:r>
              <w:rPr/>
            </w:r>
          </w:p>
        </w:tc>
        <w:tc>
          <w:tcPr>
            <w:tcW w:w="2564" w:type="dxa"/>
            <w:vMerge w:val="continue"/>
            <w:tcBorders>
              <w:bottom w:val="single" w:sz="2" w:space="0" w:color="000000"/>
            </w:tcBorders>
            <w:shd w:fill="auto" w:val="clear"/>
            <w:tcMar>
              <w:bottom w:w="30" w:type="dxa"/>
            </w:tcMar>
            <w:vAlign w:val="center"/>
          </w:tcPr>
          <w:p>
            <w:pPr>
              <w:pStyle w:val="Normal"/>
              <w:rPr/>
            </w:pPr>
            <w:r>
              <w:rPr/>
            </w:r>
          </w:p>
        </w:tc>
        <w:tc>
          <w:tcPr>
            <w:tcW w:w="1450" w:type="dxa"/>
            <w:gridSpan w:val="3"/>
            <w:vMerge w:val="continue"/>
            <w:tcBorders>
              <w:bottom w:val="single" w:sz="2" w:space="0" w:color="000000"/>
            </w:tcBorders>
            <w:shd w:fill="auto" w:val="clear"/>
            <w:tcMar>
              <w:bottom w:w="30" w:type="dxa"/>
            </w:tcMar>
            <w:vAlign w:val="center"/>
          </w:tcPr>
          <w:p>
            <w:pPr>
              <w:pStyle w:val="Normal"/>
              <w:rPr/>
            </w:pPr>
            <w:r>
              <w:rPr/>
            </w:r>
          </w:p>
        </w:tc>
        <w:tc>
          <w:tcPr>
            <w:tcW w:w="136"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572" w:type="dxa"/>
            <w:gridSpan w:val="3"/>
            <w:vMerge w:val="continue"/>
            <w:tcBorders>
              <w:bottom w:val="single" w:sz="2" w:space="0" w:color="000000"/>
            </w:tcBorders>
            <w:shd w:fill="auto" w:val="clear"/>
            <w:tcMar>
              <w:bottom w:w="30" w:type="dxa"/>
            </w:tcMar>
            <w:vAlign w:val="center"/>
          </w:tcPr>
          <w:p>
            <w:pPr>
              <w:pStyle w:val="Normal"/>
              <w:rPr/>
            </w:pPr>
            <w:r>
              <w:rPr/>
            </w:r>
          </w:p>
        </w:tc>
        <w:tc>
          <w:tcPr>
            <w:tcW w:w="136"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21" w:type="dxa"/>
            <w:gridSpan w:val="2"/>
            <w:vMerge w:val="continue"/>
            <w:tcBorders>
              <w:bottom w:val="single" w:sz="2" w:space="0" w:color="000000"/>
            </w:tcBorders>
            <w:shd w:fill="auto" w:val="clear"/>
            <w:tcMar>
              <w:bottom w:w="30" w:type="dxa"/>
            </w:tcMar>
            <w:vAlign w:val="center"/>
          </w:tcPr>
          <w:p>
            <w:pPr>
              <w:pStyle w:val="Normal"/>
              <w:rPr/>
            </w:pPr>
            <w:r>
              <w:rPr/>
            </w:r>
          </w:p>
        </w:tc>
      </w:tr>
      <w:tr>
        <w:trPr/>
        <w:tc>
          <w:tcPr>
            <w:tcW w:w="30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Paul E. Rothamel </w:t>
            </w:r>
          </w:p>
        </w:tc>
        <w:tc>
          <w:tcPr>
            <w:tcW w:w="256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President and Chief Executive Officer</w:t>
            </w:r>
          </w:p>
        </w:tc>
        <w:tc>
          <w:tcPr>
            <w:tcW w:w="164"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9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900,000</w:t>
            </w:r>
          </w:p>
        </w:tc>
        <w:tc>
          <w:tcPr>
            <w:tcW w:w="8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64"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1,000,000</w:t>
            </w:r>
          </w:p>
        </w:tc>
        <w:tc>
          <w:tcPr>
            <w:tcW w:w="8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983" w:type="dxa"/>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3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0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Mark E. Kuchenrither</w:t>
            </w:r>
          </w:p>
        </w:tc>
        <w:tc>
          <w:tcPr>
            <w:tcW w:w="25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Executive Vice President and Chief Financial Officer</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450,000</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700,000</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jc w:val="right"/>
              <w:rPr>
                <w:rFonts w:ascii="inherit" w:hAnsi="inherit"/>
                <w:sz w:val="17"/>
              </w:rPr>
            </w:pPr>
            <w:r>
              <w:rPr>
                <w:rFonts w:ascii="inherit" w:hAnsi="inherit"/>
                <w:sz w:val="17"/>
              </w:rPr>
              <w:t>56</w:t>
            </w:r>
          </w:p>
        </w:tc>
        <w:tc>
          <w:tcPr>
            <w:tcW w:w="3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0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Sterling B. Brinkley</w:t>
            </w:r>
          </w:p>
        </w:tc>
        <w:tc>
          <w:tcPr>
            <w:tcW w:w="25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Executive Chairman</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900,000</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1,000,000</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983" w:type="dxa"/>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3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0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Barry Guest</w:t>
            </w:r>
          </w:p>
        </w:tc>
        <w:tc>
          <w:tcPr>
            <w:tcW w:w="25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U.S. Pawn &amp; Retail</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325,000</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410,000</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3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0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c>
          <w:tcPr>
            <w:tcW w:w="25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 and General Counsel</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315,000</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330,000</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983" w:type="dxa"/>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3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0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w:t>
            </w:r>
          </w:p>
        </w:tc>
        <w:tc>
          <w:tcPr>
            <w:tcW w:w="2564"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578,000</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688,000</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983" w:type="dxa"/>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3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t xml:space="preserve">We have returned to the practice of awarding base salary increases on a fiscal year basis, and in September 2013, the Committee approved the following base salaries for fiscal 2014, effective October 1, 2013: Mr. Rothamel, $1,000,000 (0%); Mr. Kuchenrither, $700,000 (0%); Mr. Brinkley, $1,000,000 (0%); Mr. Guest, $430,000 (7%); and Mr. Welch, $375,000 (14%). </w:t>
      </w:r>
    </w:p>
    <w:p>
      <w:pPr>
        <w:pStyle w:val="TextBody"/>
        <w:spacing w:lineRule="auto" w:line="288" w:before="0" w:after="0"/>
        <w:jc w:val="left"/>
        <w:rPr>
          <w:rFonts w:ascii="inherit" w:hAnsi="inherit"/>
          <w:i/>
          <w:sz w:val="17"/>
        </w:rPr>
      </w:pPr>
      <w:r>
        <w:rPr>
          <w:rFonts w:ascii="inherit" w:hAnsi="inherit"/>
          <w:i/>
          <w:sz w:val="17"/>
        </w:rPr>
        <w:t>Annual Incentive Bonus</w:t>
      </w:r>
    </w:p>
    <w:p>
      <w:pPr>
        <w:pStyle w:val="TextBody"/>
        <w:spacing w:lineRule="auto" w:line="288" w:before="0" w:after="0"/>
        <w:jc w:val="left"/>
        <w:rPr>
          <w:rFonts w:ascii="inherit" w:hAnsi="inherit"/>
          <w:sz w:val="17"/>
        </w:rPr>
      </w:pPr>
      <w:r>
        <w:rPr>
          <w:rFonts w:ascii="inherit" w:hAnsi="inherit"/>
          <w:sz w:val="17"/>
        </w:rPr>
        <w:t>Our senior executives, as well as other key employees, are eligible to participate in our annual Incentive Compensation Plan. The annual cash bonus opportunities offered to participants in the plan are designed to provide a powerful performance incentive contingent upon participants' contributions toward achievement of annual corporate and business unit financial results, as well as personal objectives that are tied to our strategic goals.</w:t>
      </w:r>
    </w:p>
    <w:p>
      <w:pPr>
        <w:pStyle w:val="TextBody"/>
        <w:spacing w:lineRule="auto" w:line="288" w:before="0" w:after="0"/>
        <w:jc w:val="left"/>
        <w:rPr>
          <w:rFonts w:ascii="inherit" w:hAnsi="inherit"/>
          <w:sz w:val="17"/>
        </w:rPr>
      </w:pPr>
      <w:r>
        <w:rPr>
          <w:rFonts w:ascii="inherit" w:hAnsi="inherit"/>
          <w:sz w:val="17"/>
        </w:rPr>
        <w:t>The plan is administered by the Committee, which has the authority to:</w:t>
      </w:r>
    </w:p>
    <w:tbl>
      <w:tblPr>
        <w:tblW w:w="3910" w:type="dxa"/>
        <w:jc w:val="left"/>
        <w:tblInd w:w="0" w:type="dxa"/>
        <w:tblCellMar>
          <w:top w:w="0" w:type="dxa"/>
          <w:left w:w="0" w:type="dxa"/>
          <w:bottom w:w="0" w:type="dxa"/>
          <w:right w:w="0" w:type="dxa"/>
        </w:tblCellMar>
      </w:tblPr>
      <w:tblGrid>
        <w:gridCol w:w="125"/>
        <w:gridCol w:w="3785"/>
      </w:tblGrid>
      <w:tr>
        <w:trPr/>
        <w:tc>
          <w:tcPr>
            <w:tcW w:w="125" w:type="dxa"/>
            <w:tcBorders/>
            <w:shd w:fill="auto" w:val="clear"/>
            <w:vAlign w:val="center"/>
          </w:tcPr>
          <w:p>
            <w:pPr>
              <w:pStyle w:val="TableContents"/>
              <w:spacing w:before="0" w:after="283"/>
              <w:rPr>
                <w:sz w:val="4"/>
                <w:szCs w:val="4"/>
              </w:rPr>
            </w:pPr>
            <w:r>
              <w:rPr>
                <w:sz w:val="4"/>
                <w:szCs w:val="4"/>
              </w:rPr>
            </w:r>
          </w:p>
        </w:tc>
        <w:tc>
          <w:tcPr>
            <w:tcW w:w="378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378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Designate eligible participants for each year;</w:t>
            </w:r>
          </w:p>
        </w:tc>
      </w:tr>
    </w:tbl>
    <w:tbl>
      <w:tblPr>
        <w:tblW w:w="7165" w:type="dxa"/>
        <w:jc w:val="left"/>
        <w:tblInd w:w="0" w:type="dxa"/>
        <w:tblCellMar>
          <w:top w:w="0" w:type="dxa"/>
          <w:left w:w="0" w:type="dxa"/>
          <w:bottom w:w="0" w:type="dxa"/>
          <w:right w:w="0" w:type="dxa"/>
        </w:tblCellMar>
      </w:tblPr>
      <w:tblGrid>
        <w:gridCol w:w="125"/>
        <w:gridCol w:w="7040"/>
      </w:tblGrid>
      <w:tr>
        <w:trPr/>
        <w:tc>
          <w:tcPr>
            <w:tcW w:w="125" w:type="dxa"/>
            <w:tcBorders/>
            <w:shd w:fill="auto" w:val="clear"/>
            <w:vAlign w:val="center"/>
          </w:tcPr>
          <w:p>
            <w:pPr>
              <w:pStyle w:val="TableContents"/>
              <w:spacing w:before="0" w:after="283"/>
              <w:rPr>
                <w:sz w:val="4"/>
                <w:szCs w:val="4"/>
              </w:rPr>
            </w:pPr>
            <w:r>
              <w:rPr>
                <w:sz w:val="4"/>
                <w:szCs w:val="4"/>
              </w:rPr>
            </w:r>
          </w:p>
        </w:tc>
        <w:tc>
          <w:tcPr>
            <w:tcW w:w="704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70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Establish annual performance goals and incentive opportunities under the plan; and</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Adjust, approve or decline to pay the incentive bonus for each participant (subject to the restriction that the Committee does not have the power to increase, or make adjustments that would have the effect of increasing, the incentive bonus otherwise payable to any executive officer).</w:t>
            </w:r>
          </w:p>
        </w:tc>
      </w:tr>
    </w:tbl>
    <w:p>
      <w:pPr>
        <w:pStyle w:val="TextBody"/>
        <w:spacing w:lineRule="auto" w:line="288" w:before="0" w:after="0"/>
        <w:jc w:val="left"/>
        <w:rPr>
          <w:rFonts w:ascii="inherit" w:hAnsi="inherit"/>
          <w:sz w:val="17"/>
        </w:rPr>
      </w:pPr>
      <w:r>
        <w:rPr>
          <w:rFonts w:ascii="inherit" w:hAnsi="inherit"/>
          <w:sz w:val="17"/>
        </w:rPr>
        <w:t>The Committee has the right to delegate to the Chief Executive Officer its authority and responsibilities with respect to the incentive bonuses payable to employees other than executive officers.</w:t>
      </w:r>
    </w:p>
    <w:p>
      <w:pPr>
        <w:pStyle w:val="TextBody"/>
        <w:spacing w:lineRule="auto" w:line="288" w:before="0" w:after="0"/>
        <w:jc w:val="left"/>
        <w:rPr>
          <w:rFonts w:ascii="inherit" w:hAnsi="inherit"/>
          <w:sz w:val="17"/>
        </w:rPr>
      </w:pPr>
      <w:r>
        <w:rPr>
          <w:rFonts w:ascii="inherit" w:hAnsi="inherit"/>
          <w:sz w:val="17"/>
        </w:rPr>
        <w:t>For fiscal 2013, the incentive bonus for each senior executive was a function of a designated target amount (stated as a percentage of base salary), a business performance modifier ranging from 0% to 150% based on the achievement of specified levels of consolidated net income and/or business unit contribution, and an individual performance modifier ranging from 0% to 100%.</w:t>
      </w:r>
    </w:p>
    <w:p>
      <w:pPr>
        <w:pStyle w:val="TextBody"/>
        <w:spacing w:lineRule="auto" w:line="288" w:before="0" w:after="0"/>
        <w:jc w:val="left"/>
        <w:rPr>
          <w:rFonts w:ascii="inherit" w:hAnsi="inherit"/>
          <w:sz w:val="17"/>
        </w:rPr>
      </w:pPr>
      <w:r>
        <w:rPr>
          <w:rFonts w:ascii="inherit" w:hAnsi="inherit"/>
          <w:sz w:val="17"/>
        </w:rPr>
        <w:t>For the Named Executive Officers, the Compensation Committee established the following incentive bonus targets (stated as a percentage of base salary) for fiscal 2013:</w:t>
      </w:r>
    </w:p>
    <w:tbl>
      <w:tblPr>
        <w:tblW w:w="10205" w:type="dxa"/>
        <w:jc w:val="center"/>
        <w:tblInd w:w="0" w:type="dxa"/>
        <w:tblCellMar>
          <w:top w:w="0" w:type="dxa"/>
          <w:left w:w="0" w:type="dxa"/>
          <w:bottom w:w="0" w:type="dxa"/>
          <w:right w:w="0" w:type="dxa"/>
        </w:tblCellMar>
      </w:tblPr>
      <w:tblGrid>
        <w:gridCol w:w="3453"/>
        <w:gridCol w:w="1868"/>
        <w:gridCol w:w="4884"/>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3453"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488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53" w:type="dxa"/>
            <w:tcBorders/>
            <w:shd w:fill="auto" w:val="clear"/>
            <w:vAlign w:val="center"/>
          </w:tcPr>
          <w:p>
            <w:pPr>
              <w:pStyle w:val="TableContents"/>
              <w:spacing w:before="0" w:after="0"/>
              <w:jc w:val="center"/>
              <w:rPr>
                <w:rFonts w:ascii="inherit" w:hAnsi="inherit"/>
                <w:b/>
                <w:sz w:val="13"/>
              </w:rPr>
            </w:pPr>
            <w:r>
              <w:rPr>
                <w:rFonts w:ascii="inherit" w:hAnsi="inherit"/>
                <w:b/>
                <w:sz w:val="13"/>
              </w:rPr>
              <w:t>Named</w:t>
            </w:r>
          </w:p>
          <w:p>
            <w:pPr>
              <w:pStyle w:val="TableContents"/>
              <w:spacing w:before="0" w:after="0"/>
              <w:ind w:left="0" w:right="0" w:firstLine="30"/>
              <w:jc w:val="center"/>
              <w:rPr>
                <w:rFonts w:ascii="inherit" w:hAnsi="inherit"/>
                <w:b/>
                <w:sz w:val="13"/>
              </w:rPr>
            </w:pPr>
            <w:r>
              <w:rPr>
                <w:rFonts w:ascii="inherit" w:hAnsi="inherit"/>
                <w:b/>
                <w:sz w:val="13"/>
              </w:rPr>
              <w:t>Executive Officer</w:t>
            </w:r>
          </w:p>
        </w:tc>
        <w:tc>
          <w:tcPr>
            <w:tcW w:w="1868" w:type="dxa"/>
            <w:tcBorders/>
            <w:shd w:fill="auto" w:val="clear"/>
            <w:vAlign w:val="center"/>
          </w:tcPr>
          <w:p>
            <w:pPr>
              <w:pStyle w:val="TableContents"/>
              <w:spacing w:before="0" w:after="0"/>
              <w:jc w:val="center"/>
              <w:rPr/>
            </w:pPr>
            <w:r>
              <w:rPr/>
              <w:t> </w:t>
            </w:r>
            <w:r>
              <w:rPr>
                <w:rFonts w:ascii="inherit" w:hAnsi="inherit"/>
                <w:b/>
                <w:sz w:val="13"/>
              </w:rPr>
              <w:t>FY 13 Target Amount</w:t>
            </w:r>
          </w:p>
          <w:p>
            <w:pPr>
              <w:pStyle w:val="TableContents"/>
              <w:spacing w:before="0" w:after="0"/>
              <w:ind w:left="0" w:right="0" w:firstLine="30"/>
              <w:jc w:val="center"/>
              <w:rPr>
                <w:rFonts w:ascii="inherit" w:hAnsi="inherit"/>
                <w:b/>
                <w:sz w:val="13"/>
              </w:rPr>
            </w:pPr>
            <w:r>
              <w:rPr>
                <w:rFonts w:ascii="inherit" w:hAnsi="inherit"/>
                <w:b/>
                <w:sz w:val="13"/>
              </w:rPr>
              <w:t>(as a % of base salary)</w:t>
            </w:r>
          </w:p>
        </w:tc>
        <w:tc>
          <w:tcPr>
            <w:tcW w:w="4884" w:type="dxa"/>
            <w:tcBorders/>
            <w:shd w:fill="auto" w:val="clear"/>
            <w:vAlign w:val="center"/>
          </w:tcPr>
          <w:p>
            <w:pPr>
              <w:pStyle w:val="TableContents"/>
              <w:spacing w:before="0" w:after="0"/>
              <w:jc w:val="center"/>
              <w:rPr>
                <w:rFonts w:ascii="inherit" w:hAnsi="inherit"/>
                <w:b/>
                <w:sz w:val="13"/>
              </w:rPr>
            </w:pPr>
            <w:r>
              <w:rPr>
                <w:rFonts w:ascii="inherit" w:hAnsi="inherit"/>
                <w:b/>
                <w:sz w:val="13"/>
              </w:rPr>
              <w:t>Business Performance Modifier</w:t>
            </w:r>
          </w:p>
          <w:p>
            <w:pPr>
              <w:pStyle w:val="TableContents"/>
              <w:spacing w:before="0" w:after="0"/>
              <w:ind w:left="0" w:right="0" w:firstLine="30"/>
              <w:jc w:val="center"/>
              <w:rPr>
                <w:rFonts w:ascii="inherit" w:hAnsi="inherit"/>
                <w:b/>
                <w:sz w:val="13"/>
              </w:rPr>
            </w:pPr>
            <w:r>
              <w:rPr>
                <w:rFonts w:ascii="inherit" w:hAnsi="inherit"/>
                <w:b/>
                <w:sz w:val="13"/>
              </w:rPr>
              <w:t>Based On</w:t>
            </w:r>
          </w:p>
        </w:tc>
      </w:tr>
      <w:tr>
        <w:trPr/>
        <w:tc>
          <w:tcPr>
            <w:tcW w:w="3453"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Mr. Rothamel</w:t>
            </w:r>
          </w:p>
        </w:tc>
        <w:tc>
          <w:tcPr>
            <w:tcW w:w="1868"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200%</w:t>
            </w:r>
          </w:p>
        </w:tc>
        <w:tc>
          <w:tcPr>
            <w:tcW w:w="488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Consolidated net income attributable to EZCORP, Inc.</w:t>
            </w:r>
          </w:p>
        </w:tc>
      </w:tr>
      <w:tr>
        <w:trPr/>
        <w:tc>
          <w:tcPr>
            <w:tcW w:w="34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Kuchenrither</w:t>
            </w:r>
          </w:p>
        </w:tc>
        <w:tc>
          <w:tcPr>
            <w:tcW w:w="186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125%</w:t>
            </w:r>
          </w:p>
        </w:tc>
        <w:tc>
          <w:tcPr>
            <w:tcW w:w="48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Consolidated net income attributable to EZCORP, Inc.</w:t>
            </w:r>
          </w:p>
        </w:tc>
      </w:tr>
      <w:tr>
        <w:trPr/>
        <w:tc>
          <w:tcPr>
            <w:tcW w:w="34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Brinkley</w:t>
            </w:r>
          </w:p>
        </w:tc>
        <w:tc>
          <w:tcPr>
            <w:tcW w:w="1868"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200%</w:t>
            </w:r>
          </w:p>
        </w:tc>
        <w:tc>
          <w:tcPr>
            <w:tcW w:w="48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Consolidated net income attributable to EZCORP, Inc.</w:t>
            </w:r>
          </w:p>
        </w:tc>
      </w:tr>
      <w:tr>
        <w:trPr/>
        <w:tc>
          <w:tcPr>
            <w:tcW w:w="34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Guest</w:t>
            </w:r>
          </w:p>
        </w:tc>
        <w:tc>
          <w:tcPr>
            <w:tcW w:w="186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60%</w:t>
            </w:r>
          </w:p>
        </w:tc>
        <w:tc>
          <w:tcPr>
            <w:tcW w:w="48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25% Consolidated net income attributable to EZCORP, Inc. 75% U.S. Pawn &amp; Retail contribution</w:t>
            </w:r>
          </w:p>
        </w:tc>
      </w:tr>
      <w:tr>
        <w:trPr/>
        <w:tc>
          <w:tcPr>
            <w:tcW w:w="34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Welch</w:t>
            </w:r>
          </w:p>
        </w:tc>
        <w:tc>
          <w:tcPr>
            <w:tcW w:w="1868"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60%</w:t>
            </w:r>
          </w:p>
        </w:tc>
        <w:tc>
          <w:tcPr>
            <w:tcW w:w="4884" w:type="dxa"/>
            <w:tcBorders/>
            <w:shd w:fill="CCEEFF" w:val="clear"/>
            <w:vAlign w:val="center"/>
          </w:tcPr>
          <w:p>
            <w:pPr>
              <w:pStyle w:val="TableContents"/>
              <w:spacing w:before="0" w:after="0"/>
              <w:jc w:val="left"/>
              <w:rPr>
                <w:rFonts w:ascii="inherit" w:hAnsi="inherit"/>
                <w:sz w:val="17"/>
              </w:rPr>
            </w:pPr>
            <w:r>
              <w:rPr>
                <w:rFonts w:ascii="inherit" w:hAnsi="inherit"/>
                <w:sz w:val="17"/>
              </w:rPr>
              <w:t>Consolidated net income attributable to EZCORP, Inc.</w:t>
            </w:r>
          </w:p>
        </w:tc>
      </w:tr>
    </w:tbl>
    <w:p>
      <w:pPr>
        <w:pStyle w:val="TextBody"/>
        <w:spacing w:lineRule="auto" w:line="288" w:before="0" w:after="0"/>
        <w:jc w:val="left"/>
        <w:rPr>
          <w:rFonts w:ascii="inherit" w:hAnsi="inherit"/>
          <w:sz w:val="17"/>
        </w:rPr>
      </w:pPr>
      <w:r>
        <w:rPr>
          <w:rFonts w:ascii="inherit" w:hAnsi="inherit"/>
          <w:sz w:val="17"/>
        </w:rPr>
        <w:t xml:space="preserve">During fiscal 2013, the Company did not achieve the business performance goals as established by the Committee at either the consolidated or business unit level, and therefore, no annual incentive bonuses were paid under the fiscal 2013 Incentive Bonus Plan.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122</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In November 2013, the Committee approved the incentive bonus plan for fiscal 2014. In fiscal 2014, the incentive bonus for each senior executive will again be a function of a designated target amount (stated as a percentage of base salary), a business performance modifier generally ranging from 0% to 150% based on the achievement of specified levels of consolidated net income and/or business unit contribution, and an individual performance modifier ranging from 0% to 100%. The fiscal 2014 incentive bonus targets for the Named Executive Officers (stated as a percentage of base salary) are as follows:</w:t>
      </w:r>
    </w:p>
    <w:tbl>
      <w:tblPr>
        <w:tblW w:w="10205" w:type="dxa"/>
        <w:jc w:val="center"/>
        <w:tblInd w:w="0" w:type="dxa"/>
        <w:tblCellMar>
          <w:top w:w="0" w:type="dxa"/>
          <w:left w:w="0" w:type="dxa"/>
          <w:bottom w:w="0" w:type="dxa"/>
          <w:right w:w="0" w:type="dxa"/>
        </w:tblCellMar>
      </w:tblPr>
      <w:tblGrid>
        <w:gridCol w:w="3472"/>
        <w:gridCol w:w="1874"/>
        <w:gridCol w:w="4859"/>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3472"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48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72" w:type="dxa"/>
            <w:tcBorders/>
            <w:shd w:fill="auto" w:val="clear"/>
            <w:vAlign w:val="center"/>
          </w:tcPr>
          <w:p>
            <w:pPr>
              <w:pStyle w:val="TableContents"/>
              <w:spacing w:before="0" w:after="0"/>
              <w:jc w:val="center"/>
              <w:rPr>
                <w:rFonts w:ascii="inherit" w:hAnsi="inherit"/>
                <w:b/>
                <w:sz w:val="13"/>
              </w:rPr>
            </w:pPr>
            <w:r>
              <w:rPr>
                <w:rFonts w:ascii="inherit" w:hAnsi="inherit"/>
                <w:b/>
                <w:sz w:val="13"/>
              </w:rPr>
              <w:t>Named</w:t>
            </w:r>
          </w:p>
          <w:p>
            <w:pPr>
              <w:pStyle w:val="TableContents"/>
              <w:spacing w:before="0" w:after="0"/>
              <w:ind w:left="0" w:right="0" w:firstLine="30"/>
              <w:jc w:val="center"/>
              <w:rPr>
                <w:rFonts w:ascii="inherit" w:hAnsi="inherit"/>
                <w:b/>
                <w:sz w:val="13"/>
              </w:rPr>
            </w:pPr>
            <w:r>
              <w:rPr>
                <w:rFonts w:ascii="inherit" w:hAnsi="inherit"/>
                <w:b/>
                <w:sz w:val="13"/>
              </w:rPr>
              <w:t>Executive Officer</w:t>
            </w:r>
          </w:p>
        </w:tc>
        <w:tc>
          <w:tcPr>
            <w:tcW w:w="1874" w:type="dxa"/>
            <w:tcBorders/>
            <w:shd w:fill="auto" w:val="clear"/>
            <w:vAlign w:val="center"/>
          </w:tcPr>
          <w:p>
            <w:pPr>
              <w:pStyle w:val="TableContents"/>
              <w:spacing w:before="0" w:after="0"/>
              <w:jc w:val="center"/>
              <w:rPr>
                <w:rFonts w:ascii="inherit" w:hAnsi="inherit"/>
                <w:b/>
                <w:sz w:val="13"/>
              </w:rPr>
            </w:pPr>
            <w:r>
              <w:rPr>
                <w:rFonts w:ascii="inherit" w:hAnsi="inherit"/>
                <w:b/>
                <w:sz w:val="13"/>
              </w:rPr>
              <w:t>FY14 Target Amount</w:t>
            </w:r>
          </w:p>
          <w:p>
            <w:pPr>
              <w:pStyle w:val="TableContents"/>
              <w:spacing w:before="0" w:after="0"/>
              <w:ind w:left="0" w:right="0" w:firstLine="30"/>
              <w:jc w:val="center"/>
              <w:rPr>
                <w:rFonts w:ascii="inherit" w:hAnsi="inherit"/>
                <w:b/>
                <w:sz w:val="13"/>
              </w:rPr>
            </w:pPr>
            <w:r>
              <w:rPr>
                <w:rFonts w:ascii="inherit" w:hAnsi="inherit"/>
                <w:b/>
                <w:sz w:val="13"/>
              </w:rPr>
              <w:t>(as a % of base salary)</w:t>
            </w:r>
          </w:p>
        </w:tc>
        <w:tc>
          <w:tcPr>
            <w:tcW w:w="4859" w:type="dxa"/>
            <w:tcBorders/>
            <w:shd w:fill="auto" w:val="clear"/>
            <w:vAlign w:val="center"/>
          </w:tcPr>
          <w:p>
            <w:pPr>
              <w:pStyle w:val="TableContents"/>
              <w:spacing w:before="0" w:after="0"/>
              <w:jc w:val="center"/>
              <w:rPr>
                <w:rFonts w:ascii="inherit" w:hAnsi="inherit"/>
                <w:b/>
                <w:sz w:val="13"/>
              </w:rPr>
            </w:pPr>
            <w:r>
              <w:rPr>
                <w:rFonts w:ascii="inherit" w:hAnsi="inherit"/>
                <w:b/>
                <w:sz w:val="13"/>
              </w:rPr>
              <w:t>Business Performance Modifier</w:t>
            </w:r>
          </w:p>
          <w:p>
            <w:pPr>
              <w:pStyle w:val="TableContents"/>
              <w:spacing w:before="0" w:after="0"/>
              <w:ind w:left="0" w:right="0" w:firstLine="30"/>
              <w:jc w:val="center"/>
              <w:rPr>
                <w:rFonts w:ascii="inherit" w:hAnsi="inherit"/>
                <w:b/>
                <w:sz w:val="13"/>
              </w:rPr>
            </w:pPr>
            <w:r>
              <w:rPr>
                <w:rFonts w:ascii="inherit" w:hAnsi="inherit"/>
                <w:b/>
                <w:sz w:val="13"/>
              </w:rPr>
              <w:t>Based On</w:t>
            </w:r>
          </w:p>
        </w:tc>
      </w:tr>
      <w:tr>
        <w:trPr/>
        <w:tc>
          <w:tcPr>
            <w:tcW w:w="3472"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Mr. Rothamel</w:t>
            </w:r>
          </w:p>
        </w:tc>
        <w:tc>
          <w:tcPr>
            <w:tcW w:w="1874" w:type="dxa"/>
            <w:tcBorders>
              <w:top w:val="single" w:sz="2" w:space="0" w:color="000000"/>
            </w:tcBorders>
            <w:shd w:fill="CCEEFF"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200%</w:t>
            </w:r>
          </w:p>
        </w:tc>
        <w:tc>
          <w:tcPr>
            <w:tcW w:w="4859"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90% Consolidated net income attributable to EZCORP, Inc. 10% Combined contribution from online lending units</w:t>
            </w:r>
          </w:p>
        </w:tc>
      </w:tr>
      <w:tr>
        <w:trPr/>
        <w:tc>
          <w:tcPr>
            <w:tcW w:w="34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Kuchenrither</w:t>
            </w:r>
          </w:p>
        </w:tc>
        <w:tc>
          <w:tcPr>
            <w:tcW w:w="187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75%</w:t>
            </w:r>
          </w:p>
        </w:tc>
        <w:tc>
          <w:tcPr>
            <w:tcW w:w="48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Consolidated net income attributable to EZCORP, Inc.</w:t>
            </w:r>
          </w:p>
        </w:tc>
      </w:tr>
      <w:tr>
        <w:trPr/>
        <w:tc>
          <w:tcPr>
            <w:tcW w:w="34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Brinkley</w:t>
            </w:r>
          </w:p>
        </w:tc>
        <w:tc>
          <w:tcPr>
            <w:tcW w:w="187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100%</w:t>
            </w:r>
          </w:p>
        </w:tc>
        <w:tc>
          <w:tcPr>
            <w:tcW w:w="48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Consolidated net income attributable to EZCORP, Inc.</w:t>
            </w:r>
          </w:p>
        </w:tc>
      </w:tr>
      <w:tr>
        <w:trPr/>
        <w:tc>
          <w:tcPr>
            <w:tcW w:w="34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Guest</w:t>
            </w:r>
          </w:p>
        </w:tc>
        <w:tc>
          <w:tcPr>
            <w:tcW w:w="187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60%</w:t>
            </w:r>
          </w:p>
        </w:tc>
        <w:tc>
          <w:tcPr>
            <w:tcW w:w="48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25% Consolidated net income attributable to EZCORP, Inc. 75% U.S Pawn &amp; Retail contribution</w:t>
            </w:r>
          </w:p>
        </w:tc>
      </w:tr>
      <w:tr>
        <w:trPr/>
        <w:tc>
          <w:tcPr>
            <w:tcW w:w="34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Welch</w:t>
            </w:r>
          </w:p>
        </w:tc>
        <w:tc>
          <w:tcPr>
            <w:tcW w:w="187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60%</w:t>
            </w:r>
          </w:p>
        </w:tc>
        <w:tc>
          <w:tcPr>
            <w:tcW w:w="4859" w:type="dxa"/>
            <w:tcBorders/>
            <w:shd w:fill="CCEEFF" w:val="clear"/>
            <w:vAlign w:val="center"/>
          </w:tcPr>
          <w:p>
            <w:pPr>
              <w:pStyle w:val="TableContents"/>
              <w:spacing w:before="0" w:after="0"/>
              <w:jc w:val="left"/>
              <w:rPr>
                <w:rFonts w:ascii="inherit" w:hAnsi="inherit"/>
                <w:sz w:val="17"/>
              </w:rPr>
            </w:pPr>
            <w:r>
              <w:rPr>
                <w:rFonts w:ascii="inherit" w:hAnsi="inherit"/>
                <w:sz w:val="17"/>
              </w:rPr>
              <w:t>Consolidated net income attributable to EZCORP, Inc.</w:t>
            </w:r>
          </w:p>
        </w:tc>
      </w:tr>
    </w:tbl>
    <w:p>
      <w:pPr>
        <w:pStyle w:val="TextBody"/>
        <w:spacing w:lineRule="auto" w:line="288" w:before="0" w:after="0"/>
        <w:jc w:val="left"/>
        <w:rPr>
          <w:rFonts w:ascii="inherit" w:hAnsi="inherit"/>
          <w:i/>
          <w:sz w:val="17"/>
        </w:rPr>
      </w:pPr>
      <w:r>
        <w:rPr>
          <w:rFonts w:ascii="inherit" w:hAnsi="inherit"/>
          <w:i/>
          <w:sz w:val="17"/>
        </w:rPr>
        <w:t>Discretionary Bonuses</w:t>
      </w:r>
    </w:p>
    <w:p>
      <w:pPr>
        <w:pStyle w:val="TextBody"/>
        <w:spacing w:lineRule="auto" w:line="288" w:before="0" w:after="0"/>
        <w:jc w:val="left"/>
        <w:rPr>
          <w:rFonts w:ascii="inherit" w:hAnsi="inherit"/>
          <w:sz w:val="17"/>
        </w:rPr>
      </w:pPr>
      <w:r>
        <w:rPr>
          <w:rFonts w:ascii="inherit" w:hAnsi="inherit"/>
          <w:sz w:val="17"/>
        </w:rPr>
        <w:t>As noted above, the Company and its individual business units did not achieve the stated performance goals necessary for the payout of incentive bonuses under the fiscal 2013 Incentive Bonus Plan. The Committee nevertheless noted that (a) the Company's fiscal 2013 performance had been adversely affected by factors beyond management's control (for example, the continued challenging gold environment) and the Board-supported decisions to invest in future growth opportunities and (b) despite these factors, the Company had achieved important strategic objectives (including geographic, product and channel diversification). In light of these factors and to recognize the hard work and diligent efforts of the Company's senior executives, and to ensure the retention of those senior executives, the Committee approved the payment of discretionary bonuses to selected executives (excluding Mr. Brinkley, Mr. Rothamel and Mr. Kuchenrither). In aggregate, the discretionary bonuses were approximately 40% of the targeted bonuses under the fiscal 2013 Incentive Bonus Plan. As a part of that discretionary bonus award, Mr. Guest and Mr. Welch each received a bonus of $125,000.</w:t>
      </w:r>
    </w:p>
    <w:p>
      <w:pPr>
        <w:pStyle w:val="TextBody"/>
        <w:spacing w:lineRule="auto" w:line="288" w:before="0" w:after="0"/>
        <w:jc w:val="left"/>
        <w:rPr>
          <w:rFonts w:ascii="inherit" w:hAnsi="inherit"/>
          <w:sz w:val="17"/>
          <w:highlight w:val="white"/>
        </w:rPr>
      </w:pPr>
      <w:r>
        <w:rPr>
          <w:rFonts w:ascii="inherit" w:hAnsi="inherit"/>
          <w:sz w:val="17"/>
          <w:highlight w:val="white"/>
        </w:rPr>
        <w:t>At the time the Committee awarded those discretionary bonuses, it declined to award any bonus to Mr. Brinkley, Mr. Rothamel or Mr. Kuchenrither for fiscal 2013 performance. The Committee subsequently reviewed management’s plan to address the Company’s present challenges over the next several quarters. Following that further review and analysis, the Committee (assisted by Madison Park LLC, the Company’s strategic and financial advisor) determined that management, led by Mr. Brinkley, Mr. Rothamel and Mr. Kuchenrither, had formulated an effective plan for fiscal 2014, and on November 22, 2013, approved the following bonuses payable immediately for the completion of the strategic plan for fiscal 2014: Mr. Brinkley, $1,000,000; Mr. Rothamel, $1,000,000; and Mr. Kuchenrither, $350,000. As noted above, the Committee has approved the annual incentive bonus plan for fiscal 2014, and Mr. Brinkley, Mr. Rothamel and Mr. Kuchenrither will participate in that plan with the target opportunities noted above, subject to the achievement of specific performance objectives set by the Committee.</w:t>
      </w:r>
    </w:p>
    <w:p>
      <w:pPr>
        <w:pStyle w:val="TextBody"/>
        <w:spacing w:lineRule="auto" w:line="288" w:before="0" w:after="0"/>
        <w:jc w:val="left"/>
        <w:rPr>
          <w:rFonts w:ascii="inherit" w:hAnsi="inherit"/>
          <w:i/>
          <w:sz w:val="17"/>
        </w:rPr>
      </w:pPr>
      <w:r>
        <w:rPr>
          <w:rFonts w:ascii="inherit" w:hAnsi="inherit"/>
          <w:i/>
          <w:sz w:val="17"/>
        </w:rPr>
        <w:t>Long-Term Incentives</w:t>
      </w:r>
    </w:p>
    <w:p>
      <w:pPr>
        <w:pStyle w:val="TextBody"/>
        <w:spacing w:lineRule="auto" w:line="288" w:before="0" w:after="0"/>
        <w:jc w:val="left"/>
        <w:rPr>
          <w:sz w:val="17"/>
        </w:rPr>
      </w:pPr>
      <w:r>
        <w:rPr>
          <w:rFonts w:ascii="inherit" w:hAnsi="inherit"/>
          <w:i/>
          <w:sz w:val="17"/>
        </w:rPr>
        <w:t>General —</w:t>
      </w:r>
      <w:r>
        <w:rPr>
          <w:sz w:val="17"/>
        </w:rPr>
        <w:t xml:space="preserve"> </w:t>
      </w:r>
      <w:r>
        <w:rPr>
          <w:rFonts w:ascii="inherit" w:hAnsi="inherit"/>
          <w:sz w:val="17"/>
        </w:rPr>
        <w:t>Long-term incentive compensation, in the form of performance-vested or time-vested equity awards, is a key component in our executive compensation program, helping to encourage long-term commitment, shareholder alignment and long-term performance orientation. The value of equity awards over time bears a direct relationship to the price of our shares and the returns experienced by our shareholders. These awards are made under the EZCORP 2010 Long-Term Incentive Plan.</w:t>
      </w:r>
    </w:p>
    <w:p>
      <w:pPr>
        <w:pStyle w:val="TextBody"/>
        <w:spacing w:lineRule="auto" w:line="288" w:before="0" w:after="0"/>
        <w:jc w:val="left"/>
        <w:rPr>
          <w:rFonts w:ascii="inherit" w:hAnsi="inherit"/>
          <w:sz w:val="17"/>
        </w:rPr>
      </w:pPr>
      <w:r>
        <w:rPr>
          <w:rFonts w:ascii="inherit" w:hAnsi="inherit"/>
          <w:sz w:val="17"/>
        </w:rPr>
        <w:t>All of our executive officers are eligible to receive equity incentive awards. Our approach to long-term incentive compensation for our executive officers for fiscal 2013 provides for restricted stock awards that vest over multiple years based upon achievement of sustained earnings growth as measured by the compound annual growth rate in EBITDA over the performance period.</w:t>
      </w:r>
    </w:p>
    <w:p>
      <w:pPr>
        <w:pStyle w:val="TextBody"/>
        <w:spacing w:lineRule="auto" w:line="288" w:before="0" w:after="0"/>
        <w:jc w:val="left"/>
        <w:rPr>
          <w:sz w:val="17"/>
        </w:rPr>
      </w:pPr>
      <w:r>
        <w:rPr>
          <w:rFonts w:ascii="inherit" w:hAnsi="inherit"/>
          <w:i/>
          <w:sz w:val="17"/>
        </w:rPr>
        <w:t>Eligibility and participation level</w:t>
      </w:r>
      <w:r>
        <w:rPr>
          <w:sz w:val="17"/>
        </w:rPr>
        <w:t xml:space="preserve"> — </w:t>
      </w:r>
      <w:r>
        <w:rPr>
          <w:rFonts w:ascii="inherit" w:hAnsi="inherit"/>
          <w:sz w:val="17"/>
        </w:rPr>
        <w:t>Participation in the long-term incentive plan is based on the following criteria:</w:t>
      </w:r>
    </w:p>
    <w:tbl>
      <w:tblPr>
        <w:tblW w:w="5695" w:type="dxa"/>
        <w:jc w:val="left"/>
        <w:tblInd w:w="0" w:type="dxa"/>
        <w:tblCellMar>
          <w:top w:w="0" w:type="dxa"/>
          <w:left w:w="0" w:type="dxa"/>
          <w:bottom w:w="0" w:type="dxa"/>
          <w:right w:w="0" w:type="dxa"/>
        </w:tblCellMar>
      </w:tblPr>
      <w:tblGrid>
        <w:gridCol w:w="500"/>
        <w:gridCol w:w="5195"/>
      </w:tblGrid>
      <w:tr>
        <w:trPr/>
        <w:tc>
          <w:tcPr>
            <w:tcW w:w="500" w:type="dxa"/>
            <w:tcBorders/>
            <w:shd w:fill="auto" w:val="clear"/>
            <w:vAlign w:val="center"/>
          </w:tcPr>
          <w:p>
            <w:pPr>
              <w:pStyle w:val="TableContents"/>
              <w:spacing w:before="0" w:after="283"/>
              <w:rPr>
                <w:sz w:val="4"/>
                <w:szCs w:val="4"/>
              </w:rPr>
            </w:pPr>
            <w:r>
              <w:rPr>
                <w:sz w:val="4"/>
                <w:szCs w:val="4"/>
              </w:rPr>
            </w:r>
          </w:p>
        </w:tc>
        <w:tc>
          <w:tcPr>
            <w:tcW w:w="5195" w:type="dxa"/>
            <w:tcBorders/>
            <w:shd w:fill="auto" w:val="clear"/>
            <w:vAlign w:val="center"/>
          </w:tcPr>
          <w:p>
            <w:pPr>
              <w:pStyle w:val="TableContents"/>
              <w:spacing w:before="0" w:after="283"/>
              <w:rPr>
                <w:sz w:val="4"/>
                <w:szCs w:val="4"/>
              </w:rPr>
            </w:pPr>
            <w:r>
              <w:rPr>
                <w:sz w:val="4"/>
                <w:szCs w:val="4"/>
              </w:rPr>
            </w:r>
          </w:p>
        </w:tc>
      </w:tr>
      <w:tr>
        <w:trPr/>
        <w:tc>
          <w:tcPr>
            <w:tcW w:w="500" w:type="dxa"/>
            <w:tcBorders/>
            <w:shd w:fill="auto" w:val="clear"/>
            <w:vAlign w:val="center"/>
          </w:tcPr>
          <w:p>
            <w:pPr>
              <w:pStyle w:val="TableContents"/>
              <w:spacing w:lineRule="auto" w:line="288" w:before="0" w:after="0"/>
              <w:ind w:left="0" w:right="0" w:firstLine="375"/>
              <w:rPr/>
            </w:pPr>
            <w:r>
              <w:rPr/>
              <w:t>•</w:t>
            </w:r>
          </w:p>
        </w:tc>
        <w:tc>
          <w:tcPr>
            <w:tcW w:w="51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Analysis of competitive information for comparable positions;</w:t>
            </w:r>
          </w:p>
        </w:tc>
      </w:tr>
    </w:tbl>
    <w:tbl>
      <w:tblPr>
        <w:tblW w:w="8260" w:type="dxa"/>
        <w:jc w:val="left"/>
        <w:tblInd w:w="0" w:type="dxa"/>
        <w:tblCellMar>
          <w:top w:w="0" w:type="dxa"/>
          <w:left w:w="0" w:type="dxa"/>
          <w:bottom w:w="0" w:type="dxa"/>
          <w:right w:w="0" w:type="dxa"/>
        </w:tblCellMar>
      </w:tblPr>
      <w:tblGrid>
        <w:gridCol w:w="500"/>
        <w:gridCol w:w="7760"/>
      </w:tblGrid>
      <w:tr>
        <w:trPr/>
        <w:tc>
          <w:tcPr>
            <w:tcW w:w="500" w:type="dxa"/>
            <w:tcBorders/>
            <w:shd w:fill="auto" w:val="clear"/>
            <w:vAlign w:val="center"/>
          </w:tcPr>
          <w:p>
            <w:pPr>
              <w:pStyle w:val="TableContents"/>
              <w:spacing w:before="0" w:after="283"/>
              <w:rPr>
                <w:sz w:val="4"/>
                <w:szCs w:val="4"/>
              </w:rPr>
            </w:pPr>
            <w:r>
              <w:rPr>
                <w:sz w:val="4"/>
                <w:szCs w:val="4"/>
              </w:rPr>
            </w:r>
          </w:p>
        </w:tc>
        <w:tc>
          <w:tcPr>
            <w:tcW w:w="7760" w:type="dxa"/>
            <w:tcBorders/>
            <w:shd w:fill="auto" w:val="clear"/>
            <w:vAlign w:val="center"/>
          </w:tcPr>
          <w:p>
            <w:pPr>
              <w:pStyle w:val="TableContents"/>
              <w:spacing w:before="0" w:after="283"/>
              <w:rPr>
                <w:sz w:val="4"/>
                <w:szCs w:val="4"/>
              </w:rPr>
            </w:pPr>
            <w:r>
              <w:rPr>
                <w:sz w:val="4"/>
                <w:szCs w:val="4"/>
              </w:rPr>
            </w:r>
          </w:p>
        </w:tc>
      </w:tr>
      <w:tr>
        <w:trPr/>
        <w:tc>
          <w:tcPr>
            <w:tcW w:w="500" w:type="dxa"/>
            <w:tcBorders/>
            <w:shd w:fill="auto" w:val="clear"/>
            <w:vAlign w:val="center"/>
          </w:tcPr>
          <w:p>
            <w:pPr>
              <w:pStyle w:val="TableContents"/>
              <w:spacing w:lineRule="auto" w:line="288" w:before="0" w:after="0"/>
              <w:ind w:left="0" w:right="0" w:firstLine="375"/>
              <w:rPr/>
            </w:pPr>
            <w:r>
              <w:rPr/>
              <w:t>•</w:t>
            </w:r>
          </w:p>
        </w:tc>
        <w:tc>
          <w:tcPr>
            <w:tcW w:w="77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Evaluation of the value added to the Company by hiring or retaining specific executives; and</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123</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00"/>
        <w:gridCol w:w="9705"/>
      </w:tblGrid>
      <w:tr>
        <w:trPr/>
        <w:tc>
          <w:tcPr>
            <w:tcW w:w="500" w:type="dxa"/>
            <w:tcBorders/>
            <w:shd w:fill="auto" w:val="clear"/>
            <w:vAlign w:val="center"/>
          </w:tcPr>
          <w:p>
            <w:pPr>
              <w:pStyle w:val="TableContents"/>
              <w:spacing w:before="0" w:after="283"/>
              <w:rPr>
                <w:sz w:val="4"/>
                <w:szCs w:val="4"/>
              </w:rPr>
            </w:pPr>
            <w:r>
              <w:rPr>
                <w:sz w:val="4"/>
                <w:szCs w:val="4"/>
              </w:rPr>
            </w:r>
          </w:p>
        </w:tc>
        <w:tc>
          <w:tcPr>
            <w:tcW w:w="9705" w:type="dxa"/>
            <w:tcBorders/>
            <w:shd w:fill="auto" w:val="clear"/>
            <w:vAlign w:val="center"/>
          </w:tcPr>
          <w:p>
            <w:pPr>
              <w:pStyle w:val="TableContents"/>
              <w:spacing w:before="0" w:after="283"/>
              <w:rPr>
                <w:sz w:val="4"/>
                <w:szCs w:val="4"/>
              </w:rPr>
            </w:pPr>
            <w:r>
              <w:rPr>
                <w:sz w:val="4"/>
                <w:szCs w:val="4"/>
              </w:rPr>
            </w:r>
          </w:p>
        </w:tc>
      </w:tr>
      <w:tr>
        <w:trPr/>
        <w:tc>
          <w:tcPr>
            <w:tcW w:w="500" w:type="dxa"/>
            <w:tcBorders/>
            <w:shd w:fill="auto" w:val="clear"/>
            <w:vAlign w:val="center"/>
          </w:tcPr>
          <w:p>
            <w:pPr>
              <w:pStyle w:val="TableContents"/>
              <w:spacing w:lineRule="auto" w:line="288" w:before="0" w:after="0"/>
              <w:ind w:left="0" w:right="0" w:firstLine="375"/>
              <w:rPr/>
            </w:pPr>
            <w:r>
              <w:rPr/>
              <w:t>•</w:t>
            </w:r>
          </w:p>
        </w:tc>
        <w:tc>
          <w:tcPr>
            <w:tcW w:w="97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Each executive's long-term potential contributions to the Company in terms of impacting overall performance, strategic direction, financial results and shareholder value.</w:t>
            </w:r>
          </w:p>
        </w:tc>
      </w:tr>
    </w:tbl>
    <w:p>
      <w:pPr>
        <w:pStyle w:val="TextBody"/>
        <w:spacing w:lineRule="auto" w:line="288" w:before="0" w:after="0"/>
        <w:jc w:val="left"/>
        <w:rPr>
          <w:sz w:val="17"/>
        </w:rPr>
      </w:pPr>
      <w:r>
        <w:rPr>
          <w:rFonts w:ascii="inherit" w:hAnsi="inherit"/>
          <w:i/>
          <w:sz w:val="17"/>
        </w:rPr>
        <w:t>Grant frequency</w:t>
      </w:r>
      <w:r>
        <w:rPr>
          <w:sz w:val="17"/>
        </w:rPr>
        <w:t xml:space="preserve"> — </w:t>
      </w:r>
      <w:r>
        <w:rPr>
          <w:rFonts w:ascii="inherit" w:hAnsi="inherit"/>
          <w:sz w:val="17"/>
        </w:rPr>
        <w:t xml:space="preserve">The Committee considers new grants for all executives every year, although we do not necessarily grant new equity to all executives every year. The frequency of grants and the amount of equity awards granted in a given year are based in part upon an assessment of past equity awards still outstanding at the time new grants are to be made. </w:t>
      </w:r>
    </w:p>
    <w:p>
      <w:pPr>
        <w:pStyle w:val="TextBody"/>
        <w:spacing w:lineRule="auto" w:line="288" w:before="0" w:after="0"/>
        <w:jc w:val="left"/>
        <w:rPr>
          <w:rFonts w:ascii="inherit" w:hAnsi="inherit"/>
          <w:sz w:val="17"/>
        </w:rPr>
      </w:pPr>
      <w:r>
        <w:rPr>
          <w:rFonts w:ascii="inherit" w:hAnsi="inherit"/>
          <w:sz w:val="17"/>
        </w:rPr>
        <w:t>Although equity awards may be made at any time as determined by the Committee, they are generally made on the first business day of our fiscal year (or as soon as practicable thereafter) or on or around the recipient's hire date (in the case of new-hire grants).</w:t>
      </w:r>
    </w:p>
    <w:p>
      <w:pPr>
        <w:pStyle w:val="TextBody"/>
        <w:spacing w:lineRule="auto" w:line="288" w:before="0" w:after="0"/>
        <w:jc w:val="left"/>
        <w:rPr>
          <w:rFonts w:ascii="inherit" w:hAnsi="inherit"/>
          <w:sz w:val="17"/>
        </w:rPr>
      </w:pPr>
      <w:r>
        <w:rPr>
          <w:rFonts w:ascii="inherit" w:hAnsi="inherit"/>
          <w:sz w:val="17"/>
        </w:rPr>
        <w:t>Following a thorough assessment of available market data, internal equity, anticipated impact and past awards, on January 2, 2013 the Committee approved restricted stock grants for 28 key employees totaling 379,235 shares, including the following awards to Named Executive Officers:</w:t>
      </w:r>
    </w:p>
    <w:tbl>
      <w:tblPr>
        <w:tblW w:w="10205" w:type="dxa"/>
        <w:jc w:val="center"/>
        <w:tblInd w:w="0" w:type="dxa"/>
        <w:tblCellMar>
          <w:top w:w="0" w:type="dxa"/>
          <w:left w:w="0" w:type="dxa"/>
          <w:bottom w:w="0" w:type="dxa"/>
          <w:right w:w="0" w:type="dxa"/>
        </w:tblCellMar>
      </w:tblPr>
      <w:tblGrid>
        <w:gridCol w:w="2158"/>
        <w:gridCol w:w="1038"/>
        <w:gridCol w:w="78"/>
        <w:gridCol w:w="843"/>
        <w:gridCol w:w="78"/>
        <w:gridCol w:w="857"/>
        <w:gridCol w:w="83"/>
        <w:gridCol w:w="861"/>
        <w:gridCol w:w="79"/>
        <w:gridCol w:w="857"/>
        <w:gridCol w:w="83"/>
        <w:gridCol w:w="861"/>
        <w:gridCol w:w="79"/>
        <w:gridCol w:w="861"/>
        <w:gridCol w:w="79"/>
        <w:gridCol w:w="139"/>
        <w:gridCol w:w="1075"/>
        <w:gridCol w:w="96"/>
      </w:tblGrid>
      <w:tr>
        <w:trPr/>
        <w:tc>
          <w:tcPr>
            <w:tcW w:w="10205" w:type="dxa"/>
            <w:gridSpan w:val="18"/>
            <w:tcBorders/>
            <w:shd w:fill="auto" w:val="clear"/>
            <w:vAlign w:val="center"/>
          </w:tcPr>
          <w:p>
            <w:pPr>
              <w:pStyle w:val="TableContents"/>
              <w:spacing w:before="0" w:after="283"/>
              <w:rPr>
                <w:sz w:val="4"/>
                <w:szCs w:val="4"/>
              </w:rPr>
            </w:pPr>
            <w:r>
              <w:rPr>
                <w:sz w:val="4"/>
                <w:szCs w:val="4"/>
              </w:rPr>
            </w:r>
          </w:p>
        </w:tc>
      </w:tr>
      <w:tr>
        <w:trPr/>
        <w:tc>
          <w:tcPr>
            <w:tcW w:w="2158"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58" w:type="dxa"/>
            <w:vMerge w:val="restart"/>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Named Executive Officer</w:t>
            </w:r>
          </w:p>
        </w:tc>
        <w:tc>
          <w:tcPr>
            <w:tcW w:w="1116" w:type="dxa"/>
            <w:gridSpan w:val="2"/>
            <w:vMerge w:val="restart"/>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Number of shares</w:t>
            </w:r>
          </w:p>
        </w:tc>
        <w:tc>
          <w:tcPr>
            <w:tcW w:w="921" w:type="dxa"/>
            <w:gridSpan w:val="2"/>
            <w:vMerge w:val="restart"/>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Vesting Period</w:t>
            </w:r>
          </w:p>
        </w:tc>
        <w:tc>
          <w:tcPr>
            <w:tcW w:w="4700" w:type="dxa"/>
            <w:gridSpan w:val="10"/>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Vesting Schedule</w:t>
            </w:r>
          </w:p>
        </w:tc>
        <w:tc>
          <w:tcPr>
            <w:tcW w:w="1310" w:type="dxa"/>
            <w:gridSpan w:val="3"/>
            <w:vMerge w:val="restart"/>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Grant Date Value</w:t>
            </w:r>
          </w:p>
        </w:tc>
      </w:tr>
      <w:tr>
        <w:trPr/>
        <w:tc>
          <w:tcPr>
            <w:tcW w:w="2158" w:type="dxa"/>
            <w:vMerge w:val="continue"/>
            <w:tcBorders/>
            <w:shd w:fill="auto" w:val="clear"/>
            <w:vAlign w:val="center"/>
          </w:tcPr>
          <w:p>
            <w:pPr>
              <w:pStyle w:val="Normal"/>
              <w:rPr/>
            </w:pPr>
            <w:r>
              <w:rPr/>
            </w:r>
          </w:p>
        </w:tc>
        <w:tc>
          <w:tcPr>
            <w:tcW w:w="1116" w:type="dxa"/>
            <w:gridSpan w:val="2"/>
            <w:vMerge w:val="continue"/>
            <w:tcBorders/>
            <w:shd w:fill="auto" w:val="clear"/>
            <w:vAlign w:val="center"/>
          </w:tcPr>
          <w:p>
            <w:pPr>
              <w:pStyle w:val="Normal"/>
              <w:rPr/>
            </w:pPr>
            <w:r>
              <w:rPr/>
            </w:r>
          </w:p>
        </w:tc>
        <w:tc>
          <w:tcPr>
            <w:tcW w:w="921" w:type="dxa"/>
            <w:gridSpan w:val="2"/>
            <w:vMerge w:val="continue"/>
            <w:tcBorders/>
            <w:shd w:fill="auto" w:val="clear"/>
            <w:vAlign w:val="center"/>
          </w:tcPr>
          <w:p>
            <w:pPr>
              <w:pStyle w:val="Normal"/>
              <w:rPr/>
            </w:pPr>
            <w:r>
              <w:rPr/>
            </w:r>
          </w:p>
        </w:tc>
        <w:tc>
          <w:tcPr>
            <w:tcW w:w="940" w:type="dxa"/>
            <w:gridSpan w:val="2"/>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October 2013</w:t>
            </w:r>
          </w:p>
        </w:tc>
        <w:tc>
          <w:tcPr>
            <w:tcW w:w="940" w:type="dxa"/>
            <w:gridSpan w:val="2"/>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October 2014</w:t>
            </w:r>
          </w:p>
        </w:tc>
        <w:tc>
          <w:tcPr>
            <w:tcW w:w="940" w:type="dxa"/>
            <w:gridSpan w:val="2"/>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October 2015</w:t>
            </w:r>
          </w:p>
        </w:tc>
        <w:tc>
          <w:tcPr>
            <w:tcW w:w="940" w:type="dxa"/>
            <w:gridSpan w:val="2"/>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October 2016</w:t>
            </w:r>
          </w:p>
        </w:tc>
        <w:tc>
          <w:tcPr>
            <w:tcW w:w="940" w:type="dxa"/>
            <w:gridSpan w:val="2"/>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October 2018</w:t>
            </w:r>
          </w:p>
        </w:tc>
        <w:tc>
          <w:tcPr>
            <w:tcW w:w="1310" w:type="dxa"/>
            <w:gridSpan w:val="3"/>
            <w:vMerge w:val="continue"/>
            <w:tcBorders/>
            <w:shd w:fill="auto" w:val="clear"/>
            <w:vAlign w:val="center"/>
          </w:tcPr>
          <w:p>
            <w:pPr>
              <w:pStyle w:val="Normal"/>
              <w:rPr/>
            </w:pPr>
            <w:r>
              <w:rPr/>
            </w:r>
          </w:p>
        </w:tc>
      </w:tr>
      <w:tr>
        <w:trPr/>
        <w:tc>
          <w:tcPr>
            <w:tcW w:w="2158"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Mr. Rothamel</w:t>
            </w:r>
          </w:p>
        </w:tc>
        <w:tc>
          <w:tcPr>
            <w:tcW w:w="1038"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7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43"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7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7"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8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1"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7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7"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8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1"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7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1"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7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4"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9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Kuchenrither</w:t>
            </w:r>
          </w:p>
        </w:tc>
        <w:tc>
          <w:tcPr>
            <w:tcW w:w="1038" w:type="dxa"/>
            <w:tcBorders/>
            <w:shd w:fill="auto" w:val="clear"/>
            <w:vAlign w:val="center"/>
          </w:tcPr>
          <w:p>
            <w:pPr>
              <w:pStyle w:val="TableContents"/>
              <w:spacing w:before="0" w:after="0"/>
              <w:jc w:val="right"/>
              <w:rPr>
                <w:rFonts w:ascii="inherit" w:hAnsi="inherit"/>
                <w:sz w:val="17"/>
              </w:rPr>
            </w:pPr>
            <w:r>
              <w:rPr>
                <w:rFonts w:ascii="inherit" w:hAnsi="inherit"/>
                <w:sz w:val="17"/>
              </w:rPr>
              <w:t>200,000</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43" w:type="dxa"/>
            <w:tcBorders/>
            <w:shd w:fill="auto" w:val="clear"/>
            <w:vAlign w:val="center"/>
          </w:tcPr>
          <w:p>
            <w:pPr>
              <w:pStyle w:val="TableContents"/>
              <w:spacing w:before="0" w:after="0"/>
              <w:jc w:val="right"/>
              <w:rPr>
                <w:rFonts w:ascii="inherit" w:hAnsi="inherit"/>
                <w:sz w:val="17"/>
              </w:rPr>
            </w:pPr>
            <w:r>
              <w:rPr>
                <w:rFonts w:ascii="inherit" w:hAnsi="inherit"/>
                <w:sz w:val="17"/>
              </w:rPr>
              <w:t>6 years</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7" w:type="dxa"/>
            <w:tcBorders/>
            <w:shd w:fill="auto" w:val="clear"/>
            <w:vAlign w:val="center"/>
          </w:tcPr>
          <w:p>
            <w:pPr>
              <w:pStyle w:val="TableContents"/>
              <w:spacing w:before="0" w:after="0"/>
              <w:jc w:val="right"/>
              <w:rPr/>
            </w:pPr>
            <w:r>
              <w:rPr/>
              <w:t>—</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1" w:type="dxa"/>
            <w:tcBorders/>
            <w:shd w:fill="auto" w:val="clear"/>
            <w:vAlign w:val="center"/>
          </w:tcPr>
          <w:p>
            <w:pPr>
              <w:pStyle w:val="TableContents"/>
              <w:spacing w:before="0" w:after="0"/>
              <w:jc w:val="right"/>
              <w:rPr>
                <w:rFonts w:ascii="inherit" w:hAnsi="inherit"/>
                <w:sz w:val="17"/>
              </w:rPr>
            </w:pPr>
            <w:r>
              <w:rPr>
                <w:rFonts w:ascii="inherit" w:hAnsi="inherit"/>
                <w:sz w:val="17"/>
              </w:rPr>
              <w:t>66,667</w:t>
            </w:r>
          </w:p>
        </w:tc>
        <w:tc>
          <w:tcPr>
            <w:tcW w:w="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7" w:type="dxa"/>
            <w:tcBorders/>
            <w:shd w:fill="auto" w:val="clear"/>
            <w:vAlign w:val="center"/>
          </w:tcPr>
          <w:p>
            <w:pPr>
              <w:pStyle w:val="TableContents"/>
              <w:spacing w:before="0" w:after="0"/>
              <w:jc w:val="right"/>
              <w:rPr/>
            </w:pPr>
            <w:r>
              <w:rPr/>
              <w:t>—</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1" w:type="dxa"/>
            <w:tcBorders/>
            <w:shd w:fill="auto" w:val="clear"/>
            <w:vAlign w:val="center"/>
          </w:tcPr>
          <w:p>
            <w:pPr>
              <w:pStyle w:val="TableContents"/>
              <w:spacing w:before="0" w:after="0"/>
              <w:jc w:val="right"/>
              <w:rPr>
                <w:rFonts w:ascii="inherit" w:hAnsi="inherit"/>
                <w:sz w:val="17"/>
              </w:rPr>
            </w:pPr>
            <w:r>
              <w:rPr>
                <w:rFonts w:ascii="inherit" w:hAnsi="inherit"/>
                <w:sz w:val="17"/>
              </w:rPr>
              <w:t>66,667</w:t>
            </w:r>
          </w:p>
        </w:tc>
        <w:tc>
          <w:tcPr>
            <w:tcW w:w="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1" w:type="dxa"/>
            <w:tcBorders/>
            <w:shd w:fill="auto" w:val="clear"/>
            <w:vAlign w:val="center"/>
          </w:tcPr>
          <w:p>
            <w:pPr>
              <w:pStyle w:val="TableContents"/>
              <w:spacing w:before="0" w:after="0"/>
              <w:jc w:val="right"/>
              <w:rPr>
                <w:rFonts w:ascii="inherit" w:hAnsi="inherit"/>
                <w:sz w:val="17"/>
              </w:rPr>
            </w:pPr>
            <w:r>
              <w:rPr>
                <w:rFonts w:ascii="inherit" w:hAnsi="inherit"/>
                <w:sz w:val="17"/>
              </w:rPr>
              <w:t>66,666</w:t>
            </w:r>
          </w:p>
        </w:tc>
        <w:tc>
          <w:tcPr>
            <w:tcW w:w="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shd w:fill="auto" w:val="clear"/>
            <w:vAlign w:val="center"/>
          </w:tcPr>
          <w:p>
            <w:pPr>
              <w:pStyle w:val="TableContents"/>
              <w:spacing w:before="0" w:after="0"/>
              <w:jc w:val="right"/>
              <w:rPr>
                <w:rFonts w:ascii="inherit" w:hAnsi="inherit"/>
                <w:sz w:val="17"/>
              </w:rPr>
            </w:pPr>
            <w:r>
              <w:rPr>
                <w:rFonts w:ascii="inherit" w:hAnsi="inherit"/>
                <w:sz w:val="17"/>
              </w:rPr>
              <w:t>4,038,000</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Brinkley</w:t>
            </w:r>
          </w:p>
        </w:tc>
        <w:tc>
          <w:tcPr>
            <w:tcW w:w="1038" w:type="dxa"/>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43" w:type="dxa"/>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7" w:type="dxa"/>
            <w:tcBorders/>
            <w:shd w:fill="CCEEFF" w:val="clear"/>
            <w:vAlign w:val="center"/>
          </w:tcPr>
          <w:p>
            <w:pPr>
              <w:pStyle w:val="TableContents"/>
              <w:spacing w:before="0" w:after="0"/>
              <w:jc w:val="right"/>
              <w:rPr/>
            </w:pPr>
            <w:r>
              <w:rPr/>
              <w:t>—</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1" w:type="dxa"/>
            <w:tcBorders/>
            <w:shd w:fill="CCEEFF" w:val="clear"/>
            <w:vAlign w:val="center"/>
          </w:tcPr>
          <w:p>
            <w:pPr>
              <w:pStyle w:val="TableContents"/>
              <w:spacing w:before="0" w:after="0"/>
              <w:jc w:val="right"/>
              <w:rPr/>
            </w:pPr>
            <w:r>
              <w:rPr/>
              <w:t>—</w:t>
            </w:r>
          </w:p>
        </w:tc>
        <w:tc>
          <w:tcPr>
            <w:tcW w:w="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7" w:type="dxa"/>
            <w:tcBorders/>
            <w:shd w:fill="CCEEFF" w:val="clear"/>
            <w:vAlign w:val="center"/>
          </w:tcPr>
          <w:p>
            <w:pPr>
              <w:pStyle w:val="TableContents"/>
              <w:spacing w:before="0" w:after="0"/>
              <w:jc w:val="right"/>
              <w:rPr/>
            </w:pPr>
            <w:r>
              <w:rPr/>
              <w:t>—</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1" w:type="dxa"/>
            <w:tcBorders/>
            <w:shd w:fill="CCEEFF" w:val="clear"/>
            <w:vAlign w:val="center"/>
          </w:tcPr>
          <w:p>
            <w:pPr>
              <w:pStyle w:val="TableContents"/>
              <w:spacing w:before="0" w:after="0"/>
              <w:jc w:val="right"/>
              <w:rPr/>
            </w:pPr>
            <w:r>
              <w:rPr/>
              <w:t>—</w:t>
            </w:r>
          </w:p>
        </w:tc>
        <w:tc>
          <w:tcPr>
            <w:tcW w:w="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1" w:type="dxa"/>
            <w:tcBorders/>
            <w:shd w:fill="CCEEFF" w:val="clear"/>
            <w:vAlign w:val="center"/>
          </w:tcPr>
          <w:p>
            <w:pPr>
              <w:pStyle w:val="TableContents"/>
              <w:spacing w:before="0" w:after="0"/>
              <w:jc w:val="right"/>
              <w:rPr/>
            </w:pPr>
            <w:r>
              <w:rPr/>
              <w:t>—</w:t>
            </w:r>
          </w:p>
        </w:tc>
        <w:tc>
          <w:tcPr>
            <w:tcW w:w="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4" w:type="dxa"/>
            <w:gridSpan w:val="2"/>
            <w:tcBorders/>
            <w:shd w:fill="CCEEFF" w:val="clear"/>
            <w:vAlign w:val="center"/>
          </w:tcPr>
          <w:p>
            <w:pPr>
              <w:pStyle w:val="TableContents"/>
              <w:spacing w:before="0" w:after="0"/>
              <w:jc w:val="right"/>
              <w:rPr/>
            </w:pPr>
            <w:r>
              <w:rPr/>
              <w:t>—</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Guest</w:t>
            </w:r>
          </w:p>
        </w:tc>
        <w:tc>
          <w:tcPr>
            <w:tcW w:w="1038" w:type="dxa"/>
            <w:tcBorders/>
            <w:shd w:fill="auto" w:val="clear"/>
            <w:vAlign w:val="center"/>
          </w:tcPr>
          <w:p>
            <w:pPr>
              <w:pStyle w:val="TableContents"/>
              <w:spacing w:before="0" w:after="0"/>
              <w:jc w:val="right"/>
              <w:rPr>
                <w:rFonts w:ascii="inherit" w:hAnsi="inherit"/>
                <w:sz w:val="17"/>
              </w:rPr>
            </w:pPr>
            <w:r>
              <w:rPr>
                <w:rFonts w:ascii="inherit" w:hAnsi="inherit"/>
                <w:sz w:val="17"/>
              </w:rPr>
              <w:t>23,000</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43" w:type="dxa"/>
            <w:tcBorders/>
            <w:shd w:fill="auto" w:val="clear"/>
            <w:vAlign w:val="center"/>
          </w:tcPr>
          <w:p>
            <w:pPr>
              <w:pStyle w:val="TableContents"/>
              <w:spacing w:before="0" w:after="0"/>
              <w:jc w:val="right"/>
              <w:rPr>
                <w:rFonts w:ascii="inherit" w:hAnsi="inherit"/>
                <w:sz w:val="17"/>
              </w:rPr>
            </w:pPr>
            <w:r>
              <w:rPr>
                <w:rFonts w:ascii="inherit" w:hAnsi="inherit"/>
                <w:sz w:val="17"/>
              </w:rPr>
              <w:t>3 years</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7" w:type="dxa"/>
            <w:tcBorders/>
            <w:shd w:fill="auto" w:val="clear"/>
            <w:vAlign w:val="center"/>
          </w:tcPr>
          <w:p>
            <w:pPr>
              <w:pStyle w:val="TableContents"/>
              <w:spacing w:before="0" w:after="0"/>
              <w:jc w:val="right"/>
              <w:rPr>
                <w:rFonts w:ascii="inherit" w:hAnsi="inherit"/>
                <w:sz w:val="17"/>
              </w:rPr>
            </w:pPr>
            <w:r>
              <w:rPr>
                <w:rFonts w:ascii="inherit" w:hAnsi="inherit"/>
                <w:sz w:val="17"/>
              </w:rPr>
              <w:t>7,667</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1" w:type="dxa"/>
            <w:tcBorders/>
            <w:shd w:fill="auto" w:val="clear"/>
            <w:vAlign w:val="center"/>
          </w:tcPr>
          <w:p>
            <w:pPr>
              <w:pStyle w:val="TableContents"/>
              <w:spacing w:before="0" w:after="0"/>
              <w:jc w:val="right"/>
              <w:rPr>
                <w:rFonts w:ascii="inherit" w:hAnsi="inherit"/>
                <w:sz w:val="17"/>
              </w:rPr>
            </w:pPr>
            <w:r>
              <w:rPr>
                <w:rFonts w:ascii="inherit" w:hAnsi="inherit"/>
                <w:sz w:val="17"/>
              </w:rPr>
              <w:t>7,667</w:t>
            </w:r>
          </w:p>
        </w:tc>
        <w:tc>
          <w:tcPr>
            <w:tcW w:w="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7" w:type="dxa"/>
            <w:tcBorders/>
            <w:shd w:fill="auto" w:val="clear"/>
            <w:vAlign w:val="center"/>
          </w:tcPr>
          <w:p>
            <w:pPr>
              <w:pStyle w:val="TableContents"/>
              <w:spacing w:before="0" w:after="0"/>
              <w:jc w:val="right"/>
              <w:rPr>
                <w:rFonts w:ascii="inherit" w:hAnsi="inherit"/>
                <w:sz w:val="17"/>
              </w:rPr>
            </w:pPr>
            <w:r>
              <w:rPr>
                <w:rFonts w:ascii="inherit" w:hAnsi="inherit"/>
                <w:sz w:val="17"/>
              </w:rPr>
              <w:t>7,666</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1" w:type="dxa"/>
            <w:tcBorders/>
            <w:shd w:fill="auto" w:val="clear"/>
            <w:vAlign w:val="center"/>
          </w:tcPr>
          <w:p>
            <w:pPr>
              <w:pStyle w:val="TableContents"/>
              <w:spacing w:before="0" w:after="0"/>
              <w:jc w:val="right"/>
              <w:rPr/>
            </w:pPr>
            <w:r>
              <w:rPr/>
              <w:t>—</w:t>
            </w:r>
          </w:p>
        </w:tc>
        <w:tc>
          <w:tcPr>
            <w:tcW w:w="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1" w:type="dxa"/>
            <w:tcBorders/>
            <w:shd w:fill="auto" w:val="clear"/>
            <w:vAlign w:val="center"/>
          </w:tcPr>
          <w:p>
            <w:pPr>
              <w:pStyle w:val="TableContents"/>
              <w:spacing w:before="0" w:after="0"/>
              <w:jc w:val="right"/>
              <w:rPr/>
            </w:pPr>
            <w:r>
              <w:rPr/>
              <w:t>—</w:t>
            </w:r>
          </w:p>
        </w:tc>
        <w:tc>
          <w:tcPr>
            <w:tcW w:w="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464,370</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5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Mr. Welch</w:t>
            </w:r>
          </w:p>
        </w:tc>
        <w:tc>
          <w:tcPr>
            <w:tcW w:w="103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16,000</w:t>
            </w:r>
          </w:p>
        </w:tc>
        <w:tc>
          <w:tcPr>
            <w:tcW w:w="7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4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 years</w:t>
            </w:r>
          </w:p>
        </w:tc>
        <w:tc>
          <w:tcPr>
            <w:tcW w:w="7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5,334</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5,533</w:t>
            </w:r>
          </w:p>
        </w:tc>
        <w:tc>
          <w:tcPr>
            <w:tcW w:w="7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5,533</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1"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61"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323,040</w:t>
            </w:r>
          </w:p>
        </w:tc>
        <w:tc>
          <w:tcPr>
            <w:tcW w:w="96" w:type="dxa"/>
            <w:tcBorders>
              <w:bottom w:val="single" w:sz="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The grants to all executive officers, including the Named Executive Officers, are subject to performance-based vesting, requiring a 5% compounded annual growth in EBITDA at each vesting date when compared to fiscal 2012. </w:t>
      </w:r>
    </w:p>
    <w:p>
      <w:pPr>
        <w:pStyle w:val="TextBody"/>
        <w:spacing w:lineRule="auto" w:line="288" w:before="0" w:after="0"/>
        <w:jc w:val="left"/>
        <w:rPr>
          <w:rFonts w:ascii="inherit" w:hAnsi="inherit"/>
          <w:b/>
          <w:sz w:val="17"/>
        </w:rPr>
      </w:pPr>
      <w:r>
        <w:rPr>
          <w:rFonts w:ascii="inherit" w:hAnsi="inherit"/>
          <w:b/>
          <w:sz w:val="17"/>
        </w:rPr>
        <w:t>Other Executive Compensation Matters</w:t>
      </w:r>
    </w:p>
    <w:p>
      <w:pPr>
        <w:pStyle w:val="TextBody"/>
        <w:spacing w:lineRule="auto" w:line="288" w:before="0" w:after="0"/>
        <w:jc w:val="left"/>
        <w:rPr>
          <w:sz w:val="17"/>
        </w:rPr>
      </w:pPr>
      <w:r>
        <w:rPr>
          <w:rFonts w:ascii="inherit" w:hAnsi="inherit"/>
          <w:i/>
          <w:sz w:val="17"/>
        </w:rPr>
        <w:t>Supplemental Executive Retirement Plan —</w:t>
      </w:r>
      <w:r>
        <w:rPr>
          <w:sz w:val="17"/>
        </w:rPr>
        <w:t xml:space="preserve"> </w:t>
      </w:r>
      <w:r>
        <w:rPr>
          <w:rFonts w:ascii="inherit" w:hAnsi="inherit"/>
          <w:sz w:val="17"/>
        </w:rPr>
        <w:t>We provide selected executives, including all of the Named Executive Officers, with a non-qualified Supplemental Executive Retirement Plan (“SERP”) in order to offset some of the negative impacts of the highly paid executive contribution limitations applicable to our 401(k) retirement savings plan. For a description of the SERP, see “Other Benefits and Perquisites” below.</w:t>
      </w:r>
    </w:p>
    <w:p>
      <w:pPr>
        <w:pStyle w:val="TextBody"/>
        <w:spacing w:lineRule="auto" w:line="288" w:before="0" w:after="0"/>
        <w:jc w:val="left"/>
        <w:rPr>
          <w:sz w:val="17"/>
        </w:rPr>
      </w:pPr>
      <w:r>
        <w:rPr>
          <w:rFonts w:ascii="inherit" w:hAnsi="inherit"/>
          <w:sz w:val="17"/>
        </w:rPr>
        <w:t>For 2013</w:t>
      </w:r>
      <w:r>
        <w:rPr>
          <w:sz w:val="17"/>
        </w:rPr>
        <w:t xml:space="preserve"> </w:t>
      </w:r>
      <w:r>
        <w:rPr>
          <w:rFonts w:ascii="inherit" w:hAnsi="inherit"/>
          <w:sz w:val="17"/>
        </w:rPr>
        <w:t>and 2014, the following contributions on behalf of the Named Executive Officers were approved by the Committee:</w:t>
      </w:r>
    </w:p>
    <w:tbl>
      <w:tblPr>
        <w:tblW w:w="10205" w:type="dxa"/>
        <w:jc w:val="left"/>
        <w:tblInd w:w="0" w:type="dxa"/>
        <w:tblCellMar>
          <w:top w:w="0" w:type="dxa"/>
          <w:left w:w="0" w:type="dxa"/>
          <w:bottom w:w="0" w:type="dxa"/>
          <w:right w:w="0" w:type="dxa"/>
        </w:tblCellMar>
      </w:tblPr>
      <w:tblGrid>
        <w:gridCol w:w="6811"/>
        <w:gridCol w:w="126"/>
        <w:gridCol w:w="1407"/>
        <w:gridCol w:w="101"/>
        <w:gridCol w:w="117"/>
        <w:gridCol w:w="126"/>
        <w:gridCol w:w="1407"/>
        <w:gridCol w:w="110"/>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81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811" w:type="dxa"/>
            <w:tcBorders/>
            <w:shd w:fill="auto" w:val="clear"/>
            <w:vAlign w:val="center"/>
          </w:tcPr>
          <w:p>
            <w:pPr>
              <w:pStyle w:val="TableContents"/>
              <w:spacing w:before="0" w:after="0"/>
              <w:ind w:left="0" w:right="0" w:firstLine="30"/>
              <w:jc w:val="left"/>
              <w:rPr/>
            </w:pPr>
            <w:r>
              <w:rPr/>
              <w:t> </w:t>
            </w:r>
          </w:p>
        </w:tc>
        <w:tc>
          <w:tcPr>
            <w:tcW w:w="339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SERP Contribution</w:t>
            </w:r>
          </w:p>
        </w:tc>
      </w:tr>
      <w:tr>
        <w:trPr/>
        <w:tc>
          <w:tcPr>
            <w:tcW w:w="681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Named Executive Officer</w:t>
            </w:r>
          </w:p>
        </w:tc>
        <w:tc>
          <w:tcPr>
            <w:tcW w:w="163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17"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64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2014</w:t>
            </w:r>
          </w:p>
        </w:tc>
      </w:tr>
      <w:tr>
        <w:trPr/>
        <w:tc>
          <w:tcPr>
            <w:tcW w:w="68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Rothamel</w:t>
            </w:r>
          </w:p>
        </w:tc>
        <w:tc>
          <w:tcPr>
            <w:tcW w:w="12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40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270,000</w:t>
            </w:r>
          </w:p>
        </w:tc>
        <w:tc>
          <w:tcPr>
            <w:tcW w:w="10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2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40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270,000</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Kuchenrither</w:t>
            </w:r>
          </w:p>
        </w:tc>
        <w:tc>
          <w:tcPr>
            <w:tcW w:w="15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141,750</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5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141,750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Brinkley</w:t>
            </w:r>
          </w:p>
        </w:tc>
        <w:tc>
          <w:tcPr>
            <w:tcW w:w="15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270,000</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5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270,000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Guest</w:t>
            </w:r>
          </w:p>
        </w:tc>
        <w:tc>
          <w:tcPr>
            <w:tcW w:w="15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59,040</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5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61,920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Welch</w:t>
            </w:r>
          </w:p>
        </w:tc>
        <w:tc>
          <w:tcPr>
            <w:tcW w:w="15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47,520</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5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54,000</w:t>
            </w:r>
          </w:p>
        </w:tc>
        <w:tc>
          <w:tcPr>
            <w:tcW w:w="110"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i/>
          <w:sz w:val="17"/>
        </w:rPr>
        <w:t>Other Benefits and Perquisites —</w:t>
      </w:r>
      <w:r>
        <w:rPr>
          <w:sz w:val="17"/>
        </w:rPr>
        <w:t xml:space="preserve"> </w:t>
      </w:r>
      <w:r>
        <w:rPr>
          <w:rFonts w:ascii="inherit" w:hAnsi="inherit"/>
          <w:sz w:val="17"/>
        </w:rPr>
        <w:t>The executive officers participate in other benefit plans on the same terms as other employees. These plans include medical, dental and life insurance benefits, and our 401(k) retirement savings plan. In addition, we provide supplemental healthcare benefits to our executive officers. The amount of that benefit for the Named Executive Officers during fiscal 2013</w:t>
      </w:r>
      <w:r>
        <w:rPr>
          <w:sz w:val="17"/>
        </w:rPr>
        <w:t xml:space="preserve"> </w:t>
      </w:r>
      <w:r>
        <w:rPr>
          <w:rFonts w:ascii="inherit" w:hAnsi="inherit"/>
          <w:sz w:val="17"/>
        </w:rPr>
        <w:t>is included in the “All Other Compensation” table below.</w:t>
      </w:r>
    </w:p>
    <w:p>
      <w:pPr>
        <w:pStyle w:val="TextBody"/>
        <w:spacing w:lineRule="auto" w:line="288" w:before="0" w:after="0"/>
        <w:jc w:val="left"/>
        <w:rPr>
          <w:sz w:val="17"/>
        </w:rPr>
      </w:pPr>
      <w:r>
        <w:rPr>
          <w:rFonts w:ascii="inherit" w:hAnsi="inherit"/>
          <w:i/>
          <w:sz w:val="17"/>
        </w:rPr>
        <w:t>Employment Agreements, Severance and Change-in-Control Arrangements —</w:t>
      </w:r>
      <w:r>
        <w:rPr>
          <w:sz w:val="17"/>
        </w:rPr>
        <w:t xml:space="preserve"> </w:t>
      </w:r>
      <w:r>
        <w:rPr>
          <w:rFonts w:ascii="inherit" w:hAnsi="inherit"/>
          <w:sz w:val="17"/>
        </w:rPr>
        <w:t xml:space="preserve">On August 3, 2009, we entered into an employment agreement with Paul E. Rothamel, who is now our President and Chief Executive Officer. The agreement provides for certain benefits (principally, a payment equal to one year of then-current base salary) if (a) Mr. Rothamel terminates his employment for good reason (including a change in control), (b) we terminate Mr. Rothamel's employment without cause, or (c) Mr. Rothamel dies or becomes totally and permanently disabled during his active employment.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124</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agreement had an initial term of two years, and has been renewed for an additional one-year term, and will continue to be renewed for successive one-year terms unless either party gives 90-days' notice to terminate.</w:t>
      </w:r>
    </w:p>
    <w:p>
      <w:pPr>
        <w:pStyle w:val="TextBody"/>
        <w:spacing w:lineRule="auto" w:line="288" w:before="0" w:after="0"/>
        <w:jc w:val="left"/>
        <w:rPr>
          <w:rFonts w:ascii="inherit" w:hAnsi="inherit"/>
          <w:sz w:val="17"/>
        </w:rPr>
      </w:pPr>
      <w:r>
        <w:rPr>
          <w:rFonts w:ascii="inherit" w:hAnsi="inherit"/>
          <w:sz w:val="17"/>
        </w:rPr>
        <w:t>The company provides the following additional severance or change-in-control benefits to its executive officers: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terms of employment for certain of our executive officers (including Mr. Kuchenrither and Mr. Guest) provide that the executive officer will receive salary continuation for one year if his or her employment is terminated by the Company without cause.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Mr. Brinkley received a restricted stock award in October 2006 that provides for accelerated vesting of some or all of the unvested shares under certain circumstances, including death or disability, failure to be re-elected to his current position or termination of employment without cause.</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Generally, restricted stock awards, including those granted to the executive officers, provide for accelerated vesting of some or all of the unvested shares in the event of the holder's death or disability.</w:t>
            </w:r>
          </w:p>
        </w:tc>
      </w:tr>
    </w:tbl>
    <w:p>
      <w:pPr>
        <w:pStyle w:val="TextBody"/>
        <w:spacing w:lineRule="auto" w:line="288" w:before="0" w:after="0"/>
        <w:jc w:val="left"/>
        <w:rPr>
          <w:rFonts w:ascii="inherit" w:hAnsi="inherit"/>
          <w:sz w:val="17"/>
        </w:rPr>
      </w:pPr>
      <w:r>
        <w:rPr>
          <w:rFonts w:ascii="inherit" w:hAnsi="inherit"/>
          <w:sz w:val="17"/>
        </w:rPr>
        <w:t>More information on severance arrangements can be found under “Other Benefit Plans — Certain Termination Benefits” below. The Committee believes that these benefits provide important protection to the executive officers, are consistent with practice of the peer companies and are appropriate for attraction and retention of executive talent.</w:t>
      </w:r>
    </w:p>
    <w:p>
      <w:pPr>
        <w:pStyle w:val="TextBody"/>
        <w:spacing w:lineRule="auto" w:line="288" w:before="0" w:after="0"/>
        <w:jc w:val="left"/>
        <w:rPr>
          <w:sz w:val="17"/>
        </w:rPr>
      </w:pPr>
      <w:r>
        <w:rPr>
          <w:rFonts w:ascii="inherit" w:hAnsi="inherit"/>
          <w:i/>
          <w:sz w:val="17"/>
        </w:rPr>
        <w:t>Restrictive Covenants —</w:t>
      </w:r>
      <w:r>
        <w:rPr>
          <w:sz w:val="17"/>
        </w:rPr>
        <w:t xml:space="preserve"> </w:t>
      </w:r>
      <w:r>
        <w:rPr>
          <w:rFonts w:ascii="inherit" w:hAnsi="inherit"/>
          <w:sz w:val="17"/>
        </w:rPr>
        <w:t>Each of the Company's executive officers, along with other key employees, has entered into a Protection of Sensitive Information, Noncompetition and Nonsolicitation Agreement. Under the terms of that agreement, the executive is subject to confidentiality and non-disclosure obligations with respect to various categories of proprietary, competitively sensitive and confidential information. In addition, the executive has agreed that, for a period of one year following the termination of employment with the Company, he or she will not compete with the Company (within a defined area) and will not solicit the Company's employees or suppliers.</w:t>
      </w:r>
    </w:p>
    <w:p>
      <w:pPr>
        <w:pStyle w:val="TextBody"/>
        <w:spacing w:lineRule="auto" w:line="288" w:before="0" w:after="0"/>
        <w:jc w:val="left"/>
        <w:rPr>
          <w:sz w:val="17"/>
        </w:rPr>
      </w:pPr>
      <w:r>
        <w:rPr>
          <w:rFonts w:ascii="inherit" w:hAnsi="inherit"/>
          <w:i/>
          <w:sz w:val="17"/>
        </w:rPr>
        <w:t>Other Factors Affecting Compensation —</w:t>
      </w:r>
      <w:r>
        <w:rPr>
          <w:sz w:val="17"/>
        </w:rPr>
        <w:t xml:space="preserve"> </w:t>
      </w:r>
      <w:r>
        <w:rPr>
          <w:rFonts w:ascii="inherit" w:hAnsi="inherit"/>
          <w:sz w:val="17"/>
        </w:rPr>
        <w:t>In establishing total compensation for the executive officers, the Committee considered the effect of Section 162(m) of the Internal Revenue Code, which limits the deductibility of compensation paid to each covered employee. Generally, Section 162(m) prevents a company from receiving a federal income tax deduction for compensation paid to a covered employee in excess of $1 million for any year, unless that compensation is performance-based. To the extent practical, the Committee intends to preserve deductibility, but may choose to provide compensation that is not deductible if necessary to attract, retain, and reward high-performing executives or if otherwise appropriate under the circumstances.</w:t>
      </w:r>
    </w:p>
    <w:p>
      <w:pPr>
        <w:pStyle w:val="TextBody"/>
        <w:spacing w:lineRule="auto" w:line="288" w:before="0" w:after="0"/>
        <w:jc w:val="left"/>
        <w:rPr>
          <w:rFonts w:ascii="inherit" w:hAnsi="inherit"/>
          <w:b/>
          <w:sz w:val="17"/>
        </w:rPr>
      </w:pPr>
      <w:bookmarkStart w:id="106" w:name="sFC05E9E65299BCD4533A83E2CA26413C"/>
      <w:bookmarkEnd w:id="106"/>
      <w:r>
        <w:rPr>
          <w:rFonts w:ascii="inherit" w:hAnsi="inherit"/>
          <w:b/>
          <w:sz w:val="17"/>
        </w:rPr>
        <w:t>Compensation Committee Report</w:t>
      </w:r>
    </w:p>
    <w:p>
      <w:pPr>
        <w:pStyle w:val="TextBody"/>
        <w:spacing w:lineRule="auto" w:line="288" w:before="0" w:after="0"/>
        <w:jc w:val="left"/>
        <w:rPr>
          <w:sz w:val="17"/>
        </w:rPr>
      </w:pPr>
      <w:r>
        <w:rPr>
          <w:rFonts w:ascii="inherit" w:hAnsi="inherit"/>
          <w:sz w:val="17"/>
        </w:rPr>
        <w:t xml:space="preserve">The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w:t>
      </w:r>
      <w:r>
        <w:rPr>
          <w:rFonts w:ascii="inherit" w:hAnsi="inherit"/>
          <w:strike w:val="false"/>
          <w:dstrike w:val="false"/>
          <w:color w:val="000000"/>
          <w:sz w:val="17"/>
          <w:u w:val="none"/>
          <w:effect w:val="none"/>
        </w:rPr>
        <w:t>September 30, 2013</w:t>
      </w:r>
      <w:r>
        <w:rPr>
          <w:rFonts w:ascii="inherit" w:hAnsi="inherit"/>
          <w:sz w:val="17"/>
        </w:rPr>
        <w:t xml:space="preserve">. This report is provided by the following independent directors, who comprised the Compensation Committee as of the end of fiscal </w:t>
      </w:r>
      <w:r>
        <w:rPr>
          <w:rFonts w:ascii="inherit" w:hAnsi="inherit"/>
          <w:strike w:val="false"/>
          <w:dstrike w:val="false"/>
          <w:color w:val="000000"/>
          <w:sz w:val="17"/>
          <w:u w:val="none"/>
          <w:effect w:val="none"/>
        </w:rPr>
        <w:t>2013</w:t>
      </w:r>
      <w:r>
        <w:rPr>
          <w:rFonts w:ascii="inherit" w:hAnsi="inherit"/>
          <w:sz w:val="17"/>
        </w:rPr>
        <w:t>.</w:t>
      </w:r>
    </w:p>
    <w:tbl>
      <w:tblPr>
        <w:tblW w:w="10205" w:type="dxa"/>
        <w:jc w:val="left"/>
        <w:tblInd w:w="0" w:type="dxa"/>
        <w:tblCellMar>
          <w:top w:w="0" w:type="dxa"/>
          <w:left w:w="0" w:type="dxa"/>
          <w:bottom w:w="0" w:type="dxa"/>
          <w:right w:w="0" w:type="dxa"/>
        </w:tblCellMar>
      </w:tblPr>
      <w:tblGrid>
        <w:gridCol w:w="4361"/>
        <w:gridCol w:w="560"/>
        <w:gridCol w:w="3513"/>
        <w:gridCol w:w="1771"/>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4361"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513" w:type="dxa"/>
            <w:tcBorders/>
            <w:shd w:fill="auto" w:val="clear"/>
            <w:vAlign w:val="center"/>
          </w:tcPr>
          <w:p>
            <w:pPr>
              <w:pStyle w:val="TableContents"/>
              <w:spacing w:before="0" w:after="283"/>
              <w:rPr>
                <w:sz w:val="4"/>
                <w:szCs w:val="4"/>
              </w:rPr>
            </w:pPr>
            <w:r>
              <w:rPr>
                <w:sz w:val="4"/>
                <w:szCs w:val="4"/>
              </w:rPr>
            </w:r>
          </w:p>
        </w:tc>
        <w:tc>
          <w:tcPr>
            <w:tcW w:w="177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61" w:type="dxa"/>
            <w:tcBorders/>
            <w:shd w:fill="auto" w:val="clear"/>
            <w:vAlign w:val="center"/>
          </w:tcPr>
          <w:p>
            <w:pPr>
              <w:pStyle w:val="TableContents"/>
              <w:spacing w:before="0" w:after="0"/>
              <w:ind w:left="0" w:right="0" w:firstLine="30"/>
              <w:jc w:val="left"/>
              <w:rPr/>
            </w:pPr>
            <w:r>
              <w:rPr/>
              <w:t> </w:t>
            </w:r>
          </w:p>
        </w:tc>
        <w:tc>
          <w:tcPr>
            <w:tcW w:w="4073" w:type="dxa"/>
            <w:gridSpan w:val="2"/>
            <w:tcBorders/>
            <w:shd w:fill="auto" w:val="clear"/>
            <w:vAlign w:val="center"/>
          </w:tcPr>
          <w:p>
            <w:pPr>
              <w:pStyle w:val="TableContents"/>
              <w:spacing w:before="0" w:after="0"/>
              <w:rPr>
                <w:rFonts w:ascii="inherit" w:hAnsi="inherit"/>
                <w:sz w:val="17"/>
              </w:rPr>
            </w:pPr>
            <w:r>
              <w:rPr>
                <w:rFonts w:ascii="inherit" w:hAnsi="inherit"/>
                <w:sz w:val="17"/>
              </w:rPr>
              <w:t>Joseph J. Beal (Chair)</w:t>
            </w:r>
          </w:p>
          <w:p>
            <w:pPr>
              <w:pStyle w:val="TableContents"/>
              <w:spacing w:before="0" w:after="0"/>
              <w:rPr>
                <w:rFonts w:ascii="inherit" w:hAnsi="inherit"/>
                <w:sz w:val="17"/>
              </w:rPr>
            </w:pPr>
            <w:r>
              <w:rPr>
                <w:rFonts w:ascii="inherit" w:hAnsi="inherit"/>
                <w:sz w:val="17"/>
              </w:rPr>
              <w:t>Pablo Lagos Espinosa</w:t>
            </w:r>
          </w:p>
          <w:p>
            <w:pPr>
              <w:pStyle w:val="TableContents"/>
              <w:spacing w:before="0" w:after="0"/>
              <w:ind w:left="0" w:right="0" w:firstLine="30"/>
              <w:rPr>
                <w:rFonts w:ascii="inherit" w:hAnsi="inherit"/>
                <w:sz w:val="17"/>
              </w:rPr>
            </w:pPr>
            <w:r>
              <w:rPr>
                <w:rFonts w:ascii="inherit" w:hAnsi="inherit"/>
                <w:sz w:val="17"/>
              </w:rPr>
              <w:t>William C. Love</w:t>
            </w:r>
          </w:p>
        </w:tc>
        <w:tc>
          <w:tcPr>
            <w:tcW w:w="1771" w:type="dxa"/>
            <w:tcBorders/>
            <w:shd w:fill="auto" w:val="clear"/>
            <w:vAlign w:val="center"/>
          </w:tcPr>
          <w:p>
            <w:pPr>
              <w:pStyle w:val="TableContents"/>
              <w:spacing w:before="0" w:after="0"/>
              <w:jc w:val="left"/>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107" w:name="sE490124C8BCBB502DADD83E2CA49AACD"/>
      <w:bookmarkEnd w:id="107"/>
      <w:r>
        <w:rPr>
          <w:rFonts w:ascii="inherit" w:hAnsi="inherit"/>
          <w:b/>
          <w:sz w:val="17"/>
        </w:rPr>
        <w:t>Compensation Committee Interlocks and Insider Participation</w:t>
      </w:r>
    </w:p>
    <w:p>
      <w:pPr>
        <w:pStyle w:val="TextBody"/>
        <w:spacing w:lineRule="auto" w:line="288" w:before="0" w:after="0"/>
        <w:jc w:val="left"/>
        <w:rPr>
          <w:rFonts w:ascii="inherit" w:hAnsi="inherit"/>
          <w:sz w:val="17"/>
        </w:rPr>
      </w:pPr>
      <w:r>
        <w:rPr>
          <w:rFonts w:ascii="inherit" w:hAnsi="inherit"/>
          <w:sz w:val="17"/>
        </w:rPr>
        <w:t>No member of the Compensation Committee is or has been an officer or employee of EZCORP, and no member of the Compensation Committee had any relationship requiring disclosure under Item 404 of Regulation S-K, the SEC’s rules requiring disclosure of certain relationships and related-party transactions. None of our executive officers serves or has served on the board of directors or compensation committee (or other committee serving an equivalent function) of any other entity that has or has had a member of our Board of Directors as an executive officer.</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125</w:t>
      </w:r>
      <w:r>
        <w:br w:type="page"/>
      </w:r>
    </w:p>
    <w:p>
      <w:pPr>
        <w:pStyle w:val="TextBody"/>
        <w:spacing w:lineRule="auto" w:line="288" w:before="0" w:after="0"/>
        <w:rPr/>
      </w:pPr>
      <w:hyperlink w:anchor="sA13583D437E20DC41B4583E2BD74AA47">
        <w:bookmarkStart w:id="108" w:name="s9657284E56F08462E0F883E2864B2B42"/>
        <w:bookmarkEnd w:id="108"/>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Summary Compensation Table</w:t>
      </w:r>
    </w:p>
    <w:p>
      <w:pPr>
        <w:pStyle w:val="TextBody"/>
        <w:spacing w:lineRule="auto" w:line="288" w:before="0" w:after="0"/>
        <w:jc w:val="left"/>
        <w:rPr>
          <w:sz w:val="17"/>
        </w:rPr>
      </w:pPr>
      <w:r>
        <w:rPr>
          <w:rFonts w:ascii="inherit" w:hAnsi="inherit"/>
          <w:sz w:val="17"/>
        </w:rPr>
        <w:t xml:space="preserve">The table below summarizes the total compensation for fiscal </w:t>
      </w:r>
      <w:r>
        <w:rPr>
          <w:rFonts w:ascii="inherit" w:hAnsi="inherit"/>
          <w:strike w:val="false"/>
          <w:dstrike w:val="false"/>
          <w:color w:val="000000"/>
          <w:sz w:val="17"/>
          <w:u w:val="none"/>
          <w:effect w:val="none"/>
        </w:rPr>
        <w:t>2013</w:t>
      </w:r>
      <w:r>
        <w:rPr>
          <w:rFonts w:ascii="inherit" w:hAnsi="inherit"/>
          <w:sz w:val="17"/>
        </w:rPr>
        <w:t xml:space="preserve">, </w:t>
      </w:r>
      <w:r>
        <w:rPr>
          <w:rFonts w:ascii="inherit" w:hAnsi="inherit"/>
          <w:strike w:val="false"/>
          <w:dstrike w:val="false"/>
          <w:color w:val="000000"/>
          <w:sz w:val="17"/>
          <w:u w:val="none"/>
          <w:effect w:val="none"/>
        </w:rPr>
        <w:t>2012</w:t>
      </w:r>
      <w:r>
        <w:rPr>
          <w:sz w:val="17"/>
        </w:rPr>
        <w:t xml:space="preserve"> </w:t>
      </w:r>
      <w:r>
        <w:rPr>
          <w:rFonts w:ascii="inherit" w:hAnsi="inherit"/>
          <w:sz w:val="17"/>
        </w:rPr>
        <w:t>and 2011</w:t>
      </w:r>
      <w:r>
        <w:rPr>
          <w:sz w:val="17"/>
        </w:rPr>
        <w:t xml:space="preserve"> </w:t>
      </w:r>
      <w:r>
        <w:rPr>
          <w:rFonts w:ascii="inherit" w:hAnsi="inherit"/>
          <w:sz w:val="17"/>
        </w:rPr>
        <w:t xml:space="preserve">for the following persons: Paul E. Rothamel (our principal executive officer); Mark Kuchenrither (who served as our principal financial officer during most of fiscal </w:t>
      </w:r>
      <w:r>
        <w:rPr>
          <w:rFonts w:ascii="inherit" w:hAnsi="inherit"/>
          <w:strike w:val="false"/>
          <w:dstrike w:val="false"/>
          <w:color w:val="000000"/>
          <w:sz w:val="17"/>
          <w:u w:val="none"/>
          <w:effect w:val="none"/>
        </w:rPr>
        <w:t>2013</w:t>
      </w:r>
      <w:r>
        <w:rPr>
          <w:rFonts w:ascii="inherit" w:hAnsi="inherit"/>
          <w:sz w:val="17"/>
        </w:rPr>
        <w:t xml:space="preserve">); Stephen A. Stamp (who served as our principal financial officer during a portion of fiscal 2013); and Sterling B. Brinkley, Barry W. Guest and Thomas H. Welch, Jr. (the three other most highly compensated individuals who were serving as executive officers at the end of fiscal </w:t>
      </w:r>
      <w:r>
        <w:rPr>
          <w:rFonts w:ascii="inherit" w:hAnsi="inherit"/>
          <w:strike w:val="false"/>
          <w:dstrike w:val="false"/>
          <w:color w:val="000000"/>
          <w:sz w:val="17"/>
          <w:u w:val="none"/>
          <w:effect w:val="none"/>
        </w:rPr>
        <w:t>2013</w:t>
      </w:r>
      <w:r>
        <w:rPr>
          <w:rFonts w:ascii="inherit" w:hAnsi="inherit"/>
          <w:sz w:val="17"/>
        </w:rPr>
        <w:t xml:space="preserve">). These persons are referred to as the “Named Executive Officers.” </w:t>
      </w:r>
    </w:p>
    <w:tbl>
      <w:tblPr>
        <w:tblW w:w="10205" w:type="dxa"/>
        <w:jc w:val="left"/>
        <w:tblInd w:w="0" w:type="dxa"/>
        <w:tblCellMar>
          <w:top w:w="0" w:type="dxa"/>
          <w:left w:w="0" w:type="dxa"/>
          <w:bottom w:w="0" w:type="dxa"/>
          <w:right w:w="0" w:type="dxa"/>
        </w:tblCellMar>
      </w:tblPr>
      <w:tblGrid>
        <w:gridCol w:w="2610"/>
        <w:gridCol w:w="554"/>
        <w:gridCol w:w="101"/>
        <w:gridCol w:w="136"/>
        <w:gridCol w:w="789"/>
        <w:gridCol w:w="42"/>
        <w:gridCol w:w="101"/>
        <w:gridCol w:w="236"/>
        <w:gridCol w:w="553"/>
        <w:gridCol w:w="49"/>
        <w:gridCol w:w="101"/>
        <w:gridCol w:w="482"/>
        <w:gridCol w:w="480"/>
        <w:gridCol w:w="56"/>
        <w:gridCol w:w="101"/>
        <w:gridCol w:w="339"/>
        <w:gridCol w:w="796"/>
        <w:gridCol w:w="91"/>
        <w:gridCol w:w="101"/>
        <w:gridCol w:w="171"/>
        <w:gridCol w:w="1004"/>
        <w:gridCol w:w="52"/>
        <w:gridCol w:w="101"/>
        <w:gridCol w:w="136"/>
        <w:gridCol w:w="950"/>
        <w:gridCol w:w="73"/>
      </w:tblGrid>
      <w:tr>
        <w:trPr/>
        <w:tc>
          <w:tcPr>
            <w:tcW w:w="10205" w:type="dxa"/>
            <w:gridSpan w:val="26"/>
            <w:tcBorders/>
            <w:shd w:fill="auto" w:val="clear"/>
            <w:vAlign w:val="center"/>
          </w:tcPr>
          <w:p>
            <w:pPr>
              <w:pStyle w:val="TableContents"/>
              <w:spacing w:before="0" w:after="283"/>
              <w:rPr>
                <w:sz w:val="4"/>
                <w:szCs w:val="4"/>
              </w:rPr>
            </w:pPr>
            <w:r>
              <w:rPr>
                <w:sz w:val="4"/>
                <w:szCs w:val="4"/>
              </w:rPr>
            </w:r>
          </w:p>
        </w:tc>
      </w:tr>
      <w:tr>
        <w:trPr/>
        <w:tc>
          <w:tcPr>
            <w:tcW w:w="261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5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10" w:type="dxa"/>
            <w:vMerge w:val="restart"/>
            <w:tcBorders>
              <w:bottom w:val="single" w:sz="2" w:space="0" w:color="000000"/>
            </w:tcBorders>
            <w:shd w:fill="auto" w:val="clear"/>
            <w:tcMar>
              <w:bottom w:w="30" w:type="dxa"/>
            </w:tcMar>
            <w:vAlign w:val="center"/>
          </w:tcPr>
          <w:p>
            <w:pPr>
              <w:pStyle w:val="TableContents"/>
              <w:spacing w:before="0" w:after="0"/>
              <w:jc w:val="left"/>
              <w:rPr>
                <w:rFonts w:ascii="inherit" w:hAnsi="inherit"/>
                <w:b/>
                <w:sz w:val="13"/>
              </w:rPr>
            </w:pPr>
            <w:r>
              <w:rPr>
                <w:rFonts w:ascii="inherit" w:hAnsi="inherit"/>
                <w:b/>
                <w:sz w:val="13"/>
              </w:rPr>
              <w:t>Name and Principal Position</w:t>
            </w:r>
          </w:p>
        </w:tc>
        <w:tc>
          <w:tcPr>
            <w:tcW w:w="554"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w:t>
            </w:r>
          </w:p>
        </w:tc>
        <w:tc>
          <w:tcPr>
            <w:tcW w:w="101" w:type="dxa"/>
            <w:tcBorders/>
            <w:shd w:fill="auto" w:val="clear"/>
            <w:vAlign w:val="center"/>
          </w:tcPr>
          <w:p>
            <w:pPr>
              <w:pStyle w:val="TableContents"/>
              <w:spacing w:before="0" w:after="0"/>
              <w:ind w:left="0" w:right="0" w:firstLine="30"/>
              <w:rPr/>
            </w:pPr>
            <w:r>
              <w:rPr/>
              <w:t> </w:t>
            </w:r>
          </w:p>
        </w:tc>
        <w:tc>
          <w:tcPr>
            <w:tcW w:w="967"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Salary</w:t>
            </w:r>
          </w:p>
        </w:tc>
        <w:tc>
          <w:tcPr>
            <w:tcW w:w="101" w:type="dxa"/>
            <w:tcBorders/>
            <w:shd w:fill="auto" w:val="clear"/>
            <w:vAlign w:val="center"/>
          </w:tcPr>
          <w:p>
            <w:pPr>
              <w:pStyle w:val="TableContents"/>
              <w:spacing w:before="0" w:after="0"/>
              <w:ind w:left="0" w:right="0" w:firstLine="30"/>
              <w:rPr/>
            </w:pPr>
            <w:r>
              <w:rPr/>
              <w:t> </w:t>
            </w:r>
          </w:p>
        </w:tc>
        <w:tc>
          <w:tcPr>
            <w:tcW w:w="838"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Bonus (1)</w:t>
            </w:r>
          </w:p>
        </w:tc>
        <w:tc>
          <w:tcPr>
            <w:tcW w:w="101" w:type="dxa"/>
            <w:tcBorders/>
            <w:shd w:fill="auto" w:val="clear"/>
            <w:vAlign w:val="center"/>
          </w:tcPr>
          <w:p>
            <w:pPr>
              <w:pStyle w:val="TableContents"/>
              <w:spacing w:before="0" w:after="0"/>
              <w:ind w:left="0" w:right="0" w:firstLine="30"/>
              <w:rPr/>
            </w:pPr>
            <w:r>
              <w:rPr/>
              <w:t> </w:t>
            </w:r>
          </w:p>
        </w:tc>
        <w:tc>
          <w:tcPr>
            <w:tcW w:w="1018"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Stock Stock Awards (2)</w:t>
            </w:r>
          </w:p>
        </w:tc>
        <w:tc>
          <w:tcPr>
            <w:tcW w:w="101" w:type="dxa"/>
            <w:tcBorders/>
            <w:shd w:fill="auto" w:val="clear"/>
            <w:vAlign w:val="center"/>
          </w:tcPr>
          <w:p>
            <w:pPr>
              <w:pStyle w:val="TableContents"/>
              <w:spacing w:before="0" w:after="0"/>
              <w:ind w:left="0" w:right="0" w:firstLine="30"/>
              <w:rPr/>
            </w:pPr>
            <w:r>
              <w:rPr/>
              <w:t> </w:t>
            </w:r>
          </w:p>
        </w:tc>
        <w:tc>
          <w:tcPr>
            <w:tcW w:w="1226"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Non-Equity Incentive Plan Compensation (3)</w:t>
            </w:r>
          </w:p>
        </w:tc>
        <w:tc>
          <w:tcPr>
            <w:tcW w:w="101" w:type="dxa"/>
            <w:tcBorders/>
            <w:shd w:fill="auto" w:val="clear"/>
            <w:vAlign w:val="center"/>
          </w:tcPr>
          <w:p>
            <w:pPr>
              <w:pStyle w:val="TableContents"/>
              <w:spacing w:before="0" w:after="0"/>
              <w:ind w:left="0" w:right="0" w:firstLine="30"/>
              <w:rPr/>
            </w:pPr>
            <w:r>
              <w:rPr/>
              <w:t> </w:t>
            </w:r>
          </w:p>
        </w:tc>
        <w:tc>
          <w:tcPr>
            <w:tcW w:w="1227"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All Other Compensation (4)</w:t>
            </w:r>
          </w:p>
        </w:tc>
        <w:tc>
          <w:tcPr>
            <w:tcW w:w="101" w:type="dxa"/>
            <w:tcBorders/>
            <w:shd w:fill="auto" w:val="clear"/>
            <w:vAlign w:val="center"/>
          </w:tcPr>
          <w:p>
            <w:pPr>
              <w:pStyle w:val="TableContents"/>
              <w:spacing w:before="0" w:after="0"/>
              <w:ind w:left="0" w:right="0" w:firstLine="30"/>
              <w:rPr/>
            </w:pPr>
            <w:r>
              <w:rPr/>
              <w:t> </w:t>
            </w:r>
          </w:p>
        </w:tc>
        <w:tc>
          <w:tcPr>
            <w:tcW w:w="1159"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2610" w:type="dxa"/>
            <w:vMerge w:val="continue"/>
            <w:tcBorders>
              <w:bottom w:val="single" w:sz="2" w:space="0" w:color="000000"/>
            </w:tcBorders>
            <w:shd w:fill="auto" w:val="clear"/>
            <w:tcMar>
              <w:bottom w:w="30" w:type="dxa"/>
            </w:tcMar>
            <w:vAlign w:val="center"/>
          </w:tcPr>
          <w:p>
            <w:pPr>
              <w:pStyle w:val="Normal"/>
              <w:rPr/>
            </w:pPr>
            <w:r>
              <w:rPr/>
            </w:r>
          </w:p>
        </w:tc>
        <w:tc>
          <w:tcPr>
            <w:tcW w:w="554" w:type="dxa"/>
            <w:vMerge w:val="continue"/>
            <w:tcBorders>
              <w:bottom w:val="single" w:sz="2" w:space="0" w:color="000000"/>
            </w:tcBorders>
            <w:shd w:fill="auto" w:val="clear"/>
            <w:tcMar>
              <w:bottom w:w="30" w:type="dxa"/>
            </w:tcMar>
            <w:vAlign w:val="center"/>
          </w:tcPr>
          <w:p>
            <w:pPr>
              <w:pStyle w:val="Normal"/>
              <w:rPr/>
            </w:pPr>
            <w:r>
              <w:rPr/>
            </w:r>
          </w:p>
        </w:tc>
        <w:tc>
          <w:tcPr>
            <w:tcW w:w="10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67" w:type="dxa"/>
            <w:gridSpan w:val="3"/>
            <w:vMerge w:val="continue"/>
            <w:tcBorders>
              <w:bottom w:val="single" w:sz="2" w:space="0" w:color="000000"/>
            </w:tcBorders>
            <w:shd w:fill="auto" w:val="clear"/>
            <w:tcMar>
              <w:bottom w:w="30" w:type="dxa"/>
            </w:tcMar>
            <w:vAlign w:val="center"/>
          </w:tcPr>
          <w:p>
            <w:pPr>
              <w:pStyle w:val="Normal"/>
              <w:rPr/>
            </w:pPr>
            <w:r>
              <w:rPr/>
            </w:r>
          </w:p>
        </w:tc>
        <w:tc>
          <w:tcPr>
            <w:tcW w:w="10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38" w:type="dxa"/>
            <w:gridSpan w:val="3"/>
            <w:vMerge w:val="continue"/>
            <w:tcBorders>
              <w:bottom w:val="single" w:sz="2" w:space="0" w:color="000000"/>
            </w:tcBorders>
            <w:shd w:fill="auto" w:val="clear"/>
            <w:tcMar>
              <w:bottom w:w="30" w:type="dxa"/>
            </w:tcMar>
            <w:vAlign w:val="center"/>
          </w:tcPr>
          <w:p>
            <w:pPr>
              <w:pStyle w:val="Normal"/>
              <w:rPr/>
            </w:pPr>
            <w:r>
              <w:rPr/>
            </w:r>
          </w:p>
        </w:tc>
        <w:tc>
          <w:tcPr>
            <w:tcW w:w="10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18" w:type="dxa"/>
            <w:gridSpan w:val="3"/>
            <w:vMerge w:val="continue"/>
            <w:tcBorders>
              <w:bottom w:val="single" w:sz="2" w:space="0" w:color="000000"/>
            </w:tcBorders>
            <w:shd w:fill="auto" w:val="clear"/>
            <w:tcMar>
              <w:bottom w:w="30" w:type="dxa"/>
            </w:tcMar>
            <w:vAlign w:val="center"/>
          </w:tcPr>
          <w:p>
            <w:pPr>
              <w:pStyle w:val="Normal"/>
              <w:rPr/>
            </w:pPr>
            <w:r>
              <w:rPr/>
            </w:r>
          </w:p>
        </w:tc>
        <w:tc>
          <w:tcPr>
            <w:tcW w:w="10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26" w:type="dxa"/>
            <w:gridSpan w:val="3"/>
            <w:vMerge w:val="continue"/>
            <w:tcBorders>
              <w:bottom w:val="single" w:sz="2" w:space="0" w:color="000000"/>
            </w:tcBorders>
            <w:shd w:fill="auto" w:val="clear"/>
            <w:tcMar>
              <w:bottom w:w="30" w:type="dxa"/>
            </w:tcMar>
            <w:vAlign w:val="center"/>
          </w:tcPr>
          <w:p>
            <w:pPr>
              <w:pStyle w:val="Normal"/>
              <w:rPr/>
            </w:pPr>
            <w:r>
              <w:rPr/>
            </w:r>
          </w:p>
        </w:tc>
        <w:tc>
          <w:tcPr>
            <w:tcW w:w="10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27" w:type="dxa"/>
            <w:gridSpan w:val="3"/>
            <w:vMerge w:val="continue"/>
            <w:tcBorders>
              <w:bottom w:val="single" w:sz="2" w:space="0" w:color="000000"/>
            </w:tcBorders>
            <w:shd w:fill="auto" w:val="clear"/>
            <w:tcMar>
              <w:bottom w:w="30" w:type="dxa"/>
            </w:tcMar>
            <w:vAlign w:val="center"/>
          </w:tcPr>
          <w:p>
            <w:pPr>
              <w:pStyle w:val="Normal"/>
              <w:rPr/>
            </w:pPr>
            <w:r>
              <w:rPr/>
            </w:r>
          </w:p>
        </w:tc>
        <w:tc>
          <w:tcPr>
            <w:tcW w:w="10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59"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610" w:type="dxa"/>
            <w:vMerge w:val="restart"/>
            <w:tcBorders/>
            <w:shd w:fill="CCEEFF" w:val="clear"/>
            <w:vAlign w:val="center"/>
          </w:tcPr>
          <w:p>
            <w:pPr>
              <w:pStyle w:val="TableContents"/>
              <w:spacing w:before="0" w:after="0"/>
              <w:ind w:left="0" w:right="0" w:firstLine="30"/>
              <w:rPr>
                <w:sz w:val="17"/>
              </w:rPr>
            </w:pPr>
            <w:r>
              <w:rPr>
                <w:rFonts w:ascii="inherit" w:hAnsi="inherit"/>
                <w:b/>
                <w:sz w:val="17"/>
              </w:rPr>
              <w:t>Paul E. Rothamel</w:t>
            </w:r>
            <w:r>
              <w:rPr>
                <w:sz w:val="17"/>
              </w:rPr>
              <w:t>       </w:t>
            </w:r>
            <w:r>
              <w:rPr>
                <w:rFonts w:ascii="inherit" w:hAnsi="inherit"/>
                <w:sz w:val="17"/>
              </w:rPr>
              <w:t>President and Chief Executive Officer</w:t>
            </w:r>
          </w:p>
        </w:tc>
        <w:tc>
          <w:tcPr>
            <w:tcW w:w="55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2013</w:t>
            </w:r>
          </w:p>
        </w:tc>
        <w:tc>
          <w:tcPr>
            <w:tcW w:w="101" w:type="dxa"/>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89" w:type="dxa"/>
            <w:tcBorders/>
            <w:shd w:fill="CCEEFF" w:val="clear"/>
            <w:vAlign w:val="center"/>
          </w:tcPr>
          <w:p>
            <w:pPr>
              <w:pStyle w:val="TableContents"/>
              <w:spacing w:before="0" w:after="0"/>
              <w:jc w:val="right"/>
              <w:rPr>
                <w:rFonts w:ascii="inherit" w:hAnsi="inherit"/>
                <w:sz w:val="17"/>
              </w:rPr>
            </w:pPr>
            <w:r>
              <w:rPr>
                <w:rFonts w:ascii="inherit" w:hAnsi="inherit"/>
                <w:sz w:val="17"/>
              </w:rPr>
              <w:t>973,537</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23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53" w:type="dxa"/>
            <w:tcBorders/>
            <w:shd w:fill="CCEEFF" w:val="clear"/>
            <w:vAlign w:val="center"/>
          </w:tcPr>
          <w:p>
            <w:pPr>
              <w:pStyle w:val="TableContents"/>
              <w:spacing w:before="0" w:after="0"/>
              <w:jc w:val="right"/>
              <w:rPr/>
            </w:pPr>
            <w:r>
              <w:rPr/>
              <w:t>—</w:t>
            </w:r>
          </w:p>
        </w:tc>
        <w:tc>
          <w:tcPr>
            <w:tcW w:w="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48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0" w:type="dxa"/>
            <w:tcBorders/>
            <w:shd w:fill="CCEEFF" w:val="clear"/>
            <w:vAlign w:val="center"/>
          </w:tcPr>
          <w:p>
            <w:pPr>
              <w:pStyle w:val="TableContents"/>
              <w:spacing w:before="0" w:after="0"/>
              <w:jc w:val="right"/>
              <w:rPr/>
            </w:pPr>
            <w:r>
              <w:rPr/>
              <w:t>—</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3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shd w:fill="CCEEFF" w:val="clear"/>
            <w:vAlign w:val="center"/>
          </w:tcPr>
          <w:p>
            <w:pPr>
              <w:pStyle w:val="TableContents"/>
              <w:spacing w:before="0" w:after="0"/>
              <w:jc w:val="right"/>
              <w:rPr/>
            </w:pPr>
            <w:r>
              <w:rPr/>
              <w:t>—</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4" w:type="dxa"/>
            <w:tcBorders/>
            <w:shd w:fill="CCEEFF" w:val="clear"/>
            <w:vAlign w:val="center"/>
          </w:tcPr>
          <w:p>
            <w:pPr>
              <w:pStyle w:val="TableContents"/>
              <w:spacing w:before="0" w:after="0"/>
              <w:jc w:val="right"/>
              <w:rPr>
                <w:rFonts w:ascii="inherit" w:hAnsi="inherit"/>
                <w:sz w:val="17"/>
              </w:rPr>
            </w:pPr>
            <w:r>
              <w:rPr>
                <w:rFonts w:ascii="inherit" w:hAnsi="inherit"/>
                <w:sz w:val="17"/>
              </w:rPr>
              <w:t>295,513</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0" w:type="dxa"/>
            <w:tcBorders/>
            <w:shd w:fill="CCEEFF" w:val="clear"/>
            <w:vAlign w:val="center"/>
          </w:tcPr>
          <w:p>
            <w:pPr>
              <w:pStyle w:val="TableContents"/>
              <w:spacing w:before="0" w:after="0"/>
              <w:jc w:val="right"/>
              <w:rPr>
                <w:rFonts w:ascii="inherit" w:hAnsi="inherit"/>
                <w:sz w:val="17"/>
              </w:rPr>
            </w:pPr>
            <w:r>
              <w:rPr>
                <w:rFonts w:ascii="inherit" w:hAnsi="inherit"/>
                <w:sz w:val="17"/>
              </w:rPr>
              <w:t>1,269,050</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continue"/>
            <w:tcBorders/>
            <w:shd w:fill="CCEEFF" w:val="clear"/>
            <w:vAlign w:val="center"/>
          </w:tcPr>
          <w:p>
            <w:pPr>
              <w:pStyle w:val="Normal"/>
              <w:rPr/>
            </w:pPr>
            <w:r>
              <w:rPr/>
            </w:r>
          </w:p>
        </w:tc>
        <w:tc>
          <w:tcPr>
            <w:tcW w:w="55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2012</w:t>
            </w:r>
          </w:p>
        </w:tc>
        <w:tc>
          <w:tcPr>
            <w:tcW w:w="101" w:type="dxa"/>
            <w:tcBorders/>
            <w:shd w:fill="CCEEFF" w:val="clear"/>
            <w:vAlign w:val="center"/>
          </w:tcPr>
          <w:p>
            <w:pPr>
              <w:pStyle w:val="TableContents"/>
              <w:spacing w:before="0" w:after="0"/>
              <w:ind w:left="0" w:right="0" w:firstLine="30"/>
              <w:rPr/>
            </w:pPr>
            <w:r>
              <w:rPr/>
              <w:t> </w:t>
            </w:r>
          </w:p>
        </w:tc>
        <w:tc>
          <w:tcPr>
            <w:tcW w:w="9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859,615</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789" w:type="dxa"/>
            <w:gridSpan w:val="2"/>
            <w:tcBorders/>
            <w:shd w:fill="CCEEFF" w:val="clear"/>
            <w:vAlign w:val="center"/>
          </w:tcPr>
          <w:p>
            <w:pPr>
              <w:pStyle w:val="TableContents"/>
              <w:spacing w:before="0" w:after="0"/>
              <w:jc w:val="right"/>
              <w:rPr/>
            </w:pPr>
            <w:r>
              <w:rPr/>
              <w:t>—</w:t>
            </w:r>
          </w:p>
        </w:tc>
        <w:tc>
          <w:tcPr>
            <w:tcW w:w="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962" w:type="dxa"/>
            <w:gridSpan w:val="2"/>
            <w:tcBorders/>
            <w:shd w:fill="CCEEFF" w:val="clear"/>
            <w:vAlign w:val="center"/>
          </w:tcPr>
          <w:p>
            <w:pPr>
              <w:pStyle w:val="TableContents"/>
              <w:spacing w:before="0" w:after="0"/>
              <w:jc w:val="right"/>
              <w:rPr/>
            </w:pPr>
            <w:r>
              <w:rPr/>
              <w:t>—</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1,260,000</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261,561</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0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2,381,176</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continue"/>
            <w:tcBorders/>
            <w:shd w:fill="CCEEFF" w:val="clear"/>
            <w:vAlign w:val="center"/>
          </w:tcPr>
          <w:p>
            <w:pPr>
              <w:pStyle w:val="Normal"/>
              <w:rPr/>
            </w:pPr>
            <w:r>
              <w:rPr/>
            </w:r>
          </w:p>
        </w:tc>
        <w:tc>
          <w:tcPr>
            <w:tcW w:w="55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2011</w:t>
            </w:r>
          </w:p>
        </w:tc>
        <w:tc>
          <w:tcPr>
            <w:tcW w:w="101" w:type="dxa"/>
            <w:tcBorders/>
            <w:shd w:fill="CCEEFF" w:val="clear"/>
            <w:vAlign w:val="center"/>
          </w:tcPr>
          <w:p>
            <w:pPr>
              <w:pStyle w:val="TableContents"/>
              <w:spacing w:before="0" w:after="0"/>
              <w:ind w:left="0" w:right="0" w:firstLine="30"/>
              <w:rPr/>
            </w:pPr>
            <w:r>
              <w:rPr/>
              <w:t> </w:t>
            </w:r>
          </w:p>
        </w:tc>
        <w:tc>
          <w:tcPr>
            <w:tcW w:w="9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750,000</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789" w:type="dxa"/>
            <w:gridSpan w:val="2"/>
            <w:tcBorders/>
            <w:shd w:fill="CCEEFF" w:val="clear"/>
            <w:vAlign w:val="center"/>
          </w:tcPr>
          <w:p>
            <w:pPr>
              <w:pStyle w:val="TableContents"/>
              <w:spacing w:before="0" w:after="0"/>
              <w:jc w:val="right"/>
              <w:rPr/>
            </w:pPr>
            <w:r>
              <w:rPr/>
              <w:t>—</w:t>
            </w:r>
          </w:p>
        </w:tc>
        <w:tc>
          <w:tcPr>
            <w:tcW w:w="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9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5,952,000</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1,687,500</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178,619</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0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8,568,119</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restart"/>
            <w:tcBorders/>
            <w:shd w:fill="auto" w:val="clear"/>
            <w:vAlign w:val="center"/>
          </w:tcPr>
          <w:p>
            <w:pPr>
              <w:pStyle w:val="TableContents"/>
              <w:spacing w:before="0" w:after="0"/>
              <w:ind w:left="0" w:right="0" w:firstLine="30"/>
              <w:rPr>
                <w:sz w:val="17"/>
              </w:rPr>
            </w:pPr>
            <w:r>
              <w:rPr>
                <w:rFonts w:ascii="inherit" w:hAnsi="inherit"/>
                <w:b/>
                <w:sz w:val="17"/>
              </w:rPr>
              <w:t xml:space="preserve">Stephen A. Stamp </w:t>
            </w:r>
            <w:r>
              <w:rPr>
                <w:rFonts w:ascii="inherit" w:hAnsi="inherit"/>
                <w:b/>
                <w:sz w:val="13"/>
              </w:rPr>
              <w:t>(5)</w:t>
            </w:r>
            <w:r>
              <w:rPr>
                <w:sz w:val="17"/>
              </w:rPr>
              <w:t>           </w:t>
            </w:r>
            <w:r>
              <w:rPr>
                <w:rFonts w:ascii="inherit" w:hAnsi="inherit"/>
                <w:sz w:val="17"/>
              </w:rPr>
              <w:t xml:space="preserve">former Senior Vice President and Chief Financial Officer </w:t>
            </w:r>
          </w:p>
        </w:tc>
        <w:tc>
          <w:tcPr>
            <w:tcW w:w="55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2013</w:t>
            </w:r>
          </w:p>
        </w:tc>
        <w:tc>
          <w:tcPr>
            <w:tcW w:w="101" w:type="dxa"/>
            <w:tcBorders/>
            <w:shd w:fill="auto" w:val="clear"/>
            <w:vAlign w:val="center"/>
          </w:tcPr>
          <w:p>
            <w:pPr>
              <w:pStyle w:val="TableContents"/>
              <w:spacing w:before="0" w:after="0"/>
              <w:ind w:left="0" w:right="0" w:firstLine="30"/>
              <w:rPr/>
            </w:pPr>
            <w:r>
              <w:rPr/>
              <w:t> </w:t>
            </w:r>
          </w:p>
        </w:tc>
        <w:tc>
          <w:tcPr>
            <w:tcW w:w="9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23,077</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789" w:type="dxa"/>
            <w:gridSpan w:val="2"/>
            <w:tcBorders/>
            <w:shd w:fill="auto" w:val="clear"/>
            <w:vAlign w:val="center"/>
          </w:tcPr>
          <w:p>
            <w:pPr>
              <w:pStyle w:val="TableContents"/>
              <w:spacing w:before="0" w:after="0"/>
              <w:jc w:val="right"/>
              <w:rPr/>
            </w:pPr>
            <w:r>
              <w:rPr/>
              <w:t>—</w:t>
            </w:r>
          </w:p>
        </w:tc>
        <w:tc>
          <w:tcPr>
            <w:tcW w:w="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962" w:type="dxa"/>
            <w:gridSpan w:val="2"/>
            <w:tcBorders/>
            <w:shd w:fill="auto" w:val="clear"/>
            <w:vAlign w:val="center"/>
          </w:tcPr>
          <w:p>
            <w:pPr>
              <w:pStyle w:val="TableContents"/>
              <w:spacing w:before="0" w:after="0"/>
              <w:jc w:val="right"/>
              <w:rPr/>
            </w:pPr>
            <w:r>
              <w:rPr/>
              <w:t>—</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35" w:type="dxa"/>
            <w:gridSpan w:val="2"/>
            <w:tcBorders/>
            <w:shd w:fill="auto" w:val="clear"/>
            <w:vAlign w:val="center"/>
          </w:tcPr>
          <w:p>
            <w:pPr>
              <w:pStyle w:val="TableContents"/>
              <w:spacing w:before="0" w:after="0"/>
              <w:jc w:val="right"/>
              <w:rPr/>
            </w:pPr>
            <w:r>
              <w:rPr/>
              <w:t>—</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359,517</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0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382,594</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continue"/>
            <w:tcBorders/>
            <w:shd w:fill="auto" w:val="clear"/>
            <w:vAlign w:val="center"/>
          </w:tcPr>
          <w:p>
            <w:pPr>
              <w:pStyle w:val="Normal"/>
              <w:rPr/>
            </w:pPr>
            <w:r>
              <w:rPr/>
            </w:r>
          </w:p>
        </w:tc>
        <w:tc>
          <w:tcPr>
            <w:tcW w:w="55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2012</w:t>
            </w:r>
          </w:p>
        </w:tc>
        <w:tc>
          <w:tcPr>
            <w:tcW w:w="101" w:type="dxa"/>
            <w:tcBorders/>
            <w:shd w:fill="auto" w:val="clear"/>
            <w:vAlign w:val="center"/>
          </w:tcPr>
          <w:p>
            <w:pPr>
              <w:pStyle w:val="TableContents"/>
              <w:spacing w:before="0" w:after="0"/>
              <w:ind w:left="0" w:right="0" w:firstLine="30"/>
              <w:rPr/>
            </w:pPr>
            <w:r>
              <w:rPr/>
              <w:t> </w:t>
            </w:r>
          </w:p>
        </w:tc>
        <w:tc>
          <w:tcPr>
            <w:tcW w:w="9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386,539</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789" w:type="dxa"/>
            <w:gridSpan w:val="2"/>
            <w:tcBorders/>
            <w:shd w:fill="auto" w:val="clear"/>
            <w:vAlign w:val="center"/>
          </w:tcPr>
          <w:p>
            <w:pPr>
              <w:pStyle w:val="TableContents"/>
              <w:spacing w:before="0" w:after="0"/>
              <w:jc w:val="right"/>
              <w:rPr/>
            </w:pPr>
            <w:r>
              <w:rPr/>
              <w:t>—</w:t>
            </w:r>
          </w:p>
        </w:tc>
        <w:tc>
          <w:tcPr>
            <w:tcW w:w="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9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450,358</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168,000</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72,405</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0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1,077,302</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continue"/>
            <w:tcBorders/>
            <w:shd w:fill="auto" w:val="clear"/>
            <w:vAlign w:val="center"/>
          </w:tcPr>
          <w:p>
            <w:pPr>
              <w:pStyle w:val="Normal"/>
              <w:rPr/>
            </w:pPr>
            <w:r>
              <w:rPr/>
            </w:r>
          </w:p>
        </w:tc>
        <w:tc>
          <w:tcPr>
            <w:tcW w:w="55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2011</w:t>
            </w:r>
          </w:p>
        </w:tc>
        <w:tc>
          <w:tcPr>
            <w:tcW w:w="101" w:type="dxa"/>
            <w:tcBorders/>
            <w:shd w:fill="auto" w:val="clear"/>
            <w:vAlign w:val="center"/>
          </w:tcPr>
          <w:p>
            <w:pPr>
              <w:pStyle w:val="TableContents"/>
              <w:spacing w:before="0" w:after="0"/>
              <w:ind w:left="0" w:right="0" w:firstLine="30"/>
              <w:rPr/>
            </w:pPr>
            <w:r>
              <w:rPr/>
              <w:t> </w:t>
            </w:r>
          </w:p>
        </w:tc>
        <w:tc>
          <w:tcPr>
            <w:tcW w:w="9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308,269</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789" w:type="dxa"/>
            <w:gridSpan w:val="2"/>
            <w:tcBorders/>
            <w:shd w:fill="auto" w:val="clear"/>
            <w:vAlign w:val="center"/>
          </w:tcPr>
          <w:p>
            <w:pPr>
              <w:pStyle w:val="TableContents"/>
              <w:spacing w:before="0" w:after="0"/>
              <w:jc w:val="right"/>
              <w:rPr/>
            </w:pPr>
            <w:r>
              <w:rPr/>
              <w:t>—</w:t>
            </w:r>
          </w:p>
        </w:tc>
        <w:tc>
          <w:tcPr>
            <w:tcW w:w="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9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427,400</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315,000</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137,066</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0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1,187,735</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restart"/>
            <w:tcBorders/>
            <w:shd w:fill="CCEEFF" w:val="clear"/>
            <w:vAlign w:val="center"/>
          </w:tcPr>
          <w:p>
            <w:pPr>
              <w:pStyle w:val="TableContents"/>
              <w:spacing w:before="0" w:after="0"/>
              <w:ind w:left="0" w:right="0" w:firstLine="30"/>
              <w:rPr>
                <w:sz w:val="17"/>
              </w:rPr>
            </w:pPr>
            <w:r>
              <w:rPr>
                <w:rFonts w:ascii="inherit" w:hAnsi="inherit"/>
                <w:b/>
                <w:sz w:val="17"/>
              </w:rPr>
              <w:t>Mark Kuchenrither</w:t>
            </w:r>
            <w:r>
              <w:rPr>
                <w:sz w:val="17"/>
              </w:rPr>
              <w:t>     </w:t>
            </w:r>
            <w:r>
              <w:rPr>
                <w:rFonts w:ascii="inherit" w:hAnsi="inherit"/>
                <w:sz w:val="17"/>
              </w:rPr>
              <w:t>Executive Vice President and Chief Financial Officer</w:t>
            </w:r>
          </w:p>
        </w:tc>
        <w:tc>
          <w:tcPr>
            <w:tcW w:w="55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2013</w:t>
            </w:r>
          </w:p>
        </w:tc>
        <w:tc>
          <w:tcPr>
            <w:tcW w:w="101" w:type="dxa"/>
            <w:tcBorders/>
            <w:shd w:fill="CCEEFF" w:val="clear"/>
            <w:vAlign w:val="center"/>
          </w:tcPr>
          <w:p>
            <w:pPr>
              <w:pStyle w:val="TableContents"/>
              <w:spacing w:before="0" w:after="0"/>
              <w:ind w:left="0" w:right="0" w:firstLine="30"/>
              <w:rPr/>
            </w:pPr>
            <w:r>
              <w:rPr/>
              <w:t> </w:t>
            </w:r>
          </w:p>
        </w:tc>
        <w:tc>
          <w:tcPr>
            <w:tcW w:w="9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690,385</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789" w:type="dxa"/>
            <w:gridSpan w:val="2"/>
            <w:tcBorders/>
            <w:shd w:fill="CCEEFF" w:val="clear"/>
            <w:vAlign w:val="center"/>
          </w:tcPr>
          <w:p>
            <w:pPr>
              <w:pStyle w:val="TableContents"/>
              <w:spacing w:before="0" w:after="0"/>
              <w:jc w:val="right"/>
              <w:rPr/>
            </w:pPr>
            <w:r>
              <w:rPr/>
              <w:t>—</w:t>
            </w:r>
          </w:p>
        </w:tc>
        <w:tc>
          <w:tcPr>
            <w:tcW w:w="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9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4,038,000</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jc w:val="right"/>
              <w:rPr/>
            </w:pPr>
            <w:r>
              <w:rPr/>
              <w:t>—</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154,434</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0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4,882,819</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continue"/>
            <w:tcBorders/>
            <w:shd w:fill="CCEEFF" w:val="clear"/>
            <w:vAlign w:val="center"/>
          </w:tcPr>
          <w:p>
            <w:pPr>
              <w:pStyle w:val="Normal"/>
              <w:rPr/>
            </w:pPr>
            <w:r>
              <w:rPr/>
            </w:r>
          </w:p>
        </w:tc>
        <w:tc>
          <w:tcPr>
            <w:tcW w:w="55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2012</w:t>
            </w:r>
          </w:p>
        </w:tc>
        <w:tc>
          <w:tcPr>
            <w:tcW w:w="101" w:type="dxa"/>
            <w:tcBorders/>
            <w:shd w:fill="CCEEFF" w:val="clear"/>
            <w:vAlign w:val="center"/>
          </w:tcPr>
          <w:p>
            <w:pPr>
              <w:pStyle w:val="TableContents"/>
              <w:spacing w:before="0" w:after="0"/>
              <w:ind w:left="0" w:right="0" w:firstLine="30"/>
              <w:rPr/>
            </w:pPr>
            <w:r>
              <w:rPr/>
              <w:t> </w:t>
            </w:r>
          </w:p>
        </w:tc>
        <w:tc>
          <w:tcPr>
            <w:tcW w:w="9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432,837</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789" w:type="dxa"/>
            <w:gridSpan w:val="2"/>
            <w:tcBorders/>
            <w:shd w:fill="CCEEFF" w:val="clear"/>
            <w:vAlign w:val="center"/>
          </w:tcPr>
          <w:p>
            <w:pPr>
              <w:pStyle w:val="TableContents"/>
              <w:spacing w:before="0" w:after="0"/>
              <w:jc w:val="right"/>
              <w:rPr/>
            </w:pPr>
            <w:r>
              <w:rPr/>
              <w:t>—</w:t>
            </w:r>
          </w:p>
        </w:tc>
        <w:tc>
          <w:tcPr>
            <w:tcW w:w="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9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900,716</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236,250</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78,789</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0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1,648,592</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continue"/>
            <w:tcBorders/>
            <w:shd w:fill="CCEEFF" w:val="clear"/>
            <w:vAlign w:val="center"/>
          </w:tcPr>
          <w:p>
            <w:pPr>
              <w:pStyle w:val="Normal"/>
              <w:rPr/>
            </w:pPr>
            <w:r>
              <w:rPr/>
            </w:r>
          </w:p>
        </w:tc>
        <w:tc>
          <w:tcPr>
            <w:tcW w:w="55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2011</w:t>
            </w:r>
          </w:p>
        </w:tc>
        <w:tc>
          <w:tcPr>
            <w:tcW w:w="101" w:type="dxa"/>
            <w:tcBorders/>
            <w:shd w:fill="CCEEFF" w:val="clear"/>
            <w:vAlign w:val="center"/>
          </w:tcPr>
          <w:p>
            <w:pPr>
              <w:pStyle w:val="TableContents"/>
              <w:spacing w:before="0" w:after="0"/>
              <w:ind w:left="0" w:right="0" w:firstLine="30"/>
              <w:rPr/>
            </w:pPr>
            <w:r>
              <w:rPr/>
              <w:t> </w:t>
            </w:r>
          </w:p>
        </w:tc>
        <w:tc>
          <w:tcPr>
            <w:tcW w:w="9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386,250</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789" w:type="dxa"/>
            <w:gridSpan w:val="2"/>
            <w:tcBorders/>
            <w:shd w:fill="CCEEFF" w:val="clear"/>
            <w:vAlign w:val="center"/>
          </w:tcPr>
          <w:p>
            <w:pPr>
              <w:pStyle w:val="TableContents"/>
              <w:spacing w:before="0" w:after="0"/>
              <w:jc w:val="right"/>
              <w:rPr/>
            </w:pPr>
            <w:r>
              <w:rPr/>
              <w:t>—</w:t>
            </w:r>
          </w:p>
        </w:tc>
        <w:tc>
          <w:tcPr>
            <w:tcW w:w="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9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198,400</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434,531</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338,524</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0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1,357,705</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restart"/>
            <w:tcBorders/>
            <w:shd w:fill="auto" w:val="clear"/>
            <w:vAlign w:val="center"/>
          </w:tcPr>
          <w:p>
            <w:pPr>
              <w:pStyle w:val="TableContents"/>
              <w:spacing w:before="0" w:after="0"/>
              <w:ind w:left="0" w:right="0" w:firstLine="30"/>
              <w:rPr>
                <w:sz w:val="17"/>
              </w:rPr>
            </w:pPr>
            <w:r>
              <w:rPr>
                <w:rFonts w:ascii="inherit" w:hAnsi="inherit"/>
                <w:b/>
                <w:sz w:val="17"/>
              </w:rPr>
              <w:t xml:space="preserve">Sterling B. Brinkley </w:t>
            </w:r>
            <w:r>
              <w:rPr>
                <w:rFonts w:ascii="inherit" w:hAnsi="inherit"/>
                <w:b/>
                <w:sz w:val="13"/>
              </w:rPr>
              <w:t>(6)</w:t>
            </w:r>
            <w:r>
              <w:rPr>
                <w:sz w:val="17"/>
              </w:rPr>
              <w:t>     </w:t>
            </w:r>
            <w:r>
              <w:rPr>
                <w:rFonts w:ascii="inherit" w:hAnsi="inherit"/>
                <w:sz w:val="17"/>
              </w:rPr>
              <w:t>Executive Chairman of the Board</w:t>
            </w:r>
          </w:p>
        </w:tc>
        <w:tc>
          <w:tcPr>
            <w:tcW w:w="55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2013</w:t>
            </w:r>
          </w:p>
        </w:tc>
        <w:tc>
          <w:tcPr>
            <w:tcW w:w="101" w:type="dxa"/>
            <w:tcBorders/>
            <w:shd w:fill="auto" w:val="clear"/>
            <w:vAlign w:val="center"/>
          </w:tcPr>
          <w:p>
            <w:pPr>
              <w:pStyle w:val="TableContents"/>
              <w:spacing w:before="0" w:after="0"/>
              <w:ind w:left="0" w:right="0" w:firstLine="30"/>
              <w:rPr/>
            </w:pPr>
            <w:r>
              <w:rPr/>
              <w:t> </w:t>
            </w:r>
          </w:p>
        </w:tc>
        <w:tc>
          <w:tcPr>
            <w:tcW w:w="9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973,077</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789" w:type="dxa"/>
            <w:gridSpan w:val="2"/>
            <w:tcBorders/>
            <w:shd w:fill="auto" w:val="clear"/>
            <w:vAlign w:val="center"/>
          </w:tcPr>
          <w:p>
            <w:pPr>
              <w:pStyle w:val="TableContents"/>
              <w:spacing w:before="0" w:after="0"/>
              <w:jc w:val="right"/>
              <w:rPr/>
            </w:pPr>
            <w:r>
              <w:rPr/>
              <w:t>—</w:t>
            </w:r>
          </w:p>
        </w:tc>
        <w:tc>
          <w:tcPr>
            <w:tcW w:w="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962" w:type="dxa"/>
            <w:gridSpan w:val="2"/>
            <w:tcBorders/>
            <w:shd w:fill="auto" w:val="clear"/>
            <w:vAlign w:val="center"/>
          </w:tcPr>
          <w:p>
            <w:pPr>
              <w:pStyle w:val="TableContents"/>
              <w:spacing w:before="0" w:after="0"/>
              <w:jc w:val="right"/>
              <w:rPr/>
            </w:pPr>
            <w:r>
              <w:rPr/>
              <w:t>—</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35" w:type="dxa"/>
            <w:gridSpan w:val="2"/>
            <w:tcBorders/>
            <w:shd w:fill="auto" w:val="clear"/>
            <w:vAlign w:val="center"/>
          </w:tcPr>
          <w:p>
            <w:pPr>
              <w:pStyle w:val="TableContents"/>
              <w:spacing w:before="0" w:after="0"/>
              <w:jc w:val="right"/>
              <w:rPr/>
            </w:pPr>
            <w:r>
              <w:rPr/>
              <w:t>—</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292,533</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0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1,265,610</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continue"/>
            <w:tcBorders/>
            <w:shd w:fill="auto" w:val="clear"/>
            <w:vAlign w:val="center"/>
          </w:tcPr>
          <w:p>
            <w:pPr>
              <w:pStyle w:val="Normal"/>
              <w:rPr/>
            </w:pPr>
            <w:r>
              <w:rPr/>
            </w:r>
          </w:p>
        </w:tc>
        <w:tc>
          <w:tcPr>
            <w:tcW w:w="55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2012</w:t>
            </w:r>
          </w:p>
        </w:tc>
        <w:tc>
          <w:tcPr>
            <w:tcW w:w="101" w:type="dxa"/>
            <w:tcBorders/>
            <w:shd w:fill="auto" w:val="clear"/>
            <w:vAlign w:val="center"/>
          </w:tcPr>
          <w:p>
            <w:pPr>
              <w:pStyle w:val="TableContents"/>
              <w:spacing w:before="0" w:after="0"/>
              <w:ind w:left="0" w:right="0" w:firstLine="30"/>
              <w:rPr/>
            </w:pPr>
            <w:r>
              <w:rPr/>
              <w:t> </w:t>
            </w:r>
          </w:p>
        </w:tc>
        <w:tc>
          <w:tcPr>
            <w:tcW w:w="9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873,077</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789" w:type="dxa"/>
            <w:gridSpan w:val="2"/>
            <w:tcBorders/>
            <w:shd w:fill="auto" w:val="clear"/>
            <w:vAlign w:val="center"/>
          </w:tcPr>
          <w:p>
            <w:pPr>
              <w:pStyle w:val="TableContents"/>
              <w:spacing w:before="0" w:after="0"/>
              <w:jc w:val="right"/>
              <w:rPr/>
            </w:pPr>
            <w:r>
              <w:rPr/>
              <w:t>—</w:t>
            </w:r>
          </w:p>
        </w:tc>
        <w:tc>
          <w:tcPr>
            <w:tcW w:w="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962" w:type="dxa"/>
            <w:gridSpan w:val="2"/>
            <w:tcBorders/>
            <w:shd w:fill="auto" w:val="clear"/>
            <w:vAlign w:val="center"/>
          </w:tcPr>
          <w:p>
            <w:pPr>
              <w:pStyle w:val="TableContents"/>
              <w:spacing w:before="0" w:after="0"/>
              <w:jc w:val="right"/>
              <w:rPr/>
            </w:pPr>
            <w:r>
              <w:rPr/>
              <w:t>—</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1,260,000</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254,176</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0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2,387,253</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continue"/>
            <w:tcBorders/>
            <w:shd w:fill="auto" w:val="clear"/>
            <w:vAlign w:val="center"/>
          </w:tcPr>
          <w:p>
            <w:pPr>
              <w:pStyle w:val="Normal"/>
              <w:rPr/>
            </w:pPr>
            <w:r>
              <w:rPr/>
            </w:r>
          </w:p>
        </w:tc>
        <w:tc>
          <w:tcPr>
            <w:tcW w:w="55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2011</w:t>
            </w:r>
          </w:p>
        </w:tc>
        <w:tc>
          <w:tcPr>
            <w:tcW w:w="101" w:type="dxa"/>
            <w:tcBorders/>
            <w:shd w:fill="auto" w:val="clear"/>
            <w:vAlign w:val="center"/>
          </w:tcPr>
          <w:p>
            <w:pPr>
              <w:pStyle w:val="TableContents"/>
              <w:spacing w:before="0" w:after="0"/>
              <w:ind w:left="0" w:right="0" w:firstLine="30"/>
              <w:rPr/>
            </w:pPr>
            <w:r>
              <w:rPr/>
              <w:t> </w:t>
            </w:r>
          </w:p>
        </w:tc>
        <w:tc>
          <w:tcPr>
            <w:tcW w:w="9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800,000</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789" w:type="dxa"/>
            <w:gridSpan w:val="2"/>
            <w:tcBorders/>
            <w:shd w:fill="auto" w:val="clear"/>
            <w:vAlign w:val="center"/>
          </w:tcPr>
          <w:p>
            <w:pPr>
              <w:pStyle w:val="TableContents"/>
              <w:spacing w:before="0" w:after="0"/>
              <w:jc w:val="right"/>
              <w:rPr/>
            </w:pPr>
            <w:r>
              <w:rPr/>
              <w:t>—</w:t>
            </w:r>
          </w:p>
        </w:tc>
        <w:tc>
          <w:tcPr>
            <w:tcW w:w="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9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5,952,000</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1,800,000</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188,965</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0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8,740,965</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restart"/>
            <w:tcBorders/>
            <w:shd w:fill="CCEEFF" w:val="clear"/>
            <w:vAlign w:val="center"/>
          </w:tcPr>
          <w:p>
            <w:pPr>
              <w:pStyle w:val="TableContents"/>
              <w:spacing w:before="0" w:after="0"/>
              <w:ind w:left="0" w:right="0" w:firstLine="30"/>
              <w:rPr>
                <w:sz w:val="17"/>
              </w:rPr>
            </w:pPr>
            <w:r>
              <w:rPr>
                <w:rFonts w:ascii="inherit" w:hAnsi="inherit"/>
                <w:b/>
                <w:sz w:val="17"/>
              </w:rPr>
              <w:t>Barry W. Guest</w:t>
            </w:r>
            <w:r>
              <w:rPr>
                <w:sz w:val="17"/>
              </w:rPr>
              <w:t>          </w:t>
            </w:r>
            <w:r>
              <w:rPr>
                <w:rFonts w:ascii="inherit" w:hAnsi="inherit"/>
                <w:sz w:val="17"/>
              </w:rPr>
              <w:t>President, U.S. Pawn &amp; Retail</w:t>
            </w:r>
          </w:p>
        </w:tc>
        <w:tc>
          <w:tcPr>
            <w:tcW w:w="55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2013</w:t>
            </w:r>
          </w:p>
        </w:tc>
        <w:tc>
          <w:tcPr>
            <w:tcW w:w="101" w:type="dxa"/>
            <w:tcBorders/>
            <w:shd w:fill="CCEEFF" w:val="clear"/>
            <w:vAlign w:val="center"/>
          </w:tcPr>
          <w:p>
            <w:pPr>
              <w:pStyle w:val="TableContents"/>
              <w:spacing w:before="0" w:after="0"/>
              <w:ind w:left="0" w:right="0" w:firstLine="30"/>
              <w:rPr/>
            </w:pPr>
            <w:r>
              <w:rPr/>
              <w:t> </w:t>
            </w:r>
          </w:p>
        </w:tc>
        <w:tc>
          <w:tcPr>
            <w:tcW w:w="9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387,115</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7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125,000</w:t>
            </w:r>
          </w:p>
        </w:tc>
        <w:tc>
          <w:tcPr>
            <w:tcW w:w="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9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464,370</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jc w:val="right"/>
              <w:rPr/>
            </w:pPr>
            <w:r>
              <w:rPr/>
              <w:t>—</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70,671</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0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1,047,156</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continue"/>
            <w:tcBorders/>
            <w:shd w:fill="CCEEFF" w:val="clear"/>
            <w:vAlign w:val="center"/>
          </w:tcPr>
          <w:p>
            <w:pPr>
              <w:pStyle w:val="Normal"/>
              <w:rPr/>
            </w:pPr>
            <w:r>
              <w:rPr/>
            </w:r>
          </w:p>
        </w:tc>
        <w:tc>
          <w:tcPr>
            <w:tcW w:w="55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2012</w:t>
            </w:r>
          </w:p>
        </w:tc>
        <w:tc>
          <w:tcPr>
            <w:tcW w:w="101" w:type="dxa"/>
            <w:tcBorders/>
            <w:shd w:fill="CCEEFF" w:val="clear"/>
            <w:vAlign w:val="center"/>
          </w:tcPr>
          <w:p>
            <w:pPr>
              <w:pStyle w:val="TableContents"/>
              <w:spacing w:before="0" w:after="0"/>
              <w:ind w:left="0" w:right="0" w:firstLine="30"/>
              <w:rPr/>
            </w:pPr>
            <w:r>
              <w:rPr/>
              <w:t> </w:t>
            </w:r>
          </w:p>
        </w:tc>
        <w:tc>
          <w:tcPr>
            <w:tcW w:w="9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332,500</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789" w:type="dxa"/>
            <w:gridSpan w:val="2"/>
            <w:tcBorders/>
            <w:shd w:fill="CCEEFF" w:val="clear"/>
            <w:vAlign w:val="center"/>
          </w:tcPr>
          <w:p>
            <w:pPr>
              <w:pStyle w:val="TableContents"/>
              <w:spacing w:before="0" w:after="0"/>
              <w:jc w:val="right"/>
              <w:rPr/>
            </w:pPr>
            <w:r>
              <w:rPr/>
              <w:t>—</w:t>
            </w:r>
          </w:p>
        </w:tc>
        <w:tc>
          <w:tcPr>
            <w:tcW w:w="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9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398,811</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129,183</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87,289</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0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947,783</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continue"/>
            <w:tcBorders/>
            <w:shd w:fill="CCEEFF" w:val="clear"/>
            <w:vAlign w:val="center"/>
          </w:tcPr>
          <w:p>
            <w:pPr>
              <w:pStyle w:val="Normal"/>
              <w:rPr/>
            </w:pPr>
            <w:r>
              <w:rPr/>
            </w:r>
          </w:p>
        </w:tc>
        <w:tc>
          <w:tcPr>
            <w:tcW w:w="55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2011</w:t>
            </w:r>
          </w:p>
        </w:tc>
        <w:tc>
          <w:tcPr>
            <w:tcW w:w="101" w:type="dxa"/>
            <w:tcBorders/>
            <w:shd w:fill="CCEEFF" w:val="clear"/>
            <w:vAlign w:val="center"/>
          </w:tcPr>
          <w:p>
            <w:pPr>
              <w:pStyle w:val="TableContents"/>
              <w:spacing w:before="0" w:after="0"/>
              <w:ind w:left="0" w:right="0" w:firstLine="30"/>
              <w:rPr/>
            </w:pPr>
            <w:r>
              <w:rPr/>
              <w:t> </w:t>
            </w:r>
          </w:p>
        </w:tc>
        <w:tc>
          <w:tcPr>
            <w:tcW w:w="9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70,000</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789" w:type="dxa"/>
            <w:gridSpan w:val="2"/>
            <w:tcBorders/>
            <w:shd w:fill="CCEEFF" w:val="clear"/>
            <w:vAlign w:val="center"/>
          </w:tcPr>
          <w:p>
            <w:pPr>
              <w:pStyle w:val="TableContents"/>
              <w:spacing w:before="0" w:after="0"/>
              <w:jc w:val="right"/>
              <w:rPr/>
            </w:pPr>
            <w:r>
              <w:rPr/>
              <w:t>—</w:t>
            </w:r>
          </w:p>
        </w:tc>
        <w:tc>
          <w:tcPr>
            <w:tcW w:w="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9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328,700</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jc w:val="right"/>
              <w:rPr/>
            </w:pPr>
            <w:r>
              <w:rPr/>
              <w:t>—</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1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5,495</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0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404,195</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restart"/>
            <w:tcBorders>
              <w:bottom w:val="single" w:sz="2" w:space="0" w:color="000000"/>
            </w:tcBorders>
            <w:shd w:fill="auto" w:val="clear"/>
            <w:tcMar>
              <w:bottom w:w="30" w:type="dxa"/>
            </w:tcMar>
            <w:vAlign w:val="center"/>
          </w:tcPr>
          <w:p>
            <w:pPr>
              <w:pStyle w:val="TableContents"/>
              <w:spacing w:before="0" w:after="0"/>
              <w:ind w:left="0" w:right="0" w:firstLine="30"/>
              <w:rPr>
                <w:sz w:val="17"/>
              </w:rPr>
            </w:pPr>
            <w:r>
              <w:rPr>
                <w:rFonts w:ascii="inherit" w:hAnsi="inherit"/>
                <w:b/>
                <w:sz w:val="17"/>
              </w:rPr>
              <w:t>Thomas H. Welch, Jr.</w:t>
            </w:r>
            <w:r>
              <w:rPr>
                <w:sz w:val="17"/>
              </w:rPr>
              <w:t>    </w:t>
            </w:r>
            <w:r>
              <w:rPr>
                <w:rFonts w:ascii="inherit" w:hAnsi="inherit"/>
                <w:sz w:val="17"/>
              </w:rPr>
              <w:t>Senior Vice President, General Counsel and Secretary</w:t>
            </w:r>
          </w:p>
        </w:tc>
        <w:tc>
          <w:tcPr>
            <w:tcW w:w="55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2013</w:t>
            </w:r>
          </w:p>
        </w:tc>
        <w:tc>
          <w:tcPr>
            <w:tcW w:w="101" w:type="dxa"/>
            <w:tcBorders/>
            <w:shd w:fill="auto" w:val="clear"/>
            <w:vAlign w:val="center"/>
          </w:tcPr>
          <w:p>
            <w:pPr>
              <w:pStyle w:val="TableContents"/>
              <w:spacing w:before="0" w:after="0"/>
              <w:ind w:left="0" w:right="0" w:firstLine="30"/>
              <w:rPr/>
            </w:pPr>
            <w:r>
              <w:rPr/>
              <w:t> </w:t>
            </w:r>
          </w:p>
        </w:tc>
        <w:tc>
          <w:tcPr>
            <w:tcW w:w="9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325,962</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7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125,000</w:t>
            </w:r>
          </w:p>
        </w:tc>
        <w:tc>
          <w:tcPr>
            <w:tcW w:w="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9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323,040</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35" w:type="dxa"/>
            <w:gridSpan w:val="2"/>
            <w:tcBorders/>
            <w:shd w:fill="auto" w:val="clear"/>
            <w:vAlign w:val="center"/>
          </w:tcPr>
          <w:p>
            <w:pPr>
              <w:pStyle w:val="TableContents"/>
              <w:spacing w:before="0" w:after="0"/>
              <w:jc w:val="right"/>
              <w:rPr/>
            </w:pPr>
            <w:r>
              <w:rPr/>
              <w:t>—</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62,645</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0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836,647</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continue"/>
            <w:tcBorders>
              <w:bottom w:val="single" w:sz="2" w:space="0" w:color="000000"/>
            </w:tcBorders>
            <w:shd w:fill="auto" w:val="clear"/>
            <w:tcMar>
              <w:bottom w:w="30" w:type="dxa"/>
            </w:tcMar>
            <w:vAlign w:val="center"/>
          </w:tcPr>
          <w:p>
            <w:pPr>
              <w:pStyle w:val="Normal"/>
              <w:rPr/>
            </w:pPr>
            <w:r>
              <w:rPr/>
            </w:r>
          </w:p>
        </w:tc>
        <w:tc>
          <w:tcPr>
            <w:tcW w:w="55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2012</w:t>
            </w:r>
          </w:p>
        </w:tc>
        <w:tc>
          <w:tcPr>
            <w:tcW w:w="101" w:type="dxa"/>
            <w:tcBorders/>
            <w:shd w:fill="auto" w:val="clear"/>
            <w:vAlign w:val="center"/>
          </w:tcPr>
          <w:p>
            <w:pPr>
              <w:pStyle w:val="TableContents"/>
              <w:spacing w:before="0" w:after="0"/>
              <w:ind w:left="0" w:right="0" w:firstLine="30"/>
              <w:rPr/>
            </w:pPr>
            <w:r>
              <w:rPr/>
              <w:t> </w:t>
            </w:r>
          </w:p>
        </w:tc>
        <w:tc>
          <w:tcPr>
            <w:tcW w:w="9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312,308</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789" w:type="dxa"/>
            <w:gridSpan w:val="2"/>
            <w:tcBorders/>
            <w:shd w:fill="auto" w:val="clear"/>
            <w:vAlign w:val="center"/>
          </w:tcPr>
          <w:p>
            <w:pPr>
              <w:pStyle w:val="TableContents"/>
              <w:spacing w:before="0" w:after="0"/>
              <w:jc w:val="right"/>
              <w:rPr/>
            </w:pPr>
            <w:r>
              <w:rPr/>
              <w:t>—</w:t>
            </w:r>
          </w:p>
        </w:tc>
        <w:tc>
          <w:tcPr>
            <w:tcW w:w="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9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249,596</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132,300</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1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58,910</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0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753,114</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0" w:type="dxa"/>
            <w:vMerge w:val="continue"/>
            <w:tcBorders>
              <w:bottom w:val="single" w:sz="2" w:space="0" w:color="000000"/>
            </w:tcBorders>
            <w:shd w:fill="auto" w:val="clear"/>
            <w:tcMar>
              <w:bottom w:w="30" w:type="dxa"/>
            </w:tcMar>
            <w:vAlign w:val="center"/>
          </w:tcPr>
          <w:p>
            <w:pPr>
              <w:pStyle w:val="Normal"/>
              <w:rPr/>
            </w:pPr>
            <w:r>
              <w:rPr/>
            </w:r>
          </w:p>
        </w:tc>
        <w:tc>
          <w:tcPr>
            <w:tcW w:w="55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2011</w:t>
            </w:r>
          </w:p>
        </w:tc>
        <w:tc>
          <w:tcPr>
            <w:tcW w:w="10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305,000</w:t>
            </w:r>
          </w:p>
        </w:tc>
        <w:tc>
          <w:tcPr>
            <w:tcW w:w="4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8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6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198,400</w:t>
            </w:r>
          </w:p>
        </w:tc>
        <w:tc>
          <w:tcPr>
            <w:tcW w:w="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274,500</w:t>
            </w:r>
          </w:p>
        </w:tc>
        <w:tc>
          <w:tcPr>
            <w:tcW w:w="9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57,191</w:t>
            </w:r>
          </w:p>
        </w:tc>
        <w:tc>
          <w:tcPr>
            <w:tcW w:w="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8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835,091</w:t>
            </w:r>
          </w:p>
        </w:tc>
        <w:tc>
          <w:tcPr>
            <w:tcW w:w="73" w:type="dxa"/>
            <w:tcBorders>
              <w:bottom w:val="single" w:sz="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7750" w:type="dxa"/>
        <w:jc w:val="left"/>
        <w:tblInd w:w="0" w:type="dxa"/>
        <w:tblCellMar>
          <w:top w:w="0" w:type="dxa"/>
          <w:left w:w="0" w:type="dxa"/>
          <w:bottom w:w="0" w:type="dxa"/>
          <w:right w:w="0" w:type="dxa"/>
        </w:tblCellMar>
      </w:tblPr>
      <w:tblGrid>
        <w:gridCol w:w="245"/>
        <w:gridCol w:w="7505"/>
      </w:tblGrid>
      <w:tr>
        <w:trPr/>
        <w:tc>
          <w:tcPr>
            <w:tcW w:w="245" w:type="dxa"/>
            <w:tcBorders/>
            <w:shd w:fill="auto" w:val="clear"/>
            <w:vAlign w:val="center"/>
          </w:tcPr>
          <w:p>
            <w:pPr>
              <w:pStyle w:val="TableContents"/>
              <w:spacing w:before="0" w:after="283"/>
              <w:rPr>
                <w:sz w:val="4"/>
                <w:szCs w:val="4"/>
              </w:rPr>
            </w:pPr>
            <w:r>
              <w:rPr>
                <w:sz w:val="4"/>
                <w:szCs w:val="4"/>
              </w:rPr>
            </w:r>
          </w:p>
        </w:tc>
        <w:tc>
          <w:tcPr>
            <w:tcW w:w="750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(1)</w:t>
            </w:r>
          </w:p>
        </w:tc>
        <w:tc>
          <w:tcPr>
            <w:tcW w:w="7505" w:type="dxa"/>
            <w:tcBorders/>
            <w:shd w:fill="auto" w:val="clear"/>
            <w:vAlign w:val="center"/>
          </w:tcPr>
          <w:p>
            <w:pPr>
              <w:pStyle w:val="TableContents"/>
              <w:spacing w:lineRule="auto" w:line="288" w:before="0" w:after="0"/>
              <w:rPr>
                <w:rFonts w:ascii="inherit" w:hAnsi="inherit"/>
                <w:sz w:val="15"/>
              </w:rPr>
            </w:pPr>
            <w:r>
              <w:rPr>
                <w:rFonts w:ascii="inherit" w:hAnsi="inherit"/>
                <w:sz w:val="15"/>
              </w:rPr>
              <w:t>The amounts shown for Mr. Guest and Mr. Welch represent discretionary bonuses paid for fiscal 2013.</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283"/>
              <w:rPr>
                <w:sz w:val="4"/>
                <w:szCs w:val="4"/>
              </w:rPr>
            </w:pPr>
            <w:r>
              <w:rPr>
                <w:sz w:val="4"/>
                <w:szCs w:val="4"/>
              </w:rPr>
            </w:r>
          </w:p>
        </w:tc>
        <w:tc>
          <w:tcPr>
            <w:tcW w:w="10003" w:type="dxa"/>
            <w:tcBorders/>
            <w:shd w:fill="auto" w:val="clear"/>
            <w:vAlign w:val="center"/>
          </w:tcPr>
          <w:p>
            <w:pPr>
              <w:pStyle w:val="TableContents"/>
              <w:spacing w:before="0" w:after="283"/>
              <w:rPr>
                <w:sz w:val="4"/>
                <w:szCs w:val="4"/>
              </w:rPr>
            </w:pPr>
            <w:r>
              <w:rPr>
                <w:sz w:val="4"/>
                <w:szCs w:val="4"/>
              </w:rPr>
            </w:r>
          </w:p>
        </w:tc>
      </w:tr>
      <w:tr>
        <w:trPr/>
        <w:tc>
          <w:tcPr>
            <w:tcW w:w="202"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(2)</w:t>
            </w:r>
          </w:p>
        </w:tc>
        <w:tc>
          <w:tcPr>
            <w:tcW w:w="10003" w:type="dxa"/>
            <w:tcBorders/>
            <w:shd w:fill="auto" w:val="clear"/>
            <w:vAlign w:val="center"/>
          </w:tcPr>
          <w:p>
            <w:pPr>
              <w:pStyle w:val="TableContents"/>
              <w:spacing w:lineRule="auto" w:line="288" w:before="0" w:after="0"/>
              <w:rPr>
                <w:rFonts w:ascii="inherit" w:hAnsi="inherit"/>
                <w:sz w:val="15"/>
              </w:rPr>
            </w:pPr>
            <w:r>
              <w:rPr>
                <w:rFonts w:ascii="inherit" w:hAnsi="inherit"/>
                <w:sz w:val="15"/>
              </w:rPr>
              <w:t>Amounts represent the aggregate grant date fair value of restricted stock awards, computed in accordance with FASB ASC 718-10-25. See Note 10 to our Consolidated Financial Statements included in “Item 8 — Financial Statements and Supplemental Data.” The actual value realized by the Named Executive Officer with respect to stock awards will depend on the market value of our stock on the date the stock is sold.</w:t>
            </w:r>
          </w:p>
        </w:tc>
      </w:tr>
    </w:tbl>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before="0" w:after="283"/>
              <w:rPr>
                <w:sz w:val="4"/>
                <w:szCs w:val="4"/>
              </w:rPr>
            </w:pPr>
            <w:r>
              <w:rPr>
                <w:sz w:val="4"/>
                <w:szCs w:val="4"/>
              </w:rPr>
            </w:r>
          </w:p>
        </w:tc>
        <w:tc>
          <w:tcPr>
            <w:tcW w:w="9986" w:type="dxa"/>
            <w:tcBorders/>
            <w:shd w:fill="auto" w:val="clear"/>
            <w:vAlign w:val="center"/>
          </w:tcPr>
          <w:p>
            <w:pPr>
              <w:pStyle w:val="TableContents"/>
              <w:spacing w:before="0" w:after="283"/>
              <w:rPr>
                <w:sz w:val="4"/>
                <w:szCs w:val="4"/>
              </w:rPr>
            </w:pPr>
            <w:r>
              <w:rPr>
                <w:sz w:val="4"/>
                <w:szCs w:val="4"/>
              </w:rPr>
            </w:r>
          </w:p>
        </w:tc>
      </w:tr>
      <w:tr>
        <w:trPr/>
        <w:tc>
          <w:tcPr>
            <w:tcW w:w="219"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(3)</w:t>
            </w:r>
          </w:p>
        </w:tc>
        <w:tc>
          <w:tcPr>
            <w:tcW w:w="9986" w:type="dxa"/>
            <w:tcBorders/>
            <w:shd w:fill="auto" w:val="clear"/>
            <w:vAlign w:val="center"/>
          </w:tcPr>
          <w:p>
            <w:pPr>
              <w:pStyle w:val="TableContents"/>
              <w:spacing w:lineRule="auto" w:line="288" w:before="0" w:after="0"/>
              <w:rPr>
                <w:rFonts w:ascii="inherit" w:hAnsi="inherit"/>
                <w:sz w:val="15"/>
              </w:rPr>
            </w:pPr>
            <w:r>
              <w:rPr>
                <w:rFonts w:ascii="inherit" w:hAnsi="inherit"/>
                <w:sz w:val="15"/>
              </w:rPr>
              <w:t>Amounts represent the cash awards earned under the Incentive Compensation Plan, which is discussed in further detail in “Compensation Discussion and Analysis — Components of Compensation — Annual Incentive Bonus.”</w:t>
            </w:r>
          </w:p>
        </w:tc>
      </w:tr>
    </w:tbl>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vAlign w:val="center"/>
          </w:tcPr>
          <w:p>
            <w:pPr>
              <w:pStyle w:val="TableContents"/>
              <w:spacing w:before="0" w:after="283"/>
              <w:rPr>
                <w:sz w:val="4"/>
                <w:szCs w:val="4"/>
              </w:rPr>
            </w:pPr>
            <w:r>
              <w:rPr>
                <w:sz w:val="4"/>
                <w:szCs w:val="4"/>
              </w:rPr>
            </w:r>
          </w:p>
        </w:tc>
        <w:tc>
          <w:tcPr>
            <w:tcW w:w="10000" w:type="dxa"/>
            <w:tcBorders/>
            <w:shd w:fill="auto" w:val="clear"/>
            <w:vAlign w:val="center"/>
          </w:tcPr>
          <w:p>
            <w:pPr>
              <w:pStyle w:val="TableContents"/>
              <w:spacing w:before="0" w:after="283"/>
              <w:rPr>
                <w:sz w:val="4"/>
                <w:szCs w:val="4"/>
              </w:rPr>
            </w:pPr>
            <w:r>
              <w:rPr>
                <w:sz w:val="4"/>
                <w:szCs w:val="4"/>
              </w:rPr>
            </w:r>
          </w:p>
        </w:tc>
      </w:tr>
      <w:tr>
        <w:trPr/>
        <w:tc>
          <w:tcPr>
            <w:tcW w:w="20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(4)</w:t>
            </w:r>
          </w:p>
        </w:tc>
        <w:tc>
          <w:tcPr>
            <w:tcW w:w="10000" w:type="dxa"/>
            <w:tcBorders/>
            <w:shd w:fill="auto" w:val="clear"/>
            <w:vAlign w:val="center"/>
          </w:tcPr>
          <w:p>
            <w:pPr>
              <w:pStyle w:val="TableContents"/>
              <w:spacing w:lineRule="auto" w:line="288" w:before="0" w:after="0"/>
              <w:rPr>
                <w:rFonts w:ascii="inherit" w:hAnsi="inherit"/>
                <w:sz w:val="15"/>
              </w:rPr>
            </w:pPr>
            <w:r>
              <w:rPr>
                <w:rFonts w:ascii="inherit" w:hAnsi="inherit"/>
                <w:sz w:val="15"/>
              </w:rPr>
              <w:t xml:space="preserve">Amounts include the cost of providing various perquisites and personal benefits, as well as the value of our contributions to the company-sponsored 401(k) plan and Supplemental Executive Retirement Plan. For detail of the amounts shown for each Named Executive Officer, see the table under “Other Benefits and Perquisites — All Other Compensation” below. </w:t>
            </w:r>
          </w:p>
        </w:tc>
      </w:tr>
    </w:tbl>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vAlign w:val="center"/>
          </w:tcPr>
          <w:p>
            <w:pPr>
              <w:pStyle w:val="TableContents"/>
              <w:spacing w:before="0" w:after="283"/>
              <w:rPr>
                <w:sz w:val="4"/>
                <w:szCs w:val="4"/>
              </w:rPr>
            </w:pPr>
            <w:r>
              <w:rPr>
                <w:sz w:val="4"/>
                <w:szCs w:val="4"/>
              </w:rPr>
            </w:r>
          </w:p>
        </w:tc>
        <w:tc>
          <w:tcPr>
            <w:tcW w:w="10002" w:type="dxa"/>
            <w:tcBorders/>
            <w:shd w:fill="auto" w:val="clear"/>
            <w:vAlign w:val="center"/>
          </w:tcPr>
          <w:p>
            <w:pPr>
              <w:pStyle w:val="TableContents"/>
              <w:spacing w:before="0" w:after="283"/>
              <w:rPr>
                <w:sz w:val="4"/>
                <w:szCs w:val="4"/>
              </w:rPr>
            </w:pPr>
            <w:r>
              <w:rPr>
                <w:sz w:val="4"/>
                <w:szCs w:val="4"/>
              </w:rPr>
            </w:r>
          </w:p>
        </w:tc>
      </w:tr>
      <w:tr>
        <w:trPr/>
        <w:tc>
          <w:tcPr>
            <w:tcW w:w="203"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(5)</w:t>
            </w:r>
          </w:p>
        </w:tc>
        <w:tc>
          <w:tcPr>
            <w:tcW w:w="10002" w:type="dxa"/>
            <w:tcBorders/>
            <w:shd w:fill="auto" w:val="clear"/>
            <w:vAlign w:val="center"/>
          </w:tcPr>
          <w:p>
            <w:pPr>
              <w:pStyle w:val="TableContents"/>
              <w:spacing w:lineRule="auto" w:line="288" w:before="0" w:after="0"/>
              <w:rPr>
                <w:rFonts w:ascii="inherit" w:hAnsi="inherit"/>
                <w:sz w:val="15"/>
              </w:rPr>
            </w:pPr>
            <w:r>
              <w:rPr>
                <w:rFonts w:ascii="inherit" w:hAnsi="inherit"/>
                <w:sz w:val="15"/>
              </w:rPr>
              <w:t>Mr. Stamp joined the company as Senior Vice president and Chief Financial Officer (principal financial officer) on November 2, 2010. He left the company in October 2012, and Mr. Kuchenrither is now serving as Chief Financial Officer (principal financial officer). The amounts shown for fiscal 2012 and 2011 were paid to Mr. Kuchenrither in his capacity as President, Change Capital and later as Executive Vice President.</w:t>
            </w:r>
          </w:p>
        </w:tc>
      </w:tr>
    </w:tbl>
    <w:tbl>
      <w:tblPr>
        <w:tblW w:w="10205" w:type="dxa"/>
        <w:jc w:val="left"/>
        <w:tblInd w:w="0" w:type="dxa"/>
        <w:tblCellMar>
          <w:top w:w="0" w:type="dxa"/>
          <w:left w:w="0" w:type="dxa"/>
          <w:bottom w:w="0" w:type="dxa"/>
          <w:right w:w="0" w:type="dxa"/>
        </w:tblCellMar>
      </w:tblPr>
      <w:tblGrid>
        <w:gridCol w:w="208"/>
        <w:gridCol w:w="9997"/>
      </w:tblGrid>
      <w:tr>
        <w:trPr/>
        <w:tc>
          <w:tcPr>
            <w:tcW w:w="208" w:type="dxa"/>
            <w:tcBorders/>
            <w:shd w:fill="auto" w:val="clear"/>
            <w:vAlign w:val="center"/>
          </w:tcPr>
          <w:p>
            <w:pPr>
              <w:pStyle w:val="TableContents"/>
              <w:spacing w:before="0" w:after="283"/>
              <w:rPr>
                <w:sz w:val="4"/>
                <w:szCs w:val="4"/>
              </w:rPr>
            </w:pPr>
            <w:r>
              <w:rPr>
                <w:sz w:val="4"/>
                <w:szCs w:val="4"/>
              </w:rPr>
            </w:r>
          </w:p>
        </w:tc>
        <w:tc>
          <w:tcPr>
            <w:tcW w:w="9997" w:type="dxa"/>
            <w:tcBorders/>
            <w:shd w:fill="auto" w:val="clear"/>
            <w:vAlign w:val="center"/>
          </w:tcPr>
          <w:p>
            <w:pPr>
              <w:pStyle w:val="TableContents"/>
              <w:spacing w:before="0" w:after="283"/>
              <w:rPr>
                <w:sz w:val="4"/>
                <w:szCs w:val="4"/>
              </w:rPr>
            </w:pPr>
            <w:r>
              <w:rPr>
                <w:sz w:val="4"/>
                <w:szCs w:val="4"/>
              </w:rPr>
            </w:r>
          </w:p>
        </w:tc>
      </w:tr>
      <w:tr>
        <w:trPr/>
        <w:tc>
          <w:tcPr>
            <w:tcW w:w="208"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(6)</w:t>
            </w:r>
          </w:p>
        </w:tc>
        <w:tc>
          <w:tcPr>
            <w:tcW w:w="9997" w:type="dxa"/>
            <w:tcBorders/>
            <w:shd w:fill="auto" w:val="clear"/>
            <w:vAlign w:val="center"/>
          </w:tcPr>
          <w:p>
            <w:pPr>
              <w:pStyle w:val="TableContents"/>
              <w:spacing w:lineRule="auto" w:line="288" w:before="0" w:after="0"/>
              <w:rPr>
                <w:rFonts w:ascii="inherit" w:hAnsi="inherit"/>
                <w:sz w:val="15"/>
              </w:rPr>
            </w:pPr>
            <w:r>
              <w:rPr>
                <w:rFonts w:ascii="inherit" w:hAnsi="inherit"/>
                <w:sz w:val="15"/>
              </w:rPr>
              <w:t xml:space="preserve">Mr. Brinkley also serves on the board of directors of Albemarle &amp; Bond Holdings PLC, and in that capacity received approximately $120,000 in director fees during fiscal 2013. This amount is not included in the Summary Compensation Table, as the amount was paid by Albemarle &amp; Bond, which is not controlled by EZCORP.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126</w:t>
      </w:r>
      <w:r>
        <w:br w:type="page"/>
      </w:r>
    </w:p>
    <w:p>
      <w:pPr>
        <w:pStyle w:val="TextBody"/>
        <w:spacing w:lineRule="auto" w:line="288" w:before="0" w:after="0"/>
        <w:rPr/>
      </w:pPr>
      <w:hyperlink w:anchor="sA13583D437E20DC41B4583E2BD74AA47">
        <w:bookmarkStart w:id="109" w:name="s8A05942A0A531DCB930283E2CAA42FF7"/>
        <w:bookmarkEnd w:id="109"/>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Incentive Plan Based Awards</w:t>
      </w:r>
    </w:p>
    <w:p>
      <w:pPr>
        <w:pStyle w:val="TextBody"/>
        <w:spacing w:lineRule="auto" w:line="288" w:before="0" w:after="0"/>
        <w:jc w:val="left"/>
        <w:rPr>
          <w:sz w:val="17"/>
        </w:rPr>
      </w:pPr>
      <w:r>
        <w:rPr>
          <w:rFonts w:ascii="inherit" w:hAnsi="inherit"/>
          <w:sz w:val="17"/>
        </w:rPr>
        <w:t xml:space="preserve">The following table sets forth certain information about plan-based awards that we made to the Named Executive Officers during fiscal </w:t>
      </w:r>
      <w:r>
        <w:rPr>
          <w:rFonts w:ascii="inherit" w:hAnsi="inherit"/>
          <w:strike w:val="false"/>
          <w:dstrike w:val="false"/>
          <w:color w:val="000000"/>
          <w:sz w:val="17"/>
          <w:u w:val="none"/>
          <w:effect w:val="none"/>
        </w:rPr>
        <w:t>2013</w:t>
      </w:r>
      <w:r>
        <w:rPr>
          <w:rFonts w:ascii="inherit" w:hAnsi="inherit"/>
          <w:sz w:val="17"/>
        </w:rPr>
        <w:t>. For information about the plans under which these awards were granted, see the discussion under “Components of Compensation — Annual Incentive Bonus” and “Components of Compensation — Long-Term Incentives” in the Compensation Discussion and Analysis above.</w:t>
      </w:r>
    </w:p>
    <w:p>
      <w:pPr>
        <w:pStyle w:val="TextBody"/>
        <w:spacing w:lineRule="auto" w:line="288" w:before="0" w:after="0"/>
        <w:jc w:val="center"/>
        <w:rPr>
          <w:rFonts w:ascii="inherit" w:hAnsi="inherit"/>
          <w:b/>
          <w:sz w:val="17"/>
        </w:rPr>
      </w:pPr>
      <w:r>
        <w:rPr>
          <w:rFonts w:ascii="inherit" w:hAnsi="inherit"/>
          <w:b/>
          <w:sz w:val="17"/>
        </w:rPr>
        <w:t>Grants of Plan-Based Awards</w:t>
      </w:r>
    </w:p>
    <w:tbl>
      <w:tblPr>
        <w:tblW w:w="10205" w:type="dxa"/>
        <w:jc w:val="left"/>
        <w:tblInd w:w="0" w:type="dxa"/>
        <w:tblCellMar>
          <w:top w:w="0" w:type="dxa"/>
          <w:left w:w="0" w:type="dxa"/>
          <w:bottom w:w="0" w:type="dxa"/>
          <w:right w:w="0" w:type="dxa"/>
        </w:tblCellMar>
      </w:tblPr>
      <w:tblGrid>
        <w:gridCol w:w="2270"/>
        <w:gridCol w:w="838"/>
        <w:gridCol w:w="123"/>
        <w:gridCol w:w="1002"/>
        <w:gridCol w:w="114"/>
        <w:gridCol w:w="123"/>
        <w:gridCol w:w="156"/>
        <w:gridCol w:w="1106"/>
        <w:gridCol w:w="68"/>
        <w:gridCol w:w="123"/>
        <w:gridCol w:w="156"/>
        <w:gridCol w:w="1106"/>
        <w:gridCol w:w="68"/>
        <w:gridCol w:w="123"/>
        <w:gridCol w:w="1087"/>
        <w:gridCol w:w="68"/>
        <w:gridCol w:w="306"/>
        <w:gridCol w:w="123"/>
        <w:gridCol w:w="551"/>
        <w:gridCol w:w="594"/>
        <w:gridCol w:w="100"/>
      </w:tblGrid>
      <w:tr>
        <w:trPr/>
        <w:tc>
          <w:tcPr>
            <w:tcW w:w="10205" w:type="dxa"/>
            <w:gridSpan w:val="21"/>
            <w:tcBorders/>
            <w:shd w:fill="auto" w:val="clear"/>
            <w:vAlign w:val="center"/>
          </w:tcPr>
          <w:p>
            <w:pPr>
              <w:pStyle w:val="TableContents"/>
              <w:spacing w:before="0" w:after="283"/>
              <w:rPr>
                <w:sz w:val="4"/>
                <w:szCs w:val="4"/>
              </w:rPr>
            </w:pPr>
            <w:r>
              <w:rPr>
                <w:sz w:val="4"/>
                <w:szCs w:val="4"/>
              </w:rPr>
            </w:r>
          </w:p>
        </w:tc>
      </w:tr>
      <w:tr>
        <w:trPr/>
        <w:tc>
          <w:tcPr>
            <w:tcW w:w="2270"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70" w:type="dxa"/>
            <w:tcBorders/>
            <w:shd w:fill="auto" w:val="clear"/>
            <w:vAlign w:val="center"/>
          </w:tcPr>
          <w:p>
            <w:pPr>
              <w:pStyle w:val="TableContents"/>
              <w:spacing w:before="0" w:after="0"/>
              <w:ind w:left="0" w:right="0" w:firstLine="30"/>
              <w:rPr/>
            </w:pPr>
            <w:r>
              <w:rPr/>
              <w:t> </w:t>
            </w:r>
          </w:p>
        </w:tc>
        <w:tc>
          <w:tcPr>
            <w:tcW w:w="838" w:type="dxa"/>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4022" w:type="dxa"/>
            <w:gridSpan w:val="10"/>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Estimated Future Payouts Under</w:t>
            </w:r>
          </w:p>
          <w:p>
            <w:pPr>
              <w:pStyle w:val="TableContents"/>
              <w:spacing w:before="0" w:after="0"/>
              <w:ind w:left="0" w:right="0" w:firstLine="30"/>
              <w:jc w:val="center"/>
              <w:rPr>
                <w:rFonts w:ascii="inherit" w:hAnsi="inherit"/>
                <w:b/>
                <w:sz w:val="13"/>
              </w:rPr>
            </w:pPr>
            <w:r>
              <w:rPr>
                <w:rFonts w:ascii="inherit" w:hAnsi="inherit"/>
                <w:b/>
                <w:sz w:val="13"/>
              </w:rPr>
              <w:t>Non-Equity Incentive Plan Awards (1)</w:t>
            </w:r>
          </w:p>
        </w:tc>
        <w:tc>
          <w:tcPr>
            <w:tcW w:w="123" w:type="dxa"/>
            <w:tcBorders/>
            <w:shd w:fill="auto" w:val="clear"/>
            <w:vAlign w:val="center"/>
          </w:tcPr>
          <w:p>
            <w:pPr>
              <w:pStyle w:val="TableContents"/>
              <w:spacing w:before="0" w:after="0"/>
              <w:ind w:left="0" w:right="0" w:firstLine="30"/>
              <w:rPr/>
            </w:pPr>
            <w:r>
              <w:rPr/>
              <w:t> </w:t>
            </w:r>
          </w:p>
        </w:tc>
        <w:tc>
          <w:tcPr>
            <w:tcW w:w="1461"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Stock Awards:</w:t>
            </w:r>
          </w:p>
          <w:p>
            <w:pPr>
              <w:pStyle w:val="TableContents"/>
              <w:spacing w:before="0" w:after="0"/>
              <w:ind w:left="0" w:right="0" w:firstLine="30"/>
              <w:jc w:val="center"/>
              <w:rPr>
                <w:rFonts w:ascii="inherit" w:hAnsi="inherit"/>
                <w:b/>
                <w:sz w:val="13"/>
              </w:rPr>
            </w:pPr>
            <w:r>
              <w:rPr>
                <w:rFonts w:ascii="inherit" w:hAnsi="inherit"/>
                <w:b/>
                <w:sz w:val="13"/>
              </w:rPr>
              <w:t>Number of Shares of Stock or Units (2)</w:t>
            </w:r>
          </w:p>
        </w:tc>
        <w:tc>
          <w:tcPr>
            <w:tcW w:w="123" w:type="dxa"/>
            <w:tcBorders/>
            <w:shd w:fill="auto" w:val="clear"/>
            <w:vAlign w:val="center"/>
          </w:tcPr>
          <w:p>
            <w:pPr>
              <w:pStyle w:val="TableContents"/>
              <w:spacing w:before="0" w:after="0"/>
              <w:ind w:left="0" w:right="0" w:firstLine="30"/>
              <w:rPr/>
            </w:pPr>
            <w:r>
              <w:rPr/>
              <w:t> </w:t>
            </w:r>
          </w:p>
        </w:tc>
        <w:tc>
          <w:tcPr>
            <w:tcW w:w="1245"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Grant Date Fair Value (3)</w:t>
            </w:r>
          </w:p>
        </w:tc>
      </w:tr>
      <w:tr>
        <w:trPr/>
        <w:tc>
          <w:tcPr>
            <w:tcW w:w="227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Name</w:t>
            </w:r>
          </w:p>
        </w:tc>
        <w:tc>
          <w:tcPr>
            <w:tcW w:w="83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Grant Date</w:t>
            </w:r>
          </w:p>
        </w:tc>
        <w:tc>
          <w:tcPr>
            <w:tcW w:w="123" w:type="dxa"/>
            <w:tcBorders/>
            <w:shd w:fill="auto" w:val="clear"/>
            <w:vAlign w:val="center"/>
          </w:tcPr>
          <w:p>
            <w:pPr>
              <w:pStyle w:val="TableContents"/>
              <w:spacing w:before="0" w:after="0"/>
              <w:ind w:left="0" w:right="0" w:firstLine="30"/>
              <w:rPr/>
            </w:pPr>
            <w:r>
              <w:rPr/>
              <w:t> </w:t>
            </w:r>
          </w:p>
        </w:tc>
        <w:tc>
          <w:tcPr>
            <w:tcW w:w="1116"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Threshold</w:t>
            </w:r>
          </w:p>
        </w:tc>
        <w:tc>
          <w:tcPr>
            <w:tcW w:w="123" w:type="dxa"/>
            <w:tcBorders/>
            <w:shd w:fill="auto" w:val="clear"/>
            <w:vAlign w:val="center"/>
          </w:tcPr>
          <w:p>
            <w:pPr>
              <w:pStyle w:val="TableContents"/>
              <w:spacing w:before="0" w:after="0"/>
              <w:ind w:left="0" w:right="0" w:firstLine="30"/>
              <w:rPr/>
            </w:pPr>
            <w:r>
              <w:rPr/>
              <w:t> </w:t>
            </w:r>
          </w:p>
        </w:tc>
        <w:tc>
          <w:tcPr>
            <w:tcW w:w="13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Target</w:t>
            </w:r>
          </w:p>
        </w:tc>
        <w:tc>
          <w:tcPr>
            <w:tcW w:w="123" w:type="dxa"/>
            <w:tcBorders/>
            <w:shd w:fill="auto" w:val="clear"/>
            <w:vAlign w:val="center"/>
          </w:tcPr>
          <w:p>
            <w:pPr>
              <w:pStyle w:val="TableContents"/>
              <w:spacing w:before="0" w:after="0"/>
              <w:ind w:left="0" w:right="0" w:firstLine="30"/>
              <w:rPr/>
            </w:pPr>
            <w:r>
              <w:rPr/>
              <w:t> </w:t>
            </w:r>
          </w:p>
        </w:tc>
        <w:tc>
          <w:tcPr>
            <w:tcW w:w="13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Maximum</w:t>
            </w:r>
          </w:p>
        </w:tc>
        <w:tc>
          <w:tcPr>
            <w:tcW w:w="123" w:type="dxa"/>
            <w:tcBorders/>
            <w:shd w:fill="auto" w:val="clear"/>
            <w:vAlign w:val="center"/>
          </w:tcPr>
          <w:p>
            <w:pPr>
              <w:pStyle w:val="TableContents"/>
              <w:spacing w:before="0" w:after="0"/>
              <w:ind w:left="0" w:right="0" w:firstLine="30"/>
              <w:rPr/>
            </w:pPr>
            <w:r>
              <w:rPr/>
              <w:t> </w:t>
            </w:r>
          </w:p>
        </w:tc>
        <w:tc>
          <w:tcPr>
            <w:tcW w:w="1461" w:type="dxa"/>
            <w:gridSpan w:val="3"/>
            <w:vMerge w:val="continue"/>
            <w:tcBorders>
              <w:bottom w:val="single" w:sz="2" w:space="0" w:color="000000"/>
            </w:tcBorders>
            <w:shd w:fill="auto" w:val="clear"/>
            <w:tcMar>
              <w:bottom w:w="30" w:type="dxa"/>
            </w:tcMar>
            <w:vAlign w:val="center"/>
          </w:tcPr>
          <w:p>
            <w:pPr>
              <w:pStyle w:val="Normal"/>
              <w:rPr/>
            </w:pPr>
            <w:r>
              <w:rPr/>
            </w:r>
          </w:p>
        </w:tc>
        <w:tc>
          <w:tcPr>
            <w:tcW w:w="123" w:type="dxa"/>
            <w:tcBorders/>
            <w:shd w:fill="auto" w:val="clear"/>
            <w:vAlign w:val="center"/>
          </w:tcPr>
          <w:p>
            <w:pPr>
              <w:pStyle w:val="TableContents"/>
              <w:spacing w:before="0" w:after="0"/>
              <w:ind w:left="0" w:right="0" w:firstLine="30"/>
              <w:rPr/>
            </w:pPr>
            <w:r>
              <w:rPr/>
              <w:t> </w:t>
            </w:r>
          </w:p>
        </w:tc>
        <w:tc>
          <w:tcPr>
            <w:tcW w:w="1245"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2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Rothamel</w:t>
            </w:r>
          </w:p>
        </w:tc>
        <w:tc>
          <w:tcPr>
            <w:tcW w:w="838" w:type="dxa"/>
            <w:tcBorders>
              <w:top w:val="single" w:sz="2" w:space="0" w:color="000000"/>
            </w:tcBorders>
            <w:shd w:fill="CCEEFF" w:val="clear"/>
            <w:tcMar>
              <w:top w:w="30" w:type="dxa"/>
            </w:tcMar>
            <w:vAlign w:val="center"/>
          </w:tcPr>
          <w:p>
            <w:pPr>
              <w:pStyle w:val="TableContents"/>
              <w:spacing w:before="0" w:after="0"/>
              <w:ind w:left="0" w:right="0" w:firstLine="30"/>
              <w:jc w:val="right"/>
              <w:rPr>
                <w:rFonts w:ascii="inherit" w:hAnsi="inherit"/>
                <w:sz w:val="17"/>
              </w:rPr>
            </w:pPr>
            <w:r>
              <w:rPr>
                <w:rFonts w:ascii="inherit" w:hAnsi="inherit"/>
                <w:sz w:val="17"/>
              </w:rPr>
              <w:t>10/1/2012</w:t>
            </w:r>
          </w:p>
        </w:tc>
        <w:tc>
          <w:tcPr>
            <w:tcW w:w="123" w:type="dxa"/>
            <w:tcBorders/>
            <w:shd w:fill="CCEEFF" w:val="clear"/>
            <w:vAlign w:val="center"/>
          </w:tcPr>
          <w:p>
            <w:pPr>
              <w:pStyle w:val="TableContents"/>
              <w:spacing w:before="0" w:after="0"/>
              <w:ind w:left="0" w:right="0" w:firstLine="30"/>
              <w:rPr/>
            </w:pPr>
            <w:r>
              <w:rPr/>
              <w:t> </w:t>
            </w:r>
          </w:p>
        </w:tc>
        <w:tc>
          <w:tcPr>
            <w:tcW w:w="1002"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1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5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0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1,950,000</w:t>
            </w:r>
          </w:p>
        </w:tc>
        <w:tc>
          <w:tcPr>
            <w:tcW w:w="6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5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0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2,925,000</w:t>
            </w:r>
          </w:p>
        </w:tc>
        <w:tc>
          <w:tcPr>
            <w:tcW w:w="6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7"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6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6" w:type="dxa"/>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55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4"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0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Stamp</w:t>
            </w:r>
          </w:p>
        </w:tc>
        <w:tc>
          <w:tcPr>
            <w:tcW w:w="8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10/1/2012</w:t>
            </w:r>
          </w:p>
        </w:tc>
        <w:tc>
          <w:tcPr>
            <w:tcW w:w="123" w:type="dxa"/>
            <w:tcBorders/>
            <w:shd w:fill="auto" w:val="clear"/>
            <w:vAlign w:val="center"/>
          </w:tcPr>
          <w:p>
            <w:pPr>
              <w:pStyle w:val="TableContents"/>
              <w:spacing w:before="0" w:after="0"/>
              <w:ind w:left="0" w:right="0" w:firstLine="30"/>
              <w:rPr/>
            </w:pPr>
            <w:r>
              <w:rPr/>
              <w:t> </w:t>
            </w:r>
          </w:p>
        </w:tc>
        <w:tc>
          <w:tcPr>
            <w:tcW w:w="1002" w:type="dxa"/>
            <w:tcBorders/>
            <w:shd w:fill="auto" w:val="clear"/>
            <w:vAlign w:val="center"/>
          </w:tcPr>
          <w:p>
            <w:pPr>
              <w:pStyle w:val="TableContents"/>
              <w:spacing w:before="0" w:after="0"/>
              <w:jc w:val="right"/>
              <w:rPr/>
            </w:pPr>
            <w:r>
              <w:rPr/>
              <w:t>—</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2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232,500</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2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348,750</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87" w:type="dxa"/>
            <w:tcBorders/>
            <w:shd w:fill="auto" w:val="clear"/>
            <w:vAlign w:val="center"/>
          </w:tcPr>
          <w:p>
            <w:pPr>
              <w:pStyle w:val="TableContents"/>
              <w:spacing w:before="0" w:after="0"/>
              <w:jc w:val="right"/>
              <w:rPr/>
            </w:pPr>
            <w:r>
              <w:rPr/>
              <w:t>—</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6" w:type="dxa"/>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pPr>
            <w:r>
              <w:rPr/>
              <w:t>—</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Kuchenrither</w:t>
            </w:r>
          </w:p>
        </w:tc>
        <w:tc>
          <w:tcPr>
            <w:tcW w:w="838"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10/1/2012</w:t>
            </w:r>
          </w:p>
        </w:tc>
        <w:tc>
          <w:tcPr>
            <w:tcW w:w="123" w:type="dxa"/>
            <w:tcBorders/>
            <w:shd w:fill="CCEEFF" w:val="clear"/>
            <w:vAlign w:val="center"/>
          </w:tcPr>
          <w:p>
            <w:pPr>
              <w:pStyle w:val="TableContents"/>
              <w:spacing w:before="0" w:after="0"/>
              <w:ind w:left="0" w:right="0" w:firstLine="30"/>
              <w:rPr/>
            </w:pPr>
            <w:r>
              <w:rPr/>
              <w:t> </w:t>
            </w:r>
          </w:p>
        </w:tc>
        <w:tc>
          <w:tcPr>
            <w:tcW w:w="1002" w:type="dxa"/>
            <w:tcBorders/>
            <w:shd w:fill="CCEEFF" w:val="clear"/>
            <w:vAlign w:val="center"/>
          </w:tcPr>
          <w:p>
            <w:pPr>
              <w:pStyle w:val="TableContents"/>
              <w:spacing w:before="0" w:after="0"/>
              <w:jc w:val="right"/>
              <w:rPr/>
            </w:pPr>
            <w:r>
              <w:rPr/>
              <w:t>—</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2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875,000</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2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1,312,500</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55" w:type="dxa"/>
            <w:gridSpan w:val="2"/>
            <w:tcBorders/>
            <w:shd w:fill="CCEEFF" w:val="clear"/>
            <w:vAlign w:val="center"/>
          </w:tcPr>
          <w:p>
            <w:pPr>
              <w:pStyle w:val="TableContents"/>
              <w:spacing w:before="0" w:after="0"/>
              <w:ind w:left="0" w:right="0" w:firstLine="30"/>
              <w:rPr/>
            </w:pPr>
            <w:r>
              <w:rPr/>
              <w:t> </w:t>
            </w:r>
          </w:p>
        </w:tc>
        <w:tc>
          <w:tcPr>
            <w:tcW w:w="306" w:type="dxa"/>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45" w:type="dxa"/>
            <w:gridSpan w:val="3"/>
            <w:tcBorders/>
            <w:shd w:fill="CCEEFF" w:val="clear"/>
            <w:vAlign w:val="center"/>
          </w:tcPr>
          <w:p>
            <w:pPr>
              <w:pStyle w:val="TableContents"/>
              <w:spacing w:before="0" w:after="0"/>
              <w:ind w:left="0" w:right="0" w:firstLine="30"/>
              <w:rPr/>
            </w:pPr>
            <w:r>
              <w:rPr/>
              <w:t> </w:t>
            </w:r>
          </w:p>
        </w:tc>
      </w:tr>
      <w:tr>
        <w:trPr/>
        <w:tc>
          <w:tcPr>
            <w:tcW w:w="2270" w:type="dxa"/>
            <w:tcBorders/>
            <w:shd w:fill="CCEEFF" w:val="clear"/>
            <w:vAlign w:val="center"/>
          </w:tcPr>
          <w:p>
            <w:pPr>
              <w:pStyle w:val="TableContents"/>
              <w:spacing w:before="0" w:after="0"/>
              <w:ind w:left="0" w:right="0" w:firstLine="30"/>
              <w:rPr/>
            </w:pPr>
            <w:r>
              <w:rPr/>
              <w:t> </w:t>
            </w:r>
          </w:p>
        </w:tc>
        <w:tc>
          <w:tcPr>
            <w:tcW w:w="838"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1/2/2013</w:t>
            </w:r>
          </w:p>
        </w:tc>
        <w:tc>
          <w:tcPr>
            <w:tcW w:w="123" w:type="dxa"/>
            <w:tcBorders/>
            <w:shd w:fill="CCEEFF" w:val="clear"/>
            <w:vAlign w:val="center"/>
          </w:tcPr>
          <w:p>
            <w:pPr>
              <w:pStyle w:val="TableContents"/>
              <w:spacing w:before="0" w:after="0"/>
              <w:ind w:left="0" w:right="0" w:firstLine="30"/>
              <w:rPr/>
            </w:pPr>
            <w:r>
              <w:rPr/>
              <w:t> </w:t>
            </w:r>
          </w:p>
        </w:tc>
        <w:tc>
          <w:tcPr>
            <w:tcW w:w="1116" w:type="dxa"/>
            <w:gridSpan w:val="2"/>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330"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330"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087" w:type="dxa"/>
            <w:tcBorders/>
            <w:shd w:fill="CCEEFF" w:val="clear"/>
            <w:vAlign w:val="center"/>
          </w:tcPr>
          <w:p>
            <w:pPr>
              <w:pStyle w:val="TableContents"/>
              <w:spacing w:before="0" w:after="0"/>
              <w:jc w:val="right"/>
              <w:rPr>
                <w:rFonts w:ascii="inherit" w:hAnsi="inherit"/>
                <w:sz w:val="17"/>
              </w:rPr>
            </w:pPr>
            <w:r>
              <w:rPr>
                <w:rFonts w:ascii="inherit" w:hAnsi="inherit"/>
                <w:sz w:val="17"/>
              </w:rPr>
              <w:t>200,000</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(4)</w:t>
            </w:r>
          </w:p>
        </w:tc>
        <w:tc>
          <w:tcPr>
            <w:tcW w:w="123"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4,038,000</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Brinkley</w:t>
            </w:r>
          </w:p>
        </w:tc>
        <w:tc>
          <w:tcPr>
            <w:tcW w:w="8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10/1/2012</w:t>
            </w:r>
          </w:p>
        </w:tc>
        <w:tc>
          <w:tcPr>
            <w:tcW w:w="123" w:type="dxa"/>
            <w:tcBorders/>
            <w:shd w:fill="auto" w:val="clear"/>
            <w:vAlign w:val="center"/>
          </w:tcPr>
          <w:p>
            <w:pPr>
              <w:pStyle w:val="TableContents"/>
              <w:spacing w:before="0" w:after="0"/>
              <w:ind w:left="0" w:right="0" w:firstLine="30"/>
              <w:rPr/>
            </w:pPr>
            <w:r>
              <w:rPr/>
              <w:t> </w:t>
            </w:r>
          </w:p>
        </w:tc>
        <w:tc>
          <w:tcPr>
            <w:tcW w:w="1002" w:type="dxa"/>
            <w:tcBorders/>
            <w:shd w:fill="auto" w:val="clear"/>
            <w:vAlign w:val="center"/>
          </w:tcPr>
          <w:p>
            <w:pPr>
              <w:pStyle w:val="TableContents"/>
              <w:spacing w:before="0" w:after="0"/>
              <w:jc w:val="right"/>
              <w:rPr/>
            </w:pPr>
            <w:r>
              <w:rPr/>
              <w:t>—</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2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1,950,000</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2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2,925,000</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87" w:type="dxa"/>
            <w:tcBorders/>
            <w:shd w:fill="auto" w:val="clear"/>
            <w:vAlign w:val="center"/>
          </w:tcPr>
          <w:p>
            <w:pPr>
              <w:pStyle w:val="TableContents"/>
              <w:spacing w:before="0" w:after="0"/>
              <w:jc w:val="right"/>
              <w:rPr/>
            </w:pPr>
            <w:r>
              <w:rPr/>
              <w:t>—</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6" w:type="dxa"/>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pPr>
            <w:r>
              <w:rPr/>
              <w:t>—</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Guest</w:t>
            </w:r>
          </w:p>
        </w:tc>
        <w:tc>
          <w:tcPr>
            <w:tcW w:w="838"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10/1/2012</w:t>
            </w:r>
          </w:p>
        </w:tc>
        <w:tc>
          <w:tcPr>
            <w:tcW w:w="123" w:type="dxa"/>
            <w:tcBorders/>
            <w:shd w:fill="CCEEFF" w:val="clear"/>
            <w:vAlign w:val="center"/>
          </w:tcPr>
          <w:p>
            <w:pPr>
              <w:pStyle w:val="TableContents"/>
              <w:spacing w:before="0" w:after="0"/>
              <w:ind w:left="0" w:right="0" w:firstLine="30"/>
              <w:rPr/>
            </w:pPr>
            <w:r>
              <w:rPr/>
              <w:t> </w:t>
            </w:r>
          </w:p>
        </w:tc>
        <w:tc>
          <w:tcPr>
            <w:tcW w:w="1002" w:type="dxa"/>
            <w:tcBorders/>
            <w:shd w:fill="CCEEFF" w:val="clear"/>
            <w:vAlign w:val="center"/>
          </w:tcPr>
          <w:p>
            <w:pPr>
              <w:pStyle w:val="TableContents"/>
              <w:spacing w:before="0" w:after="0"/>
              <w:jc w:val="right"/>
              <w:rPr/>
            </w:pPr>
            <w:r>
              <w:rPr/>
              <w:t>—</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2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233,250</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2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349,875</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55" w:type="dxa"/>
            <w:gridSpan w:val="2"/>
            <w:tcBorders/>
            <w:shd w:fill="CCEEFF" w:val="clear"/>
            <w:vAlign w:val="center"/>
          </w:tcPr>
          <w:p>
            <w:pPr>
              <w:pStyle w:val="TableContents"/>
              <w:spacing w:before="0" w:after="0"/>
              <w:ind w:left="0" w:right="0" w:firstLine="30"/>
              <w:rPr/>
            </w:pPr>
            <w:r>
              <w:rPr/>
              <w:t> </w:t>
            </w:r>
          </w:p>
        </w:tc>
        <w:tc>
          <w:tcPr>
            <w:tcW w:w="306" w:type="dxa"/>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45" w:type="dxa"/>
            <w:gridSpan w:val="3"/>
            <w:tcBorders/>
            <w:shd w:fill="CCEEFF" w:val="clear"/>
            <w:vAlign w:val="center"/>
          </w:tcPr>
          <w:p>
            <w:pPr>
              <w:pStyle w:val="TableContents"/>
              <w:spacing w:before="0" w:after="0"/>
              <w:ind w:left="0" w:right="0" w:firstLine="30"/>
              <w:rPr/>
            </w:pPr>
            <w:r>
              <w:rPr/>
              <w:t> </w:t>
            </w:r>
          </w:p>
        </w:tc>
      </w:tr>
      <w:tr>
        <w:trPr/>
        <w:tc>
          <w:tcPr>
            <w:tcW w:w="2270" w:type="dxa"/>
            <w:tcBorders/>
            <w:shd w:fill="CCEEFF" w:val="clear"/>
            <w:vAlign w:val="center"/>
          </w:tcPr>
          <w:p>
            <w:pPr>
              <w:pStyle w:val="TableContents"/>
              <w:spacing w:before="0" w:after="0"/>
              <w:ind w:left="0" w:right="0" w:firstLine="30"/>
              <w:rPr/>
            </w:pPr>
            <w:r>
              <w:rPr/>
              <w:t> </w:t>
            </w:r>
          </w:p>
        </w:tc>
        <w:tc>
          <w:tcPr>
            <w:tcW w:w="838"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1/2/2013</w:t>
            </w:r>
          </w:p>
        </w:tc>
        <w:tc>
          <w:tcPr>
            <w:tcW w:w="123" w:type="dxa"/>
            <w:tcBorders/>
            <w:shd w:fill="CCEEFF" w:val="clear"/>
            <w:vAlign w:val="center"/>
          </w:tcPr>
          <w:p>
            <w:pPr>
              <w:pStyle w:val="TableContents"/>
              <w:spacing w:before="0" w:after="0"/>
              <w:ind w:left="0" w:right="0" w:firstLine="30"/>
              <w:rPr/>
            </w:pPr>
            <w:r>
              <w:rPr/>
              <w:t> </w:t>
            </w:r>
          </w:p>
        </w:tc>
        <w:tc>
          <w:tcPr>
            <w:tcW w:w="1116" w:type="dxa"/>
            <w:gridSpan w:val="2"/>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330"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330" w:type="dxa"/>
            <w:gridSpan w:val="3"/>
            <w:tcBorders/>
            <w:shd w:fill="CCEEFF" w:val="clear"/>
            <w:vAlign w:val="center"/>
          </w:tcPr>
          <w:p>
            <w:pPr>
              <w:pStyle w:val="TableContents"/>
              <w:spacing w:before="0" w:after="0"/>
              <w:ind w:left="0" w:right="0" w:firstLine="30"/>
              <w:rPr/>
            </w:pPr>
            <w:r>
              <w:rPr/>
              <w:t> </w:t>
            </w:r>
          </w:p>
        </w:tc>
        <w:tc>
          <w:tcPr>
            <w:tcW w:w="123"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087" w:type="dxa"/>
            <w:tcBorders/>
            <w:shd w:fill="CCEEFF" w:val="clear"/>
            <w:vAlign w:val="center"/>
          </w:tcPr>
          <w:p>
            <w:pPr>
              <w:pStyle w:val="TableContents"/>
              <w:spacing w:before="0" w:after="0"/>
              <w:jc w:val="right"/>
              <w:rPr>
                <w:rFonts w:ascii="inherit" w:hAnsi="inherit"/>
                <w:sz w:val="17"/>
              </w:rPr>
            </w:pPr>
            <w:r>
              <w:rPr>
                <w:rFonts w:ascii="inherit" w:hAnsi="inherit"/>
                <w:sz w:val="17"/>
              </w:rPr>
              <w:t>23,000</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(5)</w:t>
            </w:r>
          </w:p>
        </w:tc>
        <w:tc>
          <w:tcPr>
            <w:tcW w:w="123"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464,370</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Welch</w:t>
            </w:r>
          </w:p>
        </w:tc>
        <w:tc>
          <w:tcPr>
            <w:tcW w:w="83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10/1/2012</w:t>
            </w:r>
          </w:p>
        </w:tc>
        <w:tc>
          <w:tcPr>
            <w:tcW w:w="123" w:type="dxa"/>
            <w:tcBorders/>
            <w:shd w:fill="auto" w:val="clear"/>
            <w:vAlign w:val="center"/>
          </w:tcPr>
          <w:p>
            <w:pPr>
              <w:pStyle w:val="TableContents"/>
              <w:spacing w:before="0" w:after="0"/>
              <w:ind w:left="0" w:right="0" w:firstLine="30"/>
              <w:rPr/>
            </w:pPr>
            <w:r>
              <w:rPr/>
              <w:t> </w:t>
            </w:r>
          </w:p>
        </w:tc>
        <w:tc>
          <w:tcPr>
            <w:tcW w:w="1002" w:type="dxa"/>
            <w:tcBorders/>
            <w:shd w:fill="auto" w:val="clear"/>
            <w:vAlign w:val="center"/>
          </w:tcPr>
          <w:p>
            <w:pPr>
              <w:pStyle w:val="TableContents"/>
              <w:spacing w:before="0" w:after="0"/>
              <w:jc w:val="right"/>
              <w:rPr/>
            </w:pPr>
            <w:r>
              <w:rPr/>
              <w:t>—</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2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195,750</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2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293,625</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55" w:type="dxa"/>
            <w:gridSpan w:val="2"/>
            <w:tcBorders/>
            <w:shd w:fill="auto" w:val="clear"/>
            <w:vAlign w:val="center"/>
          </w:tcPr>
          <w:p>
            <w:pPr>
              <w:pStyle w:val="TableContents"/>
              <w:spacing w:before="0" w:after="0"/>
              <w:ind w:left="0" w:right="0" w:firstLine="30"/>
              <w:rPr/>
            </w:pPr>
            <w:r>
              <w:rPr/>
              <w:t> </w:t>
            </w:r>
          </w:p>
        </w:tc>
        <w:tc>
          <w:tcPr>
            <w:tcW w:w="306" w:type="dxa"/>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45" w:type="dxa"/>
            <w:gridSpan w:val="3"/>
            <w:tcBorders/>
            <w:shd w:fill="auto" w:val="clear"/>
            <w:vAlign w:val="center"/>
          </w:tcPr>
          <w:p>
            <w:pPr>
              <w:pStyle w:val="TableContents"/>
              <w:spacing w:before="0" w:after="0"/>
              <w:ind w:left="0" w:right="0" w:firstLine="30"/>
              <w:rPr/>
            </w:pPr>
            <w:r>
              <w:rPr/>
              <w:t> </w:t>
            </w:r>
          </w:p>
        </w:tc>
      </w:tr>
      <w:tr>
        <w:trPr/>
        <w:tc>
          <w:tcPr>
            <w:tcW w:w="227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38"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1/2/2013</w:t>
            </w:r>
          </w:p>
        </w:tc>
        <w:tc>
          <w:tcPr>
            <w:tcW w:w="12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16" w:type="dxa"/>
            <w:gridSpan w:val="2"/>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30" w:type="dxa"/>
            <w:gridSpan w:val="3"/>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30" w:type="dxa"/>
            <w:gridSpan w:val="3"/>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87"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16,000</w:t>
            </w:r>
          </w:p>
        </w:tc>
        <w:tc>
          <w:tcPr>
            <w:tcW w:w="6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(5)</w:t>
            </w:r>
          </w:p>
        </w:tc>
        <w:tc>
          <w:tcPr>
            <w:tcW w:w="12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4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323,040</w:t>
            </w:r>
          </w:p>
        </w:tc>
        <w:tc>
          <w:tcPr>
            <w:tcW w:w="100" w:type="dxa"/>
            <w:tcBorders>
              <w:bottom w:val="single" w:sz="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283"/>
              <w:rPr>
                <w:sz w:val="4"/>
                <w:szCs w:val="4"/>
              </w:rPr>
            </w:pPr>
            <w:r>
              <w:rPr>
                <w:sz w:val="4"/>
                <w:szCs w:val="4"/>
              </w:rPr>
            </w:r>
          </w:p>
        </w:tc>
        <w:tc>
          <w:tcPr>
            <w:tcW w:w="10011" w:type="dxa"/>
            <w:tcBorders/>
            <w:shd w:fill="auto" w:val="clear"/>
            <w:vAlign w:val="center"/>
          </w:tcPr>
          <w:p>
            <w:pPr>
              <w:pStyle w:val="TableContents"/>
              <w:spacing w:before="0" w:after="283"/>
              <w:rPr>
                <w:sz w:val="4"/>
                <w:szCs w:val="4"/>
              </w:rPr>
            </w:pPr>
            <w:r>
              <w:rPr>
                <w:sz w:val="4"/>
                <w:szCs w:val="4"/>
              </w:rPr>
            </w:r>
          </w:p>
        </w:tc>
      </w:tr>
      <w:tr>
        <w:trPr/>
        <w:tc>
          <w:tcPr>
            <w:tcW w:w="194"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(1)</w:t>
            </w:r>
          </w:p>
        </w:tc>
        <w:tc>
          <w:tcPr>
            <w:tcW w:w="10011" w:type="dxa"/>
            <w:tcBorders/>
            <w:shd w:fill="auto" w:val="clear"/>
            <w:vAlign w:val="center"/>
          </w:tcPr>
          <w:p>
            <w:pPr>
              <w:pStyle w:val="TableContents"/>
              <w:spacing w:lineRule="auto" w:line="288" w:before="0" w:after="0"/>
              <w:rPr>
                <w:sz w:val="15"/>
              </w:rPr>
            </w:pPr>
            <w:r>
              <w:rPr>
                <w:rFonts w:ascii="inherit" w:hAnsi="inherit"/>
                <w:sz w:val="15"/>
              </w:rPr>
              <w:t xml:space="preserve">The target amounts are the target awards under the fiscal </w:t>
            </w:r>
            <w:r>
              <w:rPr>
                <w:rFonts w:ascii="inherit" w:hAnsi="inherit"/>
                <w:strike w:val="false"/>
                <w:dstrike w:val="false"/>
                <w:color w:val="000000"/>
                <w:sz w:val="15"/>
                <w:u w:val="none"/>
                <w:effect w:val="none"/>
              </w:rPr>
              <w:t>2013</w:t>
            </w:r>
            <w:r>
              <w:rPr>
                <w:sz w:val="15"/>
              </w:rPr>
              <w:t xml:space="preserve"> </w:t>
            </w:r>
            <w:r>
              <w:rPr>
                <w:rFonts w:ascii="inherit" w:hAnsi="inherit"/>
                <w:sz w:val="15"/>
              </w:rPr>
              <w:t xml:space="preserve">Incentive Compensation Plan. They represent a specified percentage of the Named Executive Officer’s fiscal </w:t>
            </w:r>
            <w:r>
              <w:rPr>
                <w:rFonts w:ascii="inherit" w:hAnsi="inherit"/>
                <w:strike w:val="false"/>
                <w:dstrike w:val="false"/>
                <w:color w:val="000000"/>
                <w:sz w:val="15"/>
                <w:u w:val="none"/>
                <w:effect w:val="none"/>
              </w:rPr>
              <w:t>2013</w:t>
            </w:r>
            <w:r>
              <w:rPr>
                <w:sz w:val="15"/>
              </w:rPr>
              <w:t xml:space="preserve"> </w:t>
            </w:r>
            <w:r>
              <w:rPr>
                <w:rFonts w:ascii="inherit" w:hAnsi="inherit"/>
                <w:sz w:val="15"/>
              </w:rPr>
              <w:t>base salary. The threshold amount reflects the fact that no incentive plan awards were payable if the minimum financial and other specified incentive goals were not achieved. As discussed in “Components of Compensation — Annual Incentive Bonuses” in the Compensation Discussion and Analysis above, the Company did not achieve the specified business performance goals during fiscal 2013, and no annual incentive bonuses were paid under the fiscal 2013 Incentive Compensation Plan. See the “Non-Equity Incentive Plan Compensation” column in the Summary Compensation Table above.</w:t>
            </w:r>
          </w:p>
        </w:tc>
      </w:tr>
    </w:tbl>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vAlign w:val="center"/>
          </w:tcPr>
          <w:p>
            <w:pPr>
              <w:pStyle w:val="TableContents"/>
              <w:spacing w:before="0" w:after="283"/>
              <w:rPr>
                <w:sz w:val="4"/>
                <w:szCs w:val="4"/>
              </w:rPr>
            </w:pPr>
            <w:r>
              <w:rPr>
                <w:sz w:val="4"/>
                <w:szCs w:val="4"/>
              </w:rPr>
            </w:r>
          </w:p>
        </w:tc>
        <w:tc>
          <w:tcPr>
            <w:tcW w:w="9975"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(2)</w:t>
            </w:r>
          </w:p>
        </w:tc>
        <w:tc>
          <w:tcPr>
            <w:tcW w:w="9975" w:type="dxa"/>
            <w:tcBorders/>
            <w:shd w:fill="auto" w:val="clear"/>
            <w:vAlign w:val="center"/>
          </w:tcPr>
          <w:p>
            <w:pPr>
              <w:pStyle w:val="TableContents"/>
              <w:spacing w:lineRule="auto" w:line="288" w:before="0" w:after="0"/>
              <w:rPr>
                <w:sz w:val="15"/>
              </w:rPr>
            </w:pPr>
            <w:r>
              <w:rPr>
                <w:rFonts w:ascii="inherit" w:hAnsi="inherit"/>
                <w:sz w:val="15"/>
              </w:rPr>
              <w:t xml:space="preserve">Represents the number of shares of restricted stock awarded in fiscal </w:t>
            </w:r>
            <w:r>
              <w:rPr>
                <w:rFonts w:ascii="inherit" w:hAnsi="inherit"/>
                <w:strike w:val="false"/>
                <w:dstrike w:val="false"/>
                <w:color w:val="000000"/>
                <w:sz w:val="15"/>
                <w:u w:val="none"/>
                <w:effect w:val="none"/>
              </w:rPr>
              <w:t>2013</w:t>
            </w:r>
            <w:r>
              <w:rPr>
                <w:rFonts w:ascii="inherit" w:hAnsi="inherit"/>
                <w:sz w:val="15"/>
              </w:rPr>
              <w:t>. In the event of the holder’s death or disability, the vesting of unvested shares will be accelerated.</w:t>
            </w:r>
          </w:p>
        </w:tc>
      </w:tr>
    </w:tbl>
    <w:tbl>
      <w:tblPr>
        <w:tblW w:w="10205" w:type="dxa"/>
        <w:jc w:val="left"/>
        <w:tblInd w:w="0" w:type="dxa"/>
        <w:tblCellMar>
          <w:top w:w="0" w:type="dxa"/>
          <w:left w:w="0" w:type="dxa"/>
          <w:bottom w:w="0" w:type="dxa"/>
          <w:right w:w="0" w:type="dxa"/>
        </w:tblCellMar>
      </w:tblPr>
      <w:tblGrid>
        <w:gridCol w:w="232"/>
        <w:gridCol w:w="9973"/>
      </w:tblGrid>
      <w:tr>
        <w:trPr/>
        <w:tc>
          <w:tcPr>
            <w:tcW w:w="232" w:type="dxa"/>
            <w:tcBorders/>
            <w:shd w:fill="auto" w:val="clear"/>
            <w:vAlign w:val="center"/>
          </w:tcPr>
          <w:p>
            <w:pPr>
              <w:pStyle w:val="TableContents"/>
              <w:spacing w:before="0" w:after="283"/>
              <w:rPr>
                <w:sz w:val="4"/>
                <w:szCs w:val="4"/>
              </w:rPr>
            </w:pPr>
            <w:r>
              <w:rPr>
                <w:sz w:val="4"/>
                <w:szCs w:val="4"/>
              </w:rPr>
            </w:r>
          </w:p>
        </w:tc>
        <w:tc>
          <w:tcPr>
            <w:tcW w:w="9973" w:type="dxa"/>
            <w:tcBorders/>
            <w:shd w:fill="auto" w:val="clear"/>
            <w:vAlign w:val="center"/>
          </w:tcPr>
          <w:p>
            <w:pPr>
              <w:pStyle w:val="TableContents"/>
              <w:spacing w:before="0" w:after="283"/>
              <w:rPr>
                <w:sz w:val="4"/>
                <w:szCs w:val="4"/>
              </w:rPr>
            </w:pPr>
            <w:r>
              <w:rPr>
                <w:sz w:val="4"/>
                <w:szCs w:val="4"/>
              </w:rPr>
            </w:r>
          </w:p>
        </w:tc>
      </w:tr>
      <w:tr>
        <w:trPr/>
        <w:tc>
          <w:tcPr>
            <w:tcW w:w="232"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(3)</w:t>
            </w:r>
          </w:p>
        </w:tc>
        <w:tc>
          <w:tcPr>
            <w:tcW w:w="9973" w:type="dxa"/>
            <w:tcBorders/>
            <w:shd w:fill="auto" w:val="clear"/>
            <w:vAlign w:val="center"/>
          </w:tcPr>
          <w:p>
            <w:pPr>
              <w:pStyle w:val="TableContents"/>
              <w:spacing w:lineRule="auto" w:line="288" w:before="0" w:after="0"/>
              <w:rPr>
                <w:sz w:val="15"/>
              </w:rPr>
            </w:pPr>
            <w:r>
              <w:rPr>
                <w:rFonts w:ascii="inherit" w:hAnsi="inherit"/>
                <w:sz w:val="15"/>
              </w:rPr>
              <w:t xml:space="preserve">Represents the full grant date fair value of fiscal </w:t>
            </w:r>
            <w:r>
              <w:rPr>
                <w:rFonts w:ascii="inherit" w:hAnsi="inherit"/>
                <w:strike w:val="false"/>
                <w:dstrike w:val="false"/>
                <w:color w:val="000000"/>
                <w:sz w:val="15"/>
                <w:u w:val="none"/>
                <w:effect w:val="none"/>
              </w:rPr>
              <w:t>2013</w:t>
            </w:r>
            <w:r>
              <w:rPr>
                <w:sz w:val="15"/>
              </w:rPr>
              <w:t xml:space="preserve"> </w:t>
            </w:r>
            <w:r>
              <w:rPr>
                <w:rFonts w:ascii="inherit" w:hAnsi="inherit"/>
                <w:sz w:val="15"/>
              </w:rPr>
              <w:t>equity awards. This is the amount we will expense in our financial statements over the awards’ vesting schedules.</w:t>
            </w:r>
          </w:p>
        </w:tc>
      </w:tr>
    </w:tbl>
    <w:tbl>
      <w:tblPr>
        <w:tblW w:w="10205" w:type="dxa"/>
        <w:jc w:val="left"/>
        <w:tblInd w:w="0" w:type="dxa"/>
        <w:tblCellMar>
          <w:top w:w="0" w:type="dxa"/>
          <w:left w:w="0" w:type="dxa"/>
          <w:bottom w:w="0" w:type="dxa"/>
          <w:right w:w="0" w:type="dxa"/>
        </w:tblCellMar>
      </w:tblPr>
      <w:tblGrid>
        <w:gridCol w:w="225"/>
        <w:gridCol w:w="9980"/>
      </w:tblGrid>
      <w:tr>
        <w:trPr/>
        <w:tc>
          <w:tcPr>
            <w:tcW w:w="225" w:type="dxa"/>
            <w:tcBorders/>
            <w:shd w:fill="auto" w:val="clear"/>
            <w:vAlign w:val="center"/>
          </w:tcPr>
          <w:p>
            <w:pPr>
              <w:pStyle w:val="TableContents"/>
              <w:spacing w:before="0" w:after="283"/>
              <w:rPr>
                <w:sz w:val="4"/>
                <w:szCs w:val="4"/>
              </w:rPr>
            </w:pPr>
            <w:r>
              <w:rPr>
                <w:sz w:val="4"/>
                <w:szCs w:val="4"/>
              </w:rPr>
            </w:r>
          </w:p>
        </w:tc>
        <w:tc>
          <w:tcPr>
            <w:tcW w:w="9980" w:type="dxa"/>
            <w:tcBorders/>
            <w:shd w:fill="auto" w:val="clear"/>
            <w:vAlign w:val="center"/>
          </w:tcPr>
          <w:p>
            <w:pPr>
              <w:pStyle w:val="TableContents"/>
              <w:spacing w:before="0" w:after="283"/>
              <w:rPr>
                <w:sz w:val="4"/>
                <w:szCs w:val="4"/>
              </w:rPr>
            </w:pPr>
            <w:r>
              <w:rPr>
                <w:sz w:val="4"/>
                <w:szCs w:val="4"/>
              </w:rPr>
            </w:r>
          </w:p>
        </w:tc>
      </w:tr>
      <w:tr>
        <w:trPr/>
        <w:tc>
          <w:tcPr>
            <w:tcW w:w="22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(4)</w:t>
            </w:r>
          </w:p>
        </w:tc>
        <w:tc>
          <w:tcPr>
            <w:tcW w:w="9980" w:type="dxa"/>
            <w:tcBorders/>
            <w:shd w:fill="auto" w:val="clear"/>
            <w:vAlign w:val="center"/>
          </w:tcPr>
          <w:p>
            <w:pPr>
              <w:pStyle w:val="TableContents"/>
              <w:spacing w:lineRule="auto" w:line="288" w:before="0" w:after="0"/>
              <w:rPr>
                <w:rFonts w:ascii="inherit" w:hAnsi="inherit"/>
                <w:sz w:val="15"/>
              </w:rPr>
            </w:pPr>
            <w:r>
              <w:rPr>
                <w:rFonts w:ascii="inherit" w:hAnsi="inherit"/>
                <w:sz w:val="15"/>
              </w:rPr>
              <w:t xml:space="preserve">These shares vest over six years (one-third on October 1, 2014, one-third on October 1, 2016 and one-third on October 1, 2018), subject to the achievement of specified performance objectives. </w:t>
            </w:r>
          </w:p>
        </w:tc>
      </w:tr>
    </w:tbl>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before="0" w:after="283"/>
              <w:rPr>
                <w:sz w:val="4"/>
                <w:szCs w:val="4"/>
              </w:rPr>
            </w:pPr>
            <w:r>
              <w:rPr>
                <w:sz w:val="4"/>
                <w:szCs w:val="4"/>
              </w:rPr>
            </w:r>
          </w:p>
        </w:tc>
        <w:tc>
          <w:tcPr>
            <w:tcW w:w="9986" w:type="dxa"/>
            <w:tcBorders/>
            <w:shd w:fill="auto" w:val="clear"/>
            <w:vAlign w:val="center"/>
          </w:tcPr>
          <w:p>
            <w:pPr>
              <w:pStyle w:val="TableContents"/>
              <w:spacing w:before="0" w:after="283"/>
              <w:rPr>
                <w:sz w:val="4"/>
                <w:szCs w:val="4"/>
              </w:rPr>
            </w:pPr>
            <w:r>
              <w:rPr>
                <w:sz w:val="4"/>
                <w:szCs w:val="4"/>
              </w:rPr>
            </w:r>
          </w:p>
        </w:tc>
      </w:tr>
      <w:tr>
        <w:trPr/>
        <w:tc>
          <w:tcPr>
            <w:tcW w:w="219"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(5)</w:t>
            </w:r>
          </w:p>
        </w:tc>
        <w:tc>
          <w:tcPr>
            <w:tcW w:w="9986" w:type="dxa"/>
            <w:tcBorders/>
            <w:shd w:fill="auto" w:val="clear"/>
            <w:vAlign w:val="center"/>
          </w:tcPr>
          <w:p>
            <w:pPr>
              <w:pStyle w:val="TableContents"/>
              <w:spacing w:lineRule="auto" w:line="288" w:before="0" w:after="0"/>
              <w:rPr>
                <w:rFonts w:ascii="inherit" w:hAnsi="inherit"/>
                <w:sz w:val="15"/>
              </w:rPr>
            </w:pPr>
            <w:r>
              <w:rPr>
                <w:rFonts w:ascii="inherit" w:hAnsi="inherit"/>
                <w:sz w:val="15"/>
              </w:rPr>
              <w:t xml:space="preserve">These shares vest pro rata over three years (one-third on October 1, 2013, one-third on October 1, 2014 and the remaining one-third on the October 1, 2015), subject to the achievement of specified performance objectives. </w:t>
            </w:r>
          </w:p>
        </w:tc>
      </w:tr>
    </w:tbl>
    <w:p>
      <w:pPr>
        <w:pStyle w:val="TextBody"/>
        <w:spacing w:lineRule="auto" w:line="288" w:before="0" w:after="0"/>
        <w:ind w:left="0" w:right="0" w:firstLine="360"/>
        <w:rPr>
          <w:rFonts w:ascii="inherit" w:hAnsi="inherit"/>
          <w:sz w:val="15"/>
        </w:rPr>
      </w:pPr>
      <w:r>
        <w:rPr>
          <w:rFonts w:ascii="inherit" w:hAnsi="inherit"/>
          <w:sz w:val="15"/>
        </w:rPr>
      </w:r>
    </w:p>
    <w:p>
      <w:pPr>
        <w:pStyle w:val="TextBody"/>
        <w:spacing w:lineRule="auto" w:line="288" w:before="0" w:after="0"/>
        <w:ind w:left="0" w:right="0" w:hanging="360"/>
        <w:rPr>
          <w:rFonts w:ascii="inherit" w:hAnsi="inherit"/>
          <w:sz w:val="15"/>
        </w:rPr>
      </w:pPr>
      <w:r>
        <w:rPr>
          <w:rFonts w:ascii="inherit" w:hAnsi="inherit"/>
          <w:sz w:val="15"/>
        </w:rPr>
      </w:r>
    </w:p>
    <w:p>
      <w:pPr>
        <w:pStyle w:val="TextBody"/>
        <w:spacing w:lineRule="auto" w:line="288" w:before="0" w:after="0"/>
        <w:ind w:left="0" w:right="0" w:firstLine="495"/>
        <w:rPr>
          <w:rFonts w:ascii="inherit" w:hAnsi="inherit"/>
          <w:sz w:val="17"/>
        </w:rPr>
      </w:pPr>
      <w:r>
        <w:rPr>
          <w:rFonts w:ascii="inherit" w:hAnsi="inherit"/>
          <w:sz w:val="17"/>
        </w:rPr>
      </w:r>
    </w:p>
    <w:p>
      <w:pPr>
        <w:pStyle w:val="TextBody"/>
        <w:spacing w:lineRule="auto" w:line="288" w:before="0" w:after="0"/>
        <w:ind w:left="0" w:right="0" w:firstLine="6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127</w:t>
      </w:r>
      <w:r>
        <w:br w:type="page"/>
      </w:r>
    </w:p>
    <w:p>
      <w:pPr>
        <w:pStyle w:val="TextBody"/>
        <w:spacing w:lineRule="auto" w:line="288" w:before="0" w:after="0"/>
        <w:rPr/>
      </w:pPr>
      <w:hyperlink w:anchor="sA13583D437E20DC41B4583E2BD74AA47">
        <w:bookmarkStart w:id="110" w:name="s8A05942A0A531DCB930283E2CAA42FF71"/>
        <w:bookmarkEnd w:id="110"/>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The following table sets forth certain information about outstanding stock awards held by the Named Executive Officers as of the end of fiscal </w:t>
      </w:r>
      <w:r>
        <w:rPr>
          <w:rFonts w:ascii="inherit" w:hAnsi="inherit"/>
          <w:strike w:val="false"/>
          <w:dstrike w:val="false"/>
          <w:color w:val="000000"/>
          <w:sz w:val="17"/>
          <w:u w:val="none"/>
          <w:effect w:val="none"/>
        </w:rPr>
        <w:t>2013</w:t>
      </w:r>
      <w:r>
        <w:rPr>
          <w:rFonts w:ascii="inherit" w:hAnsi="inherit"/>
          <w:sz w:val="17"/>
        </w:rPr>
        <w:t>. None of the Named Executive Officers holds any stock options.</w:t>
      </w:r>
    </w:p>
    <w:p>
      <w:pPr>
        <w:pStyle w:val="TextBody"/>
        <w:spacing w:lineRule="auto" w:line="288" w:before="0" w:after="0"/>
        <w:jc w:val="center"/>
        <w:rPr>
          <w:rFonts w:ascii="inherit" w:hAnsi="inherit"/>
          <w:b/>
          <w:sz w:val="17"/>
        </w:rPr>
      </w:pPr>
      <w:r>
        <w:rPr>
          <w:rFonts w:ascii="inherit" w:hAnsi="inherit"/>
          <w:b/>
          <w:sz w:val="17"/>
        </w:rPr>
        <w:t>Outstanding Equity Awards at Fiscal Year-End</w:t>
      </w:r>
    </w:p>
    <w:tbl>
      <w:tblPr>
        <w:tblW w:w="10205" w:type="dxa"/>
        <w:jc w:val="left"/>
        <w:tblInd w:w="0" w:type="dxa"/>
        <w:tblCellMar>
          <w:top w:w="0" w:type="dxa"/>
          <w:left w:w="0" w:type="dxa"/>
          <w:bottom w:w="0" w:type="dxa"/>
          <w:right w:w="0" w:type="dxa"/>
        </w:tblCellMar>
      </w:tblPr>
      <w:tblGrid>
        <w:gridCol w:w="4292"/>
        <w:gridCol w:w="1235"/>
        <w:gridCol w:w="150"/>
        <w:gridCol w:w="1669"/>
        <w:gridCol w:w="97"/>
        <w:gridCol w:w="150"/>
        <w:gridCol w:w="389"/>
        <w:gridCol w:w="150"/>
        <w:gridCol w:w="168"/>
        <w:gridCol w:w="1789"/>
        <w:gridCol w:w="116"/>
      </w:tblGrid>
      <w:tr>
        <w:trPr/>
        <w:tc>
          <w:tcPr>
            <w:tcW w:w="10205" w:type="dxa"/>
            <w:gridSpan w:val="11"/>
            <w:tcBorders/>
            <w:shd w:fill="auto" w:val="clear"/>
            <w:vAlign w:val="center"/>
          </w:tcPr>
          <w:p>
            <w:pPr>
              <w:pStyle w:val="TableContents"/>
              <w:spacing w:before="0" w:after="283"/>
              <w:rPr>
                <w:sz w:val="4"/>
                <w:szCs w:val="4"/>
              </w:rPr>
            </w:pPr>
            <w:r>
              <w:rPr>
                <w:sz w:val="4"/>
                <w:szCs w:val="4"/>
              </w:rPr>
            </w:r>
          </w:p>
        </w:tc>
      </w:tr>
      <w:tr>
        <w:trPr/>
        <w:tc>
          <w:tcPr>
            <w:tcW w:w="4292"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78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292" w:type="dxa"/>
            <w:tcBorders/>
            <w:shd w:fill="auto" w:val="clear"/>
            <w:vAlign w:val="center"/>
          </w:tcPr>
          <w:p>
            <w:pPr>
              <w:pStyle w:val="TableContents"/>
              <w:spacing w:before="0" w:after="0"/>
              <w:ind w:left="0" w:right="0" w:firstLine="30"/>
              <w:jc w:val="left"/>
              <w:rPr/>
            </w:pPr>
            <w:r>
              <w:rPr/>
              <w:t> </w:t>
            </w:r>
          </w:p>
        </w:tc>
        <w:tc>
          <w:tcPr>
            <w:tcW w:w="1235" w:type="dxa"/>
            <w:tcBorders/>
            <w:shd w:fill="auto" w:val="clear"/>
            <w:vAlign w:val="center"/>
          </w:tcPr>
          <w:p>
            <w:pPr>
              <w:pStyle w:val="TableContents"/>
              <w:spacing w:before="0" w:after="0"/>
              <w:ind w:left="0" w:right="0" w:firstLine="30"/>
              <w:jc w:val="left"/>
              <w:rPr/>
            </w:pPr>
            <w:r>
              <w:rPr/>
              <w:t> </w:t>
            </w:r>
          </w:p>
        </w:tc>
        <w:tc>
          <w:tcPr>
            <w:tcW w:w="150" w:type="dxa"/>
            <w:tcBorders/>
            <w:shd w:fill="auto" w:val="clear"/>
            <w:vAlign w:val="center"/>
          </w:tcPr>
          <w:p>
            <w:pPr>
              <w:pStyle w:val="TableContents"/>
              <w:spacing w:before="0" w:after="0"/>
              <w:ind w:left="0" w:right="0" w:firstLine="30"/>
              <w:rPr/>
            </w:pPr>
            <w:r>
              <w:rPr/>
              <w:t> </w:t>
            </w:r>
          </w:p>
        </w:tc>
        <w:tc>
          <w:tcPr>
            <w:tcW w:w="4528"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Stock Awards</w:t>
            </w:r>
          </w:p>
        </w:tc>
      </w:tr>
      <w:tr>
        <w:trPr/>
        <w:tc>
          <w:tcPr>
            <w:tcW w:w="4292" w:type="dxa"/>
            <w:tcBorders/>
            <w:shd w:fill="auto" w:val="clear"/>
            <w:vAlign w:val="center"/>
          </w:tcPr>
          <w:p>
            <w:pPr>
              <w:pStyle w:val="TableContents"/>
              <w:spacing w:before="0" w:after="0"/>
              <w:ind w:left="0" w:right="0" w:firstLine="30"/>
              <w:jc w:val="left"/>
              <w:rPr/>
            </w:pPr>
            <w:r>
              <w:rPr/>
              <w:t> </w:t>
            </w:r>
          </w:p>
        </w:tc>
        <w:tc>
          <w:tcPr>
            <w:tcW w:w="1235" w:type="dxa"/>
            <w:tcBorders/>
            <w:shd w:fill="auto" w:val="clear"/>
            <w:vAlign w:val="center"/>
          </w:tcPr>
          <w:p>
            <w:pPr>
              <w:pStyle w:val="TableContents"/>
              <w:spacing w:before="0" w:after="0"/>
              <w:ind w:left="0" w:right="0" w:firstLine="30"/>
              <w:jc w:val="left"/>
              <w:rPr/>
            </w:pPr>
            <w:r>
              <w:rPr/>
              <w:t> </w:t>
            </w:r>
          </w:p>
        </w:tc>
        <w:tc>
          <w:tcPr>
            <w:tcW w:w="150" w:type="dxa"/>
            <w:tcBorders/>
            <w:shd w:fill="auto" w:val="clear"/>
            <w:vAlign w:val="center"/>
          </w:tcPr>
          <w:p>
            <w:pPr>
              <w:pStyle w:val="TableContents"/>
              <w:spacing w:before="0" w:after="0"/>
              <w:ind w:left="0" w:right="0" w:firstLine="30"/>
              <w:rPr/>
            </w:pPr>
            <w:r>
              <w:rPr/>
              <w:t> </w:t>
            </w:r>
          </w:p>
        </w:tc>
        <w:tc>
          <w:tcPr>
            <w:tcW w:w="1766" w:type="dxa"/>
            <w:gridSpan w:val="2"/>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Number of Shares or Units of Stock That Have Not Vested</w:t>
            </w:r>
          </w:p>
        </w:tc>
        <w:tc>
          <w:tcPr>
            <w:tcW w:w="150" w:type="dxa"/>
            <w:tcBorders/>
            <w:shd w:fill="auto" w:val="clear"/>
            <w:vAlign w:val="center"/>
          </w:tcPr>
          <w:p>
            <w:pPr>
              <w:pStyle w:val="TableContents"/>
              <w:spacing w:before="0" w:after="0"/>
              <w:ind w:left="0" w:right="0" w:firstLine="30"/>
              <w:rPr/>
            </w:pPr>
            <w:r>
              <w:rPr/>
              <w:t> </w:t>
            </w:r>
          </w:p>
        </w:tc>
        <w:tc>
          <w:tcPr>
            <w:tcW w:w="389" w:type="dxa"/>
            <w:tcBorders/>
            <w:shd w:fill="auto" w:val="clear"/>
            <w:vAlign w:val="center"/>
          </w:tcPr>
          <w:p>
            <w:pPr>
              <w:pStyle w:val="TableContents"/>
              <w:spacing w:before="0" w:after="0"/>
              <w:ind w:left="0" w:right="0" w:firstLine="30"/>
              <w:jc w:val="center"/>
              <w:rPr/>
            </w:pPr>
            <w:r>
              <w:rPr/>
              <w:t> </w:t>
            </w:r>
          </w:p>
        </w:tc>
        <w:tc>
          <w:tcPr>
            <w:tcW w:w="150" w:type="dxa"/>
            <w:tcBorders/>
            <w:shd w:fill="auto" w:val="clear"/>
            <w:vAlign w:val="center"/>
          </w:tcPr>
          <w:p>
            <w:pPr>
              <w:pStyle w:val="TableContents"/>
              <w:spacing w:before="0" w:after="0"/>
              <w:ind w:left="0" w:right="0" w:firstLine="30"/>
              <w:rPr/>
            </w:pPr>
            <w:r>
              <w:rPr/>
              <w:t> </w:t>
            </w:r>
          </w:p>
        </w:tc>
        <w:tc>
          <w:tcPr>
            <w:tcW w:w="2073"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Market Value of Shares or Units of Stock That Have Not Vested (1)</w:t>
            </w:r>
          </w:p>
        </w:tc>
      </w:tr>
      <w:tr>
        <w:trPr/>
        <w:tc>
          <w:tcPr>
            <w:tcW w:w="429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Name</w:t>
            </w:r>
          </w:p>
        </w:tc>
        <w:tc>
          <w:tcPr>
            <w:tcW w:w="123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Award Date</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766" w:type="dxa"/>
            <w:gridSpan w:val="2"/>
            <w:vMerge w:val="continue"/>
            <w:tcBorders>
              <w:bottom w:val="single" w:sz="2" w:space="0" w:color="000000"/>
            </w:tcBorders>
            <w:shd w:fill="auto" w:val="clear"/>
            <w:tcMar>
              <w:bottom w:w="30" w:type="dxa"/>
            </w:tcMar>
            <w:vAlign w:val="center"/>
          </w:tcPr>
          <w:p>
            <w:pPr>
              <w:pStyle w:val="Normal"/>
              <w:rPr/>
            </w:pPr>
            <w:r>
              <w:rPr/>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89" w:type="dxa"/>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073"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429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Mr. Rothamel</w:t>
            </w:r>
          </w:p>
        </w:tc>
        <w:tc>
          <w:tcPr>
            <w:tcW w:w="1235" w:type="dxa"/>
            <w:tcBorders/>
            <w:shd w:fill="CCEEFF" w:val="clear"/>
            <w:vAlign w:val="center"/>
          </w:tcPr>
          <w:p>
            <w:pPr>
              <w:pStyle w:val="TableContents"/>
              <w:spacing w:before="0" w:after="0"/>
              <w:ind w:left="0" w:right="0" w:firstLine="30"/>
              <w:jc w:val="right"/>
              <w:rPr>
                <w:rFonts w:ascii="inherit" w:hAnsi="inherit"/>
                <w:sz w:val="15"/>
              </w:rPr>
            </w:pPr>
            <w:r>
              <w:rPr>
                <w:rFonts w:ascii="inherit" w:hAnsi="inherit"/>
                <w:sz w:val="15"/>
              </w:rPr>
              <w:t>10/1/2010</w:t>
            </w:r>
          </w:p>
        </w:tc>
        <w:tc>
          <w:tcPr>
            <w:tcW w:w="150" w:type="dxa"/>
            <w:tcBorders/>
            <w:shd w:fill="CCEEFF" w:val="clear"/>
            <w:vAlign w:val="center"/>
          </w:tcPr>
          <w:p>
            <w:pPr>
              <w:pStyle w:val="TableContents"/>
              <w:spacing w:before="0" w:after="0"/>
              <w:ind w:left="0" w:right="0" w:firstLine="30"/>
              <w:rPr/>
            </w:pPr>
            <w:r>
              <w:rPr/>
              <w:t> </w:t>
            </w:r>
          </w:p>
        </w:tc>
        <w:tc>
          <w:tcPr>
            <w:tcW w:w="1669" w:type="dxa"/>
            <w:tcBorders/>
            <w:shd w:fill="CCEEFF" w:val="clear"/>
            <w:vAlign w:val="center"/>
          </w:tcPr>
          <w:p>
            <w:pPr>
              <w:pStyle w:val="TableContents"/>
              <w:spacing w:before="0" w:after="0"/>
              <w:jc w:val="right"/>
              <w:rPr>
                <w:rFonts w:ascii="inherit" w:hAnsi="inherit"/>
                <w:sz w:val="15"/>
              </w:rPr>
            </w:pPr>
            <w:r>
              <w:rPr>
                <w:rFonts w:ascii="inherit" w:hAnsi="inherit"/>
                <w:sz w:val="15"/>
              </w:rPr>
              <w:t>200,000</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38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(2)</w:t>
            </w:r>
          </w:p>
        </w:tc>
        <w:tc>
          <w:tcPr>
            <w:tcW w:w="150" w:type="dxa"/>
            <w:tcBorders/>
            <w:shd w:fill="CCEEFF" w:val="clear"/>
            <w:vAlign w:val="center"/>
          </w:tcPr>
          <w:p>
            <w:pPr>
              <w:pStyle w:val="TableContents"/>
              <w:spacing w:before="0" w:after="0"/>
              <w:ind w:left="0" w:right="0" w:firstLine="30"/>
              <w:rPr/>
            </w:pPr>
            <w:r>
              <w:rPr/>
              <w:t> </w:t>
            </w:r>
          </w:p>
        </w:tc>
        <w:tc>
          <w:tcPr>
            <w:tcW w:w="16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789" w:type="dxa"/>
            <w:tcBorders/>
            <w:shd w:fill="CCEEFF" w:val="clear"/>
            <w:vAlign w:val="center"/>
          </w:tcPr>
          <w:p>
            <w:pPr>
              <w:pStyle w:val="TableContents"/>
              <w:spacing w:before="0" w:after="0"/>
              <w:jc w:val="right"/>
              <w:rPr>
                <w:rFonts w:ascii="inherit" w:hAnsi="inherit"/>
                <w:sz w:val="15"/>
              </w:rPr>
            </w:pPr>
            <w:r>
              <w:rPr>
                <w:rFonts w:ascii="inherit" w:hAnsi="inherit"/>
                <w:sz w:val="15"/>
              </w:rPr>
              <w:t>3,374,000</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9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Mr. Stamp</w:t>
            </w:r>
          </w:p>
        </w:tc>
        <w:tc>
          <w:tcPr>
            <w:tcW w:w="1235" w:type="dxa"/>
            <w:tcBorders/>
            <w:shd w:fill="auto" w:val="clear"/>
            <w:vAlign w:val="center"/>
          </w:tcPr>
          <w:p>
            <w:pPr>
              <w:pStyle w:val="TableContents"/>
              <w:spacing w:before="0" w:after="0"/>
              <w:ind w:left="0" w:right="0" w:firstLine="30"/>
              <w:jc w:val="right"/>
              <w:rPr/>
            </w:pPr>
            <w:r>
              <w:rPr/>
              <w:t>—</w:t>
            </w:r>
          </w:p>
        </w:tc>
        <w:tc>
          <w:tcPr>
            <w:tcW w:w="150" w:type="dxa"/>
            <w:tcBorders/>
            <w:shd w:fill="auto" w:val="clear"/>
            <w:vAlign w:val="center"/>
          </w:tcPr>
          <w:p>
            <w:pPr>
              <w:pStyle w:val="TableContents"/>
              <w:spacing w:before="0" w:after="0"/>
              <w:ind w:left="0" w:right="0" w:firstLine="30"/>
              <w:rPr/>
            </w:pPr>
            <w:r>
              <w:rPr/>
              <w:t> </w:t>
            </w:r>
          </w:p>
        </w:tc>
        <w:tc>
          <w:tcPr>
            <w:tcW w:w="1669" w:type="dxa"/>
            <w:tcBorders/>
            <w:shd w:fill="auto" w:val="clear"/>
            <w:vAlign w:val="center"/>
          </w:tcPr>
          <w:p>
            <w:pPr>
              <w:pStyle w:val="TableContents"/>
              <w:spacing w:before="0" w:after="0"/>
              <w:jc w:val="right"/>
              <w:rPr/>
            </w:pPr>
            <w:r>
              <w:rPr/>
              <w:t>—</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389"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1957" w:type="dxa"/>
            <w:gridSpan w:val="2"/>
            <w:tcBorders/>
            <w:shd w:fill="auto" w:val="clear"/>
            <w:vAlign w:val="center"/>
          </w:tcPr>
          <w:p>
            <w:pPr>
              <w:pStyle w:val="TableContents"/>
              <w:spacing w:before="0" w:after="0"/>
              <w:jc w:val="right"/>
              <w:rPr/>
            </w:pPr>
            <w:r>
              <w:rPr/>
              <w:t>—</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9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Mr. Kuchenrither</w:t>
            </w:r>
          </w:p>
        </w:tc>
        <w:tc>
          <w:tcPr>
            <w:tcW w:w="1235" w:type="dxa"/>
            <w:tcBorders/>
            <w:shd w:fill="CCEEFF" w:val="clear"/>
            <w:vAlign w:val="center"/>
          </w:tcPr>
          <w:p>
            <w:pPr>
              <w:pStyle w:val="TableContents"/>
              <w:spacing w:before="0" w:after="0"/>
              <w:ind w:left="0" w:right="0" w:firstLine="30"/>
              <w:jc w:val="right"/>
              <w:rPr>
                <w:rFonts w:ascii="inherit" w:hAnsi="inherit"/>
                <w:sz w:val="15"/>
              </w:rPr>
            </w:pPr>
            <w:r>
              <w:rPr>
                <w:rFonts w:ascii="inherit" w:hAnsi="inherit"/>
                <w:sz w:val="15"/>
              </w:rPr>
              <w:t>10/1/2010</w:t>
            </w:r>
          </w:p>
        </w:tc>
        <w:tc>
          <w:tcPr>
            <w:tcW w:w="150" w:type="dxa"/>
            <w:tcBorders/>
            <w:shd w:fill="CCEEFF" w:val="clear"/>
            <w:vAlign w:val="center"/>
          </w:tcPr>
          <w:p>
            <w:pPr>
              <w:pStyle w:val="TableContents"/>
              <w:spacing w:before="0" w:after="0"/>
              <w:ind w:left="0" w:right="0" w:firstLine="30"/>
              <w:rPr/>
            </w:pPr>
            <w:r>
              <w:rPr/>
              <w:t> </w:t>
            </w:r>
          </w:p>
        </w:tc>
        <w:tc>
          <w:tcPr>
            <w:tcW w:w="1669" w:type="dxa"/>
            <w:tcBorders/>
            <w:shd w:fill="CCEEFF" w:val="clear"/>
            <w:vAlign w:val="center"/>
          </w:tcPr>
          <w:p>
            <w:pPr>
              <w:pStyle w:val="TableContents"/>
              <w:spacing w:before="0" w:after="0"/>
              <w:jc w:val="right"/>
              <w:rPr>
                <w:rFonts w:ascii="inherit" w:hAnsi="inherit"/>
                <w:sz w:val="15"/>
              </w:rPr>
            </w:pPr>
            <w:r>
              <w:rPr>
                <w:rFonts w:ascii="inherit" w:hAnsi="inherit"/>
                <w:sz w:val="15"/>
              </w:rPr>
              <w:t>3,333</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38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(3)</w:t>
            </w:r>
          </w:p>
        </w:tc>
        <w:tc>
          <w:tcPr>
            <w:tcW w:w="150" w:type="dxa"/>
            <w:tcBorders/>
            <w:shd w:fill="CCEEFF" w:val="clear"/>
            <w:vAlign w:val="center"/>
          </w:tcPr>
          <w:p>
            <w:pPr>
              <w:pStyle w:val="TableContents"/>
              <w:spacing w:before="0" w:after="0"/>
              <w:ind w:left="0" w:right="0" w:firstLine="30"/>
              <w:rPr/>
            </w:pPr>
            <w:r>
              <w:rPr/>
              <w:t> </w:t>
            </w:r>
          </w:p>
        </w:tc>
        <w:tc>
          <w:tcPr>
            <w:tcW w:w="195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56,228</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92" w:type="dxa"/>
            <w:tcBorders/>
            <w:shd w:fill="CCEEFF" w:val="clear"/>
            <w:vAlign w:val="center"/>
          </w:tcPr>
          <w:p>
            <w:pPr>
              <w:pStyle w:val="TableContents"/>
              <w:spacing w:before="0" w:after="0"/>
              <w:ind w:left="0" w:right="0" w:firstLine="30"/>
              <w:jc w:val="left"/>
              <w:rPr/>
            </w:pPr>
            <w:r>
              <w:rPr/>
              <w:t> </w:t>
            </w:r>
          </w:p>
        </w:tc>
        <w:tc>
          <w:tcPr>
            <w:tcW w:w="1235" w:type="dxa"/>
            <w:tcBorders/>
            <w:shd w:fill="CCEEFF" w:val="clear"/>
            <w:vAlign w:val="center"/>
          </w:tcPr>
          <w:p>
            <w:pPr>
              <w:pStyle w:val="TableContents"/>
              <w:spacing w:before="0" w:after="0"/>
              <w:ind w:left="0" w:right="0" w:firstLine="30"/>
              <w:jc w:val="right"/>
              <w:rPr>
                <w:rFonts w:ascii="inherit" w:hAnsi="inherit"/>
                <w:sz w:val="15"/>
              </w:rPr>
            </w:pPr>
            <w:r>
              <w:rPr>
                <w:rFonts w:ascii="inherit" w:hAnsi="inherit"/>
                <w:sz w:val="15"/>
              </w:rPr>
              <w:t>10/3/2011</w:t>
            </w:r>
          </w:p>
        </w:tc>
        <w:tc>
          <w:tcPr>
            <w:tcW w:w="150" w:type="dxa"/>
            <w:tcBorders/>
            <w:shd w:fill="CCEEFF" w:val="clear"/>
            <w:vAlign w:val="center"/>
          </w:tcPr>
          <w:p>
            <w:pPr>
              <w:pStyle w:val="TableContents"/>
              <w:spacing w:before="0" w:after="0"/>
              <w:ind w:left="0" w:right="0" w:firstLine="30"/>
              <w:rPr/>
            </w:pPr>
            <w:r>
              <w:rPr/>
              <w:t> </w:t>
            </w:r>
          </w:p>
        </w:tc>
        <w:tc>
          <w:tcPr>
            <w:tcW w:w="1669" w:type="dxa"/>
            <w:tcBorders/>
            <w:shd w:fill="CCEEFF" w:val="clear"/>
            <w:vAlign w:val="center"/>
          </w:tcPr>
          <w:p>
            <w:pPr>
              <w:pStyle w:val="TableContents"/>
              <w:spacing w:before="0" w:after="0"/>
              <w:jc w:val="right"/>
              <w:rPr>
                <w:rFonts w:ascii="inherit" w:hAnsi="inherit"/>
                <w:sz w:val="15"/>
              </w:rPr>
            </w:pPr>
            <w:r>
              <w:rPr>
                <w:rFonts w:ascii="inherit" w:hAnsi="inherit"/>
                <w:sz w:val="15"/>
              </w:rPr>
              <w:t>22,133</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38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(3)</w:t>
            </w:r>
          </w:p>
        </w:tc>
        <w:tc>
          <w:tcPr>
            <w:tcW w:w="150" w:type="dxa"/>
            <w:tcBorders/>
            <w:shd w:fill="CCEEFF" w:val="clear"/>
            <w:vAlign w:val="center"/>
          </w:tcPr>
          <w:p>
            <w:pPr>
              <w:pStyle w:val="TableContents"/>
              <w:spacing w:before="0" w:after="0"/>
              <w:ind w:left="0" w:right="0" w:firstLine="30"/>
              <w:rPr/>
            </w:pPr>
            <w:r>
              <w:rPr/>
              <w:t> </w:t>
            </w:r>
          </w:p>
        </w:tc>
        <w:tc>
          <w:tcPr>
            <w:tcW w:w="195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373,384</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92" w:type="dxa"/>
            <w:tcBorders/>
            <w:shd w:fill="CCEEFF" w:val="clear"/>
            <w:vAlign w:val="center"/>
          </w:tcPr>
          <w:p>
            <w:pPr>
              <w:pStyle w:val="TableContents"/>
              <w:spacing w:before="0" w:after="0"/>
              <w:ind w:left="0" w:right="0" w:firstLine="30"/>
              <w:rPr/>
            </w:pPr>
            <w:r>
              <w:rPr/>
              <w:t> </w:t>
            </w:r>
          </w:p>
        </w:tc>
        <w:tc>
          <w:tcPr>
            <w:tcW w:w="1235" w:type="dxa"/>
            <w:tcBorders/>
            <w:shd w:fill="CCEEFF" w:val="clear"/>
            <w:vAlign w:val="center"/>
          </w:tcPr>
          <w:p>
            <w:pPr>
              <w:pStyle w:val="TableContents"/>
              <w:spacing w:before="0" w:after="0"/>
              <w:ind w:left="0" w:right="0" w:firstLine="30"/>
              <w:jc w:val="right"/>
              <w:rPr>
                <w:rFonts w:ascii="inherit" w:hAnsi="inherit"/>
                <w:sz w:val="15"/>
              </w:rPr>
            </w:pPr>
            <w:r>
              <w:rPr>
                <w:rFonts w:ascii="inherit" w:hAnsi="inherit"/>
                <w:sz w:val="15"/>
              </w:rPr>
              <w:t>1/2/2013</w:t>
            </w:r>
          </w:p>
        </w:tc>
        <w:tc>
          <w:tcPr>
            <w:tcW w:w="150" w:type="dxa"/>
            <w:tcBorders/>
            <w:shd w:fill="CCEEFF" w:val="clear"/>
            <w:vAlign w:val="center"/>
          </w:tcPr>
          <w:p>
            <w:pPr>
              <w:pStyle w:val="TableContents"/>
              <w:spacing w:before="0" w:after="0"/>
              <w:ind w:left="0" w:right="0" w:firstLine="30"/>
              <w:rPr/>
            </w:pPr>
            <w:r>
              <w:rPr/>
              <w:t> </w:t>
            </w:r>
          </w:p>
        </w:tc>
        <w:tc>
          <w:tcPr>
            <w:tcW w:w="1669" w:type="dxa"/>
            <w:tcBorders/>
            <w:shd w:fill="CCEEFF" w:val="clear"/>
            <w:vAlign w:val="center"/>
          </w:tcPr>
          <w:p>
            <w:pPr>
              <w:pStyle w:val="TableContents"/>
              <w:spacing w:before="0" w:after="0"/>
              <w:jc w:val="right"/>
              <w:rPr>
                <w:rFonts w:ascii="inherit" w:hAnsi="inherit"/>
                <w:sz w:val="15"/>
              </w:rPr>
            </w:pPr>
            <w:r>
              <w:rPr>
                <w:rFonts w:ascii="inherit" w:hAnsi="inherit"/>
                <w:sz w:val="15"/>
              </w:rPr>
              <w:t>200,000</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38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(4)</w:t>
            </w:r>
          </w:p>
        </w:tc>
        <w:tc>
          <w:tcPr>
            <w:tcW w:w="150" w:type="dxa"/>
            <w:tcBorders/>
            <w:shd w:fill="CCEEFF" w:val="clear"/>
            <w:vAlign w:val="center"/>
          </w:tcPr>
          <w:p>
            <w:pPr>
              <w:pStyle w:val="TableContents"/>
              <w:spacing w:before="0" w:after="0"/>
              <w:ind w:left="0" w:right="0" w:firstLine="30"/>
              <w:rPr/>
            </w:pPr>
            <w:r>
              <w:rPr/>
              <w:t> </w:t>
            </w:r>
          </w:p>
        </w:tc>
        <w:tc>
          <w:tcPr>
            <w:tcW w:w="195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3,374,000</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9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Mr. Brinkley</w:t>
            </w:r>
          </w:p>
        </w:tc>
        <w:tc>
          <w:tcPr>
            <w:tcW w:w="1235" w:type="dxa"/>
            <w:tcBorders/>
            <w:shd w:fill="auto" w:val="clear"/>
            <w:vAlign w:val="center"/>
          </w:tcPr>
          <w:p>
            <w:pPr>
              <w:pStyle w:val="TableContents"/>
              <w:spacing w:before="0" w:after="0"/>
              <w:ind w:left="0" w:right="0" w:firstLine="30"/>
              <w:jc w:val="right"/>
              <w:rPr>
                <w:rFonts w:ascii="inherit" w:hAnsi="inherit"/>
                <w:sz w:val="15"/>
              </w:rPr>
            </w:pPr>
            <w:r>
              <w:rPr>
                <w:rFonts w:ascii="inherit" w:hAnsi="inherit"/>
                <w:sz w:val="15"/>
              </w:rPr>
              <w:t>10/2/2006</w:t>
            </w:r>
          </w:p>
        </w:tc>
        <w:tc>
          <w:tcPr>
            <w:tcW w:w="150" w:type="dxa"/>
            <w:tcBorders/>
            <w:shd w:fill="auto" w:val="clear"/>
            <w:vAlign w:val="center"/>
          </w:tcPr>
          <w:p>
            <w:pPr>
              <w:pStyle w:val="TableContents"/>
              <w:spacing w:before="0" w:after="0"/>
              <w:ind w:left="0" w:right="0" w:firstLine="30"/>
              <w:rPr/>
            </w:pPr>
            <w:r>
              <w:rPr/>
              <w:t> </w:t>
            </w:r>
          </w:p>
        </w:tc>
        <w:tc>
          <w:tcPr>
            <w:tcW w:w="1669" w:type="dxa"/>
            <w:tcBorders/>
            <w:shd w:fill="auto" w:val="clear"/>
            <w:vAlign w:val="center"/>
          </w:tcPr>
          <w:p>
            <w:pPr>
              <w:pStyle w:val="TableContents"/>
              <w:spacing w:before="0" w:after="0"/>
              <w:jc w:val="right"/>
              <w:rPr>
                <w:rFonts w:ascii="inherit" w:hAnsi="inherit"/>
                <w:sz w:val="15"/>
              </w:rPr>
            </w:pPr>
            <w:r>
              <w:rPr>
                <w:rFonts w:ascii="inherit" w:hAnsi="inherit"/>
                <w:sz w:val="15"/>
              </w:rPr>
              <w:t>270,000</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38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(5)</w:t>
            </w:r>
          </w:p>
        </w:tc>
        <w:tc>
          <w:tcPr>
            <w:tcW w:w="150" w:type="dxa"/>
            <w:tcBorders/>
            <w:shd w:fill="auto" w:val="clear"/>
            <w:vAlign w:val="center"/>
          </w:tcPr>
          <w:p>
            <w:pPr>
              <w:pStyle w:val="TableContents"/>
              <w:spacing w:before="0" w:after="0"/>
              <w:ind w:left="0" w:right="0" w:firstLine="30"/>
              <w:rPr/>
            </w:pPr>
            <w:r>
              <w:rPr/>
              <w:t> </w:t>
            </w:r>
          </w:p>
        </w:tc>
        <w:tc>
          <w:tcPr>
            <w:tcW w:w="195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4,554,900</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92" w:type="dxa"/>
            <w:tcBorders/>
            <w:shd w:fill="auto" w:val="clear"/>
            <w:vAlign w:val="center"/>
          </w:tcPr>
          <w:p>
            <w:pPr>
              <w:pStyle w:val="TableContents"/>
              <w:spacing w:before="0" w:after="0"/>
              <w:ind w:left="0" w:right="0" w:firstLine="30"/>
              <w:jc w:val="left"/>
              <w:rPr/>
            </w:pPr>
            <w:r>
              <w:rPr/>
              <w:t> </w:t>
            </w:r>
          </w:p>
        </w:tc>
        <w:tc>
          <w:tcPr>
            <w:tcW w:w="1235" w:type="dxa"/>
            <w:tcBorders/>
            <w:shd w:fill="auto" w:val="clear"/>
            <w:vAlign w:val="center"/>
          </w:tcPr>
          <w:p>
            <w:pPr>
              <w:pStyle w:val="TableContents"/>
              <w:spacing w:before="0" w:after="0"/>
              <w:ind w:left="0" w:right="0" w:firstLine="30"/>
              <w:jc w:val="right"/>
              <w:rPr>
                <w:rFonts w:ascii="inherit" w:hAnsi="inherit"/>
                <w:sz w:val="15"/>
              </w:rPr>
            </w:pPr>
            <w:r>
              <w:rPr>
                <w:rFonts w:ascii="inherit" w:hAnsi="inherit"/>
                <w:sz w:val="15"/>
              </w:rPr>
              <w:t>10/1/2010</w:t>
            </w:r>
          </w:p>
        </w:tc>
        <w:tc>
          <w:tcPr>
            <w:tcW w:w="150" w:type="dxa"/>
            <w:tcBorders/>
            <w:shd w:fill="auto" w:val="clear"/>
            <w:vAlign w:val="center"/>
          </w:tcPr>
          <w:p>
            <w:pPr>
              <w:pStyle w:val="TableContents"/>
              <w:spacing w:before="0" w:after="0"/>
              <w:ind w:left="0" w:right="0" w:firstLine="30"/>
              <w:rPr/>
            </w:pPr>
            <w:r>
              <w:rPr/>
              <w:t> </w:t>
            </w:r>
          </w:p>
        </w:tc>
        <w:tc>
          <w:tcPr>
            <w:tcW w:w="1669" w:type="dxa"/>
            <w:tcBorders/>
            <w:shd w:fill="auto" w:val="clear"/>
            <w:vAlign w:val="center"/>
          </w:tcPr>
          <w:p>
            <w:pPr>
              <w:pStyle w:val="TableContents"/>
              <w:spacing w:before="0" w:after="0"/>
              <w:jc w:val="right"/>
              <w:rPr>
                <w:rFonts w:ascii="inherit" w:hAnsi="inherit"/>
                <w:sz w:val="15"/>
              </w:rPr>
            </w:pPr>
            <w:r>
              <w:rPr>
                <w:rFonts w:ascii="inherit" w:hAnsi="inherit"/>
                <w:sz w:val="15"/>
              </w:rPr>
              <w:t>200,000</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38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(2)</w:t>
            </w:r>
          </w:p>
        </w:tc>
        <w:tc>
          <w:tcPr>
            <w:tcW w:w="150" w:type="dxa"/>
            <w:tcBorders/>
            <w:shd w:fill="auto" w:val="clear"/>
            <w:vAlign w:val="center"/>
          </w:tcPr>
          <w:p>
            <w:pPr>
              <w:pStyle w:val="TableContents"/>
              <w:spacing w:before="0" w:after="0"/>
              <w:ind w:left="0" w:right="0" w:firstLine="30"/>
              <w:rPr/>
            </w:pPr>
            <w:r>
              <w:rPr/>
              <w:t> </w:t>
            </w:r>
          </w:p>
        </w:tc>
        <w:tc>
          <w:tcPr>
            <w:tcW w:w="195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3,374,000</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9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Mr. Guest</w:t>
            </w:r>
          </w:p>
        </w:tc>
        <w:tc>
          <w:tcPr>
            <w:tcW w:w="1235" w:type="dxa"/>
            <w:tcBorders/>
            <w:shd w:fill="CCEEFF" w:val="clear"/>
            <w:vAlign w:val="center"/>
          </w:tcPr>
          <w:p>
            <w:pPr>
              <w:pStyle w:val="TableContents"/>
              <w:spacing w:before="0" w:after="0"/>
              <w:ind w:left="0" w:right="0" w:firstLine="30"/>
              <w:jc w:val="right"/>
              <w:rPr>
                <w:rFonts w:ascii="inherit" w:hAnsi="inherit"/>
                <w:sz w:val="15"/>
              </w:rPr>
            </w:pPr>
            <w:r>
              <w:rPr>
                <w:rFonts w:ascii="inherit" w:hAnsi="inherit"/>
                <w:sz w:val="15"/>
              </w:rPr>
              <w:t>8/1/2011</w:t>
            </w:r>
          </w:p>
        </w:tc>
        <w:tc>
          <w:tcPr>
            <w:tcW w:w="150" w:type="dxa"/>
            <w:tcBorders/>
            <w:shd w:fill="CCEEFF" w:val="clear"/>
            <w:vAlign w:val="center"/>
          </w:tcPr>
          <w:p>
            <w:pPr>
              <w:pStyle w:val="TableContents"/>
              <w:spacing w:before="0" w:after="0"/>
              <w:ind w:left="0" w:right="0" w:firstLine="30"/>
              <w:rPr/>
            </w:pPr>
            <w:r>
              <w:rPr/>
              <w:t> </w:t>
            </w:r>
          </w:p>
        </w:tc>
        <w:tc>
          <w:tcPr>
            <w:tcW w:w="1669" w:type="dxa"/>
            <w:tcBorders/>
            <w:shd w:fill="CCEEFF" w:val="clear"/>
            <w:vAlign w:val="center"/>
          </w:tcPr>
          <w:p>
            <w:pPr>
              <w:pStyle w:val="TableContents"/>
              <w:spacing w:before="0" w:after="0"/>
              <w:jc w:val="right"/>
              <w:rPr>
                <w:rFonts w:ascii="inherit" w:hAnsi="inherit"/>
                <w:sz w:val="15"/>
              </w:rPr>
            </w:pPr>
            <w:r>
              <w:rPr>
                <w:rFonts w:ascii="inherit" w:hAnsi="inherit"/>
                <w:sz w:val="15"/>
              </w:rPr>
              <w:t>3,333</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38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(6)</w:t>
            </w:r>
          </w:p>
        </w:tc>
        <w:tc>
          <w:tcPr>
            <w:tcW w:w="150" w:type="dxa"/>
            <w:tcBorders/>
            <w:shd w:fill="CCEEFF" w:val="clear"/>
            <w:vAlign w:val="center"/>
          </w:tcPr>
          <w:p>
            <w:pPr>
              <w:pStyle w:val="TableContents"/>
              <w:spacing w:before="0" w:after="0"/>
              <w:ind w:left="0" w:right="0" w:firstLine="30"/>
              <w:rPr/>
            </w:pPr>
            <w:r>
              <w:rPr/>
              <w:t> </w:t>
            </w:r>
          </w:p>
        </w:tc>
        <w:tc>
          <w:tcPr>
            <w:tcW w:w="195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56,228</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92" w:type="dxa"/>
            <w:tcBorders/>
            <w:shd w:fill="CCEEFF" w:val="clear"/>
            <w:vAlign w:val="center"/>
          </w:tcPr>
          <w:p>
            <w:pPr>
              <w:pStyle w:val="TableContents"/>
              <w:spacing w:before="0" w:after="0"/>
              <w:ind w:left="0" w:right="0" w:firstLine="30"/>
              <w:rPr/>
            </w:pPr>
            <w:r>
              <w:rPr/>
              <w:t> </w:t>
            </w:r>
          </w:p>
        </w:tc>
        <w:tc>
          <w:tcPr>
            <w:tcW w:w="1235" w:type="dxa"/>
            <w:tcBorders/>
            <w:shd w:fill="CCEEFF" w:val="clear"/>
            <w:vAlign w:val="center"/>
          </w:tcPr>
          <w:p>
            <w:pPr>
              <w:pStyle w:val="TableContents"/>
              <w:spacing w:before="0" w:after="0"/>
              <w:ind w:left="0" w:right="0" w:firstLine="30"/>
              <w:jc w:val="right"/>
              <w:rPr>
                <w:rFonts w:ascii="inherit" w:hAnsi="inherit"/>
                <w:sz w:val="15"/>
              </w:rPr>
            </w:pPr>
            <w:r>
              <w:rPr>
                <w:rFonts w:ascii="inherit" w:hAnsi="inherit"/>
                <w:sz w:val="15"/>
              </w:rPr>
              <w:t>10/3/2011</w:t>
            </w:r>
          </w:p>
        </w:tc>
        <w:tc>
          <w:tcPr>
            <w:tcW w:w="150" w:type="dxa"/>
            <w:tcBorders/>
            <w:shd w:fill="CCEEFF" w:val="clear"/>
            <w:vAlign w:val="center"/>
          </w:tcPr>
          <w:p>
            <w:pPr>
              <w:pStyle w:val="TableContents"/>
              <w:spacing w:before="0" w:after="0"/>
              <w:ind w:left="0" w:right="0" w:firstLine="30"/>
              <w:rPr/>
            </w:pPr>
            <w:r>
              <w:rPr/>
              <w:t> </w:t>
            </w:r>
          </w:p>
        </w:tc>
        <w:tc>
          <w:tcPr>
            <w:tcW w:w="1669" w:type="dxa"/>
            <w:tcBorders/>
            <w:shd w:fill="CCEEFF" w:val="clear"/>
            <w:vAlign w:val="center"/>
          </w:tcPr>
          <w:p>
            <w:pPr>
              <w:pStyle w:val="TableContents"/>
              <w:spacing w:before="0" w:after="0"/>
              <w:jc w:val="right"/>
              <w:rPr>
                <w:rFonts w:ascii="inherit" w:hAnsi="inherit"/>
                <w:sz w:val="15"/>
              </w:rPr>
            </w:pPr>
            <w:r>
              <w:rPr>
                <w:rFonts w:ascii="inherit" w:hAnsi="inherit"/>
                <w:sz w:val="15"/>
              </w:rPr>
              <w:t>9,800</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38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(7)</w:t>
            </w:r>
          </w:p>
        </w:tc>
        <w:tc>
          <w:tcPr>
            <w:tcW w:w="150" w:type="dxa"/>
            <w:tcBorders/>
            <w:shd w:fill="CCEEFF" w:val="clear"/>
            <w:vAlign w:val="center"/>
          </w:tcPr>
          <w:p>
            <w:pPr>
              <w:pStyle w:val="TableContents"/>
              <w:spacing w:before="0" w:after="0"/>
              <w:ind w:left="0" w:right="0" w:firstLine="30"/>
              <w:rPr/>
            </w:pPr>
            <w:r>
              <w:rPr/>
              <w:t> </w:t>
            </w:r>
          </w:p>
        </w:tc>
        <w:tc>
          <w:tcPr>
            <w:tcW w:w="195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165,326</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92" w:type="dxa"/>
            <w:tcBorders/>
            <w:shd w:fill="CCEEFF" w:val="clear"/>
            <w:vAlign w:val="center"/>
          </w:tcPr>
          <w:p>
            <w:pPr>
              <w:pStyle w:val="TableContents"/>
              <w:spacing w:before="0" w:after="0"/>
              <w:ind w:left="0" w:right="0" w:firstLine="30"/>
              <w:jc w:val="left"/>
              <w:rPr/>
            </w:pPr>
            <w:r>
              <w:rPr/>
              <w:t> </w:t>
            </w:r>
          </w:p>
        </w:tc>
        <w:tc>
          <w:tcPr>
            <w:tcW w:w="1235" w:type="dxa"/>
            <w:tcBorders/>
            <w:shd w:fill="CCEEFF" w:val="clear"/>
            <w:vAlign w:val="center"/>
          </w:tcPr>
          <w:p>
            <w:pPr>
              <w:pStyle w:val="TableContents"/>
              <w:spacing w:before="0" w:after="0"/>
              <w:ind w:left="0" w:right="0" w:firstLine="30"/>
              <w:jc w:val="right"/>
              <w:rPr>
                <w:rFonts w:ascii="inherit" w:hAnsi="inherit"/>
                <w:sz w:val="15"/>
              </w:rPr>
            </w:pPr>
            <w:r>
              <w:rPr>
                <w:rFonts w:ascii="inherit" w:hAnsi="inherit"/>
                <w:sz w:val="15"/>
              </w:rPr>
              <w:t>1/2/2013</w:t>
            </w:r>
          </w:p>
        </w:tc>
        <w:tc>
          <w:tcPr>
            <w:tcW w:w="150" w:type="dxa"/>
            <w:tcBorders/>
            <w:shd w:fill="CCEEFF" w:val="clear"/>
            <w:vAlign w:val="center"/>
          </w:tcPr>
          <w:p>
            <w:pPr>
              <w:pStyle w:val="TableContents"/>
              <w:spacing w:before="0" w:after="0"/>
              <w:ind w:left="0" w:right="0" w:firstLine="30"/>
              <w:rPr/>
            </w:pPr>
            <w:r>
              <w:rPr/>
              <w:t> </w:t>
            </w:r>
          </w:p>
        </w:tc>
        <w:tc>
          <w:tcPr>
            <w:tcW w:w="1669" w:type="dxa"/>
            <w:tcBorders/>
            <w:shd w:fill="CCEEFF" w:val="clear"/>
            <w:vAlign w:val="center"/>
          </w:tcPr>
          <w:p>
            <w:pPr>
              <w:pStyle w:val="TableContents"/>
              <w:spacing w:before="0" w:after="0"/>
              <w:jc w:val="right"/>
              <w:rPr>
                <w:rFonts w:ascii="inherit" w:hAnsi="inherit"/>
                <w:sz w:val="15"/>
              </w:rPr>
            </w:pPr>
            <w:r>
              <w:rPr>
                <w:rFonts w:ascii="inherit" w:hAnsi="inherit"/>
                <w:sz w:val="15"/>
              </w:rPr>
              <w:t>23,000</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38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(8)</w:t>
            </w:r>
          </w:p>
        </w:tc>
        <w:tc>
          <w:tcPr>
            <w:tcW w:w="150" w:type="dxa"/>
            <w:tcBorders/>
            <w:shd w:fill="CCEEFF" w:val="clear"/>
            <w:vAlign w:val="center"/>
          </w:tcPr>
          <w:p>
            <w:pPr>
              <w:pStyle w:val="TableContents"/>
              <w:spacing w:before="0" w:after="0"/>
              <w:ind w:left="0" w:right="0" w:firstLine="30"/>
              <w:rPr/>
            </w:pPr>
            <w:r>
              <w:rPr/>
              <w:t> </w:t>
            </w:r>
          </w:p>
        </w:tc>
        <w:tc>
          <w:tcPr>
            <w:tcW w:w="195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388,010</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9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Mr. Welch</w:t>
            </w:r>
          </w:p>
        </w:tc>
        <w:tc>
          <w:tcPr>
            <w:tcW w:w="1235" w:type="dxa"/>
            <w:tcBorders/>
            <w:shd w:fill="auto" w:val="clear"/>
            <w:vAlign w:val="center"/>
          </w:tcPr>
          <w:p>
            <w:pPr>
              <w:pStyle w:val="TableContents"/>
              <w:spacing w:before="0" w:after="0"/>
              <w:ind w:left="0" w:right="0" w:firstLine="30"/>
              <w:jc w:val="right"/>
              <w:rPr>
                <w:rFonts w:ascii="inherit" w:hAnsi="inherit"/>
                <w:sz w:val="15"/>
              </w:rPr>
            </w:pPr>
            <w:r>
              <w:rPr>
                <w:rFonts w:ascii="inherit" w:hAnsi="inherit"/>
                <w:sz w:val="15"/>
              </w:rPr>
              <w:t>10/1/2010</w:t>
            </w:r>
          </w:p>
        </w:tc>
        <w:tc>
          <w:tcPr>
            <w:tcW w:w="150" w:type="dxa"/>
            <w:tcBorders/>
            <w:shd w:fill="auto" w:val="clear"/>
            <w:vAlign w:val="center"/>
          </w:tcPr>
          <w:p>
            <w:pPr>
              <w:pStyle w:val="TableContents"/>
              <w:spacing w:before="0" w:after="0"/>
              <w:ind w:left="0" w:right="0" w:firstLine="30"/>
              <w:rPr/>
            </w:pPr>
            <w:r>
              <w:rPr/>
              <w:t> </w:t>
            </w:r>
          </w:p>
        </w:tc>
        <w:tc>
          <w:tcPr>
            <w:tcW w:w="1669" w:type="dxa"/>
            <w:tcBorders/>
            <w:shd w:fill="auto" w:val="clear"/>
            <w:vAlign w:val="center"/>
          </w:tcPr>
          <w:p>
            <w:pPr>
              <w:pStyle w:val="TableContents"/>
              <w:spacing w:before="0" w:after="0"/>
              <w:jc w:val="right"/>
              <w:rPr>
                <w:rFonts w:ascii="inherit" w:hAnsi="inherit"/>
                <w:sz w:val="15"/>
              </w:rPr>
            </w:pPr>
            <w:r>
              <w:rPr>
                <w:rFonts w:ascii="inherit" w:hAnsi="inherit"/>
                <w:sz w:val="15"/>
              </w:rPr>
              <w:t>3,333</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38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(9)</w:t>
            </w:r>
          </w:p>
        </w:tc>
        <w:tc>
          <w:tcPr>
            <w:tcW w:w="150" w:type="dxa"/>
            <w:tcBorders/>
            <w:shd w:fill="auto" w:val="clear"/>
            <w:vAlign w:val="center"/>
          </w:tcPr>
          <w:p>
            <w:pPr>
              <w:pStyle w:val="TableContents"/>
              <w:spacing w:before="0" w:after="0"/>
              <w:ind w:left="0" w:right="0" w:firstLine="30"/>
              <w:rPr/>
            </w:pPr>
            <w:r>
              <w:rPr/>
              <w:t> </w:t>
            </w:r>
          </w:p>
        </w:tc>
        <w:tc>
          <w:tcPr>
            <w:tcW w:w="195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56,228</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92" w:type="dxa"/>
            <w:tcBorders/>
            <w:shd w:fill="auto" w:val="clear"/>
            <w:vAlign w:val="center"/>
          </w:tcPr>
          <w:p>
            <w:pPr>
              <w:pStyle w:val="TableContents"/>
              <w:spacing w:before="0" w:after="0"/>
              <w:ind w:left="0" w:right="0" w:firstLine="30"/>
              <w:jc w:val="left"/>
              <w:rPr/>
            </w:pPr>
            <w:r>
              <w:rPr/>
              <w:t> </w:t>
            </w:r>
          </w:p>
        </w:tc>
        <w:tc>
          <w:tcPr>
            <w:tcW w:w="1235" w:type="dxa"/>
            <w:tcBorders/>
            <w:shd w:fill="auto" w:val="clear"/>
            <w:vAlign w:val="center"/>
          </w:tcPr>
          <w:p>
            <w:pPr>
              <w:pStyle w:val="TableContents"/>
              <w:spacing w:before="0" w:after="0"/>
              <w:ind w:left="0" w:right="0" w:firstLine="30"/>
              <w:jc w:val="right"/>
              <w:rPr>
                <w:rFonts w:ascii="inherit" w:hAnsi="inherit"/>
                <w:sz w:val="15"/>
              </w:rPr>
            </w:pPr>
            <w:r>
              <w:rPr>
                <w:rFonts w:ascii="inherit" w:hAnsi="inherit"/>
                <w:sz w:val="15"/>
              </w:rPr>
              <w:t>10/3/2011</w:t>
            </w:r>
          </w:p>
        </w:tc>
        <w:tc>
          <w:tcPr>
            <w:tcW w:w="150" w:type="dxa"/>
            <w:tcBorders/>
            <w:shd w:fill="auto" w:val="clear"/>
            <w:vAlign w:val="center"/>
          </w:tcPr>
          <w:p>
            <w:pPr>
              <w:pStyle w:val="TableContents"/>
              <w:spacing w:before="0" w:after="0"/>
              <w:ind w:left="0" w:right="0" w:firstLine="30"/>
              <w:rPr/>
            </w:pPr>
            <w:r>
              <w:rPr/>
              <w:t> </w:t>
            </w:r>
          </w:p>
        </w:tc>
        <w:tc>
          <w:tcPr>
            <w:tcW w:w="1669" w:type="dxa"/>
            <w:tcBorders/>
            <w:shd w:fill="auto" w:val="clear"/>
            <w:vAlign w:val="center"/>
          </w:tcPr>
          <w:p>
            <w:pPr>
              <w:pStyle w:val="TableContents"/>
              <w:spacing w:before="0" w:after="0"/>
              <w:jc w:val="right"/>
              <w:rPr>
                <w:rFonts w:ascii="inherit" w:hAnsi="inherit"/>
                <w:sz w:val="15"/>
              </w:rPr>
            </w:pPr>
            <w:r>
              <w:rPr>
                <w:rFonts w:ascii="inherit" w:hAnsi="inherit"/>
                <w:sz w:val="15"/>
              </w:rPr>
              <w:t>6,133</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38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(9)</w:t>
            </w:r>
          </w:p>
        </w:tc>
        <w:tc>
          <w:tcPr>
            <w:tcW w:w="150" w:type="dxa"/>
            <w:tcBorders/>
            <w:shd w:fill="auto" w:val="clear"/>
            <w:vAlign w:val="center"/>
          </w:tcPr>
          <w:p>
            <w:pPr>
              <w:pStyle w:val="TableContents"/>
              <w:spacing w:before="0" w:after="0"/>
              <w:ind w:left="0" w:right="0" w:firstLine="30"/>
              <w:rPr/>
            </w:pPr>
            <w:r>
              <w:rPr/>
              <w:t> </w:t>
            </w:r>
          </w:p>
        </w:tc>
        <w:tc>
          <w:tcPr>
            <w:tcW w:w="195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103,464</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292"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1235"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5"/>
              </w:rPr>
            </w:pPr>
            <w:r>
              <w:rPr>
                <w:rFonts w:ascii="inherit" w:hAnsi="inherit"/>
                <w:sz w:val="15"/>
              </w:rPr>
              <w:t>1/2/2013</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669"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16,000</w:t>
            </w:r>
          </w:p>
        </w:tc>
        <w:tc>
          <w:tcPr>
            <w:tcW w:w="9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89"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(8)</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95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269,920</w:t>
            </w:r>
          </w:p>
        </w:tc>
        <w:tc>
          <w:tcPr>
            <w:tcW w:w="116" w:type="dxa"/>
            <w:tcBorders>
              <w:bottom w:val="single" w:sz="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229"/>
        <w:gridCol w:w="9976"/>
      </w:tblGrid>
      <w:tr>
        <w:trPr/>
        <w:tc>
          <w:tcPr>
            <w:tcW w:w="229" w:type="dxa"/>
            <w:tcBorders/>
            <w:shd w:fill="auto" w:val="clear"/>
            <w:vAlign w:val="center"/>
          </w:tcPr>
          <w:p>
            <w:pPr>
              <w:pStyle w:val="TableContents"/>
              <w:spacing w:before="0" w:after="283"/>
              <w:rPr>
                <w:sz w:val="4"/>
                <w:szCs w:val="4"/>
              </w:rPr>
            </w:pPr>
            <w:r>
              <w:rPr>
                <w:sz w:val="4"/>
                <w:szCs w:val="4"/>
              </w:rPr>
            </w:r>
          </w:p>
        </w:tc>
        <w:tc>
          <w:tcPr>
            <w:tcW w:w="9976" w:type="dxa"/>
            <w:tcBorders/>
            <w:shd w:fill="auto" w:val="clear"/>
            <w:vAlign w:val="center"/>
          </w:tcPr>
          <w:p>
            <w:pPr>
              <w:pStyle w:val="TableContents"/>
              <w:spacing w:before="0" w:after="283"/>
              <w:rPr>
                <w:sz w:val="4"/>
                <w:szCs w:val="4"/>
              </w:rPr>
            </w:pPr>
            <w:r>
              <w:rPr>
                <w:sz w:val="4"/>
                <w:szCs w:val="4"/>
              </w:rPr>
            </w:r>
          </w:p>
        </w:tc>
      </w:tr>
      <w:tr>
        <w:trPr/>
        <w:tc>
          <w:tcPr>
            <w:tcW w:w="229"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(1)</w:t>
            </w:r>
          </w:p>
        </w:tc>
        <w:tc>
          <w:tcPr>
            <w:tcW w:w="9976" w:type="dxa"/>
            <w:tcBorders/>
            <w:shd w:fill="auto" w:val="clear"/>
            <w:vAlign w:val="center"/>
          </w:tcPr>
          <w:p>
            <w:pPr>
              <w:pStyle w:val="TableContents"/>
              <w:spacing w:lineRule="auto" w:line="288" w:before="0" w:after="0"/>
              <w:rPr>
                <w:rFonts w:ascii="inherit" w:hAnsi="inherit"/>
                <w:sz w:val="15"/>
              </w:rPr>
            </w:pPr>
            <w:r>
              <w:rPr>
                <w:rFonts w:ascii="inherit" w:hAnsi="inherit"/>
                <w:sz w:val="15"/>
              </w:rPr>
              <w:t>Market value is based on the closing price of our Class A Non-Voting Common Stock on September 30, 2013, the last market trading day of the Company's fiscal year ($16.87).</w:t>
            </w:r>
          </w:p>
        </w:tc>
      </w:tr>
    </w:tbl>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283"/>
              <w:rPr>
                <w:sz w:val="4"/>
                <w:szCs w:val="4"/>
              </w:rPr>
            </w:pPr>
            <w:r>
              <w:rPr>
                <w:sz w:val="4"/>
                <w:szCs w:val="4"/>
              </w:rPr>
            </w:r>
          </w:p>
        </w:tc>
        <w:tc>
          <w:tcPr>
            <w:tcW w:w="10012" w:type="dxa"/>
            <w:tcBorders/>
            <w:shd w:fill="auto" w:val="clear"/>
            <w:vAlign w:val="center"/>
          </w:tcPr>
          <w:p>
            <w:pPr>
              <w:pStyle w:val="TableContents"/>
              <w:spacing w:before="0" w:after="283"/>
              <w:rPr>
                <w:sz w:val="4"/>
                <w:szCs w:val="4"/>
              </w:rPr>
            </w:pPr>
            <w:r>
              <w:rPr>
                <w:sz w:val="4"/>
                <w:szCs w:val="4"/>
              </w:rPr>
            </w:r>
          </w:p>
        </w:tc>
      </w:tr>
      <w:tr>
        <w:trPr/>
        <w:tc>
          <w:tcPr>
            <w:tcW w:w="193"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(2)</w:t>
            </w:r>
          </w:p>
        </w:tc>
        <w:tc>
          <w:tcPr>
            <w:tcW w:w="10012" w:type="dxa"/>
            <w:tcBorders/>
            <w:shd w:fill="auto" w:val="clear"/>
            <w:vAlign w:val="center"/>
          </w:tcPr>
          <w:p>
            <w:pPr>
              <w:pStyle w:val="TableContents"/>
              <w:spacing w:lineRule="auto" w:line="288" w:before="0" w:after="0"/>
              <w:rPr>
                <w:rFonts w:ascii="inherit" w:hAnsi="inherit"/>
                <w:sz w:val="15"/>
              </w:rPr>
            </w:pPr>
            <w:r>
              <w:rPr>
                <w:rFonts w:ascii="inherit" w:hAnsi="inherit"/>
                <w:sz w:val="15"/>
              </w:rPr>
              <w:t>These shares vest over six years (one-third on the second anniversary of the grant date, one-third on the fourth anniversary of the grant date and one-third on the sixth anniversary of the grant date), so long as, at each vesting date, the Company has achieved an average annual compounded growth rate in EBITDA of at least 5% when compared to the Company’s EBITDA for fiscal 2010. Any shares that do not vest as a result of the failure to attain the applicable performance goal will vest on the next succeeding vesting date so long as the performance goal for that succeeding vesting date has been attained. EBITDA for any fiscal year is calculated from the Company’s audited consolidated financial statements for such year, and shall be equal to the Company’s consolidated net income before interest, taxes, depreciation and amortization (with certain adjustments for extraordinary or one-time items).</w:t>
            </w:r>
          </w:p>
        </w:tc>
      </w:tr>
    </w:tbl>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283"/>
              <w:rPr>
                <w:sz w:val="4"/>
                <w:szCs w:val="4"/>
              </w:rPr>
            </w:pPr>
            <w:r>
              <w:rPr>
                <w:sz w:val="4"/>
                <w:szCs w:val="4"/>
              </w:rPr>
            </w:r>
          </w:p>
        </w:tc>
        <w:tc>
          <w:tcPr>
            <w:tcW w:w="10012" w:type="dxa"/>
            <w:tcBorders/>
            <w:shd w:fill="auto" w:val="clear"/>
            <w:vAlign w:val="center"/>
          </w:tcPr>
          <w:p>
            <w:pPr>
              <w:pStyle w:val="TableContents"/>
              <w:spacing w:before="0" w:after="283"/>
              <w:rPr>
                <w:sz w:val="4"/>
                <w:szCs w:val="4"/>
              </w:rPr>
            </w:pPr>
            <w:r>
              <w:rPr>
                <w:sz w:val="4"/>
                <w:szCs w:val="4"/>
              </w:rPr>
            </w:r>
          </w:p>
        </w:tc>
      </w:tr>
      <w:tr>
        <w:trPr/>
        <w:tc>
          <w:tcPr>
            <w:tcW w:w="193"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(3)</w:t>
            </w:r>
          </w:p>
        </w:tc>
        <w:tc>
          <w:tcPr>
            <w:tcW w:w="10012" w:type="dxa"/>
            <w:tcBorders/>
            <w:shd w:fill="auto" w:val="clear"/>
            <w:vAlign w:val="center"/>
          </w:tcPr>
          <w:p>
            <w:pPr>
              <w:pStyle w:val="TableContents"/>
              <w:spacing w:lineRule="auto" w:line="288" w:before="0" w:after="0"/>
              <w:rPr>
                <w:rFonts w:ascii="inherit" w:hAnsi="inherit"/>
                <w:sz w:val="15"/>
              </w:rPr>
            </w:pPr>
            <w:r>
              <w:rPr>
                <w:rFonts w:ascii="inherit" w:hAnsi="inherit"/>
                <w:sz w:val="15"/>
              </w:rPr>
              <w:t>These shares vest over three years (one-third on the first anniversary of the grant date, one-third on the second anniversary of the grant date and one-third on the third anniversary of the grant date), so long as, at each vesting date, the Company has achieved an average annual compounded growth rate in EBITDA of at least 5% when compared to the Company’s EBITDA for the completed fiscal year immediately preceding the grant date. Any shares that do not vest as a result of the failure to attain the applicable performance goal will vest on the next succeeding vesting date so long as the performance goal for that succeeding vesting date has been attained. On November 22, 2013, the Compensation Committee certified that the performance goal had been met for fiscal 2013, and the shares that were scheduled to vest in October 2013 have now vested.</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283"/>
              <w:rPr>
                <w:sz w:val="4"/>
                <w:szCs w:val="4"/>
              </w:rPr>
            </w:pPr>
            <w:r>
              <w:rPr>
                <w:sz w:val="4"/>
                <w:szCs w:val="4"/>
              </w:rPr>
            </w:r>
          </w:p>
        </w:tc>
        <w:tc>
          <w:tcPr>
            <w:tcW w:w="10008" w:type="dxa"/>
            <w:tcBorders/>
            <w:shd w:fill="auto" w:val="clear"/>
            <w:vAlign w:val="center"/>
          </w:tcPr>
          <w:p>
            <w:pPr>
              <w:pStyle w:val="TableContents"/>
              <w:spacing w:before="0" w:after="283"/>
              <w:rPr>
                <w:sz w:val="4"/>
                <w:szCs w:val="4"/>
              </w:rPr>
            </w:pPr>
            <w:r>
              <w:rPr>
                <w:sz w:val="4"/>
                <w:szCs w:val="4"/>
              </w:rPr>
            </w:r>
          </w:p>
        </w:tc>
      </w:tr>
      <w:tr>
        <w:trPr/>
        <w:tc>
          <w:tcPr>
            <w:tcW w:w="197"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(4)</w:t>
            </w:r>
          </w:p>
        </w:tc>
        <w:tc>
          <w:tcPr>
            <w:tcW w:w="10008" w:type="dxa"/>
            <w:tcBorders/>
            <w:shd w:fill="auto" w:val="clear"/>
            <w:vAlign w:val="center"/>
          </w:tcPr>
          <w:p>
            <w:pPr>
              <w:pStyle w:val="TableContents"/>
              <w:spacing w:lineRule="auto" w:line="288" w:before="0" w:after="0"/>
              <w:rPr>
                <w:rFonts w:ascii="inherit" w:hAnsi="inherit"/>
                <w:sz w:val="15"/>
              </w:rPr>
            </w:pPr>
            <w:r>
              <w:rPr>
                <w:rFonts w:ascii="inherit" w:hAnsi="inherit"/>
                <w:sz w:val="15"/>
              </w:rPr>
              <w:t>These shares vest over six years (one-third on October 1, 2014, one-third on October 1, 2016 and one-third on the October 1, 2018), so long as, at each vesting date, the Company has achieved an average annual compounded growth rate in EBITDA of at least 5% when compared to the Company’s EBITDA for the completed fiscal year immediately preceding the grant date. Any shares that do not vest as a result of the failure to attain the applicable performance goal will vest on the next succeeding vesting date so long as the performance goal for that succeeding vesting date has been attained.</w:t>
            </w:r>
          </w:p>
        </w:tc>
      </w:tr>
    </w:tbl>
    <w:tbl>
      <w:tblPr>
        <w:tblW w:w="5950" w:type="dxa"/>
        <w:jc w:val="left"/>
        <w:tblInd w:w="0" w:type="dxa"/>
        <w:tblCellMar>
          <w:top w:w="0" w:type="dxa"/>
          <w:left w:w="0" w:type="dxa"/>
          <w:bottom w:w="0" w:type="dxa"/>
          <w:right w:w="0" w:type="dxa"/>
        </w:tblCellMar>
      </w:tblPr>
      <w:tblGrid>
        <w:gridCol w:w="245"/>
        <w:gridCol w:w="5705"/>
      </w:tblGrid>
      <w:tr>
        <w:trPr/>
        <w:tc>
          <w:tcPr>
            <w:tcW w:w="245" w:type="dxa"/>
            <w:tcBorders/>
            <w:shd w:fill="auto" w:val="clear"/>
            <w:vAlign w:val="center"/>
          </w:tcPr>
          <w:p>
            <w:pPr>
              <w:pStyle w:val="TableContents"/>
              <w:spacing w:before="0" w:after="283"/>
              <w:rPr>
                <w:sz w:val="4"/>
                <w:szCs w:val="4"/>
              </w:rPr>
            </w:pPr>
            <w:r>
              <w:rPr>
                <w:sz w:val="4"/>
                <w:szCs w:val="4"/>
              </w:rPr>
            </w:r>
          </w:p>
        </w:tc>
        <w:tc>
          <w:tcPr>
            <w:tcW w:w="570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(5)</w:t>
            </w:r>
          </w:p>
        </w:tc>
        <w:tc>
          <w:tcPr>
            <w:tcW w:w="5705" w:type="dxa"/>
            <w:tcBorders/>
            <w:shd w:fill="auto" w:val="clear"/>
            <w:vAlign w:val="center"/>
          </w:tcPr>
          <w:p>
            <w:pPr>
              <w:pStyle w:val="TableContents"/>
              <w:spacing w:lineRule="auto" w:line="288" w:before="0" w:after="0"/>
              <w:rPr>
                <w:rFonts w:ascii="inherit" w:hAnsi="inherit"/>
                <w:sz w:val="15"/>
              </w:rPr>
            </w:pPr>
            <w:r>
              <w:rPr>
                <w:rFonts w:ascii="inherit" w:hAnsi="inherit"/>
                <w:sz w:val="15"/>
              </w:rPr>
              <w:t>These shares are part of a total grant of 675,000 shares, that vest as follows: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5"/>
              </w:rPr>
            </w:pPr>
            <w:r>
              <w:rPr>
                <w:rFonts w:ascii="inherit" w:hAnsi="inherit"/>
                <w:sz w:val="15"/>
              </w:rPr>
              <w:t>20% on October 2, 2008 if the average EBITDA for fiscal 2007 and fiscal 2008 is at least 5% greater than the actual EBITDA for fiscal year 2006;</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5"/>
              </w:rPr>
            </w:pPr>
            <w:r>
              <w:rPr>
                <w:rFonts w:ascii="inherit" w:hAnsi="inherit"/>
                <w:sz w:val="15"/>
              </w:rPr>
              <w:t>20% on October 2, 2010 if the average EBITDA for fiscal 2009 and fiscal 2010 is at least 10% greater than the actual EBITDA for fiscal year 2006;</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5"/>
              </w:rPr>
            </w:pPr>
            <w:r>
              <w:rPr>
                <w:rFonts w:ascii="inherit" w:hAnsi="inherit"/>
                <w:sz w:val="15"/>
              </w:rPr>
              <w:t>20% on October 2, 2012 if the average EBITDA for fiscal 2011 and fiscal 2012 is at least 15% greater than the actual EBITDA for fiscal year 2006;</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5"/>
              </w:rPr>
            </w:pPr>
            <w:r>
              <w:rPr>
                <w:rFonts w:ascii="inherit" w:hAnsi="inherit"/>
                <w:sz w:val="15"/>
              </w:rPr>
              <w:t>20% on October 2, 2014 if the average EBITDA for fiscal 2013 and fiscal 2014 is at least 20% greater than the actual EBITDA for fiscal year 2006; and</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5"/>
              </w:rPr>
            </w:pPr>
            <w:r>
              <w:rPr>
                <w:rFonts w:ascii="inherit" w:hAnsi="inherit"/>
                <w:sz w:val="15"/>
              </w:rPr>
              <w:t>20% on October 2, 2016 if the average EBITDA for fiscal 2015 and fiscal 2016 is at least 25% greater than the actual EBITDA for fiscal year 2006.</w:t>
            </w:r>
          </w:p>
        </w:tc>
      </w:tr>
    </w:tbl>
    <w:p>
      <w:pPr>
        <w:pStyle w:val="TextBody"/>
        <w:spacing w:lineRule="auto" w:line="288" w:before="0" w:after="0"/>
        <w:ind w:left="0" w:right="0" w:firstLine="360"/>
        <w:rPr>
          <w:rFonts w:ascii="inherit" w:hAnsi="inherit"/>
          <w:sz w:val="15"/>
        </w:rPr>
      </w:pPr>
      <w:r>
        <w:rPr>
          <w:rFonts w:ascii="inherit" w:hAnsi="inherit"/>
          <w:sz w:val="15"/>
        </w:rPr>
        <w:t xml:space="preserve">Any shares that do not vest as a result of the failure to attain the applicable performance goal will vest on the next succeeding vesting date so long as the performance goal for that succeeding vesting date has been attained. Upon death or disability, vesting will occur immediately on a portion of the unvested shares calculated as follows: 10% of the originally granted shares multiplied by the number of full or partial years of service since the award date, plus 20% of the originally granted shares, less the number of shares previously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128</w:t>
      </w:r>
      <w:r>
        <w:br w:type="page"/>
      </w:r>
    </w:p>
    <w:p>
      <w:pPr>
        <w:pStyle w:val="TextBody"/>
        <w:spacing w:lineRule="auto" w:line="288" w:before="0" w:after="0"/>
        <w:rPr/>
      </w:pPr>
      <w:hyperlink w:anchor="sA13583D437E20DC41B4583E2BD74AA47">
        <w:bookmarkStart w:id="111" w:name="s8A05942A0A531DCB930283E2CAA42FF72"/>
        <w:bookmarkEnd w:id="111"/>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ind w:left="0" w:right="0" w:firstLine="360"/>
        <w:rPr>
          <w:sz w:val="15"/>
        </w:rPr>
      </w:pPr>
      <w:r>
        <w:rPr>
          <w:rFonts w:ascii="inherit" w:hAnsi="inherit"/>
          <w:sz w:val="15"/>
        </w:rPr>
        <w:t xml:space="preserve">vested. The performance goals for the first three vestings were achieved, and those shares (405,000) vested as described above. The amount shown represents the unvested shares as of the end of fiscal </w:t>
      </w:r>
      <w:r>
        <w:rPr>
          <w:rFonts w:ascii="inherit" w:hAnsi="inherit"/>
          <w:strike w:val="false"/>
          <w:dstrike w:val="false"/>
          <w:color w:val="000000"/>
          <w:sz w:val="15"/>
          <w:u w:val="none"/>
          <w:effect w:val="none"/>
        </w:rPr>
        <w:t>2013</w:t>
      </w:r>
      <w:r>
        <w:rPr>
          <w:rFonts w:ascii="inherit" w:hAnsi="inherit"/>
          <w:sz w:val="15"/>
        </w:rPr>
        <w:t xml:space="preserve">, which are subject to performance-based vesting as described above. </w:t>
      </w:r>
    </w:p>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283"/>
              <w:rPr>
                <w:sz w:val="4"/>
                <w:szCs w:val="4"/>
              </w:rPr>
            </w:pPr>
            <w:r>
              <w:rPr>
                <w:sz w:val="4"/>
                <w:szCs w:val="4"/>
              </w:rPr>
            </w:r>
          </w:p>
        </w:tc>
        <w:tc>
          <w:tcPr>
            <w:tcW w:w="9984" w:type="dxa"/>
            <w:tcBorders/>
            <w:shd w:fill="auto" w:val="clear"/>
            <w:vAlign w:val="center"/>
          </w:tcPr>
          <w:p>
            <w:pPr>
              <w:pStyle w:val="TableContents"/>
              <w:spacing w:before="0" w:after="283"/>
              <w:rPr>
                <w:sz w:val="4"/>
                <w:szCs w:val="4"/>
              </w:rPr>
            </w:pPr>
            <w:r>
              <w:rPr>
                <w:sz w:val="4"/>
                <w:szCs w:val="4"/>
              </w:rPr>
            </w:r>
          </w:p>
        </w:tc>
      </w:tr>
      <w:tr>
        <w:trPr/>
        <w:tc>
          <w:tcPr>
            <w:tcW w:w="221"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(6)</w:t>
            </w:r>
          </w:p>
        </w:tc>
        <w:tc>
          <w:tcPr>
            <w:tcW w:w="9984" w:type="dxa"/>
            <w:tcBorders/>
            <w:shd w:fill="auto" w:val="clear"/>
            <w:vAlign w:val="center"/>
          </w:tcPr>
          <w:p>
            <w:pPr>
              <w:pStyle w:val="TableContents"/>
              <w:spacing w:lineRule="auto" w:line="288" w:before="0" w:after="0"/>
              <w:rPr>
                <w:rFonts w:ascii="inherit" w:hAnsi="inherit"/>
                <w:sz w:val="15"/>
              </w:rPr>
            </w:pPr>
            <w:r>
              <w:rPr>
                <w:rFonts w:ascii="inherit" w:hAnsi="inherit"/>
                <w:sz w:val="15"/>
              </w:rPr>
              <w:t>These shares vest over three years (one-third on the first anniversary of the grant date, one-third on the second anniversary of the grant date and one-third on the third anniversary of the grant date). The vesting is not subject to the attainment of any performance goals, as these shares were awarded to Mr. Guest prior to his becoming an executive officer.</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283"/>
              <w:rPr>
                <w:sz w:val="4"/>
                <w:szCs w:val="4"/>
              </w:rPr>
            </w:pPr>
            <w:r>
              <w:rPr>
                <w:sz w:val="4"/>
                <w:szCs w:val="4"/>
              </w:rPr>
            </w:r>
          </w:p>
        </w:tc>
        <w:tc>
          <w:tcPr>
            <w:tcW w:w="10003" w:type="dxa"/>
            <w:tcBorders/>
            <w:shd w:fill="auto" w:val="clear"/>
            <w:vAlign w:val="center"/>
          </w:tcPr>
          <w:p>
            <w:pPr>
              <w:pStyle w:val="TableContents"/>
              <w:spacing w:before="0" w:after="283"/>
              <w:rPr>
                <w:sz w:val="4"/>
                <w:szCs w:val="4"/>
              </w:rPr>
            </w:pPr>
            <w:r>
              <w:rPr>
                <w:sz w:val="4"/>
                <w:szCs w:val="4"/>
              </w:rPr>
            </w:r>
          </w:p>
        </w:tc>
      </w:tr>
      <w:tr>
        <w:trPr/>
        <w:tc>
          <w:tcPr>
            <w:tcW w:w="202"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(7)</w:t>
            </w:r>
          </w:p>
        </w:tc>
        <w:tc>
          <w:tcPr>
            <w:tcW w:w="10003" w:type="dxa"/>
            <w:tcBorders/>
            <w:shd w:fill="auto" w:val="clear"/>
            <w:vAlign w:val="center"/>
          </w:tcPr>
          <w:p>
            <w:pPr>
              <w:pStyle w:val="TableContents"/>
              <w:spacing w:lineRule="auto" w:line="288" w:before="0" w:after="0"/>
              <w:rPr>
                <w:rFonts w:ascii="inherit" w:hAnsi="inherit"/>
                <w:sz w:val="15"/>
              </w:rPr>
            </w:pPr>
            <w:r>
              <w:rPr>
                <w:rFonts w:ascii="inherit" w:hAnsi="inherit"/>
                <w:sz w:val="15"/>
              </w:rPr>
              <w:t>These shares vest over three years (one-third on the first anniversary of the grant date, one-third on the second anniversary of the grant date and one-third on the third anniversary of the grant date). The vesting is not subject to the attainment of any performance goals, as these shares were awarded to Mr. Guest prior to his becoming an executive officer. Of the unvested shares shown, 4,900 vested on October 3, 2013.</w:t>
            </w:r>
          </w:p>
        </w:tc>
      </w:tr>
    </w:tbl>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283"/>
              <w:rPr>
                <w:sz w:val="4"/>
                <w:szCs w:val="4"/>
              </w:rPr>
            </w:pPr>
            <w:r>
              <w:rPr>
                <w:sz w:val="4"/>
                <w:szCs w:val="4"/>
              </w:rPr>
            </w:r>
          </w:p>
        </w:tc>
        <w:tc>
          <w:tcPr>
            <w:tcW w:w="10011" w:type="dxa"/>
            <w:tcBorders/>
            <w:shd w:fill="auto" w:val="clear"/>
            <w:vAlign w:val="center"/>
          </w:tcPr>
          <w:p>
            <w:pPr>
              <w:pStyle w:val="TableContents"/>
              <w:spacing w:before="0" w:after="283"/>
              <w:rPr>
                <w:sz w:val="4"/>
                <w:szCs w:val="4"/>
              </w:rPr>
            </w:pPr>
            <w:r>
              <w:rPr>
                <w:sz w:val="4"/>
                <w:szCs w:val="4"/>
              </w:rPr>
            </w:r>
          </w:p>
        </w:tc>
      </w:tr>
      <w:tr>
        <w:trPr/>
        <w:tc>
          <w:tcPr>
            <w:tcW w:w="194"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(8)</w:t>
            </w:r>
          </w:p>
        </w:tc>
        <w:tc>
          <w:tcPr>
            <w:tcW w:w="10011" w:type="dxa"/>
            <w:tcBorders/>
            <w:shd w:fill="auto" w:val="clear"/>
            <w:vAlign w:val="center"/>
          </w:tcPr>
          <w:p>
            <w:pPr>
              <w:pStyle w:val="TableContents"/>
              <w:spacing w:lineRule="auto" w:line="288" w:before="0" w:after="0"/>
              <w:rPr>
                <w:rFonts w:ascii="inherit" w:hAnsi="inherit"/>
                <w:sz w:val="15"/>
              </w:rPr>
            </w:pPr>
            <w:r>
              <w:rPr>
                <w:rFonts w:ascii="inherit" w:hAnsi="inherit"/>
                <w:sz w:val="15"/>
              </w:rPr>
              <w:t>These shares vest over three years (one-third on October 1, 2013, one-third on October 1, 2014 and one-third on October 1, 2015), so long as, at each vesting date, the Company has achieved an average annual compounded growth rate in EBITDA of at least 5% when compared to the Company’s EBITDA for the completed fiscal year immediately preceding the grant date. Any shares that do not vest as a result of the failure to attain the applicable performance goal will vest on the next succeeding vesting date so long as the performance goal for that succeeding vesting date has been attained. On November 22, 2013, the Compensation Committee certified that the performance goal had been met for fiscal 2013, and the shares that were scheduled to vest in October 2013 have now vested.</w:t>
            </w:r>
          </w:p>
        </w:tc>
      </w:tr>
    </w:tbl>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283"/>
              <w:rPr>
                <w:sz w:val="4"/>
                <w:szCs w:val="4"/>
              </w:rPr>
            </w:pPr>
            <w:r>
              <w:rPr>
                <w:sz w:val="4"/>
                <w:szCs w:val="4"/>
              </w:rPr>
            </w:r>
          </w:p>
        </w:tc>
        <w:tc>
          <w:tcPr>
            <w:tcW w:w="10012" w:type="dxa"/>
            <w:tcBorders/>
            <w:shd w:fill="auto" w:val="clear"/>
            <w:vAlign w:val="center"/>
          </w:tcPr>
          <w:p>
            <w:pPr>
              <w:pStyle w:val="TableContents"/>
              <w:spacing w:before="0" w:after="283"/>
              <w:rPr>
                <w:sz w:val="4"/>
                <w:szCs w:val="4"/>
              </w:rPr>
            </w:pPr>
            <w:r>
              <w:rPr>
                <w:sz w:val="4"/>
                <w:szCs w:val="4"/>
              </w:rPr>
            </w:r>
          </w:p>
        </w:tc>
      </w:tr>
      <w:tr>
        <w:trPr/>
        <w:tc>
          <w:tcPr>
            <w:tcW w:w="193"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(9)</w:t>
            </w:r>
          </w:p>
        </w:tc>
        <w:tc>
          <w:tcPr>
            <w:tcW w:w="10012" w:type="dxa"/>
            <w:tcBorders/>
            <w:shd w:fill="auto" w:val="clear"/>
            <w:vAlign w:val="center"/>
          </w:tcPr>
          <w:p>
            <w:pPr>
              <w:pStyle w:val="TableContents"/>
              <w:spacing w:lineRule="auto" w:line="288" w:before="0" w:after="0"/>
              <w:rPr>
                <w:rFonts w:ascii="inherit" w:hAnsi="inherit"/>
                <w:sz w:val="15"/>
              </w:rPr>
            </w:pPr>
            <w:r>
              <w:rPr>
                <w:rFonts w:ascii="inherit" w:hAnsi="inherit"/>
                <w:sz w:val="15"/>
              </w:rPr>
              <w:t>These shares vest over three years (one-third on the first anniversary of the grant date, one-third on the second anniversary of the grant date and one-third on the third anniversary of the grant date), so long as, at each vesting date, the Company has achieved an average annual compounded growth rate in EBITDA of at least 5% when compared to the Company’s EBITDA for the completed fiscal year immediately preceding the grant date. Any shares that do not vest as a result of the failure to attain the applicable performance goal will vest on the next succeeding vesting date so long as the performance goal for that succeeding vesting date has been attained. On November 22, 2013, the Compensation Committee certified that the performance goal had been met for fiscal 2013, and the shares that were scheduled to vest in October 2013 have now vested.</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Option Exercises and Stock Vested</w:t>
      </w:r>
    </w:p>
    <w:p>
      <w:pPr>
        <w:pStyle w:val="TextBody"/>
        <w:spacing w:lineRule="auto" w:line="288" w:before="0" w:after="0"/>
        <w:jc w:val="left"/>
        <w:rPr>
          <w:sz w:val="17"/>
        </w:rPr>
      </w:pPr>
      <w:r>
        <w:rPr>
          <w:rFonts w:ascii="inherit" w:hAnsi="inherit"/>
          <w:sz w:val="17"/>
        </w:rPr>
        <w:t xml:space="preserve">The following table sets forth, with respect to each of the Named Executive Officers, certain information about option exercises and restricted stock vestings during fiscal </w:t>
      </w:r>
      <w:r>
        <w:rPr>
          <w:rFonts w:ascii="inherit" w:hAnsi="inherit"/>
          <w:strike w:val="false"/>
          <w:dstrike w:val="false"/>
          <w:color w:val="000000"/>
          <w:sz w:val="17"/>
          <w:u w:val="none"/>
          <w:effect w:val="none"/>
        </w:rPr>
        <w:t>2013</w:t>
      </w:r>
      <w:r>
        <w:rPr>
          <w:rFonts w:ascii="inherit" w:hAnsi="inherit"/>
          <w:sz w:val="17"/>
        </w:rPr>
        <w:t xml:space="preserve">. </w:t>
      </w:r>
    </w:p>
    <w:tbl>
      <w:tblPr>
        <w:tblW w:w="10205" w:type="dxa"/>
        <w:jc w:val="left"/>
        <w:tblInd w:w="0" w:type="dxa"/>
        <w:tblCellMar>
          <w:top w:w="0" w:type="dxa"/>
          <w:left w:w="0" w:type="dxa"/>
          <w:bottom w:w="0" w:type="dxa"/>
          <w:right w:w="0" w:type="dxa"/>
        </w:tblCellMar>
      </w:tblPr>
      <w:tblGrid>
        <w:gridCol w:w="105"/>
        <w:gridCol w:w="6670"/>
        <w:gridCol w:w="1352"/>
        <w:gridCol w:w="103"/>
        <w:gridCol w:w="382"/>
        <w:gridCol w:w="157"/>
        <w:gridCol w:w="1326"/>
        <w:gridCol w:w="110"/>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6670"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ind w:left="0" w:right="0" w:firstLine="30"/>
              <w:rPr/>
            </w:pPr>
            <w:r>
              <w:rPr/>
              <w:t> </w:t>
            </w:r>
          </w:p>
        </w:tc>
        <w:tc>
          <w:tcPr>
            <w:tcW w:w="6670" w:type="dxa"/>
            <w:tcBorders/>
            <w:shd w:fill="auto" w:val="clear"/>
            <w:vAlign w:val="center"/>
          </w:tcPr>
          <w:p>
            <w:pPr>
              <w:pStyle w:val="TableContents"/>
              <w:spacing w:before="0" w:after="0"/>
              <w:ind w:left="0" w:right="0" w:firstLine="30"/>
              <w:jc w:val="left"/>
              <w:rPr/>
            </w:pPr>
            <w:r>
              <w:rPr/>
              <w:t> </w:t>
            </w:r>
          </w:p>
        </w:tc>
        <w:tc>
          <w:tcPr>
            <w:tcW w:w="3430" w:type="dxa"/>
            <w:gridSpan w:val="6"/>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Stock Awards</w:t>
            </w:r>
          </w:p>
        </w:tc>
      </w:tr>
      <w:tr>
        <w:trPr/>
        <w:tc>
          <w:tcPr>
            <w:tcW w:w="105" w:type="dxa"/>
            <w:tcBorders/>
            <w:shd w:fill="auto" w:val="clear"/>
            <w:vAlign w:val="center"/>
          </w:tcPr>
          <w:p>
            <w:pPr>
              <w:pStyle w:val="TableContents"/>
              <w:spacing w:before="0" w:after="283"/>
              <w:ind w:left="0" w:right="0" w:firstLine="30"/>
              <w:rPr/>
            </w:pPr>
            <w:r>
              <w:rPr/>
              <w:t> </w:t>
            </w:r>
          </w:p>
        </w:tc>
        <w:tc>
          <w:tcPr>
            <w:tcW w:w="6670"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r>
              <w:rPr>
                <w:rFonts w:ascii="inherit" w:hAnsi="inherit"/>
                <w:b/>
                <w:sz w:val="13"/>
              </w:rPr>
              <w:t>Named Executive Officer</w:t>
            </w:r>
          </w:p>
        </w:tc>
        <w:tc>
          <w:tcPr>
            <w:tcW w:w="1455" w:type="dxa"/>
            <w:gridSpan w:val="2"/>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Number of Shares Acquired on Vesting</w:t>
            </w:r>
          </w:p>
        </w:tc>
        <w:tc>
          <w:tcPr>
            <w:tcW w:w="382"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pPr>
            <w:r>
              <w:rPr/>
              <w:t> </w:t>
            </w:r>
          </w:p>
        </w:tc>
        <w:tc>
          <w:tcPr>
            <w:tcW w:w="1593"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Value Realized on Vesting (1)</w:t>
            </w:r>
          </w:p>
        </w:tc>
      </w:tr>
      <w:tr>
        <w:trPr/>
        <w:tc>
          <w:tcPr>
            <w:tcW w:w="105" w:type="dxa"/>
            <w:tcBorders/>
            <w:shd w:fill="auto" w:val="clear"/>
            <w:vAlign w:val="center"/>
          </w:tcPr>
          <w:p>
            <w:pPr>
              <w:pStyle w:val="TableContents"/>
              <w:spacing w:before="0" w:after="283"/>
              <w:rPr/>
            </w:pPr>
            <w:r>
              <w:rPr/>
              <w:t> </w:t>
            </w:r>
          </w:p>
        </w:tc>
        <w:tc>
          <w:tcPr>
            <w:tcW w:w="6670" w:type="dxa"/>
            <w:vMerge w:val="continue"/>
            <w:tcBorders>
              <w:bottom w:val="single" w:sz="2" w:space="0" w:color="000000"/>
            </w:tcBorders>
            <w:shd w:fill="auto" w:val="clear"/>
            <w:tcMar>
              <w:bottom w:w="30" w:type="dxa"/>
            </w:tcMar>
            <w:vAlign w:val="center"/>
          </w:tcPr>
          <w:p>
            <w:pPr>
              <w:pStyle w:val="Normal"/>
              <w:rPr/>
            </w:pPr>
            <w:r>
              <w:rPr/>
            </w:r>
          </w:p>
        </w:tc>
        <w:tc>
          <w:tcPr>
            <w:tcW w:w="1455" w:type="dxa"/>
            <w:gridSpan w:val="2"/>
            <w:vMerge w:val="continue"/>
            <w:tcBorders>
              <w:bottom w:val="single" w:sz="2" w:space="0" w:color="000000"/>
            </w:tcBorders>
            <w:shd w:fill="auto" w:val="clear"/>
            <w:tcMar>
              <w:bottom w:w="30" w:type="dxa"/>
            </w:tcMar>
            <w:vAlign w:val="center"/>
          </w:tcPr>
          <w:p>
            <w:pPr>
              <w:pStyle w:val="Normal"/>
              <w:rPr/>
            </w:pPr>
            <w:r>
              <w:rPr/>
            </w:r>
          </w:p>
        </w:tc>
        <w:tc>
          <w:tcPr>
            <w:tcW w:w="382" w:type="dxa"/>
            <w:vMerge w:val="continue"/>
            <w:tcBorders>
              <w:bottom w:val="single" w:sz="2" w:space="0" w:color="000000"/>
            </w:tcBorders>
            <w:shd w:fill="auto" w:val="clear"/>
            <w:tcMar>
              <w:bottom w:w="30" w:type="dxa"/>
            </w:tcMar>
            <w:vAlign w:val="center"/>
          </w:tcPr>
          <w:p>
            <w:pPr>
              <w:pStyle w:val="Normal"/>
              <w:rPr/>
            </w:pPr>
            <w:r>
              <w:rPr/>
            </w:r>
          </w:p>
        </w:tc>
        <w:tc>
          <w:tcPr>
            <w:tcW w:w="1593"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105" w:type="dxa"/>
            <w:tcBorders/>
            <w:shd w:fill="auto" w:val="clear"/>
            <w:vAlign w:val="center"/>
          </w:tcPr>
          <w:p>
            <w:pPr>
              <w:pStyle w:val="TableContents"/>
              <w:spacing w:before="0" w:after="283"/>
              <w:ind w:left="0" w:right="0" w:firstLine="30"/>
              <w:rPr/>
            </w:pPr>
            <w:r>
              <w:rPr/>
              <w:t> </w:t>
            </w:r>
          </w:p>
        </w:tc>
        <w:tc>
          <w:tcPr>
            <w:tcW w:w="66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Rothamel</w:t>
            </w:r>
          </w:p>
        </w:tc>
        <w:tc>
          <w:tcPr>
            <w:tcW w:w="1352" w:type="dxa"/>
            <w:tcBorders/>
            <w:shd w:fill="CCEEFF" w:val="clear"/>
            <w:vAlign w:val="center"/>
          </w:tcPr>
          <w:p>
            <w:pPr>
              <w:pStyle w:val="TableContents"/>
              <w:spacing w:before="0" w:after="0"/>
              <w:jc w:val="right"/>
              <w:rPr>
                <w:rFonts w:ascii="inherit" w:hAnsi="inherit"/>
                <w:sz w:val="15"/>
              </w:rPr>
            </w:pPr>
            <w:r>
              <w:rPr>
                <w:rFonts w:ascii="inherit" w:hAnsi="inherit"/>
                <w:sz w:val="15"/>
              </w:rPr>
              <w:t>125,000</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82"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(2)</w:t>
            </w:r>
          </w:p>
        </w:tc>
        <w:tc>
          <w:tcPr>
            <w:tcW w:w="157"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132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2,335,250</w:t>
            </w:r>
          </w:p>
        </w:tc>
        <w:tc>
          <w:tcPr>
            <w:tcW w:w="110" w:type="dxa"/>
            <w:tcBorders>
              <w:top w:val="single" w:sz="2" w:space="0" w:color="000000"/>
            </w:tcBorders>
            <w:shd w:fill="CCEEFF" w:val="clear"/>
            <w:tcMar>
              <w:top w:w="28" w:type="dxa"/>
            </w:tcM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66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Stamp</w:t>
            </w:r>
          </w:p>
        </w:tc>
        <w:tc>
          <w:tcPr>
            <w:tcW w:w="1352" w:type="dxa"/>
            <w:tcBorders/>
            <w:shd w:fill="auto" w:val="clear"/>
            <w:vAlign w:val="center"/>
          </w:tcPr>
          <w:p>
            <w:pPr>
              <w:pStyle w:val="TableContents"/>
              <w:spacing w:before="0" w:after="0"/>
              <w:jc w:val="right"/>
              <w:rPr>
                <w:rFonts w:ascii="inherit" w:hAnsi="inherit"/>
                <w:sz w:val="15"/>
              </w:rPr>
            </w:pPr>
            <w:r>
              <w:rPr>
                <w:rFonts w:ascii="inherit" w:hAnsi="inherit"/>
                <w:sz w:val="15"/>
              </w:rPr>
              <w:t>5,534</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82"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w:t>
            </w:r>
          </w:p>
        </w:tc>
        <w:tc>
          <w:tcPr>
            <w:tcW w:w="148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97,232</w:t>
            </w:r>
          </w:p>
        </w:tc>
        <w:tc>
          <w:tcPr>
            <w:tcW w:w="110"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66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Kuchenrither</w:t>
            </w:r>
          </w:p>
        </w:tc>
        <w:tc>
          <w:tcPr>
            <w:tcW w:w="1352" w:type="dxa"/>
            <w:tcBorders/>
            <w:shd w:fill="CCEEFF" w:val="clear"/>
            <w:vAlign w:val="center"/>
          </w:tcPr>
          <w:p>
            <w:pPr>
              <w:pStyle w:val="TableContents"/>
              <w:spacing w:before="0" w:after="0"/>
              <w:jc w:val="right"/>
              <w:rPr>
                <w:rFonts w:ascii="inherit" w:hAnsi="inherit"/>
                <w:sz w:val="15"/>
              </w:rPr>
            </w:pPr>
            <w:r>
              <w:rPr>
                <w:rFonts w:ascii="inherit" w:hAnsi="inherit"/>
                <w:sz w:val="15"/>
              </w:rPr>
              <w:t>24,400</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82"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(4)</w:t>
            </w:r>
          </w:p>
        </w:tc>
        <w:tc>
          <w:tcPr>
            <w:tcW w:w="1483"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467,008</w:t>
            </w:r>
          </w:p>
        </w:tc>
        <w:tc>
          <w:tcPr>
            <w:tcW w:w="110"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66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Brinkley</w:t>
            </w:r>
          </w:p>
        </w:tc>
        <w:tc>
          <w:tcPr>
            <w:tcW w:w="1352" w:type="dxa"/>
            <w:tcBorders/>
            <w:shd w:fill="auto" w:val="clear"/>
            <w:vAlign w:val="center"/>
          </w:tcPr>
          <w:p>
            <w:pPr>
              <w:pStyle w:val="TableContents"/>
              <w:spacing w:before="0" w:after="0"/>
              <w:jc w:val="right"/>
              <w:rPr>
                <w:rFonts w:ascii="inherit" w:hAnsi="inherit"/>
                <w:sz w:val="15"/>
              </w:rPr>
            </w:pPr>
            <w:r>
              <w:rPr>
                <w:rFonts w:ascii="inherit" w:hAnsi="inherit"/>
                <w:sz w:val="15"/>
              </w:rPr>
              <w:t>235,000</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82"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w:t>
            </w:r>
          </w:p>
        </w:tc>
        <w:tc>
          <w:tcPr>
            <w:tcW w:w="148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4,128,950</w:t>
            </w:r>
          </w:p>
        </w:tc>
        <w:tc>
          <w:tcPr>
            <w:tcW w:w="110"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66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Guest</w:t>
            </w:r>
          </w:p>
        </w:tc>
        <w:tc>
          <w:tcPr>
            <w:tcW w:w="1352" w:type="dxa"/>
            <w:tcBorders/>
            <w:shd w:fill="CCEEFF" w:val="clear"/>
            <w:vAlign w:val="center"/>
          </w:tcPr>
          <w:p>
            <w:pPr>
              <w:pStyle w:val="TableContents"/>
              <w:spacing w:before="0" w:after="0"/>
              <w:jc w:val="right"/>
              <w:rPr>
                <w:rFonts w:ascii="inherit" w:hAnsi="inherit"/>
                <w:sz w:val="15"/>
              </w:rPr>
            </w:pPr>
            <w:r>
              <w:rPr>
                <w:rFonts w:ascii="inherit" w:hAnsi="inherit"/>
                <w:sz w:val="15"/>
              </w:rPr>
              <w:t>8,233</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82"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(5)</w:t>
            </w:r>
          </w:p>
        </w:tc>
        <w:tc>
          <w:tcPr>
            <w:tcW w:w="1483"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173,300</w:t>
            </w:r>
          </w:p>
        </w:tc>
        <w:tc>
          <w:tcPr>
            <w:tcW w:w="110"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667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Mr. Welch</w:t>
            </w:r>
          </w:p>
        </w:tc>
        <w:tc>
          <w:tcPr>
            <w:tcW w:w="135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16,400</w:t>
            </w:r>
          </w:p>
        </w:tc>
        <w:tc>
          <w:tcPr>
            <w:tcW w:w="10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82"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(6)</w:t>
            </w:r>
          </w:p>
        </w:tc>
        <w:tc>
          <w:tcPr>
            <w:tcW w:w="14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343,748</w:t>
            </w:r>
          </w:p>
        </w:tc>
        <w:tc>
          <w:tcPr>
            <w:tcW w:w="110" w:type="dxa"/>
            <w:tcBorders>
              <w:bottom w:val="single" w:sz="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5725" w:type="dxa"/>
        <w:jc w:val="left"/>
        <w:tblInd w:w="0" w:type="dxa"/>
        <w:tblCellMar>
          <w:top w:w="0" w:type="dxa"/>
          <w:left w:w="0" w:type="dxa"/>
          <w:bottom w:w="0" w:type="dxa"/>
          <w:right w:w="0" w:type="dxa"/>
        </w:tblCellMar>
      </w:tblPr>
      <w:tblGrid>
        <w:gridCol w:w="245"/>
        <w:gridCol w:w="5480"/>
      </w:tblGrid>
      <w:tr>
        <w:trPr/>
        <w:tc>
          <w:tcPr>
            <w:tcW w:w="245" w:type="dxa"/>
            <w:tcBorders/>
            <w:shd w:fill="auto" w:val="clear"/>
            <w:vAlign w:val="center"/>
          </w:tcPr>
          <w:p>
            <w:pPr>
              <w:pStyle w:val="TableContents"/>
              <w:spacing w:before="0" w:after="283"/>
              <w:rPr>
                <w:sz w:val="4"/>
                <w:szCs w:val="4"/>
              </w:rPr>
            </w:pPr>
            <w:r>
              <w:rPr>
                <w:sz w:val="4"/>
                <w:szCs w:val="4"/>
              </w:rPr>
            </w:r>
          </w:p>
        </w:tc>
        <w:tc>
          <w:tcPr>
            <w:tcW w:w="548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(1)</w:t>
            </w:r>
          </w:p>
        </w:tc>
        <w:tc>
          <w:tcPr>
            <w:tcW w:w="5480" w:type="dxa"/>
            <w:tcBorders/>
            <w:shd w:fill="auto" w:val="clear"/>
            <w:vAlign w:val="center"/>
          </w:tcPr>
          <w:p>
            <w:pPr>
              <w:pStyle w:val="TableContents"/>
              <w:spacing w:lineRule="auto" w:line="288" w:before="0" w:after="0"/>
              <w:rPr>
                <w:rFonts w:ascii="inherit" w:hAnsi="inherit"/>
                <w:sz w:val="15"/>
              </w:rPr>
            </w:pPr>
            <w:r>
              <w:rPr>
                <w:rFonts w:ascii="inherit" w:hAnsi="inherit"/>
                <w:sz w:val="15"/>
              </w:rPr>
              <w:t>Computed using the fair market value of the stock on the date of vesting.</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283"/>
              <w:rPr>
                <w:sz w:val="4"/>
                <w:szCs w:val="4"/>
              </w:rPr>
            </w:pPr>
            <w:r>
              <w:rPr>
                <w:sz w:val="4"/>
                <w:szCs w:val="4"/>
              </w:rPr>
            </w:r>
          </w:p>
        </w:tc>
        <w:tc>
          <w:tcPr>
            <w:tcW w:w="9995" w:type="dxa"/>
            <w:tcBorders/>
            <w:shd w:fill="auto" w:val="clear"/>
            <w:vAlign w:val="center"/>
          </w:tcPr>
          <w:p>
            <w:pPr>
              <w:pStyle w:val="TableContents"/>
              <w:spacing w:before="0" w:after="283"/>
              <w:rPr>
                <w:sz w:val="4"/>
                <w:szCs w:val="4"/>
              </w:rPr>
            </w:pPr>
            <w:r>
              <w:rPr>
                <w:sz w:val="4"/>
                <w:szCs w:val="4"/>
              </w:rPr>
            </w:r>
          </w:p>
        </w:tc>
      </w:tr>
      <w:tr>
        <w:trPr/>
        <w:tc>
          <w:tcPr>
            <w:tcW w:w="21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(2)</w:t>
            </w:r>
          </w:p>
        </w:tc>
        <w:tc>
          <w:tcPr>
            <w:tcW w:w="9995" w:type="dxa"/>
            <w:tcBorders/>
            <w:shd w:fill="auto" w:val="clear"/>
            <w:vAlign w:val="center"/>
          </w:tcPr>
          <w:p>
            <w:pPr>
              <w:pStyle w:val="TableContents"/>
              <w:spacing w:lineRule="auto" w:line="288" w:before="0" w:after="0"/>
              <w:rPr>
                <w:rFonts w:ascii="inherit" w:hAnsi="inherit"/>
                <w:sz w:val="15"/>
              </w:rPr>
            </w:pPr>
            <w:r>
              <w:rPr>
                <w:rFonts w:ascii="inherit" w:hAnsi="inherit"/>
                <w:sz w:val="15"/>
              </w:rPr>
              <w:t>Of the shares shown, 25,000 vested on October 1, 2012 (market value of $23.13 per share on the date of vesting), and 100,000 vested on November 20, 2012 (market value of $17.57 per share on the date of vesting) after it was determined that the applicable performance target had been achieved.</w:t>
            </w:r>
          </w:p>
        </w:tc>
      </w:tr>
    </w:tbl>
    <w:tbl>
      <w:tblPr>
        <w:tblW w:w="10205" w:type="dxa"/>
        <w:jc w:val="left"/>
        <w:tblInd w:w="0" w:type="dxa"/>
        <w:tblCellMar>
          <w:top w:w="0" w:type="dxa"/>
          <w:left w:w="0" w:type="dxa"/>
          <w:bottom w:w="0" w:type="dxa"/>
          <w:right w:w="0" w:type="dxa"/>
        </w:tblCellMar>
      </w:tblPr>
      <w:tblGrid>
        <w:gridCol w:w="227"/>
        <w:gridCol w:w="9978"/>
      </w:tblGrid>
      <w:tr>
        <w:trPr/>
        <w:tc>
          <w:tcPr>
            <w:tcW w:w="227" w:type="dxa"/>
            <w:tcBorders/>
            <w:shd w:fill="auto" w:val="clear"/>
            <w:vAlign w:val="center"/>
          </w:tcPr>
          <w:p>
            <w:pPr>
              <w:pStyle w:val="TableContents"/>
              <w:spacing w:before="0" w:after="283"/>
              <w:rPr>
                <w:sz w:val="4"/>
                <w:szCs w:val="4"/>
              </w:rPr>
            </w:pPr>
            <w:r>
              <w:rPr>
                <w:sz w:val="4"/>
                <w:szCs w:val="4"/>
              </w:rPr>
            </w:r>
          </w:p>
        </w:tc>
        <w:tc>
          <w:tcPr>
            <w:tcW w:w="9978" w:type="dxa"/>
            <w:tcBorders/>
            <w:shd w:fill="auto" w:val="clear"/>
            <w:vAlign w:val="center"/>
          </w:tcPr>
          <w:p>
            <w:pPr>
              <w:pStyle w:val="TableContents"/>
              <w:spacing w:before="0" w:after="283"/>
              <w:rPr>
                <w:sz w:val="4"/>
                <w:szCs w:val="4"/>
              </w:rPr>
            </w:pPr>
            <w:r>
              <w:rPr>
                <w:sz w:val="4"/>
                <w:szCs w:val="4"/>
              </w:rPr>
            </w:r>
          </w:p>
        </w:tc>
      </w:tr>
      <w:tr>
        <w:trPr/>
        <w:tc>
          <w:tcPr>
            <w:tcW w:w="227"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(3)</w:t>
            </w:r>
          </w:p>
        </w:tc>
        <w:tc>
          <w:tcPr>
            <w:tcW w:w="9978" w:type="dxa"/>
            <w:tcBorders/>
            <w:shd w:fill="auto" w:val="clear"/>
            <w:vAlign w:val="center"/>
          </w:tcPr>
          <w:p>
            <w:pPr>
              <w:pStyle w:val="TableContents"/>
              <w:spacing w:lineRule="auto" w:line="288" w:before="0" w:after="0"/>
              <w:rPr>
                <w:rFonts w:ascii="inherit" w:hAnsi="inherit"/>
                <w:sz w:val="15"/>
              </w:rPr>
            </w:pPr>
            <w:r>
              <w:rPr>
                <w:rFonts w:ascii="inherit" w:hAnsi="inherit"/>
                <w:sz w:val="15"/>
              </w:rPr>
              <w:t>These shares vested on November 20, 2012 (market value of $17.57 per share on the date of vesting) after it was determined that the applicable performance target had been achieved.</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283"/>
              <w:rPr>
                <w:sz w:val="4"/>
                <w:szCs w:val="4"/>
              </w:rPr>
            </w:pPr>
            <w:r>
              <w:rPr>
                <w:sz w:val="4"/>
                <w:szCs w:val="4"/>
              </w:rPr>
            </w:r>
          </w:p>
        </w:tc>
        <w:tc>
          <w:tcPr>
            <w:tcW w:w="9995" w:type="dxa"/>
            <w:tcBorders/>
            <w:shd w:fill="auto" w:val="clear"/>
            <w:vAlign w:val="center"/>
          </w:tcPr>
          <w:p>
            <w:pPr>
              <w:pStyle w:val="TableContents"/>
              <w:spacing w:before="0" w:after="283"/>
              <w:rPr>
                <w:sz w:val="4"/>
                <w:szCs w:val="4"/>
              </w:rPr>
            </w:pPr>
            <w:r>
              <w:rPr>
                <w:sz w:val="4"/>
                <w:szCs w:val="4"/>
              </w:rPr>
            </w:r>
          </w:p>
        </w:tc>
      </w:tr>
      <w:tr>
        <w:trPr/>
        <w:tc>
          <w:tcPr>
            <w:tcW w:w="21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(4)</w:t>
            </w:r>
          </w:p>
        </w:tc>
        <w:tc>
          <w:tcPr>
            <w:tcW w:w="9995" w:type="dxa"/>
            <w:tcBorders/>
            <w:shd w:fill="auto" w:val="clear"/>
            <w:vAlign w:val="center"/>
          </w:tcPr>
          <w:p>
            <w:pPr>
              <w:pStyle w:val="TableContents"/>
              <w:spacing w:lineRule="auto" w:line="288" w:before="0" w:after="0"/>
              <w:rPr>
                <w:rFonts w:ascii="inherit" w:hAnsi="inherit"/>
                <w:sz w:val="15"/>
              </w:rPr>
            </w:pPr>
            <w:r>
              <w:rPr>
                <w:rFonts w:ascii="inherit" w:hAnsi="inherit"/>
                <w:sz w:val="15"/>
              </w:rPr>
              <w:t>Of the shares shown, 14,400 vested on November 20, 2012 (market value of $17.57 per share on the date of vesting) after it was determined that the applicable performance target had been achieved, and 10,000 vested on March 11, 2013 (market value of $21.40 per share on the date of vesting).</w:t>
            </w:r>
          </w:p>
        </w:tc>
      </w:tr>
    </w:tbl>
    <w:tbl>
      <w:tblPr>
        <w:tblW w:w="10205" w:type="dxa"/>
        <w:jc w:val="left"/>
        <w:tblInd w:w="0" w:type="dxa"/>
        <w:tblCellMar>
          <w:top w:w="0" w:type="dxa"/>
          <w:left w:w="0" w:type="dxa"/>
          <w:bottom w:w="0" w:type="dxa"/>
          <w:right w:w="0" w:type="dxa"/>
        </w:tblCellMar>
      </w:tblPr>
      <w:tblGrid>
        <w:gridCol w:w="223"/>
        <w:gridCol w:w="9982"/>
      </w:tblGrid>
      <w:tr>
        <w:trPr/>
        <w:tc>
          <w:tcPr>
            <w:tcW w:w="223" w:type="dxa"/>
            <w:tcBorders/>
            <w:shd w:fill="auto" w:val="clear"/>
            <w:vAlign w:val="center"/>
          </w:tcPr>
          <w:p>
            <w:pPr>
              <w:pStyle w:val="TableContents"/>
              <w:spacing w:before="0" w:after="283"/>
              <w:rPr>
                <w:sz w:val="4"/>
                <w:szCs w:val="4"/>
              </w:rPr>
            </w:pPr>
            <w:r>
              <w:rPr>
                <w:sz w:val="4"/>
                <w:szCs w:val="4"/>
              </w:rPr>
            </w:r>
          </w:p>
        </w:tc>
        <w:tc>
          <w:tcPr>
            <w:tcW w:w="9982" w:type="dxa"/>
            <w:tcBorders/>
            <w:shd w:fill="auto" w:val="clear"/>
            <w:vAlign w:val="center"/>
          </w:tcPr>
          <w:p>
            <w:pPr>
              <w:pStyle w:val="TableContents"/>
              <w:spacing w:before="0" w:after="283"/>
              <w:rPr>
                <w:sz w:val="4"/>
                <w:szCs w:val="4"/>
              </w:rPr>
            </w:pPr>
            <w:r>
              <w:rPr>
                <w:sz w:val="4"/>
                <w:szCs w:val="4"/>
              </w:rPr>
            </w:r>
          </w:p>
        </w:tc>
      </w:tr>
      <w:tr>
        <w:trPr/>
        <w:tc>
          <w:tcPr>
            <w:tcW w:w="223"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(5)</w:t>
            </w:r>
          </w:p>
        </w:tc>
        <w:tc>
          <w:tcPr>
            <w:tcW w:w="9982" w:type="dxa"/>
            <w:tcBorders/>
            <w:shd w:fill="auto" w:val="clear"/>
            <w:vAlign w:val="center"/>
          </w:tcPr>
          <w:p>
            <w:pPr>
              <w:pStyle w:val="TableContents"/>
              <w:spacing w:lineRule="auto" w:line="288" w:before="0" w:after="0"/>
              <w:rPr>
                <w:rFonts w:ascii="inherit" w:hAnsi="inherit"/>
                <w:sz w:val="15"/>
              </w:rPr>
            </w:pPr>
            <w:r>
              <w:rPr>
                <w:rFonts w:ascii="inherit" w:hAnsi="inherit"/>
                <w:sz w:val="15"/>
              </w:rPr>
              <w:t>Of the shares shown, 4.900 vested on October 3, 2012 (market value of $22.77 per share on the date of vesting), and 3.333 vested on August 1, 2013 (market value of $18.52 per share on the date of vesting).</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283"/>
              <w:rPr>
                <w:sz w:val="4"/>
                <w:szCs w:val="4"/>
              </w:rPr>
            </w:pPr>
            <w:r>
              <w:rPr>
                <w:sz w:val="4"/>
                <w:szCs w:val="4"/>
              </w:rPr>
            </w:r>
          </w:p>
        </w:tc>
        <w:tc>
          <w:tcPr>
            <w:tcW w:w="9995" w:type="dxa"/>
            <w:tcBorders/>
            <w:shd w:fill="auto" w:val="clear"/>
            <w:vAlign w:val="center"/>
          </w:tcPr>
          <w:p>
            <w:pPr>
              <w:pStyle w:val="TableContents"/>
              <w:spacing w:before="0" w:after="283"/>
              <w:rPr>
                <w:sz w:val="4"/>
                <w:szCs w:val="4"/>
              </w:rPr>
            </w:pPr>
            <w:r>
              <w:rPr>
                <w:sz w:val="4"/>
                <w:szCs w:val="4"/>
              </w:rPr>
            </w:r>
          </w:p>
        </w:tc>
      </w:tr>
      <w:tr>
        <w:trPr/>
        <w:tc>
          <w:tcPr>
            <w:tcW w:w="21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(6)</w:t>
            </w:r>
          </w:p>
        </w:tc>
        <w:tc>
          <w:tcPr>
            <w:tcW w:w="9995" w:type="dxa"/>
            <w:tcBorders/>
            <w:shd w:fill="auto" w:val="clear"/>
            <w:vAlign w:val="center"/>
          </w:tcPr>
          <w:p>
            <w:pPr>
              <w:pStyle w:val="TableContents"/>
              <w:spacing w:lineRule="auto" w:line="288" w:before="0" w:after="0"/>
              <w:rPr>
                <w:rFonts w:ascii="inherit" w:hAnsi="inherit"/>
                <w:sz w:val="15"/>
              </w:rPr>
            </w:pPr>
            <w:r>
              <w:rPr>
                <w:rFonts w:ascii="inherit" w:hAnsi="inherit"/>
                <w:sz w:val="15"/>
              </w:rPr>
              <w:t>Of the shares shown, 10,000 vested on October 1, 2012 (market value of $23.13 per share on the date of vesting), and 6,400 vested on November 20, 2012 (market value of $17.57 per share on the date of vesting) after it was determined that the applicable performance target had been achieved.</w:t>
            </w:r>
          </w:p>
        </w:tc>
      </w:tr>
    </w:tbl>
    <w:p>
      <w:pPr>
        <w:pStyle w:val="TextBody"/>
        <w:spacing w:lineRule="auto" w:line="288" w:before="0" w:after="0"/>
        <w:ind w:left="0" w:right="0" w:hanging="360"/>
        <w:rPr>
          <w:rFonts w:ascii="inherit" w:hAnsi="inherit"/>
          <w:sz w:val="15"/>
        </w:rPr>
      </w:pPr>
      <w:r>
        <w:rPr>
          <w:rFonts w:ascii="inherit" w:hAnsi="inherit"/>
          <w:sz w:val="15"/>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129</w:t>
      </w:r>
      <w:r>
        <w:br w:type="page"/>
      </w:r>
    </w:p>
    <w:p>
      <w:pPr>
        <w:pStyle w:val="TextBody"/>
        <w:spacing w:lineRule="auto" w:line="288" w:before="0" w:after="0"/>
        <w:rPr/>
      </w:pPr>
      <w:hyperlink w:anchor="sA13583D437E20DC41B4583E2BD74AA47">
        <w:bookmarkStart w:id="112" w:name="s7A330994359C4B0B7B9783E285A28D07"/>
        <w:bookmarkEnd w:id="112"/>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Other Benefits and Perquisites</w:t>
      </w:r>
    </w:p>
    <w:p>
      <w:pPr>
        <w:pStyle w:val="TextBody"/>
        <w:spacing w:lineRule="auto" w:line="288" w:before="0" w:after="0"/>
        <w:jc w:val="left"/>
        <w:rPr>
          <w:sz w:val="17"/>
        </w:rPr>
      </w:pPr>
      <w:r>
        <w:rPr>
          <w:rFonts w:ascii="inherit" w:hAnsi="inherit"/>
          <w:i/>
          <w:sz w:val="17"/>
        </w:rPr>
        <w:t>401(k) Retirement Plan</w:t>
      </w:r>
      <w:r>
        <w:rPr>
          <w:sz w:val="17"/>
        </w:rPr>
        <w:t xml:space="preserve"> — </w:t>
      </w:r>
      <w:r>
        <w:rPr>
          <w:rFonts w:ascii="inherit" w:hAnsi="inherit"/>
          <w:sz w:val="17"/>
        </w:rPr>
        <w:t>All employees are given an opportunity to participate in our 401(k) retirement savings plan (following a new-hire waiting period). This plan allows participants to have pre-tax amounts withheld from their pay and provides for a discretionary employer matching contribution (currently, a 25% match in the form of our Class A Non-voting Common Stock up to 6% of salary). Participants may invest their contributions in various fund options, but are prohibited from investing their contributions in our common stock. Prior to July 1, 2013, a participant vested in the matching contributions pro rata over their first five</w:t>
      </w:r>
      <w:r>
        <w:rPr>
          <w:sz w:val="17"/>
        </w:rPr>
        <w:t xml:space="preserve"> </w:t>
      </w:r>
      <w:r>
        <w:rPr>
          <w:rFonts w:ascii="inherit" w:hAnsi="inherit"/>
          <w:sz w:val="17"/>
        </w:rPr>
        <w:t>years of service. As of July 1, 2013, a participant vests in the matching contributions pro rata over their first three</w:t>
      </w:r>
      <w:r>
        <w:rPr>
          <w:sz w:val="17"/>
        </w:rPr>
        <w:t xml:space="preserve"> </w:t>
      </w:r>
      <w:r>
        <w:rPr>
          <w:rFonts w:ascii="inherit" w:hAnsi="inherit"/>
          <w:sz w:val="17"/>
        </w:rPr>
        <w:t>years of service. All of a participant’s matching contributions vest 100%</w:t>
      </w:r>
      <w:r>
        <w:rPr>
          <w:sz w:val="17"/>
        </w:rPr>
        <w:t xml:space="preserve"> </w:t>
      </w:r>
      <w:r>
        <w:rPr>
          <w:rFonts w:ascii="inherit" w:hAnsi="inherit"/>
          <w:sz w:val="17"/>
        </w:rPr>
        <w:t>in the event of the participant’s death or disability or the termination of the plan due to a change in control.</w:t>
      </w:r>
    </w:p>
    <w:p>
      <w:pPr>
        <w:pStyle w:val="TextBody"/>
        <w:spacing w:lineRule="auto" w:line="288" w:before="0" w:after="0"/>
        <w:jc w:val="left"/>
        <w:rPr>
          <w:sz w:val="17"/>
        </w:rPr>
      </w:pPr>
      <w:r>
        <w:rPr>
          <w:rFonts w:ascii="inherit" w:hAnsi="inherit"/>
          <w:i/>
          <w:sz w:val="17"/>
        </w:rPr>
        <w:t>Supplemental Executive Retirement Plan</w:t>
      </w:r>
      <w:r>
        <w:rPr>
          <w:sz w:val="17"/>
        </w:rPr>
        <w:t xml:space="preserve"> — </w:t>
      </w:r>
      <w:r>
        <w:rPr>
          <w:rFonts w:ascii="inherit" w:hAnsi="inherit"/>
          <w:sz w:val="17"/>
        </w:rPr>
        <w:t xml:space="preserve">The Internal Revenue Code limits the amount of pre-tax savings that highly paid executives can contribute to the 401(k) plan. To offset some of the negative impact of these limitations on retirement savings and to encourage retention of key executives, we provide selected executives with a non-qualified Supplemental Executive Retirement Plan (“SERP”). Company contributions to the SERP are formula-based, reviewed and recommended by management and approved by the Compensation Committee each year. Currently, our annual contributions to the SERP are calculated as a percentage of the sum of base salary plus target bonus, with that percentage being 9% for Senior Vice Presidents or above and 4% for Vice Presidents. The SERP has been designed to provide a potential replacement value of 10% to 20% of final pay for each participant, assuming that the individual remains with us and participates in the SERP for twenty years. There were 13 participants in the SERP during fiscal </w:t>
      </w:r>
      <w:r>
        <w:rPr>
          <w:rFonts w:ascii="inherit" w:hAnsi="inherit"/>
          <w:strike w:val="false"/>
          <w:dstrike w:val="false"/>
          <w:color w:val="000000"/>
          <w:sz w:val="17"/>
          <w:u w:val="none"/>
          <w:effect w:val="none"/>
        </w:rPr>
        <w:t>2013</w:t>
      </w:r>
      <w:r>
        <w:rPr>
          <w:rFonts w:ascii="inherit" w:hAnsi="inherit"/>
          <w:sz w:val="17"/>
        </w:rPr>
        <w:t>.</w:t>
      </w:r>
    </w:p>
    <w:p>
      <w:pPr>
        <w:pStyle w:val="TextBody"/>
        <w:spacing w:lineRule="auto" w:line="288" w:before="0" w:after="0"/>
        <w:jc w:val="left"/>
        <w:rPr>
          <w:rFonts w:ascii="inherit" w:hAnsi="inherit"/>
          <w:sz w:val="17"/>
        </w:rPr>
      </w:pPr>
      <w:r>
        <w:rPr>
          <w:rFonts w:ascii="inherit" w:hAnsi="inherit"/>
          <w:sz w:val="17"/>
        </w:rPr>
        <w:t>All SERP funds have a vesting schedule as an additional retention tool. Generally, the funds vest over three years from the grant date, with one-third vesting each year. All of a participant’s SERP funds vest 100% in the event of his or her death or disability, the termination of his or her employment without cause, or the termination of the plan due to a change in control of the company. In addition, all SERP funds are 100% vested when a participant attains his or her normal retirement age (60 years old and five years of active service) while actively employed by us. All SERP funds are forfeited, regardless of vesting status, if the participant’s employment is terminated for cause.</w:t>
      </w:r>
    </w:p>
    <w:p>
      <w:pPr>
        <w:pStyle w:val="TextBody"/>
        <w:spacing w:lineRule="auto" w:line="288" w:before="0" w:after="0"/>
        <w:jc w:val="left"/>
        <w:rPr>
          <w:rFonts w:ascii="inherit" w:hAnsi="inherit"/>
          <w:sz w:val="17"/>
        </w:rPr>
      </w:pPr>
      <w:r>
        <w:rPr>
          <w:rFonts w:ascii="inherit" w:hAnsi="inherit"/>
          <w:sz w:val="17"/>
        </w:rPr>
        <w:t>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w:t>
      </w:r>
    </w:p>
    <w:p>
      <w:pPr>
        <w:pStyle w:val="TextBody"/>
        <w:spacing w:lineRule="auto" w:line="288" w:before="0" w:after="0"/>
        <w:jc w:val="left"/>
        <w:rPr>
          <w:sz w:val="17"/>
        </w:rPr>
      </w:pPr>
      <w:r>
        <w:rPr>
          <w:rFonts w:ascii="inherit" w:hAnsi="inherit"/>
          <w:sz w:val="17"/>
        </w:rPr>
        <w:t xml:space="preserve">The following table describes the contributions, earnings and balance at the end of fiscal </w:t>
      </w:r>
      <w:r>
        <w:rPr>
          <w:rFonts w:ascii="inherit" w:hAnsi="inherit"/>
          <w:strike w:val="false"/>
          <w:dstrike w:val="false"/>
          <w:color w:val="000000"/>
          <w:sz w:val="17"/>
          <w:u w:val="none"/>
          <w:effect w:val="none"/>
        </w:rPr>
        <w:t>2013</w:t>
      </w:r>
      <w:r>
        <w:rPr>
          <w:sz w:val="17"/>
        </w:rPr>
        <w:t xml:space="preserve"> </w:t>
      </w:r>
      <w:r>
        <w:rPr>
          <w:rFonts w:ascii="inherit" w:hAnsi="inherit"/>
          <w:sz w:val="17"/>
        </w:rPr>
        <w:t>for each of the Named Executive Officers:</w:t>
      </w:r>
    </w:p>
    <w:p>
      <w:pPr>
        <w:pStyle w:val="TextBody"/>
        <w:spacing w:lineRule="auto" w:line="288" w:before="0" w:after="0"/>
        <w:jc w:val="center"/>
        <w:rPr>
          <w:rFonts w:ascii="inherit" w:hAnsi="inherit"/>
          <w:b/>
          <w:sz w:val="17"/>
        </w:rPr>
      </w:pPr>
      <w:r>
        <w:rPr>
          <w:rFonts w:ascii="inherit" w:hAnsi="inherit"/>
          <w:b/>
          <w:sz w:val="17"/>
        </w:rPr>
        <w:t>Nonqualified Deferred Compensation</w:t>
      </w:r>
    </w:p>
    <w:tbl>
      <w:tblPr>
        <w:tblW w:w="10205" w:type="dxa"/>
        <w:jc w:val="left"/>
        <w:tblInd w:w="0" w:type="dxa"/>
        <w:tblCellMar>
          <w:top w:w="0" w:type="dxa"/>
          <w:left w:w="0" w:type="dxa"/>
          <w:bottom w:w="0" w:type="dxa"/>
          <w:right w:w="0" w:type="dxa"/>
        </w:tblCellMar>
      </w:tblPr>
      <w:tblGrid>
        <w:gridCol w:w="3461"/>
        <w:gridCol w:w="196"/>
        <w:gridCol w:w="1384"/>
        <w:gridCol w:w="88"/>
        <w:gridCol w:w="137"/>
        <w:gridCol w:w="181"/>
        <w:gridCol w:w="1190"/>
        <w:gridCol w:w="85"/>
        <w:gridCol w:w="137"/>
        <w:gridCol w:w="288"/>
        <w:gridCol w:w="1072"/>
        <w:gridCol w:w="109"/>
        <w:gridCol w:w="222"/>
        <w:gridCol w:w="170"/>
        <w:gridCol w:w="1379"/>
        <w:gridCol w:w="10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46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61"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Named Executive Officer</w:t>
            </w:r>
          </w:p>
        </w:tc>
        <w:tc>
          <w:tcPr>
            <w:tcW w:w="1668"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 Contributions in Fiscal 2013 (1)</w:t>
            </w:r>
          </w:p>
        </w:tc>
        <w:tc>
          <w:tcPr>
            <w:tcW w:w="137" w:type="dxa"/>
            <w:tcBorders/>
            <w:shd w:fill="auto" w:val="clear"/>
            <w:vAlign w:val="center"/>
          </w:tcPr>
          <w:p>
            <w:pPr>
              <w:pStyle w:val="TableContents"/>
              <w:spacing w:before="0" w:after="0"/>
              <w:ind w:left="0" w:right="0" w:firstLine="30"/>
              <w:rPr/>
            </w:pPr>
            <w:r>
              <w:rPr/>
              <w:t> </w:t>
            </w:r>
          </w:p>
        </w:tc>
        <w:tc>
          <w:tcPr>
            <w:tcW w:w="1456"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Aggregate Earnings in Fiscal 2013 (2)</w:t>
            </w:r>
          </w:p>
        </w:tc>
        <w:tc>
          <w:tcPr>
            <w:tcW w:w="137" w:type="dxa"/>
            <w:tcBorders/>
            <w:shd w:fill="auto" w:val="clear"/>
            <w:vAlign w:val="center"/>
          </w:tcPr>
          <w:p>
            <w:pPr>
              <w:pStyle w:val="TableContents"/>
              <w:spacing w:before="0" w:after="0"/>
              <w:ind w:left="0" w:right="0" w:firstLine="30"/>
              <w:rPr/>
            </w:pPr>
            <w:r>
              <w:rPr/>
              <w:t> </w:t>
            </w:r>
          </w:p>
        </w:tc>
        <w:tc>
          <w:tcPr>
            <w:tcW w:w="1691" w:type="dxa"/>
            <w:gridSpan w:val="4"/>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Aggregate Withdrawals/Distributions in Fiscal 2013</w:t>
            </w:r>
          </w:p>
        </w:tc>
        <w:tc>
          <w:tcPr>
            <w:tcW w:w="1655"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Aggregate Balance at September 30, 2013 (3)</w:t>
            </w:r>
          </w:p>
        </w:tc>
      </w:tr>
      <w:tr>
        <w:trPr/>
        <w:tc>
          <w:tcPr>
            <w:tcW w:w="3461" w:type="dxa"/>
            <w:vMerge w:val="continue"/>
            <w:tcBorders>
              <w:bottom w:val="single" w:sz="2" w:space="0" w:color="000000"/>
            </w:tcBorders>
            <w:shd w:fill="auto" w:val="clear"/>
            <w:tcMar>
              <w:bottom w:w="30" w:type="dxa"/>
            </w:tcMar>
            <w:vAlign w:val="center"/>
          </w:tcPr>
          <w:p>
            <w:pPr>
              <w:pStyle w:val="Normal"/>
              <w:rPr/>
            </w:pPr>
            <w:r>
              <w:rPr/>
            </w:r>
          </w:p>
        </w:tc>
        <w:tc>
          <w:tcPr>
            <w:tcW w:w="1668" w:type="dxa"/>
            <w:gridSpan w:val="3"/>
            <w:vMerge w:val="continue"/>
            <w:tcBorders>
              <w:bottom w:val="single" w:sz="2" w:space="0" w:color="000000"/>
            </w:tcBorders>
            <w:shd w:fill="auto" w:val="clear"/>
            <w:tcMar>
              <w:bottom w:w="30" w:type="dxa"/>
            </w:tcMar>
            <w:vAlign w:val="center"/>
          </w:tcPr>
          <w:p>
            <w:pPr>
              <w:pStyle w:val="Normal"/>
              <w:rPr/>
            </w:pPr>
            <w:r>
              <w:rPr/>
            </w:r>
          </w:p>
        </w:tc>
        <w:tc>
          <w:tcPr>
            <w:tcW w:w="137" w:type="dxa"/>
            <w:tcBorders/>
            <w:shd w:fill="auto" w:val="clear"/>
            <w:vAlign w:val="center"/>
          </w:tcPr>
          <w:p>
            <w:pPr>
              <w:pStyle w:val="TableContents"/>
              <w:spacing w:before="0" w:after="0"/>
              <w:ind w:left="0" w:right="0" w:firstLine="30"/>
              <w:rPr/>
            </w:pPr>
            <w:r>
              <w:rPr/>
              <w:t> </w:t>
            </w:r>
          </w:p>
        </w:tc>
        <w:tc>
          <w:tcPr>
            <w:tcW w:w="1456" w:type="dxa"/>
            <w:gridSpan w:val="3"/>
            <w:vMerge w:val="continue"/>
            <w:tcBorders>
              <w:bottom w:val="single" w:sz="2" w:space="0" w:color="000000"/>
            </w:tcBorders>
            <w:shd w:fill="auto" w:val="clear"/>
            <w:tcMar>
              <w:bottom w:w="30" w:type="dxa"/>
            </w:tcMar>
            <w:vAlign w:val="center"/>
          </w:tcPr>
          <w:p>
            <w:pPr>
              <w:pStyle w:val="Normal"/>
              <w:rPr/>
            </w:pPr>
            <w:r>
              <w:rPr/>
            </w:r>
          </w:p>
        </w:tc>
        <w:tc>
          <w:tcPr>
            <w:tcW w:w="137" w:type="dxa"/>
            <w:tcBorders/>
            <w:shd w:fill="auto" w:val="clear"/>
            <w:vAlign w:val="center"/>
          </w:tcPr>
          <w:p>
            <w:pPr>
              <w:pStyle w:val="TableContents"/>
              <w:spacing w:before="0" w:after="0"/>
              <w:ind w:left="0" w:right="0" w:firstLine="30"/>
              <w:rPr/>
            </w:pPr>
            <w:r>
              <w:rPr/>
              <w:t> </w:t>
            </w:r>
          </w:p>
        </w:tc>
        <w:tc>
          <w:tcPr>
            <w:tcW w:w="1691" w:type="dxa"/>
            <w:gridSpan w:val="4"/>
            <w:vMerge w:val="continue"/>
            <w:tcBorders>
              <w:bottom w:val="single" w:sz="2" w:space="0" w:color="000000"/>
            </w:tcBorders>
            <w:shd w:fill="auto" w:val="clear"/>
            <w:tcMar>
              <w:bottom w:w="30" w:type="dxa"/>
            </w:tcMar>
            <w:vAlign w:val="center"/>
          </w:tcPr>
          <w:p>
            <w:pPr>
              <w:pStyle w:val="Normal"/>
              <w:rPr/>
            </w:pPr>
            <w:r>
              <w:rPr/>
            </w:r>
          </w:p>
        </w:tc>
        <w:tc>
          <w:tcPr>
            <w:tcW w:w="1655"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3461" w:type="dxa"/>
            <w:vMerge w:val="continue"/>
            <w:tcBorders>
              <w:bottom w:val="single" w:sz="2" w:space="0" w:color="000000"/>
            </w:tcBorders>
            <w:shd w:fill="auto" w:val="clear"/>
            <w:tcMar>
              <w:bottom w:w="30" w:type="dxa"/>
            </w:tcMar>
            <w:vAlign w:val="center"/>
          </w:tcPr>
          <w:p>
            <w:pPr>
              <w:pStyle w:val="Normal"/>
              <w:rPr/>
            </w:pPr>
            <w:r>
              <w:rPr/>
            </w:r>
          </w:p>
        </w:tc>
        <w:tc>
          <w:tcPr>
            <w:tcW w:w="1668" w:type="dxa"/>
            <w:gridSpan w:val="3"/>
            <w:vMerge w:val="continue"/>
            <w:tcBorders>
              <w:bottom w:val="single" w:sz="2" w:space="0" w:color="000000"/>
            </w:tcBorders>
            <w:shd w:fill="auto" w:val="clear"/>
            <w:tcMar>
              <w:bottom w:w="30" w:type="dxa"/>
            </w:tcMar>
            <w:vAlign w:val="center"/>
          </w:tcPr>
          <w:p>
            <w:pPr>
              <w:pStyle w:val="Normal"/>
              <w:rPr/>
            </w:pPr>
            <w:r>
              <w:rPr/>
            </w:r>
          </w:p>
        </w:tc>
        <w:tc>
          <w:tcPr>
            <w:tcW w:w="137"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56" w:type="dxa"/>
            <w:gridSpan w:val="3"/>
            <w:vMerge w:val="continue"/>
            <w:tcBorders>
              <w:bottom w:val="single" w:sz="2" w:space="0" w:color="000000"/>
            </w:tcBorders>
            <w:shd w:fill="auto" w:val="clear"/>
            <w:tcMar>
              <w:bottom w:w="30" w:type="dxa"/>
            </w:tcMar>
            <w:vAlign w:val="center"/>
          </w:tcPr>
          <w:p>
            <w:pPr>
              <w:pStyle w:val="Normal"/>
              <w:rPr/>
            </w:pPr>
            <w:r>
              <w:rPr/>
            </w:r>
          </w:p>
        </w:tc>
        <w:tc>
          <w:tcPr>
            <w:tcW w:w="137"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691" w:type="dxa"/>
            <w:gridSpan w:val="4"/>
            <w:vMerge w:val="continue"/>
            <w:tcBorders>
              <w:bottom w:val="single" w:sz="2" w:space="0" w:color="000000"/>
            </w:tcBorders>
            <w:shd w:fill="auto" w:val="clear"/>
            <w:tcMar>
              <w:bottom w:w="30" w:type="dxa"/>
            </w:tcMar>
            <w:vAlign w:val="center"/>
          </w:tcPr>
          <w:p>
            <w:pPr>
              <w:pStyle w:val="Normal"/>
              <w:rPr/>
            </w:pPr>
            <w:r>
              <w:rPr/>
            </w:r>
          </w:p>
        </w:tc>
        <w:tc>
          <w:tcPr>
            <w:tcW w:w="1655"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34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Rothamel</w:t>
            </w:r>
          </w:p>
        </w:tc>
        <w:tc>
          <w:tcPr>
            <w:tcW w:w="19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84" w:type="dxa"/>
            <w:tcBorders/>
            <w:shd w:fill="CCEEFF" w:val="clear"/>
            <w:vAlign w:val="center"/>
          </w:tcPr>
          <w:p>
            <w:pPr>
              <w:pStyle w:val="TableContents"/>
              <w:spacing w:before="0" w:after="0"/>
              <w:jc w:val="right"/>
              <w:rPr>
                <w:rFonts w:ascii="inherit" w:hAnsi="inherit"/>
                <w:sz w:val="17"/>
              </w:rPr>
            </w:pPr>
            <w:r>
              <w:rPr>
                <w:rFonts w:ascii="inherit" w:hAnsi="inherit"/>
                <w:sz w:val="17"/>
              </w:rPr>
              <w:t>270,000</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0" w:type="dxa"/>
            <w:tcBorders/>
            <w:shd w:fill="CCEEFF" w:val="clear"/>
            <w:vAlign w:val="center"/>
          </w:tcPr>
          <w:p>
            <w:pPr>
              <w:pStyle w:val="TableContents"/>
              <w:spacing w:before="0" w:after="0"/>
              <w:jc w:val="right"/>
              <w:rPr>
                <w:rFonts w:ascii="inherit" w:hAnsi="inherit"/>
                <w:sz w:val="17"/>
              </w:rPr>
            </w:pPr>
            <w:r>
              <w:rPr>
                <w:rFonts w:ascii="inherit" w:hAnsi="inherit"/>
                <w:sz w:val="17"/>
              </w:rPr>
              <w:t>42,760</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28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72"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0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2" w:type="dxa"/>
            <w:tcBorders/>
            <w:shd w:fill="CCEEFF" w:val="clear"/>
            <w:vAlign w:val="center"/>
          </w:tcPr>
          <w:p>
            <w:pPr>
              <w:pStyle w:val="TableContents"/>
              <w:spacing w:before="0" w:after="0"/>
              <w:ind w:left="0" w:right="0" w:firstLine="30"/>
              <w:rPr/>
            </w:pPr>
            <w:r>
              <w:rPr/>
              <w:t> </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79" w:type="dxa"/>
            <w:tcBorders/>
            <w:shd w:fill="CCEEFF" w:val="clear"/>
            <w:vAlign w:val="center"/>
          </w:tcPr>
          <w:p>
            <w:pPr>
              <w:pStyle w:val="TableContents"/>
              <w:spacing w:before="0" w:after="0"/>
              <w:jc w:val="right"/>
              <w:rPr>
                <w:rFonts w:ascii="inherit" w:hAnsi="inherit"/>
                <w:sz w:val="17"/>
              </w:rPr>
            </w:pPr>
            <w:r>
              <w:rPr>
                <w:rFonts w:ascii="inherit" w:hAnsi="inherit"/>
                <w:sz w:val="17"/>
              </w:rPr>
              <w:t>1,026,807</w:t>
            </w:r>
          </w:p>
        </w:tc>
        <w:tc>
          <w:tcPr>
            <w:tcW w:w="1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Stamp</w:t>
            </w:r>
          </w:p>
        </w:tc>
        <w:tc>
          <w:tcPr>
            <w:tcW w:w="1580" w:type="dxa"/>
            <w:gridSpan w:val="2"/>
            <w:tcBorders/>
            <w:shd w:fill="auto" w:val="clear"/>
            <w:vAlign w:val="center"/>
          </w:tcPr>
          <w:p>
            <w:pPr>
              <w:pStyle w:val="TableContents"/>
              <w:spacing w:before="0" w:after="0"/>
              <w:jc w:val="right"/>
              <w:rPr/>
            </w:pPr>
            <w:r>
              <w:rPr/>
              <w:t>—</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3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6,289</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3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131,951</w:t>
            </w:r>
          </w:p>
        </w:tc>
        <w:tc>
          <w:tcPr>
            <w:tcW w:w="1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2" w:type="dxa"/>
            <w:tcBorders/>
            <w:shd w:fill="auto" w:val="clear"/>
            <w:vAlign w:val="center"/>
          </w:tcPr>
          <w:p>
            <w:pPr>
              <w:pStyle w:val="TableContents"/>
              <w:spacing w:before="0" w:after="0"/>
              <w:ind w:left="0" w:right="0" w:firstLine="30"/>
              <w:rPr/>
            </w:pPr>
            <w:r>
              <w:rPr/>
              <w:t> </w:t>
            </w:r>
          </w:p>
        </w:tc>
        <w:tc>
          <w:tcPr>
            <w:tcW w:w="1549" w:type="dxa"/>
            <w:gridSpan w:val="2"/>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Kuchenrither</w:t>
            </w:r>
          </w:p>
        </w:tc>
        <w:tc>
          <w:tcPr>
            <w:tcW w:w="15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141,750</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3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44,570</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360" w:type="dxa"/>
            <w:gridSpan w:val="2"/>
            <w:tcBorders/>
            <w:shd w:fill="CCEEFF" w:val="clear"/>
            <w:vAlign w:val="center"/>
          </w:tcPr>
          <w:p>
            <w:pPr>
              <w:pStyle w:val="TableContents"/>
              <w:spacing w:before="0" w:after="0"/>
              <w:jc w:val="right"/>
              <w:rPr/>
            </w:pPr>
            <w:r>
              <w:rPr/>
              <w:t>—</w:t>
            </w:r>
          </w:p>
        </w:tc>
        <w:tc>
          <w:tcPr>
            <w:tcW w:w="1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2" w:type="dxa"/>
            <w:tcBorders/>
            <w:shd w:fill="CCEEFF" w:val="clear"/>
            <w:vAlign w:val="center"/>
          </w:tcPr>
          <w:p>
            <w:pPr>
              <w:pStyle w:val="TableContents"/>
              <w:spacing w:before="0" w:after="0"/>
              <w:ind w:left="0" w:right="0" w:firstLine="30"/>
              <w:rPr/>
            </w:pPr>
            <w:r>
              <w:rPr/>
              <w:t> </w:t>
            </w:r>
          </w:p>
        </w:tc>
        <w:tc>
          <w:tcPr>
            <w:tcW w:w="15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342,645</w:t>
            </w:r>
          </w:p>
        </w:tc>
        <w:tc>
          <w:tcPr>
            <w:tcW w:w="1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Brinkley</w:t>
            </w:r>
          </w:p>
        </w:tc>
        <w:tc>
          <w:tcPr>
            <w:tcW w:w="15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270,000</w:t>
            </w:r>
          </w:p>
        </w:tc>
        <w:tc>
          <w:tcPr>
            <w:tcW w:w="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3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221,645</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360" w:type="dxa"/>
            <w:gridSpan w:val="2"/>
            <w:tcBorders/>
            <w:shd w:fill="auto" w:val="clear"/>
            <w:vAlign w:val="center"/>
          </w:tcPr>
          <w:p>
            <w:pPr>
              <w:pStyle w:val="TableContents"/>
              <w:spacing w:before="0" w:after="0"/>
              <w:jc w:val="right"/>
              <w:rPr/>
            </w:pPr>
            <w:r>
              <w:rPr/>
              <w:t>—</w:t>
            </w:r>
          </w:p>
        </w:tc>
        <w:tc>
          <w:tcPr>
            <w:tcW w:w="1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2" w:type="dxa"/>
            <w:tcBorders/>
            <w:shd w:fill="auto" w:val="clear"/>
            <w:vAlign w:val="center"/>
          </w:tcPr>
          <w:p>
            <w:pPr>
              <w:pStyle w:val="TableContents"/>
              <w:spacing w:before="0" w:after="0"/>
              <w:ind w:left="0" w:right="0" w:firstLine="30"/>
              <w:rPr/>
            </w:pPr>
            <w:r>
              <w:rPr/>
              <w:t> </w:t>
            </w:r>
          </w:p>
        </w:tc>
        <w:tc>
          <w:tcPr>
            <w:tcW w:w="15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1,753,969</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Guest</w:t>
            </w:r>
          </w:p>
        </w:tc>
        <w:tc>
          <w:tcPr>
            <w:tcW w:w="15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59,040</w:t>
            </w:r>
          </w:p>
        </w:tc>
        <w:tc>
          <w:tcPr>
            <w:tcW w:w="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3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12,968</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360" w:type="dxa"/>
            <w:gridSpan w:val="2"/>
            <w:tcBorders/>
            <w:shd w:fill="CCEEFF" w:val="clear"/>
            <w:vAlign w:val="center"/>
          </w:tcPr>
          <w:p>
            <w:pPr>
              <w:pStyle w:val="TableContents"/>
              <w:spacing w:before="0" w:after="0"/>
              <w:jc w:val="right"/>
              <w:rPr/>
            </w:pPr>
            <w:r>
              <w:rPr/>
              <w:t>—</w:t>
            </w:r>
          </w:p>
        </w:tc>
        <w:tc>
          <w:tcPr>
            <w:tcW w:w="1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2" w:type="dxa"/>
            <w:tcBorders/>
            <w:shd w:fill="CCEEFF" w:val="clear"/>
            <w:vAlign w:val="center"/>
          </w:tcPr>
          <w:p>
            <w:pPr>
              <w:pStyle w:val="TableContents"/>
              <w:spacing w:before="0" w:after="0"/>
              <w:ind w:left="0" w:right="0" w:firstLine="30"/>
              <w:rPr/>
            </w:pPr>
            <w:r>
              <w:rPr/>
              <w:t> </w:t>
            </w:r>
          </w:p>
        </w:tc>
        <w:tc>
          <w:tcPr>
            <w:tcW w:w="15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127,426</w:t>
            </w:r>
          </w:p>
        </w:tc>
        <w:tc>
          <w:tcPr>
            <w:tcW w:w="1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6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Mr. Welch</w:t>
            </w:r>
          </w:p>
        </w:tc>
        <w:tc>
          <w:tcPr>
            <w:tcW w:w="15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47,520</w:t>
            </w:r>
          </w:p>
        </w:tc>
        <w:tc>
          <w:tcPr>
            <w:tcW w:w="8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28,928</w:t>
            </w:r>
          </w:p>
        </w:tc>
        <w:tc>
          <w:tcPr>
            <w:tcW w:w="8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6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0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2"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5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234,606</w:t>
            </w:r>
          </w:p>
        </w:tc>
        <w:tc>
          <w:tcPr>
            <w:tcW w:w="106" w:type="dxa"/>
            <w:tcBorders>
              <w:bottom w:val="single" w:sz="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400" w:type="dxa"/>
        <w:jc w:val="left"/>
        <w:tblInd w:w="0" w:type="dxa"/>
        <w:tblCellMar>
          <w:top w:w="0" w:type="dxa"/>
          <w:left w:w="0" w:type="dxa"/>
          <w:bottom w:w="0" w:type="dxa"/>
          <w:right w:w="0" w:type="dxa"/>
        </w:tblCellMar>
      </w:tblPr>
      <w:tblGrid>
        <w:gridCol w:w="245"/>
        <w:gridCol w:w="9155"/>
      </w:tblGrid>
      <w:tr>
        <w:trPr/>
        <w:tc>
          <w:tcPr>
            <w:tcW w:w="245" w:type="dxa"/>
            <w:tcBorders/>
            <w:shd w:fill="auto" w:val="clear"/>
            <w:vAlign w:val="center"/>
          </w:tcPr>
          <w:p>
            <w:pPr>
              <w:pStyle w:val="TableContents"/>
              <w:spacing w:before="0" w:after="283"/>
              <w:rPr>
                <w:sz w:val="4"/>
                <w:szCs w:val="4"/>
              </w:rPr>
            </w:pPr>
            <w:r>
              <w:rPr>
                <w:sz w:val="4"/>
                <w:szCs w:val="4"/>
              </w:rPr>
            </w:r>
          </w:p>
        </w:tc>
        <w:tc>
          <w:tcPr>
            <w:tcW w:w="915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(1)</w:t>
            </w:r>
          </w:p>
        </w:tc>
        <w:tc>
          <w:tcPr>
            <w:tcW w:w="9155" w:type="dxa"/>
            <w:tcBorders/>
            <w:shd w:fill="auto" w:val="clear"/>
            <w:vAlign w:val="center"/>
          </w:tcPr>
          <w:p>
            <w:pPr>
              <w:pStyle w:val="TableContents"/>
              <w:spacing w:lineRule="auto" w:line="288" w:before="0" w:after="0"/>
              <w:rPr>
                <w:rFonts w:ascii="inherit" w:hAnsi="inherit"/>
                <w:sz w:val="15"/>
              </w:rPr>
            </w:pPr>
            <w:r>
              <w:rPr>
                <w:rFonts w:ascii="inherit" w:hAnsi="inherit"/>
                <w:sz w:val="15"/>
              </w:rPr>
              <w:t>These amounts were included in the Summary Compensation Table above in the column labeled “All Other Compensation.”</w:t>
            </w:r>
          </w:p>
        </w:tc>
      </w:tr>
    </w:tbl>
    <w:tbl>
      <w:tblPr>
        <w:tblW w:w="9370" w:type="dxa"/>
        <w:jc w:val="left"/>
        <w:tblInd w:w="0" w:type="dxa"/>
        <w:tblCellMar>
          <w:top w:w="0" w:type="dxa"/>
          <w:left w:w="0" w:type="dxa"/>
          <w:bottom w:w="0" w:type="dxa"/>
          <w:right w:w="0" w:type="dxa"/>
        </w:tblCellMar>
      </w:tblPr>
      <w:tblGrid>
        <w:gridCol w:w="245"/>
        <w:gridCol w:w="9125"/>
      </w:tblGrid>
      <w:tr>
        <w:trPr/>
        <w:tc>
          <w:tcPr>
            <w:tcW w:w="245" w:type="dxa"/>
            <w:tcBorders/>
            <w:shd w:fill="auto" w:val="clear"/>
            <w:vAlign w:val="center"/>
          </w:tcPr>
          <w:p>
            <w:pPr>
              <w:pStyle w:val="TableContents"/>
              <w:spacing w:before="0" w:after="283"/>
              <w:rPr>
                <w:sz w:val="4"/>
                <w:szCs w:val="4"/>
              </w:rPr>
            </w:pPr>
            <w:r>
              <w:rPr>
                <w:sz w:val="4"/>
                <w:szCs w:val="4"/>
              </w:rPr>
            </w:r>
          </w:p>
        </w:tc>
        <w:tc>
          <w:tcPr>
            <w:tcW w:w="912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(2)</w:t>
            </w:r>
          </w:p>
        </w:tc>
        <w:tc>
          <w:tcPr>
            <w:tcW w:w="9125" w:type="dxa"/>
            <w:tcBorders/>
            <w:shd w:fill="auto" w:val="clear"/>
            <w:vAlign w:val="center"/>
          </w:tcPr>
          <w:p>
            <w:pPr>
              <w:pStyle w:val="TableContents"/>
              <w:spacing w:lineRule="auto" w:line="288" w:before="0" w:after="0"/>
              <w:rPr>
                <w:rFonts w:ascii="inherit" w:hAnsi="inherit"/>
                <w:sz w:val="15"/>
              </w:rPr>
            </w:pPr>
            <w:r>
              <w:rPr>
                <w:rFonts w:ascii="inherit" w:hAnsi="inherit"/>
                <w:sz w:val="15"/>
              </w:rPr>
              <w:t>These amounts were not included in the Summary Compensation Table as the earnings were not in excess of market rates.</w:t>
            </w:r>
          </w:p>
        </w:tc>
      </w:tr>
    </w:tbl>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283"/>
              <w:rPr>
                <w:sz w:val="4"/>
                <w:szCs w:val="4"/>
              </w:rPr>
            </w:pPr>
            <w:r>
              <w:rPr>
                <w:sz w:val="4"/>
                <w:szCs w:val="4"/>
              </w:rPr>
            </w:r>
          </w:p>
        </w:tc>
        <w:tc>
          <w:tcPr>
            <w:tcW w:w="10009" w:type="dxa"/>
            <w:tcBorders/>
            <w:shd w:fill="auto" w:val="clear"/>
            <w:vAlign w:val="center"/>
          </w:tcPr>
          <w:p>
            <w:pPr>
              <w:pStyle w:val="TableContents"/>
              <w:spacing w:before="0" w:after="283"/>
              <w:rPr>
                <w:sz w:val="4"/>
                <w:szCs w:val="4"/>
              </w:rPr>
            </w:pPr>
            <w:r>
              <w:rPr>
                <w:sz w:val="4"/>
                <w:szCs w:val="4"/>
              </w:rPr>
            </w:r>
          </w:p>
        </w:tc>
      </w:tr>
      <w:tr>
        <w:trPr/>
        <w:tc>
          <w:tcPr>
            <w:tcW w:w="196"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(3)</w:t>
            </w:r>
          </w:p>
        </w:tc>
        <w:tc>
          <w:tcPr>
            <w:tcW w:w="10009" w:type="dxa"/>
            <w:tcBorders/>
            <w:shd w:fill="auto" w:val="clear"/>
            <w:vAlign w:val="center"/>
          </w:tcPr>
          <w:p>
            <w:pPr>
              <w:pStyle w:val="TableContents"/>
              <w:spacing w:lineRule="auto" w:line="288" w:before="0" w:after="0"/>
              <w:rPr>
                <w:sz w:val="15"/>
              </w:rPr>
            </w:pPr>
            <w:r>
              <w:rPr>
                <w:rFonts w:ascii="inherit" w:hAnsi="inherit"/>
                <w:sz w:val="15"/>
              </w:rPr>
              <w:t xml:space="preserve">Of the Aggregate Balance at </w:t>
            </w:r>
            <w:r>
              <w:rPr>
                <w:rFonts w:ascii="inherit" w:hAnsi="inherit"/>
                <w:strike w:val="false"/>
                <w:dstrike w:val="false"/>
                <w:color w:val="000000"/>
                <w:sz w:val="15"/>
                <w:u w:val="none"/>
                <w:effect w:val="none"/>
              </w:rPr>
              <w:t>September 30, 2013</w:t>
            </w:r>
            <w:r>
              <w:rPr>
                <w:rFonts w:ascii="inherit" w:hAnsi="inherit"/>
                <w:sz w:val="15"/>
              </w:rPr>
              <w:t>, the following amounts were previously reported as compensation in the Summary</w:t>
            </w:r>
            <w:r>
              <w:rPr>
                <w:sz w:val="15"/>
              </w:rPr>
              <w:t xml:space="preserve"> </w:t>
            </w:r>
            <w:r>
              <w:rPr>
                <w:rFonts w:ascii="inherit" w:hAnsi="inherit"/>
                <w:sz w:val="15"/>
              </w:rPr>
              <w:t>Compensation Tables for prior years: $501,750 for Mr. Rothamel; $131,709 for Mr. Kuchenrither; and $1,019,188 for Mr. Brinkley. None of the amounts shown for Mr. Guest or Mr. Welch was previously reported in Summary Compensation Tables for prior years, as neither Mr. Guest nor Mr. Welch was a Named Executive Officer in those prior years. The amounts contributed for them in fiscal 2012 and fiscal 2011 are included in the “All Other Compensation” column for those years in the Summary Compensation Table above.</w:t>
            </w:r>
          </w:p>
        </w:tc>
      </w:tr>
    </w:tbl>
    <w:p>
      <w:pPr>
        <w:pStyle w:val="TextBody"/>
        <w:spacing w:lineRule="auto" w:line="288" w:before="0" w:after="0"/>
        <w:ind w:left="0" w:right="0" w:firstLine="360"/>
        <w:rPr>
          <w:rFonts w:ascii="inherit" w:hAnsi="inherit"/>
          <w:sz w:val="15"/>
        </w:rPr>
      </w:pPr>
      <w:r>
        <w:rPr>
          <w:rFonts w:ascii="inherit" w:hAnsi="inherit"/>
          <w:sz w:val="15"/>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130</w:t>
      </w:r>
      <w:r>
        <w:br w:type="page"/>
      </w:r>
    </w:p>
    <w:p>
      <w:pPr>
        <w:pStyle w:val="TextBody"/>
        <w:spacing w:lineRule="auto" w:line="288" w:before="0" w:after="0"/>
        <w:rPr/>
      </w:pPr>
      <w:hyperlink w:anchor="sA13583D437E20DC41B4583E2BD74AA47">
        <w:bookmarkStart w:id="113" w:name="s7A330994359C4B0B7B9783E285A28D071"/>
        <w:bookmarkEnd w:id="113"/>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ind w:left="0" w:right="0" w:firstLine="60"/>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i/>
          <w:sz w:val="17"/>
        </w:rPr>
        <w:t>All Other Compensation</w:t>
      </w:r>
      <w:r>
        <w:rPr>
          <w:sz w:val="17"/>
        </w:rPr>
        <w:t xml:space="preserve"> — </w:t>
      </w:r>
      <w:r>
        <w:rPr>
          <w:rFonts w:ascii="inherit" w:hAnsi="inherit"/>
          <w:sz w:val="17"/>
        </w:rPr>
        <w:t>The following table describes each component of the amounts shown in the “All Other Compensation” column in the Summary Compensation Table above.</w:t>
      </w:r>
    </w:p>
    <w:tbl>
      <w:tblPr>
        <w:tblW w:w="10205" w:type="dxa"/>
        <w:jc w:val="left"/>
        <w:tblInd w:w="0" w:type="dxa"/>
        <w:tblCellMar>
          <w:top w:w="0" w:type="dxa"/>
          <w:left w:w="0" w:type="dxa"/>
          <w:bottom w:w="0" w:type="dxa"/>
          <w:right w:w="0" w:type="dxa"/>
        </w:tblCellMar>
      </w:tblPr>
      <w:tblGrid>
        <w:gridCol w:w="105"/>
        <w:gridCol w:w="2094"/>
        <w:gridCol w:w="702"/>
        <w:gridCol w:w="122"/>
        <w:gridCol w:w="204"/>
        <w:gridCol w:w="1159"/>
        <w:gridCol w:w="77"/>
        <w:gridCol w:w="122"/>
        <w:gridCol w:w="232"/>
        <w:gridCol w:w="1124"/>
        <w:gridCol w:w="83"/>
        <w:gridCol w:w="122"/>
        <w:gridCol w:w="181"/>
        <w:gridCol w:w="1173"/>
        <w:gridCol w:w="72"/>
        <w:gridCol w:w="122"/>
        <w:gridCol w:w="219"/>
        <w:gridCol w:w="842"/>
        <w:gridCol w:w="67"/>
        <w:gridCol w:w="122"/>
        <w:gridCol w:w="155"/>
        <w:gridCol w:w="1025"/>
        <w:gridCol w:w="81"/>
      </w:tblGrid>
      <w:tr>
        <w:trPr/>
        <w:tc>
          <w:tcPr>
            <w:tcW w:w="10205" w:type="dxa"/>
            <w:gridSpan w:val="2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Named Executive Officer</w:t>
            </w:r>
          </w:p>
        </w:tc>
        <w:tc>
          <w:tcPr>
            <w:tcW w:w="702"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Year</w:t>
            </w:r>
          </w:p>
        </w:tc>
        <w:tc>
          <w:tcPr>
            <w:tcW w:w="122" w:type="dxa"/>
            <w:vMerge w:val="restart"/>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40"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Health Care Supplemental Insurance (1)</w:t>
            </w:r>
          </w:p>
        </w:tc>
        <w:tc>
          <w:tcPr>
            <w:tcW w:w="122" w:type="dxa"/>
            <w:vMerge w:val="restart"/>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39"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Value of Supplemental Life Insurance Premiums (2)</w:t>
            </w:r>
          </w:p>
        </w:tc>
        <w:tc>
          <w:tcPr>
            <w:tcW w:w="122" w:type="dxa"/>
            <w:vMerge w:val="restart"/>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26"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 Contributions to Defined Contribution Plans (3)</w:t>
            </w:r>
          </w:p>
        </w:tc>
        <w:tc>
          <w:tcPr>
            <w:tcW w:w="122" w:type="dxa"/>
            <w:vMerge w:val="restart"/>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28"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Benefits (4)</w:t>
            </w:r>
          </w:p>
        </w:tc>
        <w:tc>
          <w:tcPr>
            <w:tcW w:w="122" w:type="dxa"/>
            <w:vMerge w:val="restart"/>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61"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Total</w:t>
            </w:r>
          </w:p>
        </w:tc>
      </w:tr>
      <w:tr>
        <w:trPr/>
        <w:tc>
          <w:tcPr>
            <w:tcW w:w="105" w:type="dxa"/>
            <w:tcBorders/>
            <w:shd w:fill="auto" w:val="clear"/>
            <w:vAlign w:val="center"/>
          </w:tcPr>
          <w:p>
            <w:pPr>
              <w:pStyle w:val="TableContents"/>
              <w:spacing w:before="0" w:after="283"/>
              <w:rPr/>
            </w:pPr>
            <w:r>
              <w:rPr/>
              <w:t> </w:t>
            </w:r>
          </w:p>
        </w:tc>
        <w:tc>
          <w:tcPr>
            <w:tcW w:w="2094" w:type="dxa"/>
            <w:vMerge w:val="continue"/>
            <w:tcBorders>
              <w:bottom w:val="single" w:sz="2" w:space="0" w:color="000000"/>
            </w:tcBorders>
            <w:shd w:fill="auto" w:val="clear"/>
            <w:tcMar>
              <w:bottom w:w="30" w:type="dxa"/>
            </w:tcMar>
            <w:vAlign w:val="center"/>
          </w:tcPr>
          <w:p>
            <w:pPr>
              <w:pStyle w:val="Normal"/>
              <w:rPr/>
            </w:pPr>
            <w:r>
              <w:rPr/>
            </w:r>
          </w:p>
        </w:tc>
        <w:tc>
          <w:tcPr>
            <w:tcW w:w="702" w:type="dxa"/>
            <w:vMerge w:val="continue"/>
            <w:tcBorders>
              <w:bottom w:val="single" w:sz="2" w:space="0" w:color="000000"/>
            </w:tcBorders>
            <w:shd w:fill="auto" w:val="clear"/>
            <w:tcMar>
              <w:bottom w:w="30" w:type="dxa"/>
            </w:tcMar>
            <w:vAlign w:val="center"/>
          </w:tcPr>
          <w:p>
            <w:pPr>
              <w:pStyle w:val="Normal"/>
              <w:rPr/>
            </w:pPr>
            <w:r>
              <w:rPr/>
            </w:r>
          </w:p>
        </w:tc>
        <w:tc>
          <w:tcPr>
            <w:tcW w:w="122" w:type="dxa"/>
            <w:vMerge w:val="continue"/>
            <w:tcBorders>
              <w:bottom w:val="single" w:sz="2" w:space="0" w:color="000000"/>
            </w:tcBorders>
            <w:shd w:fill="auto" w:val="clear"/>
            <w:tcMar>
              <w:bottom w:w="30" w:type="dxa"/>
            </w:tcMar>
            <w:vAlign w:val="center"/>
          </w:tcPr>
          <w:p>
            <w:pPr>
              <w:pStyle w:val="Normal"/>
              <w:rPr/>
            </w:pPr>
            <w:r>
              <w:rPr/>
            </w:r>
          </w:p>
        </w:tc>
        <w:tc>
          <w:tcPr>
            <w:tcW w:w="1440" w:type="dxa"/>
            <w:gridSpan w:val="3"/>
            <w:vMerge w:val="continue"/>
            <w:tcBorders>
              <w:bottom w:val="single" w:sz="2" w:space="0" w:color="000000"/>
            </w:tcBorders>
            <w:shd w:fill="auto" w:val="clear"/>
            <w:tcMar>
              <w:bottom w:w="30" w:type="dxa"/>
            </w:tcMar>
            <w:vAlign w:val="center"/>
          </w:tcPr>
          <w:p>
            <w:pPr>
              <w:pStyle w:val="Normal"/>
              <w:rPr/>
            </w:pPr>
            <w:r>
              <w:rPr/>
            </w:r>
          </w:p>
        </w:tc>
        <w:tc>
          <w:tcPr>
            <w:tcW w:w="122" w:type="dxa"/>
            <w:vMerge w:val="continue"/>
            <w:tcBorders>
              <w:bottom w:val="single" w:sz="2" w:space="0" w:color="000000"/>
            </w:tcBorders>
            <w:shd w:fill="auto" w:val="clear"/>
            <w:tcMar>
              <w:bottom w:w="30" w:type="dxa"/>
            </w:tcMar>
            <w:vAlign w:val="center"/>
          </w:tcPr>
          <w:p>
            <w:pPr>
              <w:pStyle w:val="Normal"/>
              <w:rPr/>
            </w:pPr>
            <w:r>
              <w:rPr/>
            </w:r>
          </w:p>
        </w:tc>
        <w:tc>
          <w:tcPr>
            <w:tcW w:w="1439" w:type="dxa"/>
            <w:gridSpan w:val="3"/>
            <w:vMerge w:val="continue"/>
            <w:tcBorders>
              <w:bottom w:val="single" w:sz="2" w:space="0" w:color="000000"/>
            </w:tcBorders>
            <w:shd w:fill="auto" w:val="clear"/>
            <w:tcMar>
              <w:bottom w:w="30" w:type="dxa"/>
            </w:tcMar>
            <w:vAlign w:val="center"/>
          </w:tcPr>
          <w:p>
            <w:pPr>
              <w:pStyle w:val="Normal"/>
              <w:rPr/>
            </w:pPr>
            <w:r>
              <w:rPr/>
            </w:r>
          </w:p>
        </w:tc>
        <w:tc>
          <w:tcPr>
            <w:tcW w:w="122" w:type="dxa"/>
            <w:vMerge w:val="continue"/>
            <w:tcBorders>
              <w:bottom w:val="single" w:sz="2" w:space="0" w:color="000000"/>
            </w:tcBorders>
            <w:shd w:fill="auto" w:val="clear"/>
            <w:tcMar>
              <w:bottom w:w="30" w:type="dxa"/>
            </w:tcMar>
            <w:vAlign w:val="center"/>
          </w:tcPr>
          <w:p>
            <w:pPr>
              <w:pStyle w:val="Normal"/>
              <w:rPr/>
            </w:pPr>
            <w:r>
              <w:rPr/>
            </w:r>
          </w:p>
        </w:tc>
        <w:tc>
          <w:tcPr>
            <w:tcW w:w="1426" w:type="dxa"/>
            <w:gridSpan w:val="3"/>
            <w:vMerge w:val="continue"/>
            <w:tcBorders>
              <w:bottom w:val="single" w:sz="2" w:space="0" w:color="000000"/>
            </w:tcBorders>
            <w:shd w:fill="auto" w:val="clear"/>
            <w:tcMar>
              <w:bottom w:w="30" w:type="dxa"/>
            </w:tcMar>
            <w:vAlign w:val="center"/>
          </w:tcPr>
          <w:p>
            <w:pPr>
              <w:pStyle w:val="Normal"/>
              <w:rPr/>
            </w:pPr>
            <w:r>
              <w:rPr/>
            </w:r>
          </w:p>
        </w:tc>
        <w:tc>
          <w:tcPr>
            <w:tcW w:w="122" w:type="dxa"/>
            <w:vMerge w:val="continue"/>
            <w:tcBorders>
              <w:bottom w:val="single" w:sz="2" w:space="0" w:color="000000"/>
            </w:tcBorders>
            <w:shd w:fill="auto" w:val="clear"/>
            <w:tcMar>
              <w:bottom w:w="30" w:type="dxa"/>
            </w:tcMar>
            <w:vAlign w:val="center"/>
          </w:tcPr>
          <w:p>
            <w:pPr>
              <w:pStyle w:val="Normal"/>
              <w:rPr/>
            </w:pPr>
            <w:r>
              <w:rPr/>
            </w:r>
          </w:p>
        </w:tc>
        <w:tc>
          <w:tcPr>
            <w:tcW w:w="1128" w:type="dxa"/>
            <w:gridSpan w:val="3"/>
            <w:vMerge w:val="continue"/>
            <w:tcBorders>
              <w:bottom w:val="single" w:sz="2" w:space="0" w:color="000000"/>
            </w:tcBorders>
            <w:shd w:fill="auto" w:val="clear"/>
            <w:tcMar>
              <w:bottom w:w="30" w:type="dxa"/>
            </w:tcMar>
            <w:vAlign w:val="center"/>
          </w:tcPr>
          <w:p>
            <w:pPr>
              <w:pStyle w:val="Normal"/>
              <w:rPr/>
            </w:pPr>
            <w:r>
              <w:rPr/>
            </w:r>
          </w:p>
        </w:tc>
        <w:tc>
          <w:tcPr>
            <w:tcW w:w="122" w:type="dxa"/>
            <w:vMerge w:val="continue"/>
            <w:tcBorders>
              <w:bottom w:val="single" w:sz="2" w:space="0" w:color="000000"/>
            </w:tcBorders>
            <w:shd w:fill="auto" w:val="clear"/>
            <w:tcMar>
              <w:bottom w:w="30" w:type="dxa"/>
            </w:tcMar>
            <w:vAlign w:val="center"/>
          </w:tcPr>
          <w:p>
            <w:pPr>
              <w:pStyle w:val="Normal"/>
              <w:rPr/>
            </w:pPr>
            <w:r>
              <w:rPr/>
            </w:r>
          </w:p>
        </w:tc>
        <w:tc>
          <w:tcPr>
            <w:tcW w:w="1261"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Rothamel</w:t>
            </w:r>
          </w:p>
        </w:tc>
        <w:tc>
          <w:tcPr>
            <w:tcW w:w="702"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2013</w:t>
            </w:r>
          </w:p>
        </w:tc>
        <w:tc>
          <w:tcPr>
            <w:tcW w:w="122" w:type="dxa"/>
            <w:tcBorders/>
            <w:shd w:fill="CCEEFF" w:val="clear"/>
            <w:vAlign w:val="center"/>
          </w:tcPr>
          <w:p>
            <w:pPr>
              <w:pStyle w:val="TableContents"/>
              <w:spacing w:before="0" w:after="0"/>
              <w:ind w:left="0" w:right="0" w:firstLine="30"/>
              <w:rPr/>
            </w:pPr>
            <w:r>
              <w:rPr/>
              <w:t> </w:t>
            </w:r>
          </w:p>
        </w:tc>
        <w:tc>
          <w:tcPr>
            <w:tcW w:w="20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shd w:fill="CCEEFF" w:val="clear"/>
            <w:vAlign w:val="center"/>
          </w:tcPr>
          <w:p>
            <w:pPr>
              <w:pStyle w:val="TableContents"/>
              <w:spacing w:before="0" w:after="0"/>
              <w:jc w:val="right"/>
              <w:rPr>
                <w:rFonts w:ascii="inherit" w:hAnsi="inherit"/>
                <w:sz w:val="17"/>
              </w:rPr>
            </w:pPr>
            <w:r>
              <w:rPr>
                <w:rFonts w:ascii="inherit" w:hAnsi="inherit"/>
                <w:sz w:val="17"/>
              </w:rPr>
              <w:t>13,239</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2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4" w:type="dxa"/>
            <w:tcBorders/>
            <w:shd w:fill="CCEEFF" w:val="clear"/>
            <w:vAlign w:val="center"/>
          </w:tcPr>
          <w:p>
            <w:pPr>
              <w:pStyle w:val="TableContents"/>
              <w:spacing w:before="0" w:after="0"/>
              <w:jc w:val="right"/>
              <w:rPr>
                <w:rFonts w:ascii="inherit" w:hAnsi="inherit"/>
                <w:sz w:val="17"/>
              </w:rPr>
            </w:pPr>
            <w:r>
              <w:rPr>
                <w:rFonts w:ascii="inherit" w:hAnsi="inherit"/>
                <w:sz w:val="17"/>
              </w:rPr>
              <w:t>1,404</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73" w:type="dxa"/>
            <w:tcBorders/>
            <w:shd w:fill="CCEEFF" w:val="clear"/>
            <w:vAlign w:val="center"/>
          </w:tcPr>
          <w:p>
            <w:pPr>
              <w:pStyle w:val="TableContents"/>
              <w:spacing w:before="0" w:after="0"/>
              <w:jc w:val="right"/>
              <w:rPr>
                <w:rFonts w:ascii="inherit" w:hAnsi="inherit"/>
                <w:sz w:val="17"/>
              </w:rPr>
            </w:pPr>
            <w:r>
              <w:rPr>
                <w:rFonts w:ascii="inherit" w:hAnsi="inherit"/>
                <w:sz w:val="17"/>
              </w:rPr>
              <w:t>273,750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42" w:type="dxa"/>
            <w:tcBorders/>
            <w:shd w:fill="CCEEFF" w:val="clear"/>
            <w:vAlign w:val="center"/>
          </w:tcPr>
          <w:p>
            <w:pPr>
              <w:pStyle w:val="TableContents"/>
              <w:spacing w:before="0" w:after="0"/>
              <w:jc w:val="right"/>
              <w:rPr>
                <w:rFonts w:ascii="inherit" w:hAnsi="inherit"/>
                <w:sz w:val="17"/>
              </w:rPr>
            </w:pPr>
            <w:r>
              <w:rPr>
                <w:rFonts w:ascii="inherit" w:hAnsi="inherit"/>
                <w:sz w:val="17"/>
              </w:rPr>
              <w:t>7,120</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5" w:type="dxa"/>
            <w:tcBorders/>
            <w:shd w:fill="CCEEFF" w:val="clear"/>
            <w:vAlign w:val="center"/>
          </w:tcPr>
          <w:p>
            <w:pPr>
              <w:pStyle w:val="TableContents"/>
              <w:spacing w:before="0" w:after="0"/>
              <w:jc w:val="right"/>
              <w:rPr>
                <w:rFonts w:ascii="inherit" w:hAnsi="inherit"/>
                <w:sz w:val="17"/>
              </w:rPr>
            </w:pPr>
            <w:r>
              <w:rPr>
                <w:rFonts w:ascii="inherit" w:hAnsi="inherit"/>
                <w:sz w:val="17"/>
              </w:rPr>
              <w:t>295,513</w:t>
            </w:r>
          </w:p>
        </w:tc>
        <w:tc>
          <w:tcPr>
            <w:tcW w:w="8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CCEEFF" w:val="clear"/>
            <w:vAlign w:val="center"/>
          </w:tcPr>
          <w:p>
            <w:pPr>
              <w:pStyle w:val="TableContents"/>
              <w:spacing w:before="0" w:after="0"/>
              <w:ind w:left="0" w:right="0" w:firstLine="30"/>
              <w:jc w:val="left"/>
              <w:rPr/>
            </w:pPr>
            <w:r>
              <w:rPr/>
              <w:t> </w:t>
            </w:r>
          </w:p>
        </w:tc>
        <w:tc>
          <w:tcPr>
            <w:tcW w:w="702"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2012</w:t>
            </w:r>
          </w:p>
        </w:tc>
        <w:tc>
          <w:tcPr>
            <w:tcW w:w="122"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13,266</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246,675</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pPr>
            <w:r>
              <w:rPr/>
              <w:t>—</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261,561</w:t>
            </w:r>
          </w:p>
        </w:tc>
        <w:tc>
          <w:tcPr>
            <w:tcW w:w="8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CCEEFF" w:val="clear"/>
            <w:vAlign w:val="center"/>
          </w:tcPr>
          <w:p>
            <w:pPr>
              <w:pStyle w:val="TableContents"/>
              <w:spacing w:before="0" w:after="0"/>
              <w:ind w:left="0" w:right="0" w:firstLine="30"/>
              <w:jc w:val="left"/>
              <w:rPr/>
            </w:pPr>
            <w:r>
              <w:rPr/>
              <w:t> </w:t>
            </w:r>
          </w:p>
        </w:tc>
        <w:tc>
          <w:tcPr>
            <w:tcW w:w="702"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2011</w:t>
            </w:r>
          </w:p>
        </w:tc>
        <w:tc>
          <w:tcPr>
            <w:tcW w:w="122"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4,324</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172,425</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250</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178,619</w:t>
            </w:r>
          </w:p>
        </w:tc>
        <w:tc>
          <w:tcPr>
            <w:tcW w:w="8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Stamp</w:t>
            </w:r>
          </w:p>
        </w:tc>
        <w:tc>
          <w:tcPr>
            <w:tcW w:w="702"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2013</w:t>
            </w:r>
          </w:p>
        </w:tc>
        <w:tc>
          <w:tcPr>
            <w:tcW w:w="122"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2,726</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135</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7,425</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349,231</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359,517</w:t>
            </w:r>
          </w:p>
        </w:tc>
        <w:tc>
          <w:tcPr>
            <w:tcW w:w="81"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auto" w:val="clear"/>
            <w:vAlign w:val="center"/>
          </w:tcPr>
          <w:p>
            <w:pPr>
              <w:pStyle w:val="TableContents"/>
              <w:spacing w:before="0" w:after="0"/>
              <w:ind w:left="0" w:right="0" w:firstLine="30"/>
              <w:rPr/>
            </w:pPr>
            <w:r>
              <w:rPr/>
              <w:t> </w:t>
            </w:r>
          </w:p>
        </w:tc>
        <w:tc>
          <w:tcPr>
            <w:tcW w:w="702"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2012</w:t>
            </w:r>
          </w:p>
        </w:tc>
        <w:tc>
          <w:tcPr>
            <w:tcW w:w="122"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9,510</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1,620</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61,275</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pPr>
            <w:r>
              <w:rPr/>
              <w:t>—</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72,405</w:t>
            </w:r>
          </w:p>
        </w:tc>
        <w:tc>
          <w:tcPr>
            <w:tcW w:w="81"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auto" w:val="clear"/>
            <w:vAlign w:val="center"/>
          </w:tcPr>
          <w:p>
            <w:pPr>
              <w:pStyle w:val="TableContents"/>
              <w:spacing w:before="0" w:after="0"/>
              <w:ind w:left="0" w:right="0" w:firstLine="30"/>
              <w:rPr/>
            </w:pPr>
            <w:r>
              <w:rPr/>
              <w:t> </w:t>
            </w:r>
          </w:p>
        </w:tc>
        <w:tc>
          <w:tcPr>
            <w:tcW w:w="702"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2011</w:t>
            </w:r>
          </w:p>
        </w:tc>
        <w:tc>
          <w:tcPr>
            <w:tcW w:w="122"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2,092</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1,485</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4"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133,489</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137,066</w:t>
            </w:r>
          </w:p>
        </w:tc>
        <w:tc>
          <w:tcPr>
            <w:tcW w:w="81"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Kuchenrither</w:t>
            </w:r>
          </w:p>
        </w:tc>
        <w:tc>
          <w:tcPr>
            <w:tcW w:w="702"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2013</w:t>
            </w:r>
          </w:p>
        </w:tc>
        <w:tc>
          <w:tcPr>
            <w:tcW w:w="122"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11,280</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1,404</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141,750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pPr>
            <w:r>
              <w:rPr/>
              <w:t>—</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154,434</w:t>
            </w:r>
          </w:p>
        </w:tc>
        <w:tc>
          <w:tcPr>
            <w:tcW w:w="8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CCEEFF" w:val="clear"/>
            <w:vAlign w:val="center"/>
          </w:tcPr>
          <w:p>
            <w:pPr>
              <w:pStyle w:val="TableContents"/>
              <w:spacing w:before="0" w:after="0"/>
              <w:ind w:left="0" w:right="0" w:firstLine="30"/>
              <w:jc w:val="left"/>
              <w:rPr/>
            </w:pPr>
            <w:r>
              <w:rPr/>
              <w:t> </w:t>
            </w:r>
          </w:p>
        </w:tc>
        <w:tc>
          <w:tcPr>
            <w:tcW w:w="702"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2012</w:t>
            </w:r>
          </w:p>
        </w:tc>
        <w:tc>
          <w:tcPr>
            <w:tcW w:w="122"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6,294</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70,875</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pPr>
            <w:r>
              <w:rPr/>
              <w:t>—</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78,789</w:t>
            </w:r>
          </w:p>
        </w:tc>
        <w:tc>
          <w:tcPr>
            <w:tcW w:w="8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CCEEFF" w:val="clear"/>
            <w:vAlign w:val="center"/>
          </w:tcPr>
          <w:p>
            <w:pPr>
              <w:pStyle w:val="TableContents"/>
              <w:spacing w:before="0" w:after="0"/>
              <w:ind w:left="0" w:right="0" w:firstLine="30"/>
              <w:jc w:val="left"/>
              <w:rPr/>
            </w:pPr>
            <w:r>
              <w:rPr/>
              <w:t> </w:t>
            </w:r>
          </w:p>
        </w:tc>
        <w:tc>
          <w:tcPr>
            <w:tcW w:w="702"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2011</w:t>
            </w:r>
          </w:p>
        </w:tc>
        <w:tc>
          <w:tcPr>
            <w:tcW w:w="122"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3,828</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60,834</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272,242</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338,524</w:t>
            </w:r>
          </w:p>
        </w:tc>
        <w:tc>
          <w:tcPr>
            <w:tcW w:w="8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Brinkley</w:t>
            </w:r>
          </w:p>
        </w:tc>
        <w:tc>
          <w:tcPr>
            <w:tcW w:w="702"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2013</w:t>
            </w:r>
          </w:p>
        </w:tc>
        <w:tc>
          <w:tcPr>
            <w:tcW w:w="122"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10,772</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1,404</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270,000</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10,357</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292,533</w:t>
            </w:r>
          </w:p>
        </w:tc>
        <w:tc>
          <w:tcPr>
            <w:tcW w:w="81"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auto" w:val="clear"/>
            <w:vAlign w:val="center"/>
          </w:tcPr>
          <w:p>
            <w:pPr>
              <w:pStyle w:val="TableContents"/>
              <w:spacing w:before="0" w:after="0"/>
              <w:ind w:left="0" w:right="0" w:firstLine="30"/>
              <w:jc w:val="left"/>
              <w:rPr/>
            </w:pPr>
            <w:r>
              <w:rPr/>
              <w:t> </w:t>
            </w:r>
          </w:p>
        </w:tc>
        <w:tc>
          <w:tcPr>
            <w:tcW w:w="702"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2012</w:t>
            </w:r>
          </w:p>
        </w:tc>
        <w:tc>
          <w:tcPr>
            <w:tcW w:w="122"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9,556</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1,620</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243,000</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pPr>
            <w:r>
              <w:rPr/>
              <w:t>—</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254,176</w:t>
            </w:r>
          </w:p>
        </w:tc>
        <w:tc>
          <w:tcPr>
            <w:tcW w:w="81"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auto" w:val="clear"/>
            <w:vAlign w:val="center"/>
          </w:tcPr>
          <w:p>
            <w:pPr>
              <w:pStyle w:val="TableContents"/>
              <w:spacing w:before="0" w:after="0"/>
              <w:ind w:left="0" w:right="0" w:firstLine="30"/>
              <w:jc w:val="left"/>
              <w:rPr/>
            </w:pPr>
            <w:r>
              <w:rPr/>
              <w:t> </w:t>
            </w:r>
          </w:p>
        </w:tc>
        <w:tc>
          <w:tcPr>
            <w:tcW w:w="702"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2011</w:t>
            </w:r>
          </w:p>
        </w:tc>
        <w:tc>
          <w:tcPr>
            <w:tcW w:w="122"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7,345</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1,620</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180,000</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pPr>
            <w:r>
              <w:rPr/>
              <w:t>—</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188,965</w:t>
            </w:r>
          </w:p>
        </w:tc>
        <w:tc>
          <w:tcPr>
            <w:tcW w:w="81"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Mr. Guest</w:t>
            </w:r>
          </w:p>
        </w:tc>
        <w:tc>
          <w:tcPr>
            <w:tcW w:w="702"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2013</w:t>
            </w:r>
          </w:p>
        </w:tc>
        <w:tc>
          <w:tcPr>
            <w:tcW w:w="122"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2,480</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1,394</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59,040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7,757</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70,671</w:t>
            </w:r>
          </w:p>
        </w:tc>
        <w:tc>
          <w:tcPr>
            <w:tcW w:w="8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CCEEFF" w:val="clear"/>
            <w:vAlign w:val="center"/>
          </w:tcPr>
          <w:p>
            <w:pPr>
              <w:pStyle w:val="TableContents"/>
              <w:spacing w:before="0" w:after="0"/>
              <w:ind w:left="0" w:right="0" w:firstLine="30"/>
              <w:jc w:val="left"/>
              <w:rPr/>
            </w:pPr>
            <w:r>
              <w:rPr/>
              <w:t> </w:t>
            </w:r>
          </w:p>
        </w:tc>
        <w:tc>
          <w:tcPr>
            <w:tcW w:w="702"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2012</w:t>
            </w:r>
          </w:p>
        </w:tc>
        <w:tc>
          <w:tcPr>
            <w:tcW w:w="122"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427</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46,800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38,482</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87,289</w:t>
            </w:r>
          </w:p>
        </w:tc>
        <w:tc>
          <w:tcPr>
            <w:tcW w:w="8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CCEEFF" w:val="clear"/>
            <w:vAlign w:val="center"/>
          </w:tcPr>
          <w:p>
            <w:pPr>
              <w:pStyle w:val="TableContents"/>
              <w:spacing w:before="0" w:after="0"/>
              <w:ind w:left="0" w:right="0" w:firstLine="30"/>
              <w:jc w:val="left"/>
              <w:rPr/>
            </w:pPr>
            <w:r>
              <w:rPr/>
              <w:t> </w:t>
            </w:r>
          </w:p>
        </w:tc>
        <w:tc>
          <w:tcPr>
            <w:tcW w:w="702"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2011</w:t>
            </w:r>
          </w:p>
        </w:tc>
        <w:tc>
          <w:tcPr>
            <w:tcW w:w="122"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pPr>
            <w:r>
              <w:rPr/>
              <w:t>—</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135</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35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5,360</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5,495</w:t>
            </w:r>
          </w:p>
        </w:tc>
        <w:tc>
          <w:tcPr>
            <w:tcW w:w="8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Mr. Welch</w:t>
            </w:r>
          </w:p>
        </w:tc>
        <w:tc>
          <w:tcPr>
            <w:tcW w:w="702"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2013</w:t>
            </w:r>
          </w:p>
        </w:tc>
        <w:tc>
          <w:tcPr>
            <w:tcW w:w="122"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10,003</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1,372</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51,270</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pPr>
            <w:r>
              <w:rPr/>
              <w:t>—</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62,645</w:t>
            </w:r>
          </w:p>
        </w:tc>
        <w:tc>
          <w:tcPr>
            <w:tcW w:w="81"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shd w:fill="auto" w:val="clear"/>
            <w:vAlign w:val="center"/>
          </w:tcPr>
          <w:p>
            <w:pPr>
              <w:pStyle w:val="TableContents"/>
              <w:spacing w:before="0" w:after="0"/>
              <w:ind w:left="0" w:right="0" w:firstLine="30"/>
              <w:jc w:val="left"/>
              <w:rPr/>
            </w:pPr>
            <w:r>
              <w:rPr/>
              <w:t> </w:t>
            </w:r>
          </w:p>
        </w:tc>
        <w:tc>
          <w:tcPr>
            <w:tcW w:w="702"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2012</w:t>
            </w:r>
          </w:p>
        </w:tc>
        <w:tc>
          <w:tcPr>
            <w:tcW w:w="122"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13,472</w:t>
            </w:r>
          </w:p>
        </w:tc>
        <w:tc>
          <w:tcPr>
            <w:tcW w:w="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1,519</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3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43,920</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1" w:type="dxa"/>
            <w:gridSpan w:val="2"/>
            <w:tcBorders/>
            <w:shd w:fill="auto" w:val="clear"/>
            <w:vAlign w:val="center"/>
          </w:tcPr>
          <w:p>
            <w:pPr>
              <w:pStyle w:val="TableContents"/>
              <w:spacing w:before="0" w:after="0"/>
              <w:jc w:val="right"/>
              <w:rPr/>
            </w:pPr>
            <w:r>
              <w:rPr/>
              <w:t>—</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58,911</w:t>
            </w:r>
          </w:p>
        </w:tc>
        <w:tc>
          <w:tcPr>
            <w:tcW w:w="81"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2094"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702"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2011</w:t>
            </w:r>
          </w:p>
        </w:tc>
        <w:tc>
          <w:tcPr>
            <w:tcW w:w="122"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10,328</w:t>
            </w:r>
          </w:p>
        </w:tc>
        <w:tc>
          <w:tcPr>
            <w:tcW w:w="7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5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1,482</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45,381</w:t>
            </w:r>
          </w:p>
        </w:tc>
        <w:tc>
          <w:tcPr>
            <w:tcW w:w="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6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57,191</w:t>
            </w:r>
          </w:p>
        </w:tc>
        <w:tc>
          <w:tcPr>
            <w:tcW w:w="81" w:type="dxa"/>
            <w:tcBorders>
              <w:bottom w:val="single" w:sz="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207"/>
        <w:gridCol w:w="9998"/>
      </w:tblGrid>
      <w:tr>
        <w:trPr/>
        <w:tc>
          <w:tcPr>
            <w:tcW w:w="207" w:type="dxa"/>
            <w:tcBorders/>
            <w:shd w:fill="auto" w:val="clear"/>
            <w:vAlign w:val="center"/>
          </w:tcPr>
          <w:p>
            <w:pPr>
              <w:pStyle w:val="TableContents"/>
              <w:spacing w:before="0" w:after="283"/>
              <w:rPr>
                <w:sz w:val="4"/>
                <w:szCs w:val="4"/>
              </w:rPr>
            </w:pPr>
            <w:r>
              <w:rPr>
                <w:sz w:val="4"/>
                <w:szCs w:val="4"/>
              </w:rPr>
            </w:r>
          </w:p>
        </w:tc>
        <w:tc>
          <w:tcPr>
            <w:tcW w:w="9998" w:type="dxa"/>
            <w:tcBorders/>
            <w:shd w:fill="auto" w:val="clear"/>
            <w:vAlign w:val="center"/>
          </w:tcPr>
          <w:p>
            <w:pPr>
              <w:pStyle w:val="TableContents"/>
              <w:spacing w:before="0" w:after="283"/>
              <w:rPr>
                <w:sz w:val="4"/>
                <w:szCs w:val="4"/>
              </w:rPr>
            </w:pPr>
            <w:r>
              <w:rPr>
                <w:sz w:val="4"/>
                <w:szCs w:val="4"/>
              </w:rPr>
            </w:r>
          </w:p>
        </w:tc>
      </w:tr>
      <w:tr>
        <w:trPr/>
        <w:tc>
          <w:tcPr>
            <w:tcW w:w="207"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(1)</w:t>
            </w:r>
          </w:p>
        </w:tc>
        <w:tc>
          <w:tcPr>
            <w:tcW w:w="9998" w:type="dxa"/>
            <w:tcBorders/>
            <w:shd w:fill="auto" w:val="clear"/>
            <w:vAlign w:val="center"/>
          </w:tcPr>
          <w:p>
            <w:pPr>
              <w:pStyle w:val="TableContents"/>
              <w:spacing w:lineRule="auto" w:line="288" w:before="0" w:after="0"/>
              <w:rPr>
                <w:rFonts w:ascii="inherit" w:hAnsi="inherit"/>
                <w:sz w:val="15"/>
              </w:rPr>
            </w:pPr>
            <w:r>
              <w:rPr>
                <w:rFonts w:ascii="inherit" w:hAnsi="inherit"/>
                <w:sz w:val="15"/>
              </w:rPr>
              <w:t>We reimburse certain of our executives, including all of the Named Executive Officers, for healthcare costs in excess of amounts covered by our health insurance plans. The amounts shown represent the amount of such supplemental healthcare benefits we paid to each of the Named Executive Officers during each of the years presented</w:t>
            </w:r>
          </w:p>
        </w:tc>
      </w:tr>
    </w:tbl>
    <w:tbl>
      <w:tblPr>
        <w:tblW w:w="10205" w:type="dxa"/>
        <w:jc w:val="left"/>
        <w:tblInd w:w="0" w:type="dxa"/>
        <w:tblCellMar>
          <w:top w:w="0" w:type="dxa"/>
          <w:left w:w="0" w:type="dxa"/>
          <w:bottom w:w="0" w:type="dxa"/>
          <w:right w:w="0" w:type="dxa"/>
        </w:tblCellMar>
      </w:tblPr>
      <w:tblGrid>
        <w:gridCol w:w="213"/>
        <w:gridCol w:w="9992"/>
      </w:tblGrid>
      <w:tr>
        <w:trPr/>
        <w:tc>
          <w:tcPr>
            <w:tcW w:w="213" w:type="dxa"/>
            <w:tcBorders/>
            <w:shd w:fill="auto" w:val="clear"/>
            <w:vAlign w:val="center"/>
          </w:tcPr>
          <w:p>
            <w:pPr>
              <w:pStyle w:val="TableContents"/>
              <w:spacing w:before="0" w:after="283"/>
              <w:rPr>
                <w:sz w:val="4"/>
                <w:szCs w:val="4"/>
              </w:rPr>
            </w:pPr>
            <w:r>
              <w:rPr>
                <w:sz w:val="4"/>
                <w:szCs w:val="4"/>
              </w:rPr>
            </w:r>
          </w:p>
        </w:tc>
        <w:tc>
          <w:tcPr>
            <w:tcW w:w="9992" w:type="dxa"/>
            <w:tcBorders/>
            <w:shd w:fill="auto" w:val="clear"/>
            <w:vAlign w:val="center"/>
          </w:tcPr>
          <w:p>
            <w:pPr>
              <w:pStyle w:val="TableContents"/>
              <w:spacing w:before="0" w:after="283"/>
              <w:rPr>
                <w:sz w:val="4"/>
                <w:szCs w:val="4"/>
              </w:rPr>
            </w:pPr>
            <w:r>
              <w:rPr>
                <w:sz w:val="4"/>
                <w:szCs w:val="4"/>
              </w:rPr>
            </w:r>
          </w:p>
        </w:tc>
      </w:tr>
      <w:tr>
        <w:trPr/>
        <w:tc>
          <w:tcPr>
            <w:tcW w:w="213"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(2)</w:t>
            </w:r>
          </w:p>
        </w:tc>
        <w:tc>
          <w:tcPr>
            <w:tcW w:w="9992" w:type="dxa"/>
            <w:tcBorders/>
            <w:shd w:fill="auto" w:val="clear"/>
            <w:vAlign w:val="center"/>
          </w:tcPr>
          <w:p>
            <w:pPr>
              <w:pStyle w:val="TableContents"/>
              <w:spacing w:lineRule="auto" w:line="288" w:before="0" w:after="0"/>
              <w:rPr>
                <w:rFonts w:ascii="inherit" w:hAnsi="inherit"/>
                <w:sz w:val="15"/>
              </w:rPr>
            </w:pPr>
            <w:r>
              <w:rPr>
                <w:rFonts w:ascii="inherit" w:hAnsi="inherit"/>
                <w:sz w:val="15"/>
              </w:rPr>
              <w:t>Represents taxable group life insurance premiums paid on behalf of the Named Executive Officers. The benefit provides life and accidental death and dismemberment coverage at three times the Named Executive Officer’s annual salary up to a maximum of $1 million.</w:t>
            </w:r>
          </w:p>
        </w:tc>
      </w:tr>
    </w:tbl>
    <w:tbl>
      <w:tblPr>
        <w:tblW w:w="8830" w:type="dxa"/>
        <w:jc w:val="left"/>
        <w:tblInd w:w="0" w:type="dxa"/>
        <w:tblCellMar>
          <w:top w:w="0" w:type="dxa"/>
          <w:left w:w="0" w:type="dxa"/>
          <w:bottom w:w="0" w:type="dxa"/>
          <w:right w:w="0" w:type="dxa"/>
        </w:tblCellMar>
      </w:tblPr>
      <w:tblGrid>
        <w:gridCol w:w="245"/>
        <w:gridCol w:w="8585"/>
      </w:tblGrid>
      <w:tr>
        <w:trPr/>
        <w:tc>
          <w:tcPr>
            <w:tcW w:w="245" w:type="dxa"/>
            <w:tcBorders/>
            <w:shd w:fill="auto" w:val="clear"/>
            <w:vAlign w:val="center"/>
          </w:tcPr>
          <w:p>
            <w:pPr>
              <w:pStyle w:val="TableContents"/>
              <w:spacing w:before="0" w:after="283"/>
              <w:rPr>
                <w:sz w:val="4"/>
                <w:szCs w:val="4"/>
              </w:rPr>
            </w:pPr>
            <w:r>
              <w:rPr>
                <w:sz w:val="4"/>
                <w:szCs w:val="4"/>
              </w:rPr>
            </w:r>
          </w:p>
        </w:tc>
        <w:tc>
          <w:tcPr>
            <w:tcW w:w="858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(3)</w:t>
            </w:r>
          </w:p>
        </w:tc>
        <w:tc>
          <w:tcPr>
            <w:tcW w:w="8585" w:type="dxa"/>
            <w:tcBorders/>
            <w:shd w:fill="auto" w:val="clear"/>
            <w:vAlign w:val="center"/>
          </w:tcPr>
          <w:p>
            <w:pPr>
              <w:pStyle w:val="TableContents"/>
              <w:spacing w:lineRule="auto" w:line="288" w:before="0" w:after="0"/>
              <w:rPr>
                <w:rFonts w:ascii="inherit" w:hAnsi="inherit"/>
                <w:sz w:val="15"/>
              </w:rPr>
            </w:pPr>
            <w:r>
              <w:rPr>
                <w:rFonts w:ascii="inherit" w:hAnsi="inherit"/>
                <w:sz w:val="15"/>
              </w:rPr>
              <w:t>Includes the fiscal 2013 Company contributions to the 401(k) plan and the Supplemental Executive Retirement Plan.</w:t>
            </w:r>
          </w:p>
        </w:tc>
      </w:tr>
    </w:tbl>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rPr>
                <w:sz w:val="4"/>
                <w:szCs w:val="4"/>
              </w:rPr>
            </w:pPr>
            <w:r>
              <w:rPr>
                <w:sz w:val="4"/>
                <w:szCs w:val="4"/>
              </w:rPr>
            </w:r>
          </w:p>
        </w:tc>
        <w:tc>
          <w:tcPr>
            <w:tcW w:w="9966" w:type="dxa"/>
            <w:tcBorders/>
            <w:shd w:fill="auto" w:val="clear"/>
            <w:vAlign w:val="center"/>
          </w:tcPr>
          <w:p>
            <w:pPr>
              <w:pStyle w:val="TableContents"/>
              <w:spacing w:before="0" w:after="283"/>
              <w:rPr>
                <w:sz w:val="4"/>
                <w:szCs w:val="4"/>
              </w:rPr>
            </w:pPr>
            <w:r>
              <w:rPr>
                <w:sz w:val="4"/>
                <w:szCs w:val="4"/>
              </w:rPr>
            </w:r>
          </w:p>
        </w:tc>
      </w:tr>
      <w:tr>
        <w:trPr/>
        <w:tc>
          <w:tcPr>
            <w:tcW w:w="239"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(4)</w:t>
            </w:r>
          </w:p>
        </w:tc>
        <w:tc>
          <w:tcPr>
            <w:tcW w:w="9966" w:type="dxa"/>
            <w:tcBorders/>
            <w:shd w:fill="auto" w:val="clear"/>
            <w:vAlign w:val="center"/>
          </w:tcPr>
          <w:p>
            <w:pPr>
              <w:pStyle w:val="TableContents"/>
              <w:spacing w:lineRule="auto" w:line="288" w:before="0" w:after="0"/>
              <w:rPr>
                <w:rFonts w:ascii="inherit" w:hAnsi="inherit"/>
                <w:sz w:val="15"/>
              </w:rPr>
            </w:pPr>
            <w:r>
              <w:rPr>
                <w:rFonts w:ascii="inherit" w:hAnsi="inherit"/>
                <w:sz w:val="15"/>
              </w:rPr>
              <w:t xml:space="preserve">The amount shown for Mr. Rothamel represents the aggregate amounts we paid to him associated with locating living accommodations in Miami. </w:t>
            </w:r>
          </w:p>
        </w:tc>
      </w:tr>
    </w:tbl>
    <w:p>
      <w:pPr>
        <w:pStyle w:val="TextBody"/>
        <w:spacing w:lineRule="auto" w:line="288" w:before="0" w:after="0"/>
        <w:ind w:left="0" w:right="0" w:firstLine="360"/>
        <w:rPr>
          <w:rFonts w:ascii="inherit" w:hAnsi="inherit"/>
          <w:sz w:val="15"/>
        </w:rPr>
      </w:pPr>
      <w:r>
        <w:rPr>
          <w:rFonts w:ascii="inherit" w:hAnsi="inherit"/>
          <w:sz w:val="15"/>
        </w:rPr>
        <w:t>The amount shown for Mr. Stamp ($349,231) represents the aggregate amount of severance payments that the Company agreed to pay Mr. Stamp in connection with the termination of his employment. The fiscal 2011 amount for Mr. Stamp ($133,489) represents the aggregate amounts we paid to him in connection with his relocation from Cincinnati, Ohio to Austin, Texas.</w:t>
      </w:r>
    </w:p>
    <w:p>
      <w:pPr>
        <w:pStyle w:val="TextBody"/>
        <w:spacing w:lineRule="auto" w:line="288" w:before="0" w:after="0"/>
        <w:ind w:left="0" w:right="0" w:firstLine="360"/>
        <w:rPr>
          <w:rFonts w:ascii="inherit" w:hAnsi="inherit"/>
          <w:sz w:val="15"/>
        </w:rPr>
      </w:pPr>
      <w:r>
        <w:rPr>
          <w:rFonts w:ascii="inherit" w:hAnsi="inherit"/>
          <w:sz w:val="15"/>
        </w:rPr>
        <w:t>Mr. Kuchenrither joined the company in March 2010 and the amount shown represents a one-time bonus in the amount of $200,000 (plus tax gross-up in the amount of $71,924) paid in fiscal 2011 to assist him in the purchase of a home in Austin, Texas.</w:t>
      </w:r>
    </w:p>
    <w:p>
      <w:pPr>
        <w:pStyle w:val="TextBody"/>
        <w:spacing w:lineRule="auto" w:line="288" w:before="0" w:after="0"/>
        <w:ind w:left="0" w:right="0" w:firstLine="360"/>
        <w:rPr>
          <w:rFonts w:ascii="inherit" w:hAnsi="inherit"/>
          <w:sz w:val="15"/>
        </w:rPr>
      </w:pPr>
      <w:r>
        <w:rPr>
          <w:rFonts w:ascii="inherit" w:hAnsi="inherit"/>
          <w:sz w:val="15"/>
        </w:rPr>
        <w:t>The amount shown for Mr. Brinkley represents the aggregate amounts we paid to him associated with his relocation to Miami.</w:t>
      </w:r>
    </w:p>
    <w:p>
      <w:pPr>
        <w:pStyle w:val="TextBody"/>
        <w:spacing w:lineRule="auto" w:line="288" w:before="0" w:after="0"/>
        <w:ind w:left="0" w:right="0" w:firstLine="360"/>
        <w:rPr>
          <w:rFonts w:ascii="inherit" w:hAnsi="inherit"/>
          <w:sz w:val="15"/>
        </w:rPr>
      </w:pPr>
      <w:r>
        <w:rPr>
          <w:rFonts w:ascii="inherit" w:hAnsi="inherit"/>
          <w:sz w:val="15"/>
        </w:rPr>
        <w:t>The amounts shown for Mr. Guest represent the aggregate amounts we paid to him in connection with his relocation from Canada to Austin, Texas.</w:t>
      </w:r>
    </w:p>
    <w:p>
      <w:pPr>
        <w:pStyle w:val="TextBody"/>
        <w:spacing w:lineRule="auto" w:line="288" w:before="0" w:after="0"/>
        <w:ind w:left="0" w:right="0" w:firstLine="360"/>
        <w:rPr>
          <w:rFonts w:ascii="inherit" w:hAnsi="inherit"/>
          <w:sz w:val="15"/>
        </w:rPr>
      </w:pPr>
      <w:r>
        <w:rPr>
          <w:rFonts w:ascii="inherit" w:hAnsi="inherit"/>
          <w:sz w:val="15"/>
        </w:rPr>
      </w:r>
    </w:p>
    <w:p>
      <w:pPr>
        <w:pStyle w:val="TextBody"/>
        <w:spacing w:lineRule="auto" w:line="288" w:before="0" w:after="0"/>
        <w:ind w:left="0" w:right="0" w:firstLine="360"/>
        <w:rPr>
          <w:rFonts w:ascii="inherit" w:hAnsi="inherit"/>
          <w:sz w:val="15"/>
        </w:rPr>
      </w:pPr>
      <w:r>
        <w:rPr>
          <w:rFonts w:ascii="inherit" w:hAnsi="inherit"/>
          <w:sz w:val="15"/>
        </w:rPr>
      </w:r>
    </w:p>
    <w:p>
      <w:pPr>
        <w:pStyle w:val="TextBody"/>
        <w:spacing w:lineRule="auto" w:line="288" w:before="0" w:after="0"/>
        <w:ind w:left="0" w:right="0" w:firstLine="360"/>
        <w:rPr>
          <w:rFonts w:ascii="inherit" w:hAnsi="inherit"/>
          <w:sz w:val="15"/>
        </w:rPr>
      </w:pPr>
      <w:r>
        <w:rPr>
          <w:rFonts w:ascii="inherit" w:hAnsi="inherit"/>
          <w:sz w:val="15"/>
        </w:rPr>
      </w:r>
    </w:p>
    <w:p>
      <w:pPr>
        <w:pStyle w:val="TextBody"/>
        <w:spacing w:lineRule="auto" w:line="288" w:before="0" w:after="0"/>
        <w:ind w:left="0" w:right="0" w:firstLine="360"/>
        <w:rPr>
          <w:rFonts w:ascii="inherit" w:hAnsi="inherit"/>
          <w:sz w:val="15"/>
        </w:rPr>
      </w:pPr>
      <w:r>
        <w:rPr>
          <w:rFonts w:ascii="inherit" w:hAnsi="inherit"/>
          <w:sz w:val="15"/>
        </w:rPr>
      </w:r>
    </w:p>
    <w:p>
      <w:pPr>
        <w:pStyle w:val="TextBody"/>
        <w:spacing w:lineRule="auto" w:line="288" w:before="0" w:after="0"/>
        <w:ind w:left="0" w:right="0" w:firstLine="360"/>
        <w:rPr>
          <w:rFonts w:ascii="inherit" w:hAnsi="inherit"/>
          <w:sz w:val="15"/>
        </w:rPr>
      </w:pPr>
      <w:r>
        <w:rPr>
          <w:rFonts w:ascii="inherit" w:hAnsi="inherit"/>
          <w:sz w:val="15"/>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131</w:t>
      </w:r>
      <w:r>
        <w:br w:type="page"/>
      </w:r>
    </w:p>
    <w:p>
      <w:pPr>
        <w:pStyle w:val="TextBody"/>
        <w:spacing w:lineRule="auto" w:line="288" w:before="0" w:after="0"/>
        <w:rPr/>
      </w:pPr>
      <w:hyperlink w:anchor="sA13583D437E20DC41B4583E2BD74AA47">
        <w:bookmarkStart w:id="114" w:name="s7A330994359C4B0B7B9783E285A28D072"/>
        <w:bookmarkEnd w:id="114"/>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i/>
          <w:sz w:val="17"/>
        </w:rPr>
        <w:t>Certain Termination and Change-in-Control Benefits</w:t>
      </w:r>
      <w:r>
        <w:rPr>
          <w:sz w:val="17"/>
        </w:rPr>
        <w:t xml:space="preserve"> — </w:t>
      </w:r>
      <w:r>
        <w:rPr>
          <w:rFonts w:ascii="inherit" w:hAnsi="inherit"/>
          <w:sz w:val="17"/>
        </w:rPr>
        <w:t>The following is a summary of various agreements that provide for benefits to the Named Executive Officers upon termination of employment or a change-in-control:</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rPr>
                <w:sz w:val="17"/>
              </w:rPr>
            </w:pPr>
            <w:r>
              <w:rPr>
                <w:rFonts w:ascii="inherit" w:hAnsi="inherit"/>
                <w:i/>
                <w:sz w:val="17"/>
              </w:rPr>
              <w:t>Rothamel Employment Agreement —</w:t>
            </w:r>
            <w:r>
              <w:rPr>
                <w:sz w:val="17"/>
              </w:rPr>
              <w:t xml:space="preserve"> </w:t>
            </w:r>
            <w:r>
              <w:rPr>
                <w:rFonts w:ascii="inherit" w:hAnsi="inherit"/>
                <w:sz w:val="17"/>
              </w:rPr>
              <w:t>Mr. Rothamel’s employment agreement provides for the payment of certain cash benefits upon the termination of Mr. Rothamel’s employment in the following circumstances:</w:t>
            </w:r>
          </w:p>
        </w:tc>
      </w:tr>
    </w:tbl>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If Mr. Rothamel resigns for “good reason,” he will be entitled to payment of an amount equal to one year’s base salary and payment of amounts required to allow continuation of healthcare benefits for one year plus tax gross-up. For this purpose, “good reason” includes (1) a resignation following a material diminution of, or material change to, his job title, reporting relationship or responsibilities, authorities and duties, (2) a reduction of his annual base salary below $500,000 or target bonus below 100% of base salary, (3) removal of his principal work location to a location more than 50 miles from Austin, Texas, (4) a change-in-control of the company and (5) a requirement that he perform an unlawful, dishonest or unethical act.</w:t>
            </w:r>
          </w:p>
        </w:tc>
      </w:tr>
    </w:tbl>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If Mr. Rothamel’s employment is terminated by us without cause, he will be entitled to payment of the prorated portion of his current-year annual incentive bonus (calculated at the target amount), payment of an amount equal to one year’s base salary and payment of amounts required to allow continuation of healthcare benefits for one year plus tax gross-up.</w:t>
            </w:r>
          </w:p>
        </w:tc>
      </w:tr>
    </w:tbl>
    <w:tbl>
      <w:tblPr>
        <w:tblW w:w="10205" w:type="dxa"/>
        <w:jc w:val="left"/>
        <w:tblInd w:w="0" w:type="dxa"/>
        <w:tblCellMar>
          <w:top w:w="0" w:type="dxa"/>
          <w:left w:w="0" w:type="dxa"/>
          <w:bottom w:w="0" w:type="dxa"/>
          <w:right w:w="0" w:type="dxa"/>
        </w:tblCellMar>
      </w:tblPr>
      <w:tblGrid>
        <w:gridCol w:w="665"/>
        <w:gridCol w:w="9540"/>
      </w:tblGrid>
      <w:tr>
        <w:trPr/>
        <w:tc>
          <w:tcPr>
            <w:tcW w:w="6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lineRule="auto" w:line="288" w:before="0" w:after="0"/>
              <w:ind w:left="0" w:right="0" w:firstLine="540"/>
              <w:rPr/>
            </w:pPr>
            <w:r>
              <w:rPr/>
              <w:t>•</w:t>
            </w:r>
          </w:p>
        </w:tc>
        <w:tc>
          <w:tcPr>
            <w:tcW w:w="95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If Mr. Rothamel’s employment is terminated by reason of death or disability, he (or his estate or beneficiaries) will be entitled to payment of an amount equal to one year’s base salary and payment of amounts required to allow continuation of healthcare benefits (limited to coverage for Mr. Rothamel’s family in the case of Mr. Rothamel’s death) for one year plus tax gross-up.</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rPr>
                <w:sz w:val="17"/>
              </w:rPr>
            </w:pPr>
            <w:r>
              <w:rPr>
                <w:rFonts w:ascii="inherit" w:hAnsi="inherit"/>
                <w:i/>
                <w:sz w:val="17"/>
              </w:rPr>
              <w:t>October 2, 2006 Restricted Stock Awards</w:t>
            </w:r>
            <w:r>
              <w:rPr>
                <w:sz w:val="17"/>
              </w:rPr>
              <w:t xml:space="preserve"> — </w:t>
            </w:r>
            <w:r>
              <w:rPr>
                <w:rFonts w:ascii="inherit" w:hAnsi="inherit"/>
                <w:sz w:val="17"/>
              </w:rPr>
              <w:t>On October 2, 2006, we granted a performance-based restricted stock award to Mr. Brinkley. As described in note (5) in the “Outstanding Equity Awards at Fiscal Year-End” table under “Incentive Plan Based Awards” above, Mr. Brinkley’s remaining unvested shares will continue to vest over the next three years (subject to the achievement of the specified EBITDA targets), but vesting may be accelerated upon termination of employment in the following circumstances: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If Mr. Brinkley resigns for “good reason” or if Mr. Brinkley’s employment is terminated by us without cause, then vesting of all unvested shares will be accelerated to the date of termination.</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If Mr. Brinkley’s employment is terminated by reason of death or disability, then vesting of a portion of the unvested shares will be accelerated to the date of termination. Such portion is calculated as follows: 10% of the originally granted shares multiplied by the number of full or partial years of service since the award date, plus 20% of the originally granted shares, less the number of shares previously vested.</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7"/>
              </w:rPr>
            </w:pPr>
            <w:r>
              <w:rPr>
                <w:rFonts w:ascii="inherit" w:hAnsi="inherit"/>
                <w:sz w:val="17"/>
              </w:rPr>
              <w:t>If Mr. Brinkley voluntarily terminates his employment (other than for “good reason” and except for a voluntary termination that is mutually agreed upon by Mr. Brinkley and the Board of Directors), then all unvested shares will be forfeited.</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rPr>
                <w:sz w:val="17"/>
              </w:rPr>
            </w:pPr>
            <w:r>
              <w:rPr>
                <w:rFonts w:ascii="inherit" w:hAnsi="inherit"/>
                <w:i/>
                <w:sz w:val="17"/>
              </w:rPr>
              <w:t>Other Restricted Stock Awards —</w:t>
            </w:r>
            <w:r>
              <w:rPr>
                <w:sz w:val="17"/>
              </w:rPr>
              <w:t xml:space="preserve"> </w:t>
            </w:r>
            <w:r>
              <w:rPr>
                <w:rFonts w:ascii="inherit" w:hAnsi="inherit"/>
                <w:sz w:val="17"/>
              </w:rPr>
              <w:t>The standard restricted stock award agreement pursuant to which we grant restricted stock to our employees generally provides that vesting is accelerated in whole or in part in the event of the holder’s death or disability.</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rPr>
                <w:sz w:val="17"/>
              </w:rPr>
            </w:pPr>
            <w:r>
              <w:rPr>
                <w:rFonts w:ascii="inherit" w:hAnsi="inherit"/>
                <w:i/>
                <w:sz w:val="17"/>
              </w:rPr>
              <w:t>SERP Contributions</w:t>
            </w:r>
            <w:r>
              <w:rPr>
                <w:sz w:val="17"/>
              </w:rPr>
              <w:t xml:space="preserve"> — </w:t>
            </w:r>
            <w:r>
              <w:rPr>
                <w:rFonts w:ascii="inherit" w:hAnsi="inherit"/>
                <w:sz w:val="17"/>
              </w:rPr>
              <w:t>For all executives (including the Named Executive Officers), any unvested Company contributions to the SERP will vest in the case of death or disability of the participant or a change-in-control.</w:t>
            </w:r>
          </w:p>
        </w:tc>
      </w:tr>
    </w:tbl>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132</w:t>
      </w:r>
      <w:r>
        <w:br w:type="page"/>
      </w:r>
    </w:p>
    <w:p>
      <w:pPr>
        <w:pStyle w:val="TextBody"/>
        <w:spacing w:lineRule="auto" w:line="288" w:before="0" w:after="0"/>
        <w:rPr/>
      </w:pPr>
      <w:hyperlink w:anchor="sA13583D437E20DC41B4583E2BD74AA47">
        <w:bookmarkStart w:id="115" w:name="s7A330994359C4B0B7B9783E285A28D073"/>
        <w:bookmarkEnd w:id="115"/>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The following table sets forth the amounts of severance or termination benefits that would have been payable to each of the Named Executive Officers upon the occurrence of various events, assuming each of the events occurred on </w:t>
      </w:r>
      <w:r>
        <w:rPr>
          <w:rFonts w:ascii="inherit" w:hAnsi="inherit"/>
          <w:strike w:val="false"/>
          <w:dstrike w:val="false"/>
          <w:color w:val="000000"/>
          <w:sz w:val="17"/>
          <w:u w:val="none"/>
          <w:effect w:val="none"/>
        </w:rPr>
        <w:t>September 30, 2013</w:t>
      </w:r>
      <w:r>
        <w:rPr>
          <w:rFonts w:ascii="inherit" w:hAnsi="inherit"/>
          <w:sz w:val="17"/>
        </w:rPr>
        <w:t>.</w:t>
      </w:r>
    </w:p>
    <w:tbl>
      <w:tblPr>
        <w:tblW w:w="10205" w:type="dxa"/>
        <w:jc w:val="left"/>
        <w:tblInd w:w="0" w:type="dxa"/>
        <w:tblCellMar>
          <w:top w:w="0" w:type="dxa"/>
          <w:left w:w="0" w:type="dxa"/>
          <w:bottom w:w="0" w:type="dxa"/>
          <w:right w:w="0" w:type="dxa"/>
        </w:tblCellMar>
      </w:tblPr>
      <w:tblGrid>
        <w:gridCol w:w="2714"/>
        <w:gridCol w:w="160"/>
        <w:gridCol w:w="1229"/>
        <w:gridCol w:w="72"/>
        <w:gridCol w:w="128"/>
        <w:gridCol w:w="298"/>
        <w:gridCol w:w="976"/>
        <w:gridCol w:w="92"/>
        <w:gridCol w:w="128"/>
        <w:gridCol w:w="173"/>
        <w:gridCol w:w="1056"/>
        <w:gridCol w:w="76"/>
        <w:gridCol w:w="128"/>
        <w:gridCol w:w="311"/>
        <w:gridCol w:w="963"/>
        <w:gridCol w:w="104"/>
        <w:gridCol w:w="128"/>
        <w:gridCol w:w="313"/>
        <w:gridCol w:w="822"/>
        <w:gridCol w:w="334"/>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71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14" w:type="dxa"/>
            <w:tcBorders>
              <w:bottom w:val="single" w:sz="2" w:space="0" w:color="000000"/>
            </w:tcBorders>
            <w:shd w:fill="auto" w:val="clear"/>
            <w:tcMar>
              <w:bottom w:w="30" w:type="dxa"/>
            </w:tcMar>
            <w:vAlign w:val="center"/>
          </w:tcPr>
          <w:p>
            <w:pPr>
              <w:pStyle w:val="TableContents"/>
              <w:spacing w:before="0" w:after="0"/>
              <w:rPr/>
            </w:pPr>
            <w:r>
              <w:rPr/>
              <w:t> </w:t>
            </w:r>
          </w:p>
        </w:tc>
        <w:tc>
          <w:tcPr>
            <w:tcW w:w="146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Salary</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6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Incentive</w:t>
            </w:r>
          </w:p>
          <w:p>
            <w:pPr>
              <w:pStyle w:val="TableContents"/>
              <w:spacing w:before="0" w:after="0"/>
              <w:ind w:left="0" w:right="0" w:firstLine="30"/>
              <w:jc w:val="center"/>
              <w:rPr>
                <w:rFonts w:ascii="inherit" w:hAnsi="inherit"/>
                <w:b/>
                <w:sz w:val="13"/>
              </w:rPr>
            </w:pPr>
            <w:r>
              <w:rPr>
                <w:rFonts w:ascii="inherit" w:hAnsi="inherit"/>
                <w:b/>
                <w:sz w:val="13"/>
              </w:rPr>
              <w:t>Bonus</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0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Aggregate Healthcare</w:t>
            </w:r>
          </w:p>
          <w:p>
            <w:pPr>
              <w:pStyle w:val="TableContents"/>
              <w:spacing w:before="0" w:after="0"/>
              <w:ind w:left="0" w:right="0" w:firstLine="30"/>
              <w:jc w:val="center"/>
              <w:rPr>
                <w:rFonts w:ascii="inherit" w:hAnsi="inherit"/>
                <w:b/>
                <w:sz w:val="13"/>
              </w:rPr>
            </w:pPr>
            <w:r>
              <w:rPr>
                <w:rFonts w:ascii="inherit" w:hAnsi="inherit"/>
                <w:b/>
                <w:sz w:val="13"/>
              </w:rPr>
              <w:t>Payments (1)</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7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Accelerated Vesting of</w:t>
            </w:r>
          </w:p>
          <w:p>
            <w:pPr>
              <w:pStyle w:val="TableContents"/>
              <w:spacing w:before="0" w:after="0"/>
              <w:jc w:val="center"/>
              <w:rPr>
                <w:rFonts w:ascii="inherit" w:hAnsi="inherit"/>
                <w:b/>
                <w:sz w:val="13"/>
              </w:rPr>
            </w:pPr>
            <w:r>
              <w:rPr>
                <w:rFonts w:ascii="inherit" w:hAnsi="inherit"/>
                <w:b/>
                <w:sz w:val="13"/>
              </w:rPr>
              <w:t>Restricted</w:t>
            </w:r>
          </w:p>
          <w:p>
            <w:pPr>
              <w:pStyle w:val="TableContents"/>
              <w:spacing w:before="0" w:after="0"/>
              <w:ind w:left="0" w:right="0" w:firstLine="30"/>
              <w:jc w:val="center"/>
              <w:rPr>
                <w:rFonts w:ascii="inherit" w:hAnsi="inherit"/>
                <w:b/>
                <w:sz w:val="13"/>
              </w:rPr>
            </w:pPr>
            <w:r>
              <w:rPr>
                <w:rFonts w:ascii="inherit" w:hAnsi="inherit"/>
                <w:b/>
                <w:sz w:val="13"/>
              </w:rPr>
              <w:t>Stock (2)</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6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Accelerated Vesting of</w:t>
            </w:r>
          </w:p>
          <w:p>
            <w:pPr>
              <w:pStyle w:val="TableContents"/>
              <w:spacing w:before="0" w:after="0"/>
              <w:ind w:left="0" w:right="0" w:firstLine="30"/>
              <w:jc w:val="center"/>
              <w:rPr>
                <w:rFonts w:ascii="inherit" w:hAnsi="inherit"/>
                <w:b/>
                <w:sz w:val="13"/>
              </w:rPr>
            </w:pPr>
            <w:r>
              <w:rPr>
                <w:rFonts w:ascii="inherit" w:hAnsi="inherit"/>
                <w:b/>
                <w:sz w:val="13"/>
              </w:rPr>
              <w:t>SERP Balance</w:t>
            </w:r>
          </w:p>
        </w:tc>
      </w:tr>
      <w:tr>
        <w:trPr/>
        <w:tc>
          <w:tcPr>
            <w:tcW w:w="2714"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Resignation for Good Reason:</w:t>
            </w:r>
          </w:p>
        </w:tc>
        <w:tc>
          <w:tcPr>
            <w:tcW w:w="1461" w:type="dxa"/>
            <w:gridSpan w:val="3"/>
            <w:tcBorders/>
            <w:shd w:fill="CCEEFF" w:val="clear"/>
            <w:vAlign w:val="center"/>
          </w:tcPr>
          <w:p>
            <w:pPr>
              <w:pStyle w:val="TableContents"/>
              <w:spacing w:before="0" w:after="0"/>
              <w:ind w:left="0" w:right="0" w:firstLine="30"/>
              <w:jc w:val="left"/>
              <w:rPr/>
            </w:pPr>
            <w:r>
              <w:rPr/>
              <w:t> </w:t>
            </w:r>
          </w:p>
        </w:tc>
        <w:tc>
          <w:tcPr>
            <w:tcW w:w="128" w:type="dxa"/>
            <w:tcBorders/>
            <w:shd w:fill="CCEEFF" w:val="clear"/>
            <w:vAlign w:val="center"/>
          </w:tcPr>
          <w:p>
            <w:pPr>
              <w:pStyle w:val="TableContents"/>
              <w:spacing w:before="0" w:after="0"/>
              <w:ind w:left="0" w:right="0" w:firstLine="30"/>
              <w:rPr/>
            </w:pPr>
            <w:r>
              <w:rPr/>
              <w:t> </w:t>
            </w:r>
          </w:p>
        </w:tc>
        <w:tc>
          <w:tcPr>
            <w:tcW w:w="1366" w:type="dxa"/>
            <w:gridSpan w:val="3"/>
            <w:tcBorders/>
            <w:shd w:fill="CCEEFF" w:val="clear"/>
            <w:vAlign w:val="center"/>
          </w:tcPr>
          <w:p>
            <w:pPr>
              <w:pStyle w:val="TableContents"/>
              <w:spacing w:before="0" w:after="0"/>
              <w:ind w:left="0" w:right="0" w:firstLine="30"/>
              <w:jc w:val="left"/>
              <w:rPr/>
            </w:pPr>
            <w:r>
              <w:rPr/>
              <w:t> </w:t>
            </w:r>
          </w:p>
        </w:tc>
        <w:tc>
          <w:tcPr>
            <w:tcW w:w="128" w:type="dxa"/>
            <w:tcBorders/>
            <w:shd w:fill="CCEEFF" w:val="clear"/>
            <w:vAlign w:val="center"/>
          </w:tcPr>
          <w:p>
            <w:pPr>
              <w:pStyle w:val="TableContents"/>
              <w:spacing w:before="0" w:after="0"/>
              <w:ind w:left="0" w:right="0" w:firstLine="30"/>
              <w:rPr/>
            </w:pPr>
            <w:r>
              <w:rPr/>
              <w:t> </w:t>
            </w:r>
          </w:p>
        </w:tc>
        <w:tc>
          <w:tcPr>
            <w:tcW w:w="1305" w:type="dxa"/>
            <w:gridSpan w:val="3"/>
            <w:tcBorders/>
            <w:shd w:fill="CCEEFF" w:val="clear"/>
            <w:vAlign w:val="center"/>
          </w:tcPr>
          <w:p>
            <w:pPr>
              <w:pStyle w:val="TableContents"/>
              <w:spacing w:before="0" w:after="0"/>
              <w:ind w:left="0" w:right="0" w:firstLine="30"/>
              <w:jc w:val="left"/>
              <w:rPr/>
            </w:pPr>
            <w:r>
              <w:rPr/>
              <w:t> </w:t>
            </w:r>
          </w:p>
        </w:tc>
        <w:tc>
          <w:tcPr>
            <w:tcW w:w="128" w:type="dxa"/>
            <w:tcBorders/>
            <w:shd w:fill="CCEEFF" w:val="clear"/>
            <w:vAlign w:val="center"/>
          </w:tcPr>
          <w:p>
            <w:pPr>
              <w:pStyle w:val="TableContents"/>
              <w:spacing w:before="0" w:after="0"/>
              <w:ind w:left="0" w:right="0" w:firstLine="30"/>
              <w:rPr/>
            </w:pPr>
            <w:r>
              <w:rPr/>
              <w:t> </w:t>
            </w:r>
          </w:p>
        </w:tc>
        <w:tc>
          <w:tcPr>
            <w:tcW w:w="1378" w:type="dxa"/>
            <w:gridSpan w:val="3"/>
            <w:tcBorders/>
            <w:shd w:fill="CCEEFF" w:val="clear"/>
            <w:vAlign w:val="center"/>
          </w:tcPr>
          <w:p>
            <w:pPr>
              <w:pStyle w:val="TableContents"/>
              <w:spacing w:before="0" w:after="0"/>
              <w:ind w:left="0" w:right="0" w:firstLine="30"/>
              <w:jc w:val="left"/>
              <w:rPr/>
            </w:pPr>
            <w:r>
              <w:rPr/>
              <w:t> </w:t>
            </w:r>
          </w:p>
        </w:tc>
        <w:tc>
          <w:tcPr>
            <w:tcW w:w="128" w:type="dxa"/>
            <w:tcBorders/>
            <w:shd w:fill="CCEEFF" w:val="clear"/>
            <w:vAlign w:val="center"/>
          </w:tcPr>
          <w:p>
            <w:pPr>
              <w:pStyle w:val="TableContents"/>
              <w:spacing w:before="0" w:after="0"/>
              <w:ind w:left="0" w:right="0" w:firstLine="30"/>
              <w:rPr/>
            </w:pPr>
            <w:r>
              <w:rPr/>
              <w:t> </w:t>
            </w:r>
          </w:p>
        </w:tc>
        <w:tc>
          <w:tcPr>
            <w:tcW w:w="1469" w:type="dxa"/>
            <w:gridSpan w:val="3"/>
            <w:tcBorders/>
            <w:shd w:fill="CCEEFF" w:val="clear"/>
            <w:vAlign w:val="center"/>
          </w:tcPr>
          <w:p>
            <w:pPr>
              <w:pStyle w:val="TableContents"/>
              <w:spacing w:before="0" w:after="0"/>
              <w:ind w:left="0" w:right="0" w:firstLine="180"/>
              <w:jc w:val="left"/>
              <w:rPr/>
            </w:pPr>
            <w:r>
              <w:rPr/>
              <w:t> </w:t>
            </w:r>
          </w:p>
        </w:tc>
      </w:tr>
      <w:tr>
        <w:trPr/>
        <w:tc>
          <w:tcPr>
            <w:tcW w:w="27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w:t>
            </w:r>
          </w:p>
        </w:tc>
        <w:tc>
          <w:tcPr>
            <w:tcW w:w="16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29" w:type="dxa"/>
            <w:tcBorders/>
            <w:shd w:fill="auto" w:val="clear"/>
            <w:vAlign w:val="center"/>
          </w:tcPr>
          <w:p>
            <w:pPr>
              <w:pStyle w:val="TableContents"/>
              <w:spacing w:before="0" w:after="0"/>
              <w:jc w:val="right"/>
              <w:rPr>
                <w:rFonts w:ascii="inherit" w:hAnsi="inherit"/>
                <w:sz w:val="17"/>
              </w:rPr>
            </w:pPr>
            <w:r>
              <w:rPr>
                <w:rFonts w:ascii="inherit" w:hAnsi="inherit"/>
                <w:sz w:val="17"/>
              </w:rPr>
              <w:t>1,000,000</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29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76" w:type="dxa"/>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7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6" w:type="dxa"/>
            <w:tcBorders/>
            <w:shd w:fill="auto" w:val="clear"/>
            <w:vAlign w:val="center"/>
          </w:tcPr>
          <w:p>
            <w:pPr>
              <w:pStyle w:val="TableContents"/>
              <w:spacing w:before="0" w:after="0"/>
              <w:jc w:val="right"/>
              <w:rPr>
                <w:rFonts w:ascii="inherit" w:hAnsi="inherit"/>
                <w:sz w:val="17"/>
              </w:rPr>
            </w:pPr>
            <w:r>
              <w:rPr>
                <w:rFonts w:ascii="inherit" w:hAnsi="inherit"/>
                <w:sz w:val="17"/>
              </w:rPr>
              <w:t>37,539</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31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3" w:type="dxa"/>
            <w:tcBorders/>
            <w:shd w:fill="auto" w:val="clear"/>
            <w:vAlign w:val="center"/>
          </w:tcPr>
          <w:p>
            <w:pPr>
              <w:pStyle w:val="TableContents"/>
              <w:spacing w:before="0" w:after="0"/>
              <w:jc w:val="right"/>
              <w:rPr/>
            </w:pPr>
            <w:r>
              <w:rPr/>
              <w:t>—</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31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22" w:type="dxa"/>
            <w:tcBorders/>
            <w:shd w:fill="auto" w:val="clear"/>
            <w:vAlign w:val="center"/>
          </w:tcPr>
          <w:p>
            <w:pPr>
              <w:pStyle w:val="TableContents"/>
              <w:spacing w:before="0" w:after="0"/>
              <w:jc w:val="right"/>
              <w:rPr/>
            </w:pPr>
            <w:r>
              <w:rPr/>
              <w:t>—</w:t>
            </w:r>
          </w:p>
        </w:tc>
        <w:tc>
          <w:tcPr>
            <w:tcW w:w="33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 Kuchenrither</w:t>
            </w:r>
          </w:p>
        </w:tc>
        <w:tc>
          <w:tcPr>
            <w:tcW w:w="1389"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pPr>
            <w:r>
              <w:rPr/>
              <w:t>—</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jc w:val="right"/>
              <w:rPr/>
            </w:pPr>
            <w:r>
              <w:rPr/>
              <w:t>—</w:t>
            </w:r>
          </w:p>
        </w:tc>
        <w:tc>
          <w:tcPr>
            <w:tcW w:w="33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Sterling B. Brinkley</w:t>
            </w:r>
          </w:p>
        </w:tc>
        <w:tc>
          <w:tcPr>
            <w:tcW w:w="1389"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7,928,900</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35" w:type="dxa"/>
            <w:gridSpan w:val="2"/>
            <w:tcBorders/>
            <w:shd w:fill="auto" w:val="clear"/>
            <w:vAlign w:val="center"/>
          </w:tcPr>
          <w:p>
            <w:pPr>
              <w:pStyle w:val="TableContents"/>
              <w:spacing w:before="0" w:after="0"/>
              <w:jc w:val="right"/>
              <w:rPr/>
            </w:pPr>
            <w:r>
              <w:rPr/>
              <w:t>—</w:t>
            </w:r>
          </w:p>
        </w:tc>
        <w:tc>
          <w:tcPr>
            <w:tcW w:w="33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Barry W. Guest</w:t>
            </w:r>
          </w:p>
        </w:tc>
        <w:tc>
          <w:tcPr>
            <w:tcW w:w="1389"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pPr>
            <w:r>
              <w:rPr/>
              <w:t>—</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jc w:val="right"/>
              <w:rPr/>
            </w:pPr>
            <w:r>
              <w:rPr/>
              <w:t>—</w:t>
            </w:r>
          </w:p>
        </w:tc>
        <w:tc>
          <w:tcPr>
            <w:tcW w:w="33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c>
          <w:tcPr>
            <w:tcW w:w="1389"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pPr>
            <w:r>
              <w:rPr/>
              <w:t>—</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35" w:type="dxa"/>
            <w:gridSpan w:val="2"/>
            <w:tcBorders/>
            <w:shd w:fill="auto" w:val="clear"/>
            <w:vAlign w:val="center"/>
          </w:tcPr>
          <w:p>
            <w:pPr>
              <w:pStyle w:val="TableContents"/>
              <w:spacing w:before="0" w:after="0"/>
              <w:jc w:val="right"/>
              <w:rPr/>
            </w:pPr>
            <w:r>
              <w:rPr/>
              <w:t>—</w:t>
            </w:r>
          </w:p>
        </w:tc>
        <w:tc>
          <w:tcPr>
            <w:tcW w:w="3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4"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Termination Without Cause:</w:t>
            </w:r>
          </w:p>
        </w:tc>
        <w:tc>
          <w:tcPr>
            <w:tcW w:w="1461" w:type="dxa"/>
            <w:gridSpan w:val="3"/>
            <w:tcBorders/>
            <w:shd w:fill="CCEEFF" w:val="clear"/>
            <w:vAlign w:val="center"/>
          </w:tcPr>
          <w:p>
            <w:pPr>
              <w:pStyle w:val="TableContents"/>
              <w:spacing w:before="0" w:after="0"/>
              <w:ind w:left="0" w:right="0" w:firstLine="30"/>
              <w:jc w:val="left"/>
              <w:rPr/>
            </w:pPr>
            <w:r>
              <w:rPr/>
              <w:t> </w:t>
            </w:r>
          </w:p>
        </w:tc>
        <w:tc>
          <w:tcPr>
            <w:tcW w:w="128" w:type="dxa"/>
            <w:tcBorders/>
            <w:shd w:fill="CCEEFF" w:val="clear"/>
            <w:vAlign w:val="center"/>
          </w:tcPr>
          <w:p>
            <w:pPr>
              <w:pStyle w:val="TableContents"/>
              <w:spacing w:before="0" w:after="0"/>
              <w:ind w:left="0" w:right="0" w:firstLine="30"/>
              <w:rPr/>
            </w:pPr>
            <w:r>
              <w:rPr/>
              <w:t> </w:t>
            </w:r>
          </w:p>
        </w:tc>
        <w:tc>
          <w:tcPr>
            <w:tcW w:w="1366" w:type="dxa"/>
            <w:gridSpan w:val="3"/>
            <w:tcBorders/>
            <w:shd w:fill="CCEEFF" w:val="clear"/>
            <w:vAlign w:val="center"/>
          </w:tcPr>
          <w:p>
            <w:pPr>
              <w:pStyle w:val="TableContents"/>
              <w:spacing w:before="0" w:after="0"/>
              <w:ind w:left="0" w:right="0" w:firstLine="30"/>
              <w:jc w:val="left"/>
              <w:rPr/>
            </w:pPr>
            <w:r>
              <w:rPr/>
              <w:t> </w:t>
            </w:r>
          </w:p>
        </w:tc>
        <w:tc>
          <w:tcPr>
            <w:tcW w:w="128" w:type="dxa"/>
            <w:tcBorders/>
            <w:shd w:fill="CCEEFF" w:val="clear"/>
            <w:vAlign w:val="center"/>
          </w:tcPr>
          <w:p>
            <w:pPr>
              <w:pStyle w:val="TableContents"/>
              <w:spacing w:before="0" w:after="0"/>
              <w:ind w:left="0" w:right="0" w:firstLine="30"/>
              <w:rPr/>
            </w:pPr>
            <w:r>
              <w:rPr/>
              <w:t> </w:t>
            </w:r>
          </w:p>
        </w:tc>
        <w:tc>
          <w:tcPr>
            <w:tcW w:w="1305" w:type="dxa"/>
            <w:gridSpan w:val="3"/>
            <w:tcBorders/>
            <w:shd w:fill="CCEEFF" w:val="clear"/>
            <w:vAlign w:val="center"/>
          </w:tcPr>
          <w:p>
            <w:pPr>
              <w:pStyle w:val="TableContents"/>
              <w:spacing w:before="0" w:after="0"/>
              <w:ind w:left="0" w:right="0" w:firstLine="30"/>
              <w:jc w:val="left"/>
              <w:rPr/>
            </w:pPr>
            <w:r>
              <w:rPr/>
              <w:t> </w:t>
            </w:r>
          </w:p>
        </w:tc>
        <w:tc>
          <w:tcPr>
            <w:tcW w:w="128" w:type="dxa"/>
            <w:tcBorders/>
            <w:shd w:fill="CCEEFF" w:val="clear"/>
            <w:vAlign w:val="center"/>
          </w:tcPr>
          <w:p>
            <w:pPr>
              <w:pStyle w:val="TableContents"/>
              <w:spacing w:before="0" w:after="0"/>
              <w:ind w:left="0" w:right="0" w:firstLine="30"/>
              <w:rPr/>
            </w:pPr>
            <w:r>
              <w:rPr/>
              <w:t> </w:t>
            </w:r>
          </w:p>
        </w:tc>
        <w:tc>
          <w:tcPr>
            <w:tcW w:w="1378" w:type="dxa"/>
            <w:gridSpan w:val="3"/>
            <w:tcBorders/>
            <w:shd w:fill="CCEEFF" w:val="clear"/>
            <w:vAlign w:val="center"/>
          </w:tcPr>
          <w:p>
            <w:pPr>
              <w:pStyle w:val="TableContents"/>
              <w:spacing w:before="0" w:after="0"/>
              <w:ind w:left="0" w:right="0" w:firstLine="30"/>
              <w:jc w:val="left"/>
              <w:rPr/>
            </w:pPr>
            <w:r>
              <w:rPr/>
              <w:t> </w:t>
            </w:r>
          </w:p>
        </w:tc>
        <w:tc>
          <w:tcPr>
            <w:tcW w:w="128" w:type="dxa"/>
            <w:tcBorders/>
            <w:shd w:fill="CCEEFF" w:val="clear"/>
            <w:vAlign w:val="center"/>
          </w:tcPr>
          <w:p>
            <w:pPr>
              <w:pStyle w:val="TableContents"/>
              <w:spacing w:before="0" w:after="0"/>
              <w:ind w:left="0" w:right="0" w:firstLine="30"/>
              <w:rPr/>
            </w:pPr>
            <w:r>
              <w:rPr/>
              <w:t> </w:t>
            </w:r>
          </w:p>
        </w:tc>
        <w:tc>
          <w:tcPr>
            <w:tcW w:w="1469" w:type="dxa"/>
            <w:gridSpan w:val="3"/>
            <w:tcBorders/>
            <w:shd w:fill="CCEEFF" w:val="clear"/>
            <w:vAlign w:val="center"/>
          </w:tcPr>
          <w:p>
            <w:pPr>
              <w:pStyle w:val="TableContents"/>
              <w:spacing w:before="0" w:after="0"/>
              <w:ind w:left="0" w:right="0" w:firstLine="180"/>
              <w:jc w:val="left"/>
              <w:rPr/>
            </w:pPr>
            <w:r>
              <w:rPr/>
              <w:t> </w:t>
            </w:r>
          </w:p>
        </w:tc>
      </w:tr>
      <w:tr>
        <w:trPr/>
        <w:tc>
          <w:tcPr>
            <w:tcW w:w="27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w:t>
            </w:r>
          </w:p>
        </w:tc>
        <w:tc>
          <w:tcPr>
            <w:tcW w:w="13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1,000,000</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1,950,000</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37,539</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pPr>
            <w:r>
              <w:rPr/>
              <w:t>—</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35" w:type="dxa"/>
            <w:gridSpan w:val="2"/>
            <w:tcBorders/>
            <w:shd w:fill="auto" w:val="clear"/>
            <w:vAlign w:val="center"/>
          </w:tcPr>
          <w:p>
            <w:pPr>
              <w:pStyle w:val="TableContents"/>
              <w:spacing w:before="0" w:after="0"/>
              <w:jc w:val="right"/>
              <w:rPr/>
            </w:pPr>
            <w:r>
              <w:rPr/>
              <w:t>—</w:t>
            </w:r>
          </w:p>
        </w:tc>
        <w:tc>
          <w:tcPr>
            <w:tcW w:w="33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 Kuchenrither</w:t>
            </w:r>
          </w:p>
        </w:tc>
        <w:tc>
          <w:tcPr>
            <w:tcW w:w="13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700,000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pPr>
            <w:r>
              <w:rPr/>
              <w:t>—</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jc w:val="right"/>
              <w:rPr/>
            </w:pPr>
            <w:r>
              <w:rPr/>
              <w:t>—</w:t>
            </w:r>
          </w:p>
        </w:tc>
        <w:tc>
          <w:tcPr>
            <w:tcW w:w="33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Sterling B. Brinkley</w:t>
            </w:r>
          </w:p>
        </w:tc>
        <w:tc>
          <w:tcPr>
            <w:tcW w:w="1389"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7,928,900</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35" w:type="dxa"/>
            <w:gridSpan w:val="2"/>
            <w:tcBorders/>
            <w:shd w:fill="auto" w:val="clear"/>
            <w:vAlign w:val="center"/>
          </w:tcPr>
          <w:p>
            <w:pPr>
              <w:pStyle w:val="TableContents"/>
              <w:spacing w:before="0" w:after="0"/>
              <w:jc w:val="right"/>
              <w:rPr/>
            </w:pPr>
            <w:r>
              <w:rPr/>
              <w:t>—</w:t>
            </w:r>
          </w:p>
        </w:tc>
        <w:tc>
          <w:tcPr>
            <w:tcW w:w="33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Barry W. Guest</w:t>
            </w:r>
          </w:p>
        </w:tc>
        <w:tc>
          <w:tcPr>
            <w:tcW w:w="13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410,000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pPr>
            <w:r>
              <w:rPr/>
              <w:t>—</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jc w:val="right"/>
              <w:rPr/>
            </w:pPr>
            <w:r>
              <w:rPr/>
              <w:t>—</w:t>
            </w:r>
          </w:p>
        </w:tc>
        <w:tc>
          <w:tcPr>
            <w:tcW w:w="33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c>
          <w:tcPr>
            <w:tcW w:w="1389"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pPr>
            <w:r>
              <w:rPr/>
              <w:t>—</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35" w:type="dxa"/>
            <w:gridSpan w:val="2"/>
            <w:tcBorders/>
            <w:shd w:fill="auto" w:val="clear"/>
            <w:vAlign w:val="center"/>
          </w:tcPr>
          <w:p>
            <w:pPr>
              <w:pStyle w:val="TableContents"/>
              <w:spacing w:before="0" w:after="0"/>
              <w:jc w:val="right"/>
              <w:rPr/>
            </w:pPr>
            <w:r>
              <w:rPr/>
              <w:t>—</w:t>
            </w:r>
          </w:p>
        </w:tc>
        <w:tc>
          <w:tcPr>
            <w:tcW w:w="3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4"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Death or Disability:</w:t>
            </w:r>
          </w:p>
        </w:tc>
        <w:tc>
          <w:tcPr>
            <w:tcW w:w="1461" w:type="dxa"/>
            <w:gridSpan w:val="3"/>
            <w:tcBorders/>
            <w:shd w:fill="CCEEFF" w:val="clear"/>
            <w:vAlign w:val="center"/>
          </w:tcPr>
          <w:p>
            <w:pPr>
              <w:pStyle w:val="TableContents"/>
              <w:spacing w:before="0" w:after="0"/>
              <w:ind w:left="0" w:right="0" w:firstLine="30"/>
              <w:jc w:val="left"/>
              <w:rPr/>
            </w:pPr>
            <w:r>
              <w:rPr/>
              <w:t> </w:t>
            </w:r>
          </w:p>
        </w:tc>
        <w:tc>
          <w:tcPr>
            <w:tcW w:w="128" w:type="dxa"/>
            <w:tcBorders/>
            <w:shd w:fill="CCEEFF" w:val="clear"/>
            <w:vAlign w:val="center"/>
          </w:tcPr>
          <w:p>
            <w:pPr>
              <w:pStyle w:val="TableContents"/>
              <w:spacing w:before="0" w:after="0"/>
              <w:ind w:left="0" w:right="0" w:firstLine="30"/>
              <w:rPr/>
            </w:pPr>
            <w:r>
              <w:rPr/>
              <w:t> </w:t>
            </w:r>
          </w:p>
        </w:tc>
        <w:tc>
          <w:tcPr>
            <w:tcW w:w="1366" w:type="dxa"/>
            <w:gridSpan w:val="3"/>
            <w:tcBorders/>
            <w:shd w:fill="CCEEFF" w:val="clear"/>
            <w:vAlign w:val="center"/>
          </w:tcPr>
          <w:p>
            <w:pPr>
              <w:pStyle w:val="TableContents"/>
              <w:spacing w:before="0" w:after="0"/>
              <w:ind w:left="0" w:right="0" w:firstLine="30"/>
              <w:jc w:val="left"/>
              <w:rPr/>
            </w:pPr>
            <w:r>
              <w:rPr/>
              <w:t> </w:t>
            </w:r>
          </w:p>
        </w:tc>
        <w:tc>
          <w:tcPr>
            <w:tcW w:w="128" w:type="dxa"/>
            <w:tcBorders/>
            <w:shd w:fill="CCEEFF" w:val="clear"/>
            <w:vAlign w:val="center"/>
          </w:tcPr>
          <w:p>
            <w:pPr>
              <w:pStyle w:val="TableContents"/>
              <w:spacing w:before="0" w:after="0"/>
              <w:ind w:left="0" w:right="0" w:firstLine="30"/>
              <w:rPr/>
            </w:pPr>
            <w:r>
              <w:rPr/>
              <w:t> </w:t>
            </w:r>
          </w:p>
        </w:tc>
        <w:tc>
          <w:tcPr>
            <w:tcW w:w="1305" w:type="dxa"/>
            <w:gridSpan w:val="3"/>
            <w:tcBorders/>
            <w:shd w:fill="CCEEFF" w:val="clear"/>
            <w:vAlign w:val="center"/>
          </w:tcPr>
          <w:p>
            <w:pPr>
              <w:pStyle w:val="TableContents"/>
              <w:spacing w:before="0" w:after="0"/>
              <w:ind w:left="0" w:right="0" w:firstLine="30"/>
              <w:jc w:val="left"/>
              <w:rPr/>
            </w:pPr>
            <w:r>
              <w:rPr/>
              <w:t> </w:t>
            </w:r>
          </w:p>
        </w:tc>
        <w:tc>
          <w:tcPr>
            <w:tcW w:w="128" w:type="dxa"/>
            <w:tcBorders/>
            <w:shd w:fill="CCEEFF" w:val="clear"/>
            <w:vAlign w:val="center"/>
          </w:tcPr>
          <w:p>
            <w:pPr>
              <w:pStyle w:val="TableContents"/>
              <w:spacing w:before="0" w:after="0"/>
              <w:ind w:left="0" w:right="0" w:firstLine="30"/>
              <w:rPr/>
            </w:pPr>
            <w:r>
              <w:rPr/>
              <w:t> </w:t>
            </w:r>
          </w:p>
        </w:tc>
        <w:tc>
          <w:tcPr>
            <w:tcW w:w="1378" w:type="dxa"/>
            <w:gridSpan w:val="3"/>
            <w:tcBorders/>
            <w:shd w:fill="CCEEFF" w:val="clear"/>
            <w:vAlign w:val="center"/>
          </w:tcPr>
          <w:p>
            <w:pPr>
              <w:pStyle w:val="TableContents"/>
              <w:spacing w:before="0" w:after="0"/>
              <w:ind w:left="0" w:right="0" w:firstLine="30"/>
              <w:jc w:val="left"/>
              <w:rPr/>
            </w:pPr>
            <w:r>
              <w:rPr/>
              <w:t> </w:t>
            </w:r>
          </w:p>
        </w:tc>
        <w:tc>
          <w:tcPr>
            <w:tcW w:w="128" w:type="dxa"/>
            <w:tcBorders/>
            <w:shd w:fill="CCEEFF" w:val="clear"/>
            <w:vAlign w:val="center"/>
          </w:tcPr>
          <w:p>
            <w:pPr>
              <w:pStyle w:val="TableContents"/>
              <w:spacing w:before="0" w:after="0"/>
              <w:ind w:left="0" w:right="0" w:firstLine="30"/>
              <w:rPr/>
            </w:pPr>
            <w:r>
              <w:rPr/>
              <w:t> </w:t>
            </w:r>
          </w:p>
        </w:tc>
        <w:tc>
          <w:tcPr>
            <w:tcW w:w="1469" w:type="dxa"/>
            <w:gridSpan w:val="3"/>
            <w:tcBorders/>
            <w:shd w:fill="CCEEFF" w:val="clear"/>
            <w:vAlign w:val="center"/>
          </w:tcPr>
          <w:p>
            <w:pPr>
              <w:pStyle w:val="TableContents"/>
              <w:spacing w:before="0" w:after="0"/>
              <w:ind w:left="0" w:right="0" w:firstLine="180"/>
              <w:jc w:val="left"/>
              <w:rPr/>
            </w:pPr>
            <w:r>
              <w:rPr/>
              <w:t> </w:t>
            </w:r>
          </w:p>
        </w:tc>
      </w:tr>
      <w:tr>
        <w:trPr/>
        <w:tc>
          <w:tcPr>
            <w:tcW w:w="27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w:t>
            </w:r>
          </w:p>
        </w:tc>
        <w:tc>
          <w:tcPr>
            <w:tcW w:w="13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1,000,000</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37,539</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3,374,000</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613,312</w:t>
            </w:r>
          </w:p>
        </w:tc>
        <w:tc>
          <w:tcPr>
            <w:tcW w:w="33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 Kuchenrither</w:t>
            </w:r>
          </w:p>
        </w:tc>
        <w:tc>
          <w:tcPr>
            <w:tcW w:w="1389"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3,803,611</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255,139</w:t>
            </w:r>
          </w:p>
        </w:tc>
        <w:tc>
          <w:tcPr>
            <w:tcW w:w="33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Sterling B. Brinkley</w:t>
            </w:r>
          </w:p>
        </w:tc>
        <w:tc>
          <w:tcPr>
            <w:tcW w:w="1389"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2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4,259,675</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1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613,034</w:t>
            </w:r>
          </w:p>
        </w:tc>
        <w:tc>
          <w:tcPr>
            <w:tcW w:w="33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Barry W. Guest</w:t>
            </w:r>
          </w:p>
        </w:tc>
        <w:tc>
          <w:tcPr>
            <w:tcW w:w="1389"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2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609,564</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11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106,928</w:t>
            </w:r>
          </w:p>
        </w:tc>
        <w:tc>
          <w:tcPr>
            <w:tcW w:w="334"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1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c>
          <w:tcPr>
            <w:tcW w:w="138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2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7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429,611</w:t>
            </w:r>
          </w:p>
        </w:tc>
        <w:tc>
          <w:tcPr>
            <w:tcW w:w="10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115,706</w:t>
            </w:r>
          </w:p>
        </w:tc>
        <w:tc>
          <w:tcPr>
            <w:tcW w:w="334" w:type="dxa"/>
            <w:tcBorders>
              <w:bottom w:val="single" w:sz="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233"/>
        <w:gridCol w:w="9972"/>
      </w:tblGrid>
      <w:tr>
        <w:trPr/>
        <w:tc>
          <w:tcPr>
            <w:tcW w:w="233" w:type="dxa"/>
            <w:tcBorders/>
            <w:shd w:fill="auto" w:val="clear"/>
            <w:vAlign w:val="center"/>
          </w:tcPr>
          <w:p>
            <w:pPr>
              <w:pStyle w:val="TableContents"/>
              <w:spacing w:before="0" w:after="283"/>
              <w:rPr>
                <w:sz w:val="4"/>
                <w:szCs w:val="4"/>
              </w:rPr>
            </w:pPr>
            <w:r>
              <w:rPr>
                <w:sz w:val="4"/>
                <w:szCs w:val="4"/>
              </w:rPr>
            </w:r>
          </w:p>
        </w:tc>
        <w:tc>
          <w:tcPr>
            <w:tcW w:w="9972" w:type="dxa"/>
            <w:tcBorders/>
            <w:shd w:fill="auto" w:val="clear"/>
            <w:vAlign w:val="center"/>
          </w:tcPr>
          <w:p>
            <w:pPr>
              <w:pStyle w:val="TableContents"/>
              <w:spacing w:before="0" w:after="283"/>
              <w:rPr>
                <w:sz w:val="4"/>
                <w:szCs w:val="4"/>
              </w:rPr>
            </w:pPr>
            <w:r>
              <w:rPr>
                <w:sz w:val="4"/>
                <w:szCs w:val="4"/>
              </w:rPr>
            </w:r>
          </w:p>
        </w:tc>
      </w:tr>
      <w:tr>
        <w:trPr/>
        <w:tc>
          <w:tcPr>
            <w:tcW w:w="233"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(1)</w:t>
            </w:r>
          </w:p>
        </w:tc>
        <w:tc>
          <w:tcPr>
            <w:tcW w:w="9972" w:type="dxa"/>
            <w:tcBorders/>
            <w:shd w:fill="auto" w:val="clear"/>
            <w:vAlign w:val="center"/>
          </w:tcPr>
          <w:p>
            <w:pPr>
              <w:pStyle w:val="TableContents"/>
              <w:spacing w:lineRule="auto" w:line="288" w:before="0" w:after="0"/>
              <w:rPr>
                <w:rFonts w:ascii="inherit" w:hAnsi="inherit"/>
                <w:sz w:val="15"/>
              </w:rPr>
            </w:pPr>
            <w:r>
              <w:rPr>
                <w:rFonts w:ascii="inherit" w:hAnsi="inherit"/>
                <w:sz w:val="15"/>
              </w:rPr>
              <w:t>Represents the aggregate amount of the payments to be made to allow continuation of healthcare benefits, plus the related tax gross-up payments (if applicable).</w:t>
            </w:r>
          </w:p>
        </w:tc>
      </w:tr>
    </w:tbl>
    <w:tbl>
      <w:tblPr>
        <w:tblW w:w="10205" w:type="dxa"/>
        <w:jc w:val="left"/>
        <w:tblInd w:w="0" w:type="dxa"/>
        <w:tblCellMar>
          <w:top w:w="0" w:type="dxa"/>
          <w:left w:w="0" w:type="dxa"/>
          <w:bottom w:w="0" w:type="dxa"/>
          <w:right w:w="0" w:type="dxa"/>
        </w:tblCellMar>
      </w:tblPr>
      <w:tblGrid>
        <w:gridCol w:w="227"/>
        <w:gridCol w:w="9978"/>
      </w:tblGrid>
      <w:tr>
        <w:trPr/>
        <w:tc>
          <w:tcPr>
            <w:tcW w:w="227" w:type="dxa"/>
            <w:tcBorders/>
            <w:shd w:fill="auto" w:val="clear"/>
            <w:vAlign w:val="center"/>
          </w:tcPr>
          <w:p>
            <w:pPr>
              <w:pStyle w:val="TableContents"/>
              <w:spacing w:before="0" w:after="283"/>
              <w:rPr>
                <w:sz w:val="4"/>
                <w:szCs w:val="4"/>
              </w:rPr>
            </w:pPr>
            <w:r>
              <w:rPr>
                <w:sz w:val="4"/>
                <w:szCs w:val="4"/>
              </w:rPr>
            </w:r>
          </w:p>
        </w:tc>
        <w:tc>
          <w:tcPr>
            <w:tcW w:w="9978" w:type="dxa"/>
            <w:tcBorders/>
            <w:shd w:fill="auto" w:val="clear"/>
            <w:vAlign w:val="center"/>
          </w:tcPr>
          <w:p>
            <w:pPr>
              <w:pStyle w:val="TableContents"/>
              <w:spacing w:before="0" w:after="283"/>
              <w:rPr>
                <w:sz w:val="4"/>
                <w:szCs w:val="4"/>
              </w:rPr>
            </w:pPr>
            <w:r>
              <w:rPr>
                <w:sz w:val="4"/>
                <w:szCs w:val="4"/>
              </w:rPr>
            </w:r>
          </w:p>
        </w:tc>
      </w:tr>
      <w:tr>
        <w:trPr/>
        <w:tc>
          <w:tcPr>
            <w:tcW w:w="227"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(2)</w:t>
            </w:r>
          </w:p>
        </w:tc>
        <w:tc>
          <w:tcPr>
            <w:tcW w:w="9978" w:type="dxa"/>
            <w:tcBorders/>
            <w:shd w:fill="auto" w:val="clear"/>
            <w:vAlign w:val="center"/>
          </w:tcPr>
          <w:p>
            <w:pPr>
              <w:pStyle w:val="TableContents"/>
              <w:spacing w:lineRule="auto" w:line="288" w:before="0" w:after="0"/>
              <w:rPr>
                <w:rFonts w:ascii="inherit" w:hAnsi="inherit"/>
                <w:sz w:val="15"/>
              </w:rPr>
            </w:pPr>
            <w:r>
              <w:rPr>
                <w:rFonts w:ascii="inherit" w:hAnsi="inherit"/>
                <w:sz w:val="15"/>
              </w:rPr>
              <w:t>Represents the number of shares subject to accelerated vesting (as described above), multiplied by the closing sales price of the Class A Common Stock on September 30, 2013 ($16.87).</w:t>
            </w:r>
          </w:p>
        </w:tc>
      </w:tr>
    </w:tbl>
    <w:p>
      <w:pPr>
        <w:pStyle w:val="TextBody"/>
        <w:spacing w:lineRule="auto" w:line="288" w:before="0" w:after="0"/>
        <w:jc w:val="left"/>
        <w:rPr>
          <w:rFonts w:ascii="inherit" w:hAnsi="inherit"/>
          <w:sz w:val="17"/>
        </w:rPr>
      </w:pPr>
      <w:r>
        <w:rPr>
          <w:rFonts w:ascii="inherit" w:hAnsi="inherit"/>
          <w:sz w:val="17"/>
        </w:rPr>
        <w:t>The Compensation Committee has the authority under our stock-based compensation plans to issue awards with provisions that accelerate vesting and exercisability in the event of a change-in-control. To date, the Committee has not included change-in-control acceleration provisions in any awards. Unless such provisions were subsequently included, then the only benefit that would inure to the Named Executive Officers by reason of a change-in-control itself would be the accelerated vesting for SERP contributions (equal to the same benefit as that set forth under “Death or Disability” in the table above). If an executive’s employment was terminated following a change-in-control, then the additional benefits described above would apply, depending on the circumstances of the termination.</w:t>
      </w:r>
    </w:p>
    <w:p>
      <w:pPr>
        <w:pStyle w:val="TextBody"/>
        <w:spacing w:lineRule="auto" w:line="288" w:before="0" w:after="0"/>
        <w:jc w:val="left"/>
        <w:rPr>
          <w:rFonts w:ascii="inherit" w:hAnsi="inherit"/>
          <w:b/>
          <w:sz w:val="17"/>
        </w:rPr>
      </w:pPr>
      <w:bookmarkStart w:id="116" w:name="sA631675AF6849953950B83E289E0D35E"/>
      <w:bookmarkEnd w:id="116"/>
      <w:r>
        <w:rPr>
          <w:rFonts w:ascii="inherit" w:hAnsi="inherit"/>
          <w:b/>
          <w:sz w:val="17"/>
        </w:rPr>
        <w:t>Director Compensation</w:t>
      </w:r>
    </w:p>
    <w:p>
      <w:pPr>
        <w:pStyle w:val="TextBody"/>
        <w:spacing w:lineRule="auto" w:line="288" w:before="0" w:after="0"/>
        <w:jc w:val="left"/>
        <w:rPr>
          <w:sz w:val="17"/>
        </w:rPr>
      </w:pPr>
      <w:r>
        <w:rPr>
          <w:rFonts w:ascii="inherit" w:hAnsi="inherit"/>
          <w:sz w:val="17"/>
        </w:rPr>
        <w:t xml:space="preserve">Each non-employee director receives a basic annual retainer fee, with the chair of the Audit Committee, the chair of the Compensation Committee and the Lead Director each receiving an additional amount. During fiscal </w:t>
      </w:r>
      <w:r>
        <w:rPr>
          <w:rFonts w:ascii="inherit" w:hAnsi="inherit"/>
          <w:strike w:val="false"/>
          <w:dstrike w:val="false"/>
          <w:color w:val="000000"/>
          <w:sz w:val="17"/>
          <w:u w:val="none"/>
          <w:effect w:val="none"/>
        </w:rPr>
        <w:t>2013</w:t>
      </w:r>
      <w:r>
        <w:rPr>
          <w:rFonts w:ascii="inherit" w:hAnsi="inherit"/>
          <w:sz w:val="17"/>
        </w:rPr>
        <w:t>, the basic annual retainer fee was $80,000, and additional amounts paid to the chair of the Audit Committee, the chair of the Compensation Committee and the Lead Director were $20,000, $15,000</w:t>
      </w:r>
      <w:r>
        <w:rPr>
          <w:sz w:val="17"/>
        </w:rPr>
        <w:t xml:space="preserve"> </w:t>
      </w:r>
      <w:r>
        <w:rPr>
          <w:rFonts w:ascii="inherit" w:hAnsi="inherit"/>
          <w:sz w:val="17"/>
        </w:rPr>
        <w:t>and $50,000, respectively. Annual retainer fees are paid in cash on a quarterly basis. The non-employee director compensation for fiscal 2014</w:t>
      </w:r>
      <w:r>
        <w:rPr>
          <w:sz w:val="17"/>
        </w:rPr>
        <w:t xml:space="preserve"> </w:t>
      </w:r>
      <w:r>
        <w:rPr>
          <w:rFonts w:ascii="inherit" w:hAnsi="inherit"/>
          <w:sz w:val="17"/>
        </w:rPr>
        <w:t xml:space="preserve">will be the same as that for fiscal 2013. </w:t>
      </w:r>
    </w:p>
    <w:p>
      <w:pPr>
        <w:pStyle w:val="TextBody"/>
        <w:spacing w:lineRule="auto" w:line="288" w:before="0" w:after="0"/>
        <w:jc w:val="left"/>
        <w:rPr>
          <w:rFonts w:ascii="inherit" w:hAnsi="inherit"/>
          <w:sz w:val="17"/>
        </w:rPr>
      </w:pPr>
      <w:r>
        <w:rPr>
          <w:rFonts w:ascii="inherit" w:hAnsi="inherit"/>
          <w:sz w:val="17"/>
        </w:rPr>
        <w:t>The non-employee directors are also eligible for stock option and restricted stock awards. The number of options or shares of restricted stock awarded, as well as the other terms and conditions of the awards (such as vesting and exercisability schedules and termination provisions), are determined by the Board of Directors upon the recommendation of the Compensation Committee. No options have been awarded to the non-employee directors since fiscal 2007. Equity awards are generally granted on the first business day of the fiscal year.</w:t>
      </w:r>
    </w:p>
    <w:p>
      <w:pPr>
        <w:pStyle w:val="TextBody"/>
        <w:spacing w:lineRule="auto" w:line="288" w:before="0" w:after="0"/>
        <w:jc w:val="left"/>
        <w:rPr>
          <w:sz w:val="17"/>
        </w:rPr>
      </w:pPr>
      <w:r>
        <w:rPr>
          <w:rFonts w:ascii="inherit" w:hAnsi="inherit"/>
          <w:sz w:val="17"/>
        </w:rPr>
        <w:t xml:space="preserve">The following table sets forth the compensation paid to our non-employee directors for fiscal </w:t>
      </w:r>
      <w:r>
        <w:rPr>
          <w:rFonts w:ascii="inherit" w:hAnsi="inherit"/>
          <w:strike w:val="false"/>
          <w:dstrike w:val="false"/>
          <w:color w:val="000000"/>
          <w:sz w:val="17"/>
          <w:u w:val="none"/>
          <w:effect w:val="none"/>
        </w:rPr>
        <w:t>2013</w:t>
      </w:r>
      <w:r>
        <w:rPr>
          <w:rFonts w:ascii="inherit" w:hAnsi="inherit"/>
          <w:sz w:val="17"/>
        </w:rPr>
        <w:t xml:space="preserve">. Mr. Brinkley and Mr. Rothamel are executive officers of the company and do not receive any additional compensation for serving on the Board of Directors.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133</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05"/>
        <w:gridCol w:w="5206"/>
        <w:gridCol w:w="173"/>
        <w:gridCol w:w="1206"/>
        <w:gridCol w:w="97"/>
        <w:gridCol w:w="145"/>
        <w:gridCol w:w="173"/>
        <w:gridCol w:w="1289"/>
        <w:gridCol w:w="97"/>
        <w:gridCol w:w="145"/>
        <w:gridCol w:w="173"/>
        <w:gridCol w:w="1289"/>
        <w:gridCol w:w="107"/>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520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ind w:left="0" w:right="0" w:firstLine="30"/>
              <w:rPr/>
            </w:pPr>
            <w:r>
              <w:rPr/>
              <w:t> </w:t>
            </w:r>
          </w:p>
        </w:tc>
        <w:tc>
          <w:tcPr>
            <w:tcW w:w="5206" w:type="dxa"/>
            <w:vMerge w:val="restart"/>
            <w:tcBorders>
              <w:bottom w:val="single" w:sz="2" w:space="0" w:color="000000"/>
            </w:tcBorders>
            <w:shd w:fill="auto" w:val="clear"/>
            <w:tcMar>
              <w:bottom w:w="30" w:type="dxa"/>
            </w:tcMar>
            <w:vAlign w:val="center"/>
          </w:tcPr>
          <w:p>
            <w:pPr>
              <w:pStyle w:val="TableContents"/>
              <w:spacing w:before="0" w:after="0"/>
              <w:jc w:val="left"/>
              <w:rPr>
                <w:rFonts w:ascii="inherit" w:hAnsi="inherit"/>
                <w:b/>
                <w:sz w:val="13"/>
              </w:rPr>
            </w:pPr>
            <w:r>
              <w:rPr>
                <w:rFonts w:ascii="inherit" w:hAnsi="inherit"/>
                <w:b/>
                <w:sz w:val="13"/>
              </w:rPr>
              <w:t>Director</w:t>
            </w:r>
          </w:p>
        </w:tc>
        <w:tc>
          <w:tcPr>
            <w:tcW w:w="1476"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Fees Earned or Paid in Cash</w:t>
            </w:r>
          </w:p>
        </w:tc>
        <w:tc>
          <w:tcPr>
            <w:tcW w:w="145" w:type="dxa"/>
            <w:vMerge w:val="restart"/>
            <w:tcBorders>
              <w:bottom w:val="single" w:sz="2" w:space="0" w:color="000000"/>
            </w:tcBorders>
            <w:shd w:fill="auto" w:val="clear"/>
            <w:tcMar>
              <w:bottom w:w="30" w:type="dxa"/>
            </w:tcMar>
            <w:vAlign w:val="center"/>
          </w:tcPr>
          <w:p>
            <w:pPr>
              <w:pStyle w:val="TableContents"/>
              <w:spacing w:before="0" w:after="0"/>
              <w:rPr/>
            </w:pPr>
            <w:r>
              <w:rPr/>
              <w:t> </w:t>
            </w:r>
          </w:p>
        </w:tc>
        <w:tc>
          <w:tcPr>
            <w:tcW w:w="1559"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Restricted Stock Awards (1)</w:t>
            </w:r>
          </w:p>
        </w:tc>
        <w:tc>
          <w:tcPr>
            <w:tcW w:w="145" w:type="dxa"/>
            <w:vMerge w:val="restart"/>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569"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Total</w:t>
            </w:r>
          </w:p>
        </w:tc>
      </w:tr>
      <w:tr>
        <w:trPr/>
        <w:tc>
          <w:tcPr>
            <w:tcW w:w="105" w:type="dxa"/>
            <w:tcBorders/>
            <w:shd w:fill="auto" w:val="clear"/>
            <w:vAlign w:val="center"/>
          </w:tcPr>
          <w:p>
            <w:pPr>
              <w:pStyle w:val="TableContents"/>
              <w:spacing w:before="0" w:after="283"/>
              <w:rPr/>
            </w:pPr>
            <w:r>
              <w:rPr/>
              <w:t> </w:t>
            </w:r>
          </w:p>
        </w:tc>
        <w:tc>
          <w:tcPr>
            <w:tcW w:w="5206" w:type="dxa"/>
            <w:vMerge w:val="continue"/>
            <w:tcBorders>
              <w:bottom w:val="single" w:sz="2" w:space="0" w:color="000000"/>
            </w:tcBorders>
            <w:shd w:fill="auto" w:val="clear"/>
            <w:tcMar>
              <w:bottom w:w="30" w:type="dxa"/>
            </w:tcMar>
            <w:vAlign w:val="center"/>
          </w:tcPr>
          <w:p>
            <w:pPr>
              <w:pStyle w:val="Normal"/>
              <w:rPr/>
            </w:pPr>
            <w:r>
              <w:rPr/>
            </w:r>
          </w:p>
        </w:tc>
        <w:tc>
          <w:tcPr>
            <w:tcW w:w="1476" w:type="dxa"/>
            <w:gridSpan w:val="3"/>
            <w:vMerge w:val="continue"/>
            <w:tcBorders>
              <w:bottom w:val="single" w:sz="2" w:space="0" w:color="000000"/>
            </w:tcBorders>
            <w:shd w:fill="auto" w:val="clear"/>
            <w:tcMar>
              <w:bottom w:w="30" w:type="dxa"/>
            </w:tcMar>
            <w:vAlign w:val="center"/>
          </w:tcPr>
          <w:p>
            <w:pPr>
              <w:pStyle w:val="Normal"/>
              <w:rPr/>
            </w:pPr>
            <w:r>
              <w:rPr/>
            </w:r>
          </w:p>
        </w:tc>
        <w:tc>
          <w:tcPr>
            <w:tcW w:w="145" w:type="dxa"/>
            <w:vMerge w:val="continue"/>
            <w:tcBorders>
              <w:bottom w:val="single" w:sz="2" w:space="0" w:color="000000"/>
            </w:tcBorders>
            <w:shd w:fill="auto" w:val="clear"/>
            <w:tcMar>
              <w:bottom w:w="30" w:type="dxa"/>
            </w:tcMar>
            <w:vAlign w:val="center"/>
          </w:tcPr>
          <w:p>
            <w:pPr>
              <w:pStyle w:val="Normal"/>
              <w:rPr/>
            </w:pPr>
            <w:r>
              <w:rPr/>
            </w:r>
          </w:p>
        </w:tc>
        <w:tc>
          <w:tcPr>
            <w:tcW w:w="1559" w:type="dxa"/>
            <w:gridSpan w:val="3"/>
            <w:vMerge w:val="continue"/>
            <w:tcBorders>
              <w:bottom w:val="single" w:sz="2" w:space="0" w:color="000000"/>
            </w:tcBorders>
            <w:shd w:fill="auto" w:val="clear"/>
            <w:tcMar>
              <w:bottom w:w="30" w:type="dxa"/>
            </w:tcMar>
            <w:vAlign w:val="center"/>
          </w:tcPr>
          <w:p>
            <w:pPr>
              <w:pStyle w:val="Normal"/>
              <w:rPr/>
            </w:pPr>
            <w:r>
              <w:rPr/>
            </w:r>
          </w:p>
        </w:tc>
        <w:tc>
          <w:tcPr>
            <w:tcW w:w="145" w:type="dxa"/>
            <w:vMerge w:val="continue"/>
            <w:tcBorders>
              <w:bottom w:val="single" w:sz="2" w:space="0" w:color="000000"/>
            </w:tcBorders>
            <w:shd w:fill="auto" w:val="clear"/>
            <w:tcMar>
              <w:bottom w:w="30" w:type="dxa"/>
            </w:tcMar>
            <w:vAlign w:val="center"/>
          </w:tcPr>
          <w:p>
            <w:pPr>
              <w:pStyle w:val="Normal"/>
              <w:rPr/>
            </w:pPr>
            <w:r>
              <w:rPr/>
            </w:r>
          </w:p>
        </w:tc>
        <w:tc>
          <w:tcPr>
            <w:tcW w:w="1569"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105" w:type="dxa"/>
            <w:tcBorders/>
            <w:shd w:fill="auto" w:val="clear"/>
            <w:vAlign w:val="center"/>
          </w:tcPr>
          <w:p>
            <w:pPr>
              <w:pStyle w:val="TableContents"/>
              <w:spacing w:before="0" w:after="283"/>
              <w:ind w:left="0" w:right="0" w:firstLine="30"/>
              <w:rPr/>
            </w:pPr>
            <w:r>
              <w:rPr/>
              <w:t> </w:t>
            </w:r>
          </w:p>
        </w:tc>
        <w:tc>
          <w:tcPr>
            <w:tcW w:w="5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Joseph J. Beal</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6" w:type="dxa"/>
            <w:tcBorders/>
            <w:shd w:fill="CCEEFF" w:val="clear"/>
            <w:vAlign w:val="center"/>
          </w:tcPr>
          <w:p>
            <w:pPr>
              <w:pStyle w:val="TableContents"/>
              <w:spacing w:before="0" w:after="0"/>
              <w:jc w:val="right"/>
              <w:rPr>
                <w:rFonts w:ascii="inherit" w:hAnsi="inherit"/>
                <w:sz w:val="17"/>
              </w:rPr>
            </w:pPr>
            <w:r>
              <w:rPr>
                <w:rFonts w:ascii="inherit" w:hAnsi="inherit"/>
                <w:sz w:val="17"/>
              </w:rPr>
              <w:t>95,000</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9" w:type="dxa"/>
            <w:tcBorders/>
            <w:shd w:fill="CCEEFF" w:val="clear"/>
            <w:vAlign w:val="center"/>
          </w:tcPr>
          <w:p>
            <w:pPr>
              <w:pStyle w:val="TableContents"/>
              <w:spacing w:before="0" w:after="0"/>
              <w:jc w:val="right"/>
              <w:rPr>
                <w:rFonts w:ascii="inherit" w:hAnsi="inherit"/>
                <w:sz w:val="17"/>
              </w:rPr>
            </w:pPr>
            <w:r>
              <w:rPr>
                <w:rFonts w:ascii="inherit" w:hAnsi="inherit"/>
                <w:sz w:val="17"/>
              </w:rPr>
              <w:t>150,345</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9" w:type="dxa"/>
            <w:tcBorders/>
            <w:shd w:fill="CCEEFF" w:val="clear"/>
            <w:vAlign w:val="center"/>
          </w:tcPr>
          <w:p>
            <w:pPr>
              <w:pStyle w:val="TableContents"/>
              <w:spacing w:before="0" w:after="0"/>
              <w:jc w:val="right"/>
              <w:rPr>
                <w:rFonts w:ascii="inherit" w:hAnsi="inherit"/>
                <w:sz w:val="17"/>
              </w:rPr>
            </w:pPr>
            <w:r>
              <w:rPr>
                <w:rFonts w:ascii="inherit" w:hAnsi="inherit"/>
                <w:sz w:val="17"/>
              </w:rPr>
              <w:t>245,345</w:t>
            </w:r>
          </w:p>
        </w:tc>
        <w:tc>
          <w:tcPr>
            <w:tcW w:w="107"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52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Pablo Lagos Espinosa</w:t>
            </w:r>
          </w:p>
        </w:tc>
        <w:tc>
          <w:tcPr>
            <w:tcW w:w="13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80,000</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4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150,345</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4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230,345</w:t>
            </w:r>
          </w:p>
        </w:tc>
        <w:tc>
          <w:tcPr>
            <w:tcW w:w="107"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5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John Farrell</w:t>
            </w:r>
          </w:p>
        </w:tc>
        <w:tc>
          <w:tcPr>
            <w:tcW w:w="13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80,000</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4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150,345</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4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230,345</w:t>
            </w:r>
          </w:p>
        </w:tc>
        <w:tc>
          <w:tcPr>
            <w:tcW w:w="107"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52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William C. Love</w:t>
            </w:r>
          </w:p>
        </w:tc>
        <w:tc>
          <w:tcPr>
            <w:tcW w:w="13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100,000</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4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150,345</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4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250,345</w:t>
            </w:r>
          </w:p>
        </w:tc>
        <w:tc>
          <w:tcPr>
            <w:tcW w:w="107"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r>
        <w:trPr/>
        <w:tc>
          <w:tcPr>
            <w:tcW w:w="105" w:type="dxa"/>
            <w:tcBorders/>
            <w:shd w:fill="auto" w:val="clear"/>
            <w:vAlign w:val="center"/>
          </w:tcPr>
          <w:p>
            <w:pPr>
              <w:pStyle w:val="TableContents"/>
              <w:spacing w:before="0" w:after="283"/>
              <w:ind w:left="0" w:right="0" w:firstLine="30"/>
              <w:rPr/>
            </w:pPr>
            <w:r>
              <w:rPr/>
              <w:t> </w:t>
            </w:r>
          </w:p>
        </w:tc>
        <w:tc>
          <w:tcPr>
            <w:tcW w:w="520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Thomas C. Roberts</w:t>
            </w:r>
          </w:p>
        </w:tc>
        <w:tc>
          <w:tcPr>
            <w:tcW w:w="137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130,000</w:t>
            </w:r>
          </w:p>
        </w:tc>
        <w:tc>
          <w:tcPr>
            <w:tcW w:w="9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46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150,345</w:t>
            </w:r>
          </w:p>
        </w:tc>
        <w:tc>
          <w:tcPr>
            <w:tcW w:w="9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46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280,345</w:t>
            </w:r>
          </w:p>
        </w:tc>
        <w:tc>
          <w:tcPr>
            <w:tcW w:w="107" w:type="dxa"/>
            <w:tcBorders>
              <w:bottom w:val="single" w:sz="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vAlign w:val="center"/>
          </w:tcPr>
          <w:p>
            <w:pPr>
              <w:pStyle w:val="TableContents"/>
              <w:spacing w:before="0" w:after="283"/>
              <w:rPr>
                <w:sz w:val="4"/>
                <w:szCs w:val="4"/>
              </w:rPr>
            </w:pPr>
            <w:r>
              <w:rPr>
                <w:sz w:val="4"/>
                <w:szCs w:val="4"/>
              </w:rPr>
            </w:r>
          </w:p>
        </w:tc>
        <w:tc>
          <w:tcPr>
            <w:tcW w:w="10002" w:type="dxa"/>
            <w:tcBorders/>
            <w:shd w:fill="auto" w:val="clear"/>
            <w:vAlign w:val="center"/>
          </w:tcPr>
          <w:p>
            <w:pPr>
              <w:pStyle w:val="TableContents"/>
              <w:spacing w:before="0" w:after="283"/>
              <w:rPr>
                <w:sz w:val="4"/>
                <w:szCs w:val="4"/>
              </w:rPr>
            </w:pPr>
            <w:r>
              <w:rPr>
                <w:sz w:val="4"/>
                <w:szCs w:val="4"/>
              </w:rPr>
            </w:r>
          </w:p>
        </w:tc>
      </w:tr>
      <w:tr>
        <w:trPr/>
        <w:tc>
          <w:tcPr>
            <w:tcW w:w="203"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(1)</w:t>
            </w:r>
          </w:p>
        </w:tc>
        <w:tc>
          <w:tcPr>
            <w:tcW w:w="10002" w:type="dxa"/>
            <w:tcBorders/>
            <w:shd w:fill="auto" w:val="clear"/>
            <w:vAlign w:val="center"/>
          </w:tcPr>
          <w:p>
            <w:pPr>
              <w:pStyle w:val="TableContents"/>
              <w:spacing w:lineRule="auto" w:line="288" w:before="0" w:after="0"/>
              <w:rPr>
                <w:rFonts w:ascii="inherit" w:hAnsi="inherit"/>
                <w:sz w:val="15"/>
              </w:rPr>
            </w:pPr>
            <w:r>
              <w:rPr>
                <w:rFonts w:ascii="inherit" w:hAnsi="inherit"/>
                <w:sz w:val="15"/>
              </w:rPr>
              <w:t>Amounts represent the aggregate grant date fair value of restricted stock awards, computed in accordance with FASB ASC 718-10-25. See Note 10 to our Consolidated Financial Statements included in “Item 8 — Financial Statements and Supplemental Data.” The actual value realized by the director with respect to stock awards will depend on the market value of our stock on the date the stock is sold.</w:t>
            </w:r>
          </w:p>
        </w:tc>
      </w:tr>
    </w:tbl>
    <w:p>
      <w:pPr>
        <w:pStyle w:val="TextBody"/>
        <w:spacing w:lineRule="auto" w:line="288" w:before="0" w:after="0"/>
        <w:ind w:left="0" w:right="0" w:firstLine="360"/>
        <w:rPr>
          <w:rFonts w:ascii="inherit" w:hAnsi="inherit"/>
          <w:sz w:val="15"/>
        </w:rPr>
      </w:pPr>
      <w:r>
        <w:rPr>
          <w:rFonts w:ascii="inherit" w:hAnsi="inherit"/>
          <w:sz w:val="15"/>
        </w:rPr>
        <w:t>On October 1, 2012, each non-employee director received a grant of 6,500 shares of restricted stock, vesting over a two-year period (50% on the first anniversary of the date of grant and 50% on the second anniversary of the date of grant). The values shown above were computed using the closing price of our Class A Non-Voting Common Stock on October 1, 2012 ($23.13).</w:t>
      </w:r>
    </w:p>
    <w:p>
      <w:pPr>
        <w:pStyle w:val="TextBody"/>
        <w:spacing w:lineRule="auto" w:line="288" w:before="0" w:after="0"/>
        <w:ind w:left="0" w:right="0" w:firstLine="360"/>
        <w:rPr>
          <w:rFonts w:ascii="inherit" w:hAnsi="inherit"/>
          <w:sz w:val="15"/>
        </w:rPr>
      </w:pPr>
      <w:r>
        <w:rPr>
          <w:rFonts w:ascii="inherit" w:hAnsi="inherit"/>
          <w:sz w:val="15"/>
        </w:rPr>
        <w:t>At September 30, 2013, each of the non-employee directors held 9,100 shares of restricted stock.</w:t>
      </w:r>
    </w:p>
    <w:p>
      <w:pPr>
        <w:pStyle w:val="TextBody"/>
        <w:spacing w:lineRule="auto" w:line="288" w:before="0" w:after="0"/>
        <w:rPr>
          <w:rFonts w:ascii="inherit" w:hAnsi="inherit"/>
          <w:sz w:val="17"/>
        </w:rPr>
      </w:pPr>
      <w:r>
        <w:rPr>
          <w:rFonts w:ascii="inherit" w:hAnsi="inherit"/>
          <w:sz w:val="17"/>
        </w:rPr>
        <w:t>Our non-employee directors serve, at the request of EZCORP, on the boards of our affiliates or subsidiaries and in that capacity earn director fees, paid in cash, from those other companies. During fiscal 2013, those other company director fees earned by our non-employee directors were: Mr. Beal, $81,127 from Cash Converters International Limited; Mr. Lagos, $70,794 from Grupo Finmart; Mr. Farrell, $69,174 from Albemarle &amp; Bond Holdings PLC; Mr. Love, $81,127 from Cash Converters International Limited; and Mr. Roberts, $69,174 from Albemarle &amp; Bond Holdings PLC and $15,689 from Grupo Finmart.</w:t>
      </w:r>
    </w:p>
    <w:p>
      <w:pPr>
        <w:pStyle w:val="TextBody"/>
        <w:spacing w:lineRule="auto" w:line="288" w:before="0" w:after="0"/>
        <w:rPr>
          <w:rFonts w:ascii="inherit" w:hAnsi="inherit"/>
          <w:sz w:val="15"/>
        </w:rPr>
      </w:pPr>
      <w:r>
        <w:rPr>
          <w:rFonts w:ascii="inherit" w:hAnsi="inherit"/>
          <w:sz w:val="15"/>
        </w:rPr>
      </w:r>
    </w:p>
    <w:p>
      <w:pPr>
        <w:pStyle w:val="TextBody"/>
        <w:spacing w:lineRule="auto" w:line="288" w:before="0" w:after="0"/>
        <w:ind w:left="0" w:right="0" w:firstLine="360"/>
        <w:rPr>
          <w:rFonts w:ascii="inherit" w:hAnsi="inherit"/>
          <w:sz w:val="15"/>
        </w:rPr>
      </w:pPr>
      <w:r>
        <w:rPr>
          <w:rFonts w:ascii="inherit" w:hAnsi="inherit"/>
          <w:sz w:val="15"/>
        </w:rPr>
      </w:r>
    </w:p>
    <w:p>
      <w:pPr>
        <w:pStyle w:val="TextBody"/>
        <w:spacing w:lineRule="auto" w:line="288" w:before="0" w:after="0"/>
        <w:rPr>
          <w:rFonts w:ascii="inherit" w:hAnsi="inherit"/>
          <w:sz w:val="15"/>
        </w:rPr>
      </w:pPr>
      <w:r>
        <w:rPr>
          <w:rFonts w:ascii="inherit" w:hAnsi="inherit"/>
          <w:sz w:val="15"/>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134</w:t>
      </w:r>
      <w:r>
        <w:br w:type="page"/>
      </w:r>
    </w:p>
    <w:p>
      <w:pPr>
        <w:pStyle w:val="TextBody"/>
        <w:spacing w:lineRule="auto" w:line="288" w:before="0" w:after="0"/>
        <w:rPr/>
      </w:pPr>
      <w:hyperlink w:anchor="sA13583D437E20DC41B4583E2BD74AA47">
        <w:bookmarkStart w:id="117" w:name="sACA2C7F8E7639656A6BE83E28894D8FE"/>
        <w:bookmarkEnd w:id="11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12. SECURITY OWNERSHIP OF CERTAIN BENEFICIAL OWNERS AND MANAGEMENT AND RELATED STOCKHOLDER MATTERS</w:t>
      </w:r>
    </w:p>
    <w:p>
      <w:pPr>
        <w:pStyle w:val="TextBody"/>
        <w:spacing w:lineRule="auto" w:line="288" w:before="0" w:after="0"/>
        <w:jc w:val="left"/>
        <w:rPr>
          <w:rFonts w:ascii="inherit" w:hAnsi="inherit"/>
          <w:b/>
          <w:sz w:val="17"/>
        </w:rPr>
      </w:pPr>
      <w:r>
        <w:rPr>
          <w:rFonts w:ascii="inherit" w:hAnsi="inherit"/>
          <w:b/>
          <w:sz w:val="17"/>
        </w:rPr>
        <w:t>Equity Compensation Plans</w:t>
      </w:r>
    </w:p>
    <w:p>
      <w:pPr>
        <w:pStyle w:val="TextBody"/>
        <w:spacing w:lineRule="auto" w:line="288" w:before="0" w:after="0"/>
        <w:jc w:val="left"/>
        <w:rPr>
          <w:sz w:val="17"/>
        </w:rPr>
      </w:pPr>
      <w:r>
        <w:rPr>
          <w:rFonts w:ascii="inherit" w:hAnsi="inherit"/>
          <w:sz w:val="17"/>
        </w:rPr>
        <w:t xml:space="preserve">Stockholders have approved the 2010 Long-Term Incentive Plan, which we currently use for stock incentive awards. These awards can be in the form of stock options, stock appreciation rights, stock bonuses, restricted stock, restricted stock units, performance units or performance shares. Although options and restricted stock are still outstanding under the 2003 and 2006 Incentive Plans, no shares are available for future awards. We do not have any equity compensation plans that were not approved by stockholders. The following table summarizes information about our equity compensation plans as of </w:t>
      </w:r>
      <w:r>
        <w:rPr>
          <w:rFonts w:ascii="inherit" w:hAnsi="inherit"/>
          <w:strike w:val="false"/>
          <w:dstrike w:val="false"/>
          <w:color w:val="000000"/>
          <w:sz w:val="17"/>
          <w:u w:val="none"/>
          <w:effect w:val="none"/>
        </w:rPr>
        <w:t>September 30, 2013</w:t>
      </w:r>
      <w:r>
        <w:rPr>
          <w:rFonts w:ascii="inherit" w:hAnsi="inherit"/>
          <w:sz w:val="17"/>
        </w:rPr>
        <w:t>.</w:t>
      </w:r>
    </w:p>
    <w:tbl>
      <w:tblPr>
        <w:tblW w:w="10205" w:type="dxa"/>
        <w:jc w:val="left"/>
        <w:tblInd w:w="0" w:type="dxa"/>
        <w:tblCellMar>
          <w:top w:w="0" w:type="dxa"/>
          <w:left w:w="0" w:type="dxa"/>
          <w:bottom w:w="0" w:type="dxa"/>
          <w:right w:w="0" w:type="dxa"/>
        </w:tblCellMar>
      </w:tblPr>
      <w:tblGrid>
        <w:gridCol w:w="4313"/>
        <w:gridCol w:w="1702"/>
        <w:gridCol w:w="130"/>
        <w:gridCol w:w="139"/>
        <w:gridCol w:w="247"/>
        <w:gridCol w:w="1474"/>
        <w:gridCol w:w="110"/>
        <w:gridCol w:w="139"/>
        <w:gridCol w:w="1824"/>
        <w:gridCol w:w="127"/>
      </w:tblGrid>
      <w:tr>
        <w:trPr/>
        <w:tc>
          <w:tcPr>
            <w:tcW w:w="10205" w:type="dxa"/>
            <w:gridSpan w:val="10"/>
            <w:tcBorders/>
            <w:shd w:fill="auto" w:val="clear"/>
            <w:vAlign w:val="center"/>
          </w:tcPr>
          <w:p>
            <w:pPr>
              <w:pStyle w:val="TableContents"/>
              <w:spacing w:before="0" w:after="283"/>
              <w:rPr>
                <w:sz w:val="4"/>
                <w:szCs w:val="4"/>
              </w:rPr>
            </w:pPr>
            <w:r>
              <w:rPr>
                <w:sz w:val="4"/>
                <w:szCs w:val="4"/>
              </w:rPr>
            </w:r>
          </w:p>
        </w:tc>
      </w:tr>
      <w:tr>
        <w:trPr/>
        <w:tc>
          <w:tcPr>
            <w:tcW w:w="4313" w:type="dxa"/>
            <w:tcBorders/>
            <w:shd w:fill="auto" w:val="clear"/>
            <w:vAlign w:val="center"/>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82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13" w:type="dxa"/>
            <w:tcBorders/>
            <w:shd w:fill="auto" w:val="clear"/>
            <w:vAlign w:val="center"/>
          </w:tcPr>
          <w:p>
            <w:pPr>
              <w:pStyle w:val="TableContents"/>
              <w:spacing w:before="0" w:after="0"/>
              <w:ind w:left="0" w:right="0" w:firstLine="30"/>
              <w:rPr/>
            </w:pPr>
            <w:r>
              <w:rPr/>
              <w:t> </w:t>
            </w:r>
          </w:p>
        </w:tc>
        <w:tc>
          <w:tcPr>
            <w:tcW w:w="1832" w:type="dxa"/>
            <w:gridSpan w:val="2"/>
            <w:tcBorders/>
            <w:shd w:fill="auto" w:val="clear"/>
            <w:vAlign w:val="center"/>
          </w:tcPr>
          <w:p>
            <w:pPr>
              <w:pStyle w:val="TableContents"/>
              <w:spacing w:before="0" w:after="0"/>
              <w:jc w:val="center"/>
              <w:rPr>
                <w:rFonts w:ascii="inherit" w:hAnsi="inherit"/>
                <w:b/>
                <w:sz w:val="13"/>
              </w:rPr>
            </w:pPr>
            <w:r>
              <w:rPr>
                <w:rFonts w:ascii="inherit" w:hAnsi="inherit"/>
                <w:b/>
                <w:sz w:val="13"/>
              </w:rPr>
              <w:t>Number of Securities to</w:t>
            </w:r>
          </w:p>
          <w:p>
            <w:pPr>
              <w:pStyle w:val="TableContents"/>
              <w:spacing w:before="0" w:after="0"/>
              <w:jc w:val="center"/>
              <w:rPr>
                <w:rFonts w:ascii="inherit" w:hAnsi="inherit"/>
                <w:b/>
                <w:sz w:val="13"/>
              </w:rPr>
            </w:pPr>
            <w:r>
              <w:rPr>
                <w:rFonts w:ascii="inherit" w:hAnsi="inherit"/>
                <w:b/>
                <w:sz w:val="13"/>
              </w:rPr>
              <w:t>be Issued Upon Exercise</w:t>
            </w:r>
          </w:p>
          <w:p>
            <w:pPr>
              <w:pStyle w:val="TableContents"/>
              <w:spacing w:before="0" w:after="0"/>
              <w:ind w:left="0" w:right="0" w:firstLine="30"/>
              <w:jc w:val="center"/>
              <w:rPr>
                <w:rFonts w:ascii="inherit" w:hAnsi="inherit"/>
                <w:b/>
                <w:sz w:val="13"/>
              </w:rPr>
            </w:pPr>
            <w:r>
              <w:rPr>
                <w:rFonts w:ascii="inherit" w:hAnsi="inherit"/>
                <w:b/>
                <w:sz w:val="13"/>
              </w:rPr>
              <w:t>of Outstanding Options</w:t>
            </w:r>
          </w:p>
        </w:tc>
        <w:tc>
          <w:tcPr>
            <w:tcW w:w="139" w:type="dxa"/>
            <w:tcBorders/>
            <w:shd w:fill="auto" w:val="clear"/>
            <w:vAlign w:val="center"/>
          </w:tcPr>
          <w:p>
            <w:pPr>
              <w:pStyle w:val="TableContents"/>
              <w:spacing w:before="0" w:after="0"/>
              <w:ind w:left="0" w:right="0" w:firstLine="30"/>
              <w:rPr/>
            </w:pPr>
            <w:r>
              <w:rPr/>
              <w:t> </w:t>
            </w:r>
          </w:p>
        </w:tc>
        <w:tc>
          <w:tcPr>
            <w:tcW w:w="1831" w:type="dxa"/>
            <w:gridSpan w:val="3"/>
            <w:tcBorders/>
            <w:shd w:fill="auto" w:val="clear"/>
            <w:vAlign w:val="center"/>
          </w:tcPr>
          <w:p>
            <w:pPr>
              <w:pStyle w:val="TableContents"/>
              <w:spacing w:before="0" w:after="0"/>
              <w:jc w:val="center"/>
              <w:rPr>
                <w:rFonts w:ascii="inherit" w:hAnsi="inherit"/>
                <w:b/>
                <w:sz w:val="13"/>
              </w:rPr>
            </w:pPr>
            <w:r>
              <w:rPr>
                <w:rFonts w:ascii="inherit" w:hAnsi="inherit"/>
                <w:b/>
                <w:sz w:val="13"/>
              </w:rPr>
              <w:t>Weighted Average</w:t>
            </w:r>
          </w:p>
          <w:p>
            <w:pPr>
              <w:pStyle w:val="TableContents"/>
              <w:spacing w:before="0" w:after="0"/>
              <w:jc w:val="center"/>
              <w:rPr>
                <w:rFonts w:ascii="inherit" w:hAnsi="inherit"/>
                <w:b/>
                <w:sz w:val="13"/>
              </w:rPr>
            </w:pPr>
            <w:r>
              <w:rPr>
                <w:rFonts w:ascii="inherit" w:hAnsi="inherit"/>
                <w:b/>
                <w:sz w:val="13"/>
              </w:rPr>
              <w:t>Exercise Price of</w:t>
            </w:r>
          </w:p>
          <w:p>
            <w:pPr>
              <w:pStyle w:val="TableContents"/>
              <w:spacing w:before="0" w:after="0"/>
              <w:ind w:left="0" w:right="0" w:firstLine="30"/>
              <w:jc w:val="center"/>
              <w:rPr>
                <w:rFonts w:ascii="inherit" w:hAnsi="inherit"/>
                <w:b/>
                <w:sz w:val="13"/>
              </w:rPr>
            </w:pPr>
            <w:r>
              <w:rPr>
                <w:rFonts w:ascii="inherit" w:hAnsi="inherit"/>
                <w:b/>
                <w:sz w:val="13"/>
              </w:rPr>
              <w:t>Outstanding Options</w:t>
            </w:r>
          </w:p>
        </w:tc>
        <w:tc>
          <w:tcPr>
            <w:tcW w:w="139" w:type="dxa"/>
            <w:tcBorders/>
            <w:shd w:fill="auto" w:val="clear"/>
            <w:vAlign w:val="center"/>
          </w:tcPr>
          <w:p>
            <w:pPr>
              <w:pStyle w:val="TableContents"/>
              <w:spacing w:before="0" w:after="0"/>
              <w:ind w:left="0" w:right="0" w:firstLine="30"/>
              <w:rPr/>
            </w:pPr>
            <w:r>
              <w:rPr/>
              <w:t> </w:t>
            </w:r>
          </w:p>
        </w:tc>
        <w:tc>
          <w:tcPr>
            <w:tcW w:w="1951" w:type="dxa"/>
            <w:gridSpan w:val="2"/>
            <w:tcBorders/>
            <w:shd w:fill="auto" w:val="clear"/>
            <w:vAlign w:val="center"/>
          </w:tcPr>
          <w:p>
            <w:pPr>
              <w:pStyle w:val="TableContents"/>
              <w:spacing w:before="0" w:after="0"/>
              <w:jc w:val="center"/>
              <w:rPr>
                <w:rFonts w:ascii="inherit" w:hAnsi="inherit"/>
                <w:b/>
                <w:sz w:val="13"/>
              </w:rPr>
            </w:pPr>
            <w:r>
              <w:rPr>
                <w:rFonts w:ascii="inherit" w:hAnsi="inherit"/>
                <w:b/>
                <w:sz w:val="13"/>
              </w:rPr>
              <w:t>Number of Securities</w:t>
            </w:r>
          </w:p>
          <w:p>
            <w:pPr>
              <w:pStyle w:val="TableContents"/>
              <w:spacing w:before="0" w:after="0"/>
              <w:jc w:val="center"/>
              <w:rPr>
                <w:rFonts w:ascii="inherit" w:hAnsi="inherit"/>
                <w:b/>
                <w:sz w:val="13"/>
              </w:rPr>
            </w:pPr>
            <w:r>
              <w:rPr>
                <w:rFonts w:ascii="inherit" w:hAnsi="inherit"/>
                <w:b/>
                <w:sz w:val="13"/>
              </w:rPr>
              <w:t>Remaining Available for</w:t>
            </w:r>
          </w:p>
          <w:p>
            <w:pPr>
              <w:pStyle w:val="TableContents"/>
              <w:spacing w:before="0" w:after="0"/>
              <w:jc w:val="center"/>
              <w:rPr>
                <w:rFonts w:ascii="inherit" w:hAnsi="inherit"/>
                <w:b/>
                <w:sz w:val="13"/>
              </w:rPr>
            </w:pPr>
            <w:r>
              <w:rPr>
                <w:rFonts w:ascii="inherit" w:hAnsi="inherit"/>
                <w:b/>
                <w:sz w:val="13"/>
              </w:rPr>
              <w:t>Future Issuance Under</w:t>
            </w:r>
          </w:p>
          <w:p>
            <w:pPr>
              <w:pStyle w:val="TableContents"/>
              <w:spacing w:before="0" w:after="0"/>
              <w:jc w:val="center"/>
              <w:rPr>
                <w:rFonts w:ascii="inherit" w:hAnsi="inherit"/>
                <w:b/>
                <w:sz w:val="13"/>
              </w:rPr>
            </w:pPr>
            <w:r>
              <w:rPr>
                <w:rFonts w:ascii="inherit" w:hAnsi="inherit"/>
                <w:b/>
                <w:sz w:val="13"/>
              </w:rPr>
              <w:t>Equity Compensation</w:t>
            </w:r>
          </w:p>
          <w:p>
            <w:pPr>
              <w:pStyle w:val="TableContents"/>
              <w:spacing w:before="0" w:after="0"/>
              <w:jc w:val="center"/>
              <w:rPr>
                <w:rFonts w:ascii="inherit" w:hAnsi="inherit"/>
                <w:b/>
                <w:sz w:val="13"/>
              </w:rPr>
            </w:pPr>
            <w:r>
              <w:rPr>
                <w:rFonts w:ascii="inherit" w:hAnsi="inherit"/>
                <w:b/>
                <w:sz w:val="13"/>
              </w:rPr>
              <w:t>Plans (Excluding</w:t>
            </w:r>
          </w:p>
          <w:p>
            <w:pPr>
              <w:pStyle w:val="TableContents"/>
              <w:spacing w:before="0" w:after="0"/>
              <w:jc w:val="center"/>
              <w:rPr>
                <w:rFonts w:ascii="inherit" w:hAnsi="inherit"/>
                <w:b/>
                <w:sz w:val="13"/>
              </w:rPr>
            </w:pPr>
            <w:r>
              <w:rPr>
                <w:rFonts w:ascii="inherit" w:hAnsi="inherit"/>
                <w:b/>
                <w:sz w:val="13"/>
              </w:rPr>
              <w:t>Securities Reflected in</w:t>
            </w:r>
          </w:p>
          <w:p>
            <w:pPr>
              <w:pStyle w:val="TableContents"/>
              <w:spacing w:before="0" w:after="0"/>
              <w:ind w:left="0" w:right="0" w:firstLine="30"/>
              <w:jc w:val="center"/>
              <w:rPr>
                <w:rFonts w:ascii="inherit" w:hAnsi="inherit"/>
                <w:b/>
                <w:sz w:val="13"/>
              </w:rPr>
            </w:pPr>
            <w:r>
              <w:rPr>
                <w:rFonts w:ascii="inherit" w:hAnsi="inherit"/>
                <w:b/>
                <w:sz w:val="13"/>
              </w:rPr>
              <w:t>Column (a))</w:t>
            </w:r>
          </w:p>
        </w:tc>
      </w:tr>
      <w:tr>
        <w:trPr/>
        <w:tc>
          <w:tcPr>
            <w:tcW w:w="431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Plan Category</w:t>
            </w:r>
          </w:p>
        </w:tc>
        <w:tc>
          <w:tcPr>
            <w:tcW w:w="183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 (1)</w:t>
            </w:r>
          </w:p>
        </w:tc>
        <w:tc>
          <w:tcPr>
            <w:tcW w:w="139"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83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(b)</w:t>
            </w:r>
          </w:p>
        </w:tc>
        <w:tc>
          <w:tcPr>
            <w:tcW w:w="139"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95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w:t>
            </w:r>
          </w:p>
        </w:tc>
      </w:tr>
      <w:tr>
        <w:trPr/>
        <w:tc>
          <w:tcPr>
            <w:tcW w:w="4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compensation plans approved by security holders</w:t>
            </w:r>
          </w:p>
        </w:tc>
        <w:tc>
          <w:tcPr>
            <w:tcW w:w="1702" w:type="dxa"/>
            <w:tcBorders/>
            <w:shd w:fill="CCEEFF" w:val="clear"/>
            <w:vAlign w:val="center"/>
          </w:tcPr>
          <w:p>
            <w:pPr>
              <w:pStyle w:val="TableContents"/>
              <w:spacing w:before="0" w:after="0"/>
              <w:jc w:val="right"/>
              <w:rPr>
                <w:rFonts w:ascii="inherit" w:hAnsi="inherit"/>
                <w:sz w:val="17"/>
              </w:rPr>
            </w:pPr>
            <w:r>
              <w:rPr>
                <w:rFonts w:ascii="inherit" w:hAnsi="inherit"/>
                <w:sz w:val="17"/>
              </w:rPr>
              <w:t>100</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2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74" w:type="dxa"/>
            <w:tcBorders/>
            <w:shd w:fill="CCEEFF" w:val="clear"/>
            <w:vAlign w:val="center"/>
          </w:tcPr>
          <w:p>
            <w:pPr>
              <w:pStyle w:val="TableContents"/>
              <w:spacing w:before="0" w:after="0"/>
              <w:jc w:val="right"/>
              <w:rPr>
                <w:rFonts w:ascii="inherit" w:hAnsi="inherit"/>
                <w:sz w:val="17"/>
              </w:rPr>
            </w:pPr>
            <w:r>
              <w:rPr>
                <w:rFonts w:ascii="inherit" w:hAnsi="inherit"/>
                <w:sz w:val="17"/>
              </w:rPr>
              <w:t>2.95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824" w:type="dxa"/>
            <w:tcBorders/>
            <w:shd w:fill="CCEEFF" w:val="clear"/>
            <w:vAlign w:val="center"/>
          </w:tcPr>
          <w:p>
            <w:pPr>
              <w:pStyle w:val="TableContents"/>
              <w:spacing w:before="0" w:after="0"/>
              <w:jc w:val="right"/>
              <w:rPr>
                <w:rFonts w:ascii="inherit" w:hAnsi="inherit"/>
                <w:sz w:val="17"/>
              </w:rPr>
            </w:pPr>
            <w:r>
              <w:rPr>
                <w:rFonts w:ascii="inherit" w:hAnsi="inherit"/>
                <w:sz w:val="17"/>
              </w:rPr>
              <w:t>421,187</w:t>
            </w:r>
          </w:p>
        </w:tc>
        <w:tc>
          <w:tcPr>
            <w:tcW w:w="1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compensation plans not approved by security holders</w:t>
            </w:r>
          </w:p>
        </w:tc>
        <w:tc>
          <w:tcPr>
            <w:tcW w:w="170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72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824"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70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100</w:t>
            </w:r>
          </w:p>
        </w:tc>
        <w:tc>
          <w:tcPr>
            <w:tcW w:w="1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24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7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2.52</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82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421,187</w:t>
            </w:r>
          </w:p>
        </w:tc>
        <w:tc>
          <w:tcPr>
            <w:tcW w:w="12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t>_____________________________</w:t>
      </w:r>
    </w:p>
    <w:tbl>
      <w:tblPr>
        <w:tblW w:w="7030" w:type="dxa"/>
        <w:jc w:val="left"/>
        <w:tblInd w:w="0" w:type="dxa"/>
        <w:tblCellMar>
          <w:top w:w="0" w:type="dxa"/>
          <w:left w:w="0" w:type="dxa"/>
          <w:bottom w:w="0" w:type="dxa"/>
          <w:right w:w="0" w:type="dxa"/>
        </w:tblCellMar>
      </w:tblPr>
      <w:tblGrid>
        <w:gridCol w:w="245"/>
        <w:gridCol w:w="6785"/>
      </w:tblGrid>
      <w:tr>
        <w:trPr/>
        <w:tc>
          <w:tcPr>
            <w:tcW w:w="245" w:type="dxa"/>
            <w:tcBorders/>
            <w:shd w:fill="auto" w:val="clear"/>
            <w:vAlign w:val="center"/>
          </w:tcPr>
          <w:p>
            <w:pPr>
              <w:pStyle w:val="TableContents"/>
              <w:spacing w:before="0" w:after="283"/>
              <w:rPr>
                <w:sz w:val="4"/>
                <w:szCs w:val="4"/>
              </w:rPr>
            </w:pPr>
            <w:r>
              <w:rPr>
                <w:sz w:val="4"/>
                <w:szCs w:val="4"/>
              </w:rPr>
            </w:r>
          </w:p>
        </w:tc>
        <w:tc>
          <w:tcPr>
            <w:tcW w:w="678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(1)</w:t>
            </w:r>
          </w:p>
        </w:tc>
        <w:tc>
          <w:tcPr>
            <w:tcW w:w="6785" w:type="dxa"/>
            <w:tcBorders/>
            <w:shd w:fill="auto" w:val="clear"/>
            <w:vAlign w:val="center"/>
          </w:tcPr>
          <w:p>
            <w:pPr>
              <w:pStyle w:val="TableContents"/>
              <w:spacing w:lineRule="auto" w:line="288" w:before="0" w:after="0"/>
              <w:rPr>
                <w:sz w:val="15"/>
              </w:rPr>
            </w:pPr>
            <w:r>
              <w:rPr>
                <w:rFonts w:ascii="inherit" w:hAnsi="inherit"/>
                <w:sz w:val="15"/>
              </w:rPr>
              <w:t xml:space="preserve">Excludes 1,205,313 shares of restricted stock that were outstanding at </w:t>
            </w:r>
            <w:r>
              <w:rPr>
                <w:rFonts w:ascii="inherit" w:hAnsi="inherit"/>
                <w:strike w:val="false"/>
                <w:dstrike w:val="false"/>
                <w:color w:val="000000"/>
                <w:sz w:val="15"/>
                <w:u w:val="none"/>
                <w:effect w:val="none"/>
              </w:rPr>
              <w:t>September 30, 2013</w:t>
            </w:r>
            <w:r>
              <w:rPr>
                <w:rFonts w:ascii="inherit" w:hAnsi="inherit"/>
                <w:sz w:val="15"/>
              </w:rPr>
              <w:t>.</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135</w:t>
      </w:r>
      <w:r>
        <w:br w:type="page"/>
      </w:r>
    </w:p>
    <w:p>
      <w:pPr>
        <w:pStyle w:val="TextBody"/>
        <w:spacing w:lineRule="auto" w:line="288" w:before="0" w:after="0"/>
        <w:rPr/>
      </w:pPr>
      <w:hyperlink w:anchor="sA13583D437E20DC41B4583E2BD74AA47">
        <w:bookmarkStart w:id="118" w:name="sACA2C7F8E7639656A6BE83E28894D8FE1"/>
        <w:bookmarkEnd w:id="118"/>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Stock Ownership</w:t>
      </w:r>
    </w:p>
    <w:p>
      <w:pPr>
        <w:pStyle w:val="TextBody"/>
        <w:spacing w:lineRule="auto" w:line="288" w:before="0" w:after="0"/>
        <w:jc w:val="left"/>
        <w:rPr>
          <w:rFonts w:ascii="inherit" w:hAnsi="inherit"/>
          <w:sz w:val="17"/>
        </w:rPr>
      </w:pPr>
      <w:r>
        <w:rPr>
          <w:rFonts w:ascii="inherit" w:hAnsi="inherit"/>
          <w:sz w:val="17"/>
        </w:rPr>
        <w:t xml:space="preserve">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of October 31, 2013 for (i) each person known to us to be the beneficial owner of more than 5% of the total number of shares outstanding, (ii) each of our directors, (iii) each of the Named Executive Officers (other than Mr. Stamp, who is no longer with the company), and (iv) all directors and executive officers as a group. Unless otherwise indicated, each person named below holds sole voting and investment power over the shares shown, subject to community property laws where applicable. </w:t>
      </w:r>
    </w:p>
    <w:tbl>
      <w:tblPr>
        <w:tblW w:w="10205" w:type="dxa"/>
        <w:jc w:val="left"/>
        <w:tblInd w:w="0" w:type="dxa"/>
        <w:tblCellMar>
          <w:top w:w="0" w:type="dxa"/>
          <w:left w:w="0" w:type="dxa"/>
          <w:bottom w:w="0" w:type="dxa"/>
          <w:right w:w="0" w:type="dxa"/>
        </w:tblCellMar>
      </w:tblPr>
      <w:tblGrid>
        <w:gridCol w:w="2520"/>
        <w:gridCol w:w="1309"/>
        <w:gridCol w:w="83"/>
        <w:gridCol w:w="128"/>
        <w:gridCol w:w="439"/>
        <w:gridCol w:w="128"/>
        <w:gridCol w:w="852"/>
        <w:gridCol w:w="212"/>
        <w:gridCol w:w="128"/>
        <w:gridCol w:w="393"/>
        <w:gridCol w:w="128"/>
        <w:gridCol w:w="1228"/>
        <w:gridCol w:w="83"/>
        <w:gridCol w:w="128"/>
        <w:gridCol w:w="943"/>
        <w:gridCol w:w="254"/>
        <w:gridCol w:w="128"/>
        <w:gridCol w:w="885"/>
        <w:gridCol w:w="236"/>
      </w:tblGrid>
      <w:tr>
        <w:trPr/>
        <w:tc>
          <w:tcPr>
            <w:tcW w:w="10205" w:type="dxa"/>
            <w:gridSpan w:val="19"/>
            <w:tcBorders/>
            <w:shd w:fill="auto" w:val="clear"/>
            <w:vAlign w:val="center"/>
          </w:tcPr>
          <w:p>
            <w:pPr>
              <w:pStyle w:val="TableContents"/>
              <w:spacing w:before="0" w:after="283"/>
              <w:rPr>
                <w:sz w:val="4"/>
                <w:szCs w:val="4"/>
              </w:rPr>
            </w:pPr>
            <w:r>
              <w:rPr>
                <w:sz w:val="4"/>
                <w:szCs w:val="4"/>
              </w:rPr>
            </w:r>
          </w:p>
        </w:tc>
      </w:tr>
      <w:tr>
        <w:trPr/>
        <w:tc>
          <w:tcPr>
            <w:tcW w:w="2520"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520" w:type="dxa"/>
            <w:tcBorders/>
            <w:shd w:fill="auto" w:val="clear"/>
            <w:vAlign w:val="center"/>
          </w:tcPr>
          <w:p>
            <w:pPr>
              <w:pStyle w:val="TableContents"/>
              <w:spacing w:before="0" w:after="0"/>
              <w:rPr/>
            </w:pPr>
            <w:r>
              <w:rPr/>
              <w:t> </w:t>
            </w:r>
          </w:p>
        </w:tc>
        <w:tc>
          <w:tcPr>
            <w:tcW w:w="3151"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Class A Non-Voting</w:t>
              <w:br/>
              <w:t>Common Stock</w:t>
            </w:r>
          </w:p>
        </w:tc>
        <w:tc>
          <w:tcPr>
            <w:tcW w:w="128" w:type="dxa"/>
            <w:tcBorders/>
            <w:shd w:fill="auto" w:val="clear"/>
            <w:vAlign w:val="center"/>
          </w:tcPr>
          <w:p>
            <w:pPr>
              <w:pStyle w:val="TableContents"/>
              <w:spacing w:before="0" w:after="0"/>
              <w:ind w:left="0" w:right="0" w:firstLine="30"/>
              <w:rPr/>
            </w:pPr>
            <w:r>
              <w:rPr/>
              <w:t> </w:t>
            </w:r>
          </w:p>
        </w:tc>
        <w:tc>
          <w:tcPr>
            <w:tcW w:w="393" w:type="dxa"/>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rPr/>
            </w:pPr>
            <w:r>
              <w:rPr/>
              <w:t> </w:t>
            </w:r>
          </w:p>
        </w:tc>
        <w:tc>
          <w:tcPr>
            <w:tcW w:w="2636" w:type="dxa"/>
            <w:gridSpan w:val="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Class B Voting</w:t>
              <w:br/>
              <w:t>Common Stock</w:t>
            </w:r>
          </w:p>
        </w:tc>
        <w:tc>
          <w:tcPr>
            <w:tcW w:w="128"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ind w:left="0" w:right="0" w:firstLine="30"/>
              <w:rPr/>
            </w:pPr>
            <w:r>
              <w:rPr/>
              <w:t> </w:t>
            </w:r>
          </w:p>
        </w:tc>
      </w:tr>
      <w:tr>
        <w:trPr/>
        <w:tc>
          <w:tcPr>
            <w:tcW w:w="252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Beneficial Owner</w:t>
            </w:r>
          </w:p>
        </w:tc>
        <w:tc>
          <w:tcPr>
            <w:tcW w:w="139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Number</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439"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6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Percent</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93"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1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Number</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9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Percent</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21" w:type="dxa"/>
            <w:gridSpan w:val="2"/>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r>
      <w:tr>
        <w:trPr/>
        <w:tc>
          <w:tcPr>
            <w:tcW w:w="2520" w:type="dxa"/>
            <w:tcBorders/>
            <w:shd w:fill="CCEEFF" w:val="clear"/>
            <w:vAlign w:val="center"/>
          </w:tcPr>
          <w:p>
            <w:pPr>
              <w:pStyle w:val="TableContents"/>
              <w:spacing w:before="0" w:after="0"/>
              <w:jc w:val="left"/>
              <w:rPr>
                <w:rFonts w:ascii="inherit" w:hAnsi="inherit"/>
                <w:sz w:val="15"/>
              </w:rPr>
            </w:pPr>
            <w:r>
              <w:rPr>
                <w:rFonts w:ascii="inherit" w:hAnsi="inherit"/>
                <w:sz w:val="15"/>
              </w:rPr>
              <w:t>MS Pawn Limited Partnership (a)</w:t>
            </w:r>
          </w:p>
          <w:p>
            <w:pPr>
              <w:pStyle w:val="TableContents"/>
              <w:spacing w:before="0" w:after="0"/>
              <w:jc w:val="left"/>
              <w:rPr/>
            </w:pPr>
            <w:r>
              <w:rPr/>
              <w:t>   </w:t>
            </w:r>
            <w:r>
              <w:rPr>
                <w:rFonts w:ascii="inherit" w:hAnsi="inherit"/>
                <w:sz w:val="15"/>
              </w:rPr>
              <w:t>MS Pawn Corporation</w:t>
            </w:r>
          </w:p>
          <w:p>
            <w:pPr>
              <w:pStyle w:val="TableContents"/>
              <w:spacing w:before="0" w:after="0"/>
              <w:jc w:val="left"/>
              <w:rPr/>
            </w:pPr>
            <w:r>
              <w:rPr/>
              <w:t>   </w:t>
            </w:r>
            <w:r>
              <w:rPr>
                <w:rFonts w:ascii="inherit" w:hAnsi="inherit"/>
                <w:sz w:val="15"/>
              </w:rPr>
              <w:t>Phillip Ean Cohen</w:t>
            </w:r>
          </w:p>
          <w:p>
            <w:pPr>
              <w:pStyle w:val="TableContents"/>
              <w:spacing w:before="0" w:after="0"/>
              <w:jc w:val="left"/>
              <w:rPr/>
            </w:pPr>
            <w:r>
              <w:rPr/>
              <w:t>   </w:t>
            </w:r>
            <w:r>
              <w:rPr>
                <w:rFonts w:ascii="inherit" w:hAnsi="inherit"/>
                <w:sz w:val="15"/>
              </w:rPr>
              <w:t>1901 Capital Parkway</w:t>
            </w:r>
          </w:p>
          <w:p>
            <w:pPr>
              <w:pStyle w:val="TableContents"/>
              <w:spacing w:before="0" w:after="0"/>
              <w:ind w:left="0" w:right="0" w:firstLine="30"/>
              <w:jc w:val="left"/>
              <w:rPr/>
            </w:pPr>
            <w:r>
              <w:rPr/>
              <w:t>   </w:t>
            </w:r>
            <w:r>
              <w:rPr>
                <w:rFonts w:ascii="inherit" w:hAnsi="inherit"/>
                <w:sz w:val="15"/>
              </w:rPr>
              <w:t>Austin, Texas 78746</w:t>
            </w:r>
          </w:p>
        </w:tc>
        <w:tc>
          <w:tcPr>
            <w:tcW w:w="1309" w:type="dxa"/>
            <w:tcBorders/>
            <w:shd w:fill="CCEEFF" w:val="clear"/>
            <w:vAlign w:val="center"/>
          </w:tcPr>
          <w:p>
            <w:pPr>
              <w:pStyle w:val="TableContents"/>
              <w:spacing w:before="0" w:after="0"/>
              <w:jc w:val="right"/>
              <w:rPr>
                <w:rFonts w:ascii="inherit" w:hAnsi="inherit"/>
                <w:sz w:val="15"/>
              </w:rPr>
            </w:pPr>
            <w:r>
              <w:rPr>
                <w:rFonts w:ascii="inherit" w:hAnsi="inherit"/>
                <w:sz w:val="15"/>
              </w:rPr>
              <w:t>2,974,047</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43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(b)</w:t>
            </w:r>
          </w:p>
        </w:tc>
        <w:tc>
          <w:tcPr>
            <w:tcW w:w="128" w:type="dxa"/>
            <w:tcBorders/>
            <w:shd w:fill="CCEEFF" w:val="clear"/>
            <w:vAlign w:val="center"/>
          </w:tcPr>
          <w:p>
            <w:pPr>
              <w:pStyle w:val="TableContents"/>
              <w:spacing w:before="0" w:after="0"/>
              <w:ind w:left="0" w:right="0" w:firstLine="30"/>
              <w:rPr/>
            </w:pPr>
            <w:r>
              <w:rPr/>
              <w:t> </w:t>
            </w:r>
          </w:p>
        </w:tc>
        <w:tc>
          <w:tcPr>
            <w:tcW w:w="852" w:type="dxa"/>
            <w:tcBorders/>
            <w:shd w:fill="CCEEFF" w:val="clear"/>
            <w:vAlign w:val="center"/>
          </w:tcPr>
          <w:p>
            <w:pPr>
              <w:pStyle w:val="TableContents"/>
              <w:spacing w:before="0" w:after="0"/>
              <w:jc w:val="right"/>
              <w:rPr>
                <w:rFonts w:ascii="inherit" w:hAnsi="inherit"/>
                <w:sz w:val="15"/>
              </w:rPr>
            </w:pPr>
            <w:r>
              <w:rPr>
                <w:rFonts w:ascii="inherit" w:hAnsi="inherit"/>
                <w:sz w:val="15"/>
              </w:rPr>
              <w:t>5.48</w:t>
            </w:r>
          </w:p>
        </w:tc>
        <w:tc>
          <w:tcPr>
            <w:tcW w:w="21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28" w:type="dxa"/>
            <w:tcBorders/>
            <w:shd w:fill="CCEEFF" w:val="clear"/>
            <w:vAlign w:val="center"/>
          </w:tcPr>
          <w:p>
            <w:pPr>
              <w:pStyle w:val="TableContents"/>
              <w:spacing w:before="0" w:after="0"/>
              <w:ind w:left="0" w:right="0" w:firstLine="30"/>
              <w:rPr/>
            </w:pPr>
            <w:r>
              <w:rPr/>
              <w:t> </w:t>
            </w:r>
          </w:p>
        </w:tc>
        <w:tc>
          <w:tcPr>
            <w:tcW w:w="393"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(b)</w:t>
            </w:r>
          </w:p>
        </w:tc>
        <w:tc>
          <w:tcPr>
            <w:tcW w:w="128" w:type="dxa"/>
            <w:tcBorders/>
            <w:shd w:fill="CCEEFF" w:val="clear"/>
            <w:vAlign w:val="center"/>
          </w:tcPr>
          <w:p>
            <w:pPr>
              <w:pStyle w:val="TableContents"/>
              <w:spacing w:before="0" w:after="0"/>
              <w:ind w:left="0" w:right="0" w:firstLine="30"/>
              <w:rPr/>
            </w:pPr>
            <w:r>
              <w:rPr/>
              <w:t> </w:t>
            </w:r>
          </w:p>
        </w:tc>
        <w:tc>
          <w:tcPr>
            <w:tcW w:w="1228" w:type="dxa"/>
            <w:tcBorders/>
            <w:shd w:fill="CCEEFF" w:val="clear"/>
            <w:vAlign w:val="center"/>
          </w:tcPr>
          <w:p>
            <w:pPr>
              <w:pStyle w:val="TableContents"/>
              <w:spacing w:before="0" w:after="0"/>
              <w:jc w:val="right"/>
              <w:rPr>
                <w:rFonts w:ascii="inherit" w:hAnsi="inherit"/>
                <w:sz w:val="15"/>
              </w:rPr>
            </w:pPr>
            <w:r>
              <w:rPr>
                <w:rFonts w:ascii="inherit" w:hAnsi="inherit"/>
                <w:sz w:val="15"/>
              </w:rPr>
              <w:t>2,970,171</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943" w:type="dxa"/>
            <w:tcBorders/>
            <w:shd w:fill="CCEEFF" w:val="clear"/>
            <w:vAlign w:val="center"/>
          </w:tcPr>
          <w:p>
            <w:pPr>
              <w:pStyle w:val="TableContents"/>
              <w:spacing w:before="0" w:after="0"/>
              <w:jc w:val="right"/>
              <w:rPr>
                <w:rFonts w:ascii="inherit" w:hAnsi="inherit"/>
                <w:sz w:val="15"/>
              </w:rPr>
            </w:pPr>
            <w:r>
              <w:rPr>
                <w:rFonts w:ascii="inherit" w:hAnsi="inherit"/>
                <w:sz w:val="15"/>
              </w:rPr>
              <w:t>100</w:t>
            </w:r>
          </w:p>
        </w:tc>
        <w:tc>
          <w:tcPr>
            <w:tcW w:w="25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28" w:type="dxa"/>
            <w:tcBorders/>
            <w:shd w:fill="CCEEFF" w:val="clear"/>
            <w:vAlign w:val="center"/>
          </w:tcPr>
          <w:p>
            <w:pPr>
              <w:pStyle w:val="TableContents"/>
              <w:spacing w:before="0" w:after="0"/>
              <w:ind w:left="0" w:right="0" w:firstLine="30"/>
              <w:rPr/>
            </w:pPr>
            <w:r>
              <w:rPr/>
              <w:t> </w:t>
            </w:r>
          </w:p>
        </w:tc>
        <w:tc>
          <w:tcPr>
            <w:tcW w:w="885" w:type="dxa"/>
            <w:tcBorders/>
            <w:shd w:fill="CCEEFF" w:val="clear"/>
            <w:vAlign w:val="center"/>
          </w:tcPr>
          <w:p>
            <w:pPr>
              <w:pStyle w:val="TableContents"/>
              <w:spacing w:before="0" w:after="0"/>
              <w:jc w:val="right"/>
              <w:rPr>
                <w:rFonts w:ascii="inherit" w:hAnsi="inherit"/>
                <w:sz w:val="15"/>
              </w:rPr>
            </w:pPr>
            <w:r>
              <w:rPr>
                <w:rFonts w:ascii="inherit" w:hAnsi="inherit"/>
                <w:sz w:val="15"/>
              </w:rPr>
              <w:t>100</w:t>
            </w:r>
          </w:p>
        </w:tc>
        <w:tc>
          <w:tcPr>
            <w:tcW w:w="23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5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FMR LLC 245 Summer Street Boston, MA 02110</w:t>
            </w:r>
          </w:p>
        </w:tc>
        <w:tc>
          <w:tcPr>
            <w:tcW w:w="1309" w:type="dxa"/>
            <w:tcBorders/>
            <w:shd w:fill="auto" w:val="clear"/>
            <w:vAlign w:val="center"/>
          </w:tcPr>
          <w:p>
            <w:pPr>
              <w:pStyle w:val="TableContents"/>
              <w:spacing w:before="0" w:after="0"/>
              <w:jc w:val="right"/>
              <w:rPr>
                <w:rFonts w:ascii="inherit" w:hAnsi="inherit"/>
                <w:sz w:val="17"/>
              </w:rPr>
            </w:pPr>
            <w:r>
              <w:rPr>
                <w:rFonts w:ascii="inherit" w:hAnsi="inherit"/>
                <w:sz w:val="17"/>
              </w:rPr>
              <w:t>7,240,635</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43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(c)</w:t>
            </w:r>
          </w:p>
        </w:tc>
        <w:tc>
          <w:tcPr>
            <w:tcW w:w="128" w:type="dxa"/>
            <w:tcBorders/>
            <w:shd w:fill="auto" w:val="clear"/>
            <w:vAlign w:val="center"/>
          </w:tcPr>
          <w:p>
            <w:pPr>
              <w:pStyle w:val="TableContents"/>
              <w:spacing w:before="0" w:after="0"/>
              <w:ind w:left="0" w:right="0" w:firstLine="30"/>
              <w:rPr/>
            </w:pPr>
            <w:r>
              <w:rPr/>
              <w:t> </w:t>
            </w:r>
          </w:p>
        </w:tc>
        <w:tc>
          <w:tcPr>
            <w:tcW w:w="852" w:type="dxa"/>
            <w:tcBorders/>
            <w:shd w:fill="auto" w:val="clear"/>
            <w:vAlign w:val="center"/>
          </w:tcPr>
          <w:p>
            <w:pPr>
              <w:pStyle w:val="TableContents"/>
              <w:spacing w:before="0" w:after="0"/>
              <w:jc w:val="right"/>
              <w:rPr>
                <w:rFonts w:ascii="inherit" w:hAnsi="inherit"/>
                <w:sz w:val="17"/>
              </w:rPr>
            </w:pPr>
            <w:r>
              <w:rPr>
                <w:rFonts w:ascii="inherit" w:hAnsi="inherit"/>
                <w:sz w:val="17"/>
              </w:rPr>
              <w:t>13.35</w:t>
            </w:r>
          </w:p>
        </w:tc>
        <w:tc>
          <w:tcPr>
            <w:tcW w:w="2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8" w:type="dxa"/>
            <w:tcBorders/>
            <w:shd w:fill="auto" w:val="clear"/>
            <w:vAlign w:val="center"/>
          </w:tcPr>
          <w:p>
            <w:pPr>
              <w:pStyle w:val="TableContents"/>
              <w:spacing w:before="0" w:after="0"/>
              <w:ind w:left="0" w:right="0" w:firstLine="30"/>
              <w:rPr/>
            </w:pPr>
            <w:r>
              <w:rPr/>
              <w:t> </w:t>
            </w:r>
          </w:p>
        </w:tc>
        <w:tc>
          <w:tcPr>
            <w:tcW w:w="393" w:type="dxa"/>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1228" w:type="dxa"/>
            <w:tcBorders/>
            <w:shd w:fill="auto" w:val="clear"/>
            <w:vAlign w:val="center"/>
          </w:tcPr>
          <w:p>
            <w:pPr>
              <w:pStyle w:val="TableContents"/>
              <w:spacing w:before="0" w:after="0"/>
              <w:jc w:val="right"/>
              <w:rPr/>
            </w:pPr>
            <w:r>
              <w:rPr/>
              <w:t>—</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943" w:type="dxa"/>
            <w:tcBorders/>
            <w:shd w:fill="auto" w:val="clear"/>
            <w:vAlign w:val="center"/>
          </w:tcPr>
          <w:p>
            <w:pPr>
              <w:pStyle w:val="TableContents"/>
              <w:spacing w:before="0" w:after="0"/>
              <w:jc w:val="right"/>
              <w:rPr/>
            </w:pPr>
            <w:r>
              <w:rPr/>
              <w:t>—</w:t>
            </w:r>
          </w:p>
        </w:tc>
        <w:tc>
          <w:tcPr>
            <w:tcW w:w="2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885" w:type="dxa"/>
            <w:tcBorders/>
            <w:shd w:fill="auto" w:val="clear"/>
            <w:vAlign w:val="center"/>
          </w:tcPr>
          <w:p>
            <w:pPr>
              <w:pStyle w:val="TableContents"/>
              <w:spacing w:before="0" w:after="0"/>
              <w:jc w:val="right"/>
              <w:rPr/>
            </w:pPr>
            <w:r>
              <w:rPr/>
              <w:t>—</w:t>
            </w:r>
          </w:p>
        </w:tc>
        <w:tc>
          <w:tcPr>
            <w:tcW w:w="2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20" w:type="dxa"/>
            <w:tcBorders/>
            <w:shd w:fill="CCEEFF" w:val="clear"/>
            <w:vAlign w:val="center"/>
          </w:tcPr>
          <w:p>
            <w:pPr>
              <w:pStyle w:val="TableContents"/>
              <w:spacing w:before="0" w:after="0"/>
              <w:jc w:val="left"/>
              <w:rPr>
                <w:rFonts w:ascii="inherit" w:hAnsi="inherit"/>
                <w:sz w:val="15"/>
              </w:rPr>
            </w:pPr>
            <w:r>
              <w:rPr>
                <w:rFonts w:ascii="inherit" w:hAnsi="inherit"/>
                <w:sz w:val="15"/>
              </w:rPr>
              <w:t>Blackrock, Inc.</w:t>
            </w:r>
          </w:p>
          <w:p>
            <w:pPr>
              <w:pStyle w:val="TableContents"/>
              <w:spacing w:lineRule="auto" w:line="288" w:before="0" w:after="0"/>
              <w:jc w:val="left"/>
              <w:rPr/>
            </w:pPr>
            <w:r>
              <w:rPr/>
              <w:t>   </w:t>
            </w:r>
            <w:r>
              <w:rPr>
                <w:rFonts w:ascii="inherit" w:hAnsi="inherit"/>
                <w:sz w:val="15"/>
              </w:rPr>
              <w:t>40 East 52</w:t>
            </w:r>
            <w:r>
              <w:rPr>
                <w:rFonts w:ascii="inherit" w:hAnsi="inherit"/>
                <w:sz w:val="10"/>
              </w:rPr>
              <w:t>nd</w:t>
            </w:r>
            <w:r>
              <w:rPr>
                <w:sz w:val="15"/>
              </w:rPr>
              <w:t> </w:t>
            </w:r>
            <w:r>
              <w:rPr>
                <w:rFonts w:ascii="inherit" w:hAnsi="inherit"/>
                <w:sz w:val="15"/>
              </w:rPr>
              <w:t>Street</w:t>
            </w:r>
          </w:p>
          <w:p>
            <w:pPr>
              <w:pStyle w:val="TableContents"/>
              <w:spacing w:before="0" w:after="0"/>
              <w:ind w:left="0" w:right="0" w:firstLine="30"/>
              <w:jc w:val="left"/>
              <w:rPr/>
            </w:pPr>
            <w:r>
              <w:rPr/>
              <w:t>   </w:t>
            </w:r>
            <w:r>
              <w:rPr>
                <w:rFonts w:ascii="inherit" w:hAnsi="inherit"/>
                <w:sz w:val="15"/>
              </w:rPr>
              <w:t>New York, New York 10022</w:t>
            </w:r>
          </w:p>
        </w:tc>
        <w:tc>
          <w:tcPr>
            <w:tcW w:w="1309" w:type="dxa"/>
            <w:tcBorders/>
            <w:shd w:fill="CCEEFF" w:val="clear"/>
            <w:vAlign w:val="center"/>
          </w:tcPr>
          <w:p>
            <w:pPr>
              <w:pStyle w:val="TableContents"/>
              <w:spacing w:before="0" w:after="0"/>
              <w:jc w:val="right"/>
              <w:rPr>
                <w:rFonts w:ascii="inherit" w:hAnsi="inherit"/>
                <w:sz w:val="15"/>
              </w:rPr>
            </w:pPr>
            <w:r>
              <w:rPr>
                <w:rFonts w:ascii="inherit" w:hAnsi="inherit"/>
                <w:sz w:val="15"/>
              </w:rPr>
              <w:t>4,742,129</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43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(d)</w:t>
            </w:r>
          </w:p>
        </w:tc>
        <w:tc>
          <w:tcPr>
            <w:tcW w:w="128" w:type="dxa"/>
            <w:tcBorders/>
            <w:shd w:fill="CCEEFF" w:val="clear"/>
            <w:vAlign w:val="center"/>
          </w:tcPr>
          <w:p>
            <w:pPr>
              <w:pStyle w:val="TableContents"/>
              <w:spacing w:before="0" w:after="0"/>
              <w:ind w:left="0" w:right="0" w:firstLine="30"/>
              <w:rPr/>
            </w:pPr>
            <w:r>
              <w:rPr/>
              <w:t> </w:t>
            </w:r>
          </w:p>
        </w:tc>
        <w:tc>
          <w:tcPr>
            <w:tcW w:w="852" w:type="dxa"/>
            <w:tcBorders/>
            <w:shd w:fill="CCEEFF" w:val="clear"/>
            <w:vAlign w:val="center"/>
          </w:tcPr>
          <w:p>
            <w:pPr>
              <w:pStyle w:val="TableContents"/>
              <w:spacing w:before="0" w:after="0"/>
              <w:jc w:val="right"/>
              <w:rPr>
                <w:rFonts w:ascii="inherit" w:hAnsi="inherit"/>
                <w:sz w:val="15"/>
              </w:rPr>
            </w:pPr>
            <w:r>
              <w:rPr>
                <w:rFonts w:ascii="inherit" w:hAnsi="inherit"/>
                <w:sz w:val="15"/>
              </w:rPr>
              <w:t>8.74</w:t>
            </w:r>
          </w:p>
        </w:tc>
        <w:tc>
          <w:tcPr>
            <w:tcW w:w="21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28" w:type="dxa"/>
            <w:tcBorders/>
            <w:shd w:fill="CCEEFF" w:val="clear"/>
            <w:vAlign w:val="center"/>
          </w:tcPr>
          <w:p>
            <w:pPr>
              <w:pStyle w:val="TableContents"/>
              <w:spacing w:before="0" w:after="0"/>
              <w:ind w:left="0" w:right="0" w:firstLine="30"/>
              <w:rPr/>
            </w:pPr>
            <w:r>
              <w:rPr/>
              <w:t> </w:t>
            </w:r>
          </w:p>
        </w:tc>
        <w:tc>
          <w:tcPr>
            <w:tcW w:w="393" w:type="dxa"/>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ind w:left="0" w:right="0" w:firstLine="30"/>
              <w:rPr/>
            </w:pPr>
            <w:r>
              <w:rPr/>
              <w:t> </w:t>
            </w:r>
          </w:p>
        </w:tc>
        <w:tc>
          <w:tcPr>
            <w:tcW w:w="1228" w:type="dxa"/>
            <w:tcBorders/>
            <w:shd w:fill="CCEEFF" w:val="clear"/>
            <w:vAlign w:val="center"/>
          </w:tcPr>
          <w:p>
            <w:pPr>
              <w:pStyle w:val="TableContents"/>
              <w:spacing w:before="0" w:after="0"/>
              <w:jc w:val="right"/>
              <w:rPr/>
            </w:pPr>
            <w:r>
              <w:rPr/>
              <w:t>—</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943" w:type="dxa"/>
            <w:tcBorders/>
            <w:shd w:fill="CCEEFF" w:val="clear"/>
            <w:vAlign w:val="center"/>
          </w:tcPr>
          <w:p>
            <w:pPr>
              <w:pStyle w:val="TableContents"/>
              <w:spacing w:before="0" w:after="0"/>
              <w:jc w:val="right"/>
              <w:rPr/>
            </w:pPr>
            <w:r>
              <w:rPr/>
              <w:t>—</w:t>
            </w:r>
          </w:p>
        </w:tc>
        <w:tc>
          <w:tcPr>
            <w:tcW w:w="2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885" w:type="dxa"/>
            <w:tcBorders/>
            <w:shd w:fill="CCEEFF" w:val="clear"/>
            <w:vAlign w:val="center"/>
          </w:tcPr>
          <w:p>
            <w:pPr>
              <w:pStyle w:val="TableContents"/>
              <w:spacing w:before="0" w:after="0"/>
              <w:jc w:val="right"/>
              <w:rPr/>
            </w:pPr>
            <w:r>
              <w:rPr/>
              <w:t>—</w:t>
            </w:r>
          </w:p>
        </w:tc>
        <w:tc>
          <w:tcPr>
            <w:tcW w:w="2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Manulife Financial Corporation 200 Bloor Street East Toronto, ON Canada M4W IE5</w:t>
            </w:r>
          </w:p>
        </w:tc>
        <w:tc>
          <w:tcPr>
            <w:tcW w:w="1309" w:type="dxa"/>
            <w:tcBorders/>
            <w:shd w:fill="auto" w:val="clear"/>
            <w:vAlign w:val="center"/>
          </w:tcPr>
          <w:p>
            <w:pPr>
              <w:pStyle w:val="TableContents"/>
              <w:spacing w:before="0" w:after="0"/>
              <w:jc w:val="right"/>
              <w:rPr>
                <w:rFonts w:ascii="inherit" w:hAnsi="inherit"/>
                <w:sz w:val="17"/>
              </w:rPr>
            </w:pPr>
            <w:r>
              <w:rPr>
                <w:rFonts w:ascii="inherit" w:hAnsi="inherit"/>
                <w:sz w:val="17"/>
              </w:rPr>
              <w:t>2,893,142</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43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(e)</w:t>
            </w:r>
          </w:p>
        </w:tc>
        <w:tc>
          <w:tcPr>
            <w:tcW w:w="128" w:type="dxa"/>
            <w:tcBorders/>
            <w:shd w:fill="auto" w:val="clear"/>
            <w:vAlign w:val="center"/>
          </w:tcPr>
          <w:p>
            <w:pPr>
              <w:pStyle w:val="TableContents"/>
              <w:spacing w:before="0" w:after="0"/>
              <w:ind w:left="0" w:right="0" w:firstLine="30"/>
              <w:rPr/>
            </w:pPr>
            <w:r>
              <w:rPr/>
              <w:t> </w:t>
            </w:r>
          </w:p>
        </w:tc>
        <w:tc>
          <w:tcPr>
            <w:tcW w:w="852" w:type="dxa"/>
            <w:tcBorders/>
            <w:shd w:fill="auto" w:val="clear"/>
            <w:vAlign w:val="center"/>
          </w:tcPr>
          <w:p>
            <w:pPr>
              <w:pStyle w:val="TableContents"/>
              <w:spacing w:before="0" w:after="0"/>
              <w:jc w:val="right"/>
              <w:rPr>
                <w:rFonts w:ascii="inherit" w:hAnsi="inherit"/>
                <w:sz w:val="17"/>
              </w:rPr>
            </w:pPr>
            <w:r>
              <w:rPr>
                <w:rFonts w:ascii="inherit" w:hAnsi="inherit"/>
                <w:sz w:val="17"/>
              </w:rPr>
              <w:t>5.34</w:t>
            </w:r>
          </w:p>
        </w:tc>
        <w:tc>
          <w:tcPr>
            <w:tcW w:w="2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8" w:type="dxa"/>
            <w:tcBorders/>
            <w:shd w:fill="auto" w:val="clear"/>
            <w:vAlign w:val="center"/>
          </w:tcPr>
          <w:p>
            <w:pPr>
              <w:pStyle w:val="TableContents"/>
              <w:spacing w:before="0" w:after="0"/>
              <w:ind w:left="0" w:right="0" w:firstLine="30"/>
              <w:rPr/>
            </w:pPr>
            <w:r>
              <w:rPr/>
              <w:t> </w:t>
            </w:r>
          </w:p>
        </w:tc>
        <w:tc>
          <w:tcPr>
            <w:tcW w:w="393" w:type="dxa"/>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1228" w:type="dxa"/>
            <w:tcBorders/>
            <w:shd w:fill="auto" w:val="clear"/>
            <w:vAlign w:val="center"/>
          </w:tcPr>
          <w:p>
            <w:pPr>
              <w:pStyle w:val="TableContents"/>
              <w:spacing w:before="0" w:after="0"/>
              <w:jc w:val="right"/>
              <w:rPr/>
            </w:pPr>
            <w:r>
              <w:rPr/>
              <w:t>—</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943" w:type="dxa"/>
            <w:tcBorders/>
            <w:shd w:fill="auto" w:val="clear"/>
            <w:vAlign w:val="center"/>
          </w:tcPr>
          <w:p>
            <w:pPr>
              <w:pStyle w:val="TableContents"/>
              <w:spacing w:before="0" w:after="0"/>
              <w:jc w:val="right"/>
              <w:rPr/>
            </w:pPr>
            <w:r>
              <w:rPr/>
              <w:t>—</w:t>
            </w:r>
          </w:p>
        </w:tc>
        <w:tc>
          <w:tcPr>
            <w:tcW w:w="2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885" w:type="dxa"/>
            <w:tcBorders/>
            <w:shd w:fill="auto" w:val="clear"/>
            <w:vAlign w:val="center"/>
          </w:tcPr>
          <w:p>
            <w:pPr>
              <w:pStyle w:val="TableContents"/>
              <w:spacing w:before="0" w:after="0"/>
              <w:jc w:val="right"/>
              <w:rPr/>
            </w:pPr>
            <w:r>
              <w:rPr/>
              <w:t>—</w:t>
            </w:r>
          </w:p>
        </w:tc>
        <w:tc>
          <w:tcPr>
            <w:tcW w:w="2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20" w:type="dxa"/>
            <w:tcBorders/>
            <w:shd w:fill="CCEEFF" w:val="clear"/>
            <w:vAlign w:val="center"/>
          </w:tcPr>
          <w:p>
            <w:pPr>
              <w:pStyle w:val="TableContents"/>
              <w:spacing w:before="0" w:after="0"/>
              <w:jc w:val="left"/>
              <w:rPr>
                <w:rFonts w:ascii="inherit" w:hAnsi="inherit"/>
                <w:sz w:val="15"/>
              </w:rPr>
            </w:pPr>
            <w:r>
              <w:rPr>
                <w:rFonts w:ascii="inherit" w:hAnsi="inherit"/>
                <w:sz w:val="15"/>
              </w:rPr>
              <w:t>The Vanguard Group, Inc.</w:t>
            </w:r>
          </w:p>
          <w:p>
            <w:pPr>
              <w:pStyle w:val="TableContents"/>
              <w:spacing w:before="0" w:after="0"/>
              <w:jc w:val="left"/>
              <w:rPr/>
            </w:pPr>
            <w:r>
              <w:rPr/>
              <w:t>   </w:t>
            </w:r>
            <w:r>
              <w:rPr>
                <w:rFonts w:ascii="inherit" w:hAnsi="inherit"/>
                <w:sz w:val="15"/>
              </w:rPr>
              <w:t>100 Vanguard Blvd.</w:t>
            </w:r>
          </w:p>
          <w:p>
            <w:pPr>
              <w:pStyle w:val="TableContents"/>
              <w:spacing w:before="0" w:after="0"/>
              <w:ind w:left="0" w:right="0" w:firstLine="30"/>
              <w:jc w:val="left"/>
              <w:rPr/>
            </w:pPr>
            <w:r>
              <w:rPr/>
              <w:t>   </w:t>
            </w:r>
            <w:r>
              <w:rPr>
                <w:rFonts w:ascii="inherit" w:hAnsi="inherit"/>
                <w:sz w:val="15"/>
              </w:rPr>
              <w:t>Malvern, Pennsylvania 19355</w:t>
            </w:r>
          </w:p>
        </w:tc>
        <w:tc>
          <w:tcPr>
            <w:tcW w:w="1309" w:type="dxa"/>
            <w:tcBorders/>
            <w:shd w:fill="CCEEFF" w:val="clear"/>
            <w:vAlign w:val="center"/>
          </w:tcPr>
          <w:p>
            <w:pPr>
              <w:pStyle w:val="TableContents"/>
              <w:spacing w:before="0" w:after="0"/>
              <w:jc w:val="right"/>
              <w:rPr>
                <w:rFonts w:ascii="inherit" w:hAnsi="inherit"/>
                <w:sz w:val="15"/>
              </w:rPr>
            </w:pPr>
            <w:r>
              <w:rPr>
                <w:rFonts w:ascii="inherit" w:hAnsi="inherit"/>
                <w:sz w:val="15"/>
              </w:rPr>
              <w:t>2,776,485</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43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(f)</w:t>
            </w:r>
          </w:p>
        </w:tc>
        <w:tc>
          <w:tcPr>
            <w:tcW w:w="128" w:type="dxa"/>
            <w:tcBorders/>
            <w:shd w:fill="CCEEFF" w:val="clear"/>
            <w:vAlign w:val="center"/>
          </w:tcPr>
          <w:p>
            <w:pPr>
              <w:pStyle w:val="TableContents"/>
              <w:spacing w:before="0" w:after="0"/>
              <w:ind w:left="0" w:right="0" w:firstLine="30"/>
              <w:rPr/>
            </w:pPr>
            <w:r>
              <w:rPr/>
              <w:t> </w:t>
            </w:r>
          </w:p>
        </w:tc>
        <w:tc>
          <w:tcPr>
            <w:tcW w:w="852" w:type="dxa"/>
            <w:tcBorders/>
            <w:shd w:fill="CCEEFF" w:val="clear"/>
            <w:vAlign w:val="center"/>
          </w:tcPr>
          <w:p>
            <w:pPr>
              <w:pStyle w:val="TableContents"/>
              <w:spacing w:before="0" w:after="0"/>
              <w:jc w:val="right"/>
              <w:rPr>
                <w:rFonts w:ascii="inherit" w:hAnsi="inherit"/>
                <w:sz w:val="15"/>
              </w:rPr>
            </w:pPr>
            <w:r>
              <w:rPr>
                <w:rFonts w:ascii="inherit" w:hAnsi="inherit"/>
                <w:sz w:val="15"/>
              </w:rPr>
              <w:t>5.12</w:t>
            </w:r>
          </w:p>
        </w:tc>
        <w:tc>
          <w:tcPr>
            <w:tcW w:w="21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28" w:type="dxa"/>
            <w:tcBorders/>
            <w:shd w:fill="CCEEFF" w:val="clear"/>
            <w:vAlign w:val="center"/>
          </w:tcPr>
          <w:p>
            <w:pPr>
              <w:pStyle w:val="TableContents"/>
              <w:spacing w:before="0" w:after="0"/>
              <w:ind w:left="0" w:right="0" w:firstLine="30"/>
              <w:rPr/>
            </w:pPr>
            <w:r>
              <w:rPr/>
              <w:t> </w:t>
            </w:r>
          </w:p>
        </w:tc>
        <w:tc>
          <w:tcPr>
            <w:tcW w:w="393" w:type="dxa"/>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ind w:left="0" w:right="0" w:firstLine="30"/>
              <w:rPr/>
            </w:pPr>
            <w:r>
              <w:rPr/>
              <w:t> </w:t>
            </w:r>
          </w:p>
        </w:tc>
        <w:tc>
          <w:tcPr>
            <w:tcW w:w="1228" w:type="dxa"/>
            <w:tcBorders/>
            <w:shd w:fill="CCEEFF" w:val="clear"/>
            <w:vAlign w:val="center"/>
          </w:tcPr>
          <w:p>
            <w:pPr>
              <w:pStyle w:val="TableContents"/>
              <w:spacing w:before="0" w:after="0"/>
              <w:jc w:val="right"/>
              <w:rPr/>
            </w:pPr>
            <w:r>
              <w:rPr/>
              <w:t>—</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943" w:type="dxa"/>
            <w:tcBorders/>
            <w:shd w:fill="CCEEFF" w:val="clear"/>
            <w:vAlign w:val="center"/>
          </w:tcPr>
          <w:p>
            <w:pPr>
              <w:pStyle w:val="TableContents"/>
              <w:spacing w:before="0" w:after="0"/>
              <w:jc w:val="right"/>
              <w:rPr/>
            </w:pPr>
            <w:r>
              <w:rPr/>
              <w:t>—</w:t>
            </w:r>
          </w:p>
        </w:tc>
        <w:tc>
          <w:tcPr>
            <w:tcW w:w="2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885" w:type="dxa"/>
            <w:tcBorders/>
            <w:shd w:fill="CCEEFF" w:val="clear"/>
            <w:vAlign w:val="center"/>
          </w:tcPr>
          <w:p>
            <w:pPr>
              <w:pStyle w:val="TableContents"/>
              <w:spacing w:before="0" w:after="0"/>
              <w:jc w:val="right"/>
              <w:rPr/>
            </w:pPr>
            <w:r>
              <w:rPr/>
              <w:t>—</w:t>
            </w:r>
          </w:p>
        </w:tc>
        <w:tc>
          <w:tcPr>
            <w:tcW w:w="2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Sterling B. Brinkley</w:t>
            </w:r>
          </w:p>
        </w:tc>
        <w:tc>
          <w:tcPr>
            <w:tcW w:w="1309" w:type="dxa"/>
            <w:tcBorders/>
            <w:shd w:fill="auto" w:val="clear"/>
            <w:vAlign w:val="center"/>
          </w:tcPr>
          <w:p>
            <w:pPr>
              <w:pStyle w:val="TableContents"/>
              <w:spacing w:before="0" w:after="0"/>
              <w:jc w:val="right"/>
              <w:rPr>
                <w:rFonts w:ascii="inherit" w:hAnsi="inherit"/>
                <w:sz w:val="15"/>
              </w:rPr>
            </w:pPr>
            <w:r>
              <w:rPr>
                <w:rFonts w:ascii="inherit" w:hAnsi="inherit"/>
                <w:sz w:val="15"/>
              </w:rPr>
              <w:t>811,562</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43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(g)</w:t>
            </w:r>
          </w:p>
        </w:tc>
        <w:tc>
          <w:tcPr>
            <w:tcW w:w="128" w:type="dxa"/>
            <w:tcBorders/>
            <w:shd w:fill="auto" w:val="clear"/>
            <w:vAlign w:val="center"/>
          </w:tcPr>
          <w:p>
            <w:pPr>
              <w:pStyle w:val="TableContents"/>
              <w:spacing w:before="0" w:after="0"/>
              <w:ind w:left="0" w:right="0" w:firstLine="30"/>
              <w:rPr/>
            </w:pPr>
            <w:r>
              <w:rPr/>
              <w:t> </w:t>
            </w:r>
          </w:p>
        </w:tc>
        <w:tc>
          <w:tcPr>
            <w:tcW w:w="852" w:type="dxa"/>
            <w:tcBorders/>
            <w:shd w:fill="auto" w:val="clear"/>
            <w:vAlign w:val="center"/>
          </w:tcPr>
          <w:p>
            <w:pPr>
              <w:pStyle w:val="TableContents"/>
              <w:spacing w:before="0" w:after="0"/>
              <w:jc w:val="right"/>
              <w:rPr>
                <w:rFonts w:ascii="inherit" w:hAnsi="inherit"/>
                <w:sz w:val="15"/>
              </w:rPr>
            </w:pPr>
            <w:r>
              <w:rPr>
                <w:rFonts w:ascii="inherit" w:hAnsi="inherit"/>
                <w:sz w:val="15"/>
              </w:rPr>
              <w:t>1.58</w:t>
            </w:r>
          </w:p>
        </w:tc>
        <w:tc>
          <w:tcPr>
            <w:tcW w:w="21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28" w:type="dxa"/>
            <w:tcBorders/>
            <w:shd w:fill="auto" w:val="clear"/>
            <w:vAlign w:val="center"/>
          </w:tcPr>
          <w:p>
            <w:pPr>
              <w:pStyle w:val="TableContents"/>
              <w:spacing w:before="0" w:after="0"/>
              <w:ind w:left="0" w:right="0" w:firstLine="30"/>
              <w:rPr/>
            </w:pPr>
            <w:r>
              <w:rPr/>
              <w:t> </w:t>
            </w:r>
          </w:p>
        </w:tc>
        <w:tc>
          <w:tcPr>
            <w:tcW w:w="393" w:type="dxa"/>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1228" w:type="dxa"/>
            <w:tcBorders/>
            <w:shd w:fill="auto" w:val="clear"/>
            <w:vAlign w:val="center"/>
          </w:tcPr>
          <w:p>
            <w:pPr>
              <w:pStyle w:val="TableContents"/>
              <w:spacing w:before="0" w:after="0"/>
              <w:jc w:val="right"/>
              <w:rPr/>
            </w:pPr>
            <w:r>
              <w:rPr/>
              <w:t>—</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943" w:type="dxa"/>
            <w:tcBorders/>
            <w:shd w:fill="auto" w:val="clear"/>
            <w:vAlign w:val="center"/>
          </w:tcPr>
          <w:p>
            <w:pPr>
              <w:pStyle w:val="TableContents"/>
              <w:spacing w:before="0" w:after="0"/>
              <w:jc w:val="right"/>
              <w:rPr/>
            </w:pPr>
            <w:r>
              <w:rPr/>
              <w:t>—</w:t>
            </w:r>
          </w:p>
        </w:tc>
        <w:tc>
          <w:tcPr>
            <w:tcW w:w="2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885" w:type="dxa"/>
            <w:tcBorders/>
            <w:shd w:fill="auto" w:val="clear"/>
            <w:vAlign w:val="center"/>
          </w:tcPr>
          <w:p>
            <w:pPr>
              <w:pStyle w:val="TableContents"/>
              <w:spacing w:before="0" w:after="0"/>
              <w:jc w:val="right"/>
              <w:rPr/>
            </w:pPr>
            <w:r>
              <w:rPr/>
              <w:t>—</w:t>
            </w:r>
          </w:p>
        </w:tc>
        <w:tc>
          <w:tcPr>
            <w:tcW w:w="2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Paul E. Rothamel</w:t>
            </w:r>
          </w:p>
        </w:tc>
        <w:tc>
          <w:tcPr>
            <w:tcW w:w="1309" w:type="dxa"/>
            <w:tcBorders/>
            <w:shd w:fill="CCEEFF" w:val="clear"/>
            <w:vAlign w:val="center"/>
          </w:tcPr>
          <w:p>
            <w:pPr>
              <w:pStyle w:val="TableContents"/>
              <w:spacing w:before="0" w:after="0"/>
              <w:jc w:val="right"/>
              <w:rPr>
                <w:rFonts w:ascii="inherit" w:hAnsi="inherit"/>
                <w:sz w:val="15"/>
              </w:rPr>
            </w:pPr>
            <w:r>
              <w:rPr>
                <w:rFonts w:ascii="inherit" w:hAnsi="inherit"/>
                <w:sz w:val="15"/>
              </w:rPr>
              <w:t>82,207</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43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(h)</w:t>
            </w:r>
          </w:p>
        </w:tc>
        <w:tc>
          <w:tcPr>
            <w:tcW w:w="128" w:type="dxa"/>
            <w:tcBorders/>
            <w:shd w:fill="CCEEFF" w:val="clear"/>
            <w:vAlign w:val="center"/>
          </w:tcPr>
          <w:p>
            <w:pPr>
              <w:pStyle w:val="TableContents"/>
              <w:spacing w:before="0" w:after="0"/>
              <w:ind w:left="0" w:right="0" w:firstLine="30"/>
              <w:rPr/>
            </w:pPr>
            <w:r>
              <w:rPr/>
              <w:t> </w:t>
            </w:r>
          </w:p>
        </w:tc>
        <w:tc>
          <w:tcPr>
            <w:tcW w:w="852" w:type="dxa"/>
            <w:tcBorders/>
            <w:shd w:fill="CCEEFF" w:val="clear"/>
            <w:vAlign w:val="center"/>
          </w:tcPr>
          <w:p>
            <w:pPr>
              <w:pStyle w:val="TableContents"/>
              <w:spacing w:before="0" w:after="0"/>
              <w:jc w:val="right"/>
              <w:rPr>
                <w:rFonts w:ascii="inherit" w:hAnsi="inherit"/>
                <w:sz w:val="15"/>
              </w:rPr>
            </w:pPr>
            <w:r>
              <w:rPr>
                <w:rFonts w:ascii="inherit" w:hAnsi="inherit"/>
                <w:sz w:val="15"/>
              </w:rPr>
              <w:t>(i)</w:t>
            </w:r>
          </w:p>
        </w:tc>
        <w:tc>
          <w:tcPr>
            <w:tcW w:w="2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393" w:type="dxa"/>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ind w:left="0" w:right="0" w:firstLine="30"/>
              <w:rPr/>
            </w:pPr>
            <w:r>
              <w:rPr/>
              <w:t> </w:t>
            </w:r>
          </w:p>
        </w:tc>
        <w:tc>
          <w:tcPr>
            <w:tcW w:w="1228" w:type="dxa"/>
            <w:tcBorders/>
            <w:shd w:fill="CCEEFF" w:val="clear"/>
            <w:vAlign w:val="center"/>
          </w:tcPr>
          <w:p>
            <w:pPr>
              <w:pStyle w:val="TableContents"/>
              <w:spacing w:before="0" w:after="0"/>
              <w:jc w:val="right"/>
              <w:rPr/>
            </w:pPr>
            <w:r>
              <w:rPr/>
              <w:t>—</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943" w:type="dxa"/>
            <w:tcBorders/>
            <w:shd w:fill="CCEEFF" w:val="clear"/>
            <w:vAlign w:val="center"/>
          </w:tcPr>
          <w:p>
            <w:pPr>
              <w:pStyle w:val="TableContents"/>
              <w:spacing w:before="0" w:after="0"/>
              <w:jc w:val="right"/>
              <w:rPr/>
            </w:pPr>
            <w:r>
              <w:rPr/>
              <w:t>—</w:t>
            </w:r>
          </w:p>
        </w:tc>
        <w:tc>
          <w:tcPr>
            <w:tcW w:w="2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885" w:type="dxa"/>
            <w:tcBorders/>
            <w:shd w:fill="CCEEFF" w:val="clear"/>
            <w:vAlign w:val="center"/>
          </w:tcPr>
          <w:p>
            <w:pPr>
              <w:pStyle w:val="TableContents"/>
              <w:spacing w:before="0" w:after="0"/>
              <w:jc w:val="right"/>
              <w:rPr/>
            </w:pPr>
            <w:r>
              <w:rPr/>
              <w:t>—</w:t>
            </w:r>
          </w:p>
        </w:tc>
        <w:tc>
          <w:tcPr>
            <w:tcW w:w="2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Joseph J. Beal</w:t>
            </w:r>
          </w:p>
        </w:tc>
        <w:tc>
          <w:tcPr>
            <w:tcW w:w="1309" w:type="dxa"/>
            <w:tcBorders/>
            <w:shd w:fill="auto" w:val="clear"/>
            <w:vAlign w:val="center"/>
          </w:tcPr>
          <w:p>
            <w:pPr>
              <w:pStyle w:val="TableContents"/>
              <w:spacing w:before="0" w:after="0"/>
              <w:jc w:val="right"/>
              <w:rPr>
                <w:rFonts w:ascii="inherit" w:hAnsi="inherit"/>
                <w:sz w:val="15"/>
              </w:rPr>
            </w:pPr>
            <w:r>
              <w:rPr>
                <w:rFonts w:ascii="inherit" w:hAnsi="inherit"/>
                <w:sz w:val="15"/>
              </w:rPr>
              <w:t>20,950</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43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(k)</w:t>
            </w:r>
          </w:p>
        </w:tc>
        <w:tc>
          <w:tcPr>
            <w:tcW w:w="128" w:type="dxa"/>
            <w:tcBorders/>
            <w:shd w:fill="auto" w:val="clear"/>
            <w:vAlign w:val="center"/>
          </w:tcPr>
          <w:p>
            <w:pPr>
              <w:pStyle w:val="TableContents"/>
              <w:spacing w:before="0" w:after="0"/>
              <w:ind w:left="0" w:right="0" w:firstLine="30"/>
              <w:rPr/>
            </w:pPr>
            <w:r>
              <w:rPr/>
              <w:t> </w:t>
            </w:r>
          </w:p>
        </w:tc>
        <w:tc>
          <w:tcPr>
            <w:tcW w:w="852" w:type="dxa"/>
            <w:tcBorders/>
            <w:shd w:fill="auto" w:val="clear"/>
            <w:vAlign w:val="center"/>
          </w:tcPr>
          <w:p>
            <w:pPr>
              <w:pStyle w:val="TableContents"/>
              <w:spacing w:before="0" w:after="0"/>
              <w:jc w:val="right"/>
              <w:rPr>
                <w:rFonts w:ascii="inherit" w:hAnsi="inherit"/>
                <w:sz w:val="15"/>
              </w:rPr>
            </w:pPr>
            <w:r>
              <w:rPr>
                <w:rFonts w:ascii="inherit" w:hAnsi="inherit"/>
                <w:sz w:val="15"/>
              </w:rPr>
              <w:t>(i)</w:t>
            </w:r>
          </w:p>
        </w:tc>
        <w:tc>
          <w:tcPr>
            <w:tcW w:w="2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393" w:type="dxa"/>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1228" w:type="dxa"/>
            <w:tcBorders/>
            <w:shd w:fill="auto" w:val="clear"/>
            <w:vAlign w:val="center"/>
          </w:tcPr>
          <w:p>
            <w:pPr>
              <w:pStyle w:val="TableContents"/>
              <w:spacing w:before="0" w:after="0"/>
              <w:jc w:val="right"/>
              <w:rPr/>
            </w:pPr>
            <w:r>
              <w:rPr/>
              <w:t>—</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943" w:type="dxa"/>
            <w:tcBorders/>
            <w:shd w:fill="auto" w:val="clear"/>
            <w:vAlign w:val="center"/>
          </w:tcPr>
          <w:p>
            <w:pPr>
              <w:pStyle w:val="TableContents"/>
              <w:spacing w:before="0" w:after="0"/>
              <w:jc w:val="right"/>
              <w:rPr/>
            </w:pPr>
            <w:r>
              <w:rPr/>
              <w:t>—</w:t>
            </w:r>
          </w:p>
        </w:tc>
        <w:tc>
          <w:tcPr>
            <w:tcW w:w="2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885" w:type="dxa"/>
            <w:tcBorders/>
            <w:shd w:fill="auto" w:val="clear"/>
            <w:vAlign w:val="center"/>
          </w:tcPr>
          <w:p>
            <w:pPr>
              <w:pStyle w:val="TableContents"/>
              <w:spacing w:before="0" w:after="0"/>
              <w:jc w:val="right"/>
              <w:rPr/>
            </w:pPr>
            <w:r>
              <w:rPr/>
              <w:t>—</w:t>
            </w:r>
          </w:p>
        </w:tc>
        <w:tc>
          <w:tcPr>
            <w:tcW w:w="2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Pablo Lagos Espinosa</w:t>
            </w:r>
          </w:p>
        </w:tc>
        <w:tc>
          <w:tcPr>
            <w:tcW w:w="1309" w:type="dxa"/>
            <w:tcBorders/>
            <w:shd w:fill="CCEEFF" w:val="clear"/>
            <w:vAlign w:val="center"/>
          </w:tcPr>
          <w:p>
            <w:pPr>
              <w:pStyle w:val="TableContents"/>
              <w:spacing w:before="0" w:after="0"/>
              <w:jc w:val="right"/>
              <w:rPr>
                <w:rFonts w:ascii="inherit" w:hAnsi="inherit"/>
                <w:sz w:val="15"/>
              </w:rPr>
            </w:pPr>
            <w:r>
              <w:rPr>
                <w:rFonts w:ascii="inherit" w:hAnsi="inherit"/>
                <w:sz w:val="15"/>
              </w:rPr>
              <w:t>14,450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43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(k)</w:t>
            </w:r>
          </w:p>
        </w:tc>
        <w:tc>
          <w:tcPr>
            <w:tcW w:w="128" w:type="dxa"/>
            <w:tcBorders/>
            <w:shd w:fill="CCEEFF" w:val="clear"/>
            <w:vAlign w:val="center"/>
          </w:tcPr>
          <w:p>
            <w:pPr>
              <w:pStyle w:val="TableContents"/>
              <w:spacing w:before="0" w:after="0"/>
              <w:ind w:left="0" w:right="0" w:firstLine="30"/>
              <w:rPr/>
            </w:pPr>
            <w:r>
              <w:rPr/>
              <w:t> </w:t>
            </w:r>
          </w:p>
        </w:tc>
        <w:tc>
          <w:tcPr>
            <w:tcW w:w="852" w:type="dxa"/>
            <w:tcBorders/>
            <w:shd w:fill="CCEEFF" w:val="clear"/>
            <w:vAlign w:val="center"/>
          </w:tcPr>
          <w:p>
            <w:pPr>
              <w:pStyle w:val="TableContents"/>
              <w:spacing w:before="0" w:after="0"/>
              <w:jc w:val="right"/>
              <w:rPr>
                <w:rFonts w:ascii="inherit" w:hAnsi="inherit"/>
                <w:sz w:val="15"/>
              </w:rPr>
            </w:pPr>
            <w:r>
              <w:rPr>
                <w:rFonts w:ascii="inherit" w:hAnsi="inherit"/>
                <w:sz w:val="15"/>
              </w:rPr>
              <w:t>(i)</w:t>
            </w:r>
          </w:p>
        </w:tc>
        <w:tc>
          <w:tcPr>
            <w:tcW w:w="2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393" w:type="dxa"/>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ind w:left="0" w:right="0" w:firstLine="30"/>
              <w:rPr/>
            </w:pPr>
            <w:r>
              <w:rPr/>
              <w:t> </w:t>
            </w:r>
          </w:p>
        </w:tc>
        <w:tc>
          <w:tcPr>
            <w:tcW w:w="1228" w:type="dxa"/>
            <w:tcBorders/>
            <w:shd w:fill="CCEEFF" w:val="clear"/>
            <w:vAlign w:val="center"/>
          </w:tcPr>
          <w:p>
            <w:pPr>
              <w:pStyle w:val="TableContents"/>
              <w:spacing w:before="0" w:after="0"/>
              <w:jc w:val="right"/>
              <w:rPr/>
            </w:pPr>
            <w:r>
              <w:rPr/>
              <w:t>—</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943" w:type="dxa"/>
            <w:tcBorders/>
            <w:shd w:fill="CCEEFF" w:val="clear"/>
            <w:vAlign w:val="center"/>
          </w:tcPr>
          <w:p>
            <w:pPr>
              <w:pStyle w:val="TableContents"/>
              <w:spacing w:before="0" w:after="0"/>
              <w:jc w:val="right"/>
              <w:rPr/>
            </w:pPr>
            <w:r>
              <w:rPr/>
              <w:t>—</w:t>
            </w:r>
          </w:p>
        </w:tc>
        <w:tc>
          <w:tcPr>
            <w:tcW w:w="2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885" w:type="dxa"/>
            <w:tcBorders/>
            <w:shd w:fill="CCEEFF" w:val="clear"/>
            <w:vAlign w:val="center"/>
          </w:tcPr>
          <w:p>
            <w:pPr>
              <w:pStyle w:val="TableContents"/>
              <w:spacing w:before="0" w:after="0"/>
              <w:jc w:val="right"/>
              <w:rPr/>
            </w:pPr>
            <w:r>
              <w:rPr/>
              <w:t>—</w:t>
            </w:r>
          </w:p>
        </w:tc>
        <w:tc>
          <w:tcPr>
            <w:tcW w:w="2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John Farrell</w:t>
            </w:r>
          </w:p>
        </w:tc>
        <w:tc>
          <w:tcPr>
            <w:tcW w:w="1309" w:type="dxa"/>
            <w:tcBorders/>
            <w:shd w:fill="auto" w:val="clear"/>
            <w:vAlign w:val="center"/>
          </w:tcPr>
          <w:p>
            <w:pPr>
              <w:pStyle w:val="TableContents"/>
              <w:spacing w:before="0" w:after="0"/>
              <w:jc w:val="right"/>
              <w:rPr>
                <w:rFonts w:ascii="inherit" w:hAnsi="inherit"/>
                <w:sz w:val="15"/>
              </w:rPr>
            </w:pPr>
            <w:r>
              <w:rPr>
                <w:rFonts w:ascii="inherit" w:hAnsi="inherit"/>
                <w:sz w:val="15"/>
              </w:rPr>
              <w:t>8,450</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43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(k)</w:t>
            </w:r>
          </w:p>
        </w:tc>
        <w:tc>
          <w:tcPr>
            <w:tcW w:w="128" w:type="dxa"/>
            <w:tcBorders/>
            <w:shd w:fill="auto" w:val="clear"/>
            <w:vAlign w:val="center"/>
          </w:tcPr>
          <w:p>
            <w:pPr>
              <w:pStyle w:val="TableContents"/>
              <w:spacing w:before="0" w:after="0"/>
              <w:ind w:left="0" w:right="0" w:firstLine="30"/>
              <w:rPr/>
            </w:pPr>
            <w:r>
              <w:rPr/>
              <w:t> </w:t>
            </w:r>
          </w:p>
        </w:tc>
        <w:tc>
          <w:tcPr>
            <w:tcW w:w="852" w:type="dxa"/>
            <w:tcBorders/>
            <w:shd w:fill="auto" w:val="clear"/>
            <w:vAlign w:val="center"/>
          </w:tcPr>
          <w:p>
            <w:pPr>
              <w:pStyle w:val="TableContents"/>
              <w:spacing w:before="0" w:after="0"/>
              <w:jc w:val="right"/>
              <w:rPr>
                <w:rFonts w:ascii="inherit" w:hAnsi="inherit"/>
                <w:sz w:val="15"/>
              </w:rPr>
            </w:pPr>
            <w:r>
              <w:rPr>
                <w:rFonts w:ascii="inherit" w:hAnsi="inherit"/>
                <w:sz w:val="15"/>
              </w:rPr>
              <w:t>(i)</w:t>
            </w:r>
          </w:p>
        </w:tc>
        <w:tc>
          <w:tcPr>
            <w:tcW w:w="2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393" w:type="dxa"/>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1228" w:type="dxa"/>
            <w:tcBorders/>
            <w:shd w:fill="auto" w:val="clear"/>
            <w:vAlign w:val="center"/>
          </w:tcPr>
          <w:p>
            <w:pPr>
              <w:pStyle w:val="TableContents"/>
              <w:spacing w:before="0" w:after="0"/>
              <w:jc w:val="right"/>
              <w:rPr/>
            </w:pPr>
            <w:r>
              <w:rPr/>
              <w:t>—</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943" w:type="dxa"/>
            <w:tcBorders/>
            <w:shd w:fill="auto" w:val="clear"/>
            <w:vAlign w:val="center"/>
          </w:tcPr>
          <w:p>
            <w:pPr>
              <w:pStyle w:val="TableContents"/>
              <w:spacing w:before="0" w:after="0"/>
              <w:jc w:val="right"/>
              <w:rPr/>
            </w:pPr>
            <w:r>
              <w:rPr/>
              <w:t>—</w:t>
            </w:r>
          </w:p>
        </w:tc>
        <w:tc>
          <w:tcPr>
            <w:tcW w:w="2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885" w:type="dxa"/>
            <w:tcBorders/>
            <w:shd w:fill="auto" w:val="clear"/>
            <w:vAlign w:val="center"/>
          </w:tcPr>
          <w:p>
            <w:pPr>
              <w:pStyle w:val="TableContents"/>
              <w:spacing w:before="0" w:after="0"/>
              <w:jc w:val="right"/>
              <w:rPr/>
            </w:pPr>
            <w:r>
              <w:rPr/>
              <w:t>—</w:t>
            </w:r>
          </w:p>
        </w:tc>
        <w:tc>
          <w:tcPr>
            <w:tcW w:w="2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William C. Love</w:t>
            </w:r>
          </w:p>
        </w:tc>
        <w:tc>
          <w:tcPr>
            <w:tcW w:w="1309" w:type="dxa"/>
            <w:tcBorders/>
            <w:shd w:fill="CCEEFF" w:val="clear"/>
            <w:vAlign w:val="center"/>
          </w:tcPr>
          <w:p>
            <w:pPr>
              <w:pStyle w:val="TableContents"/>
              <w:spacing w:before="0" w:after="0"/>
              <w:jc w:val="right"/>
              <w:rPr>
                <w:rFonts w:ascii="inherit" w:hAnsi="inherit"/>
                <w:sz w:val="15"/>
              </w:rPr>
            </w:pPr>
            <w:r>
              <w:rPr>
                <w:rFonts w:ascii="inherit" w:hAnsi="inherit"/>
                <w:sz w:val="15"/>
              </w:rPr>
              <w:t>27,450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43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(k)</w:t>
            </w:r>
          </w:p>
        </w:tc>
        <w:tc>
          <w:tcPr>
            <w:tcW w:w="128" w:type="dxa"/>
            <w:tcBorders/>
            <w:shd w:fill="CCEEFF" w:val="clear"/>
            <w:vAlign w:val="center"/>
          </w:tcPr>
          <w:p>
            <w:pPr>
              <w:pStyle w:val="TableContents"/>
              <w:spacing w:before="0" w:after="0"/>
              <w:ind w:left="0" w:right="0" w:firstLine="30"/>
              <w:rPr/>
            </w:pPr>
            <w:r>
              <w:rPr/>
              <w:t> </w:t>
            </w:r>
          </w:p>
        </w:tc>
        <w:tc>
          <w:tcPr>
            <w:tcW w:w="852" w:type="dxa"/>
            <w:tcBorders/>
            <w:shd w:fill="CCEEFF" w:val="clear"/>
            <w:vAlign w:val="center"/>
          </w:tcPr>
          <w:p>
            <w:pPr>
              <w:pStyle w:val="TableContents"/>
              <w:spacing w:before="0" w:after="0"/>
              <w:jc w:val="right"/>
              <w:rPr>
                <w:rFonts w:ascii="inherit" w:hAnsi="inherit"/>
                <w:sz w:val="15"/>
              </w:rPr>
            </w:pPr>
            <w:r>
              <w:rPr>
                <w:rFonts w:ascii="inherit" w:hAnsi="inherit"/>
                <w:sz w:val="15"/>
              </w:rPr>
              <w:t>(i)</w:t>
            </w:r>
          </w:p>
        </w:tc>
        <w:tc>
          <w:tcPr>
            <w:tcW w:w="2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393" w:type="dxa"/>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ind w:left="0" w:right="0" w:firstLine="30"/>
              <w:rPr/>
            </w:pPr>
            <w:r>
              <w:rPr/>
              <w:t> </w:t>
            </w:r>
          </w:p>
        </w:tc>
        <w:tc>
          <w:tcPr>
            <w:tcW w:w="1228" w:type="dxa"/>
            <w:tcBorders/>
            <w:shd w:fill="CCEEFF" w:val="clear"/>
            <w:vAlign w:val="center"/>
          </w:tcPr>
          <w:p>
            <w:pPr>
              <w:pStyle w:val="TableContents"/>
              <w:spacing w:before="0" w:after="0"/>
              <w:jc w:val="right"/>
              <w:rPr/>
            </w:pPr>
            <w:r>
              <w:rPr/>
              <w:t>—</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943" w:type="dxa"/>
            <w:tcBorders/>
            <w:shd w:fill="CCEEFF" w:val="clear"/>
            <w:vAlign w:val="center"/>
          </w:tcPr>
          <w:p>
            <w:pPr>
              <w:pStyle w:val="TableContents"/>
              <w:spacing w:before="0" w:after="0"/>
              <w:jc w:val="right"/>
              <w:rPr/>
            </w:pPr>
            <w:r>
              <w:rPr/>
              <w:t>—</w:t>
            </w:r>
          </w:p>
        </w:tc>
        <w:tc>
          <w:tcPr>
            <w:tcW w:w="2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885" w:type="dxa"/>
            <w:tcBorders/>
            <w:shd w:fill="CCEEFF" w:val="clear"/>
            <w:vAlign w:val="center"/>
          </w:tcPr>
          <w:p>
            <w:pPr>
              <w:pStyle w:val="TableContents"/>
              <w:spacing w:before="0" w:after="0"/>
              <w:jc w:val="right"/>
              <w:rPr/>
            </w:pPr>
            <w:r>
              <w:rPr/>
              <w:t>—</w:t>
            </w:r>
          </w:p>
        </w:tc>
        <w:tc>
          <w:tcPr>
            <w:tcW w:w="2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Thomas C. Roberts</w:t>
            </w:r>
          </w:p>
        </w:tc>
        <w:tc>
          <w:tcPr>
            <w:tcW w:w="1309" w:type="dxa"/>
            <w:tcBorders/>
            <w:shd w:fill="auto" w:val="clear"/>
            <w:vAlign w:val="center"/>
          </w:tcPr>
          <w:p>
            <w:pPr>
              <w:pStyle w:val="TableContents"/>
              <w:spacing w:before="0" w:after="0"/>
              <w:jc w:val="right"/>
              <w:rPr>
                <w:rFonts w:ascii="inherit" w:hAnsi="inherit"/>
                <w:sz w:val="15"/>
              </w:rPr>
            </w:pPr>
            <w:r>
              <w:rPr>
                <w:rFonts w:ascii="inherit" w:hAnsi="inherit"/>
                <w:sz w:val="15"/>
              </w:rPr>
              <w:t>29,450</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43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(k)</w:t>
            </w:r>
          </w:p>
        </w:tc>
        <w:tc>
          <w:tcPr>
            <w:tcW w:w="128" w:type="dxa"/>
            <w:tcBorders/>
            <w:shd w:fill="auto" w:val="clear"/>
            <w:vAlign w:val="center"/>
          </w:tcPr>
          <w:p>
            <w:pPr>
              <w:pStyle w:val="TableContents"/>
              <w:spacing w:before="0" w:after="0"/>
              <w:ind w:left="0" w:right="0" w:firstLine="30"/>
              <w:rPr/>
            </w:pPr>
            <w:r>
              <w:rPr/>
              <w:t> </w:t>
            </w:r>
          </w:p>
        </w:tc>
        <w:tc>
          <w:tcPr>
            <w:tcW w:w="852" w:type="dxa"/>
            <w:tcBorders/>
            <w:shd w:fill="auto" w:val="clear"/>
            <w:vAlign w:val="center"/>
          </w:tcPr>
          <w:p>
            <w:pPr>
              <w:pStyle w:val="TableContents"/>
              <w:spacing w:before="0" w:after="0"/>
              <w:jc w:val="right"/>
              <w:rPr>
                <w:rFonts w:ascii="inherit" w:hAnsi="inherit"/>
                <w:sz w:val="15"/>
              </w:rPr>
            </w:pPr>
            <w:r>
              <w:rPr>
                <w:rFonts w:ascii="inherit" w:hAnsi="inherit"/>
                <w:sz w:val="15"/>
              </w:rPr>
              <w:t>(i)</w:t>
            </w:r>
          </w:p>
        </w:tc>
        <w:tc>
          <w:tcPr>
            <w:tcW w:w="2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393" w:type="dxa"/>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1228" w:type="dxa"/>
            <w:tcBorders/>
            <w:shd w:fill="auto" w:val="clear"/>
            <w:vAlign w:val="center"/>
          </w:tcPr>
          <w:p>
            <w:pPr>
              <w:pStyle w:val="TableContents"/>
              <w:spacing w:before="0" w:after="0"/>
              <w:jc w:val="right"/>
              <w:rPr/>
            </w:pPr>
            <w:r>
              <w:rPr/>
              <w:t>—</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943" w:type="dxa"/>
            <w:tcBorders/>
            <w:shd w:fill="auto" w:val="clear"/>
            <w:vAlign w:val="center"/>
          </w:tcPr>
          <w:p>
            <w:pPr>
              <w:pStyle w:val="TableContents"/>
              <w:spacing w:before="0" w:after="0"/>
              <w:jc w:val="right"/>
              <w:rPr/>
            </w:pPr>
            <w:r>
              <w:rPr/>
              <w:t>—</w:t>
            </w:r>
          </w:p>
        </w:tc>
        <w:tc>
          <w:tcPr>
            <w:tcW w:w="2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885" w:type="dxa"/>
            <w:tcBorders/>
            <w:shd w:fill="auto" w:val="clear"/>
            <w:vAlign w:val="center"/>
          </w:tcPr>
          <w:p>
            <w:pPr>
              <w:pStyle w:val="TableContents"/>
              <w:spacing w:before="0" w:after="0"/>
              <w:jc w:val="right"/>
              <w:rPr/>
            </w:pPr>
            <w:r>
              <w:rPr/>
              <w:t>—</w:t>
            </w:r>
          </w:p>
        </w:tc>
        <w:tc>
          <w:tcPr>
            <w:tcW w:w="2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Mark Kuchenrither</w:t>
            </w:r>
          </w:p>
        </w:tc>
        <w:tc>
          <w:tcPr>
            <w:tcW w:w="1309" w:type="dxa"/>
            <w:tcBorders/>
            <w:shd w:fill="CCEEFF" w:val="clear"/>
            <w:vAlign w:val="center"/>
          </w:tcPr>
          <w:p>
            <w:pPr>
              <w:pStyle w:val="TableContents"/>
              <w:spacing w:before="0" w:after="0"/>
              <w:jc w:val="right"/>
              <w:rPr>
                <w:rFonts w:ascii="inherit" w:hAnsi="inherit"/>
                <w:sz w:val="15"/>
              </w:rPr>
            </w:pPr>
            <w:r>
              <w:rPr>
                <w:rFonts w:ascii="inherit" w:hAnsi="inherit"/>
                <w:sz w:val="15"/>
              </w:rPr>
              <w:t>34,734</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43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(j)</w:t>
            </w:r>
          </w:p>
        </w:tc>
        <w:tc>
          <w:tcPr>
            <w:tcW w:w="128" w:type="dxa"/>
            <w:tcBorders/>
            <w:shd w:fill="CCEEFF" w:val="clear"/>
            <w:vAlign w:val="center"/>
          </w:tcPr>
          <w:p>
            <w:pPr>
              <w:pStyle w:val="TableContents"/>
              <w:spacing w:before="0" w:after="0"/>
              <w:ind w:left="0" w:right="0" w:firstLine="30"/>
              <w:rPr/>
            </w:pPr>
            <w:r>
              <w:rPr/>
              <w:t> </w:t>
            </w:r>
          </w:p>
        </w:tc>
        <w:tc>
          <w:tcPr>
            <w:tcW w:w="852" w:type="dxa"/>
            <w:tcBorders/>
            <w:shd w:fill="CCEEFF" w:val="clear"/>
            <w:vAlign w:val="center"/>
          </w:tcPr>
          <w:p>
            <w:pPr>
              <w:pStyle w:val="TableContents"/>
              <w:spacing w:before="0" w:after="0"/>
              <w:jc w:val="right"/>
              <w:rPr>
                <w:rFonts w:ascii="inherit" w:hAnsi="inherit"/>
                <w:sz w:val="15"/>
              </w:rPr>
            </w:pPr>
            <w:r>
              <w:rPr>
                <w:rFonts w:ascii="inherit" w:hAnsi="inherit"/>
                <w:sz w:val="15"/>
              </w:rPr>
              <w:t>(i)</w:t>
            </w:r>
          </w:p>
        </w:tc>
        <w:tc>
          <w:tcPr>
            <w:tcW w:w="2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393" w:type="dxa"/>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ind w:left="0" w:right="0" w:firstLine="30"/>
              <w:rPr/>
            </w:pPr>
            <w:r>
              <w:rPr/>
              <w:t> </w:t>
            </w:r>
          </w:p>
        </w:tc>
        <w:tc>
          <w:tcPr>
            <w:tcW w:w="1228" w:type="dxa"/>
            <w:tcBorders/>
            <w:shd w:fill="CCEEFF" w:val="clear"/>
            <w:vAlign w:val="center"/>
          </w:tcPr>
          <w:p>
            <w:pPr>
              <w:pStyle w:val="TableContents"/>
              <w:spacing w:before="0" w:after="0"/>
              <w:jc w:val="right"/>
              <w:rPr/>
            </w:pPr>
            <w:r>
              <w:rPr/>
              <w:t>—</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943" w:type="dxa"/>
            <w:tcBorders/>
            <w:shd w:fill="CCEEFF" w:val="clear"/>
            <w:vAlign w:val="center"/>
          </w:tcPr>
          <w:p>
            <w:pPr>
              <w:pStyle w:val="TableContents"/>
              <w:spacing w:before="0" w:after="0"/>
              <w:jc w:val="right"/>
              <w:rPr/>
            </w:pPr>
            <w:r>
              <w:rPr/>
              <w:t>—</w:t>
            </w:r>
          </w:p>
        </w:tc>
        <w:tc>
          <w:tcPr>
            <w:tcW w:w="2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885" w:type="dxa"/>
            <w:tcBorders/>
            <w:shd w:fill="CCEEFF" w:val="clear"/>
            <w:vAlign w:val="center"/>
          </w:tcPr>
          <w:p>
            <w:pPr>
              <w:pStyle w:val="TableContents"/>
              <w:spacing w:before="0" w:after="0"/>
              <w:jc w:val="right"/>
              <w:rPr/>
            </w:pPr>
            <w:r>
              <w:rPr/>
              <w:t>—</w:t>
            </w:r>
          </w:p>
        </w:tc>
        <w:tc>
          <w:tcPr>
            <w:tcW w:w="2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Barry Guest</w:t>
            </w:r>
          </w:p>
        </w:tc>
        <w:tc>
          <w:tcPr>
            <w:tcW w:w="1309" w:type="dxa"/>
            <w:tcBorders/>
            <w:shd w:fill="auto" w:val="clear"/>
            <w:vAlign w:val="center"/>
          </w:tcPr>
          <w:p>
            <w:pPr>
              <w:pStyle w:val="TableContents"/>
              <w:spacing w:before="0" w:after="0"/>
              <w:jc w:val="right"/>
              <w:rPr>
                <w:rFonts w:ascii="inherit" w:hAnsi="inherit"/>
                <w:sz w:val="15"/>
              </w:rPr>
            </w:pPr>
            <w:r>
              <w:rPr>
                <w:rFonts w:ascii="inherit" w:hAnsi="inherit"/>
                <w:sz w:val="15"/>
              </w:rPr>
              <w:t>14,647</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43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(l)</w:t>
            </w:r>
          </w:p>
        </w:tc>
        <w:tc>
          <w:tcPr>
            <w:tcW w:w="128" w:type="dxa"/>
            <w:tcBorders/>
            <w:shd w:fill="auto" w:val="clear"/>
            <w:vAlign w:val="center"/>
          </w:tcPr>
          <w:p>
            <w:pPr>
              <w:pStyle w:val="TableContents"/>
              <w:spacing w:before="0" w:after="0"/>
              <w:ind w:left="0" w:right="0" w:firstLine="30"/>
              <w:rPr/>
            </w:pPr>
            <w:r>
              <w:rPr/>
              <w:t> </w:t>
            </w:r>
          </w:p>
        </w:tc>
        <w:tc>
          <w:tcPr>
            <w:tcW w:w="852" w:type="dxa"/>
            <w:tcBorders/>
            <w:shd w:fill="auto" w:val="clear"/>
            <w:vAlign w:val="center"/>
          </w:tcPr>
          <w:p>
            <w:pPr>
              <w:pStyle w:val="TableContents"/>
              <w:spacing w:before="0" w:after="0"/>
              <w:jc w:val="right"/>
              <w:rPr>
                <w:rFonts w:ascii="inherit" w:hAnsi="inherit"/>
                <w:sz w:val="15"/>
              </w:rPr>
            </w:pPr>
            <w:r>
              <w:rPr>
                <w:rFonts w:ascii="inherit" w:hAnsi="inherit"/>
                <w:sz w:val="15"/>
              </w:rPr>
              <w:t>(i)</w:t>
            </w:r>
          </w:p>
        </w:tc>
        <w:tc>
          <w:tcPr>
            <w:tcW w:w="2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393" w:type="dxa"/>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1228" w:type="dxa"/>
            <w:tcBorders/>
            <w:shd w:fill="auto" w:val="clear"/>
            <w:vAlign w:val="center"/>
          </w:tcPr>
          <w:p>
            <w:pPr>
              <w:pStyle w:val="TableContents"/>
              <w:spacing w:before="0" w:after="0"/>
              <w:jc w:val="right"/>
              <w:rPr/>
            </w:pPr>
            <w:r>
              <w:rPr/>
              <w:t>—</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943" w:type="dxa"/>
            <w:tcBorders/>
            <w:shd w:fill="auto" w:val="clear"/>
            <w:vAlign w:val="center"/>
          </w:tcPr>
          <w:p>
            <w:pPr>
              <w:pStyle w:val="TableContents"/>
              <w:spacing w:before="0" w:after="0"/>
              <w:jc w:val="right"/>
              <w:rPr/>
            </w:pPr>
            <w:r>
              <w:rPr/>
              <w:t>—</w:t>
            </w:r>
          </w:p>
        </w:tc>
        <w:tc>
          <w:tcPr>
            <w:tcW w:w="2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885" w:type="dxa"/>
            <w:tcBorders/>
            <w:shd w:fill="auto" w:val="clear"/>
            <w:vAlign w:val="center"/>
          </w:tcPr>
          <w:p>
            <w:pPr>
              <w:pStyle w:val="TableContents"/>
              <w:spacing w:before="0" w:after="0"/>
              <w:jc w:val="right"/>
              <w:rPr/>
            </w:pPr>
            <w:r>
              <w:rPr/>
              <w:t>—</w:t>
            </w:r>
          </w:p>
        </w:tc>
        <w:tc>
          <w:tcPr>
            <w:tcW w:w="2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Thomas H. Welch, Jr.</w:t>
            </w:r>
          </w:p>
        </w:tc>
        <w:tc>
          <w:tcPr>
            <w:tcW w:w="1309" w:type="dxa"/>
            <w:tcBorders/>
            <w:shd w:fill="CCEEFF" w:val="clear"/>
            <w:vAlign w:val="center"/>
          </w:tcPr>
          <w:p>
            <w:pPr>
              <w:pStyle w:val="TableContents"/>
              <w:spacing w:before="0" w:after="0"/>
              <w:jc w:val="right"/>
              <w:rPr>
                <w:rFonts w:ascii="inherit" w:hAnsi="inherit"/>
                <w:sz w:val="15"/>
              </w:rPr>
            </w:pPr>
            <w:r>
              <w:rPr>
                <w:rFonts w:ascii="inherit" w:hAnsi="inherit"/>
                <w:sz w:val="15"/>
              </w:rPr>
              <w:t>33,852</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43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(m)</w:t>
            </w:r>
          </w:p>
        </w:tc>
        <w:tc>
          <w:tcPr>
            <w:tcW w:w="128" w:type="dxa"/>
            <w:tcBorders/>
            <w:shd w:fill="CCEEFF" w:val="clear"/>
            <w:vAlign w:val="center"/>
          </w:tcPr>
          <w:p>
            <w:pPr>
              <w:pStyle w:val="TableContents"/>
              <w:spacing w:before="0" w:after="0"/>
              <w:ind w:left="0" w:right="0" w:firstLine="30"/>
              <w:rPr/>
            </w:pPr>
            <w:r>
              <w:rPr/>
              <w:t> </w:t>
            </w:r>
          </w:p>
        </w:tc>
        <w:tc>
          <w:tcPr>
            <w:tcW w:w="852" w:type="dxa"/>
            <w:tcBorders/>
            <w:shd w:fill="CCEEFF" w:val="clear"/>
            <w:vAlign w:val="center"/>
          </w:tcPr>
          <w:p>
            <w:pPr>
              <w:pStyle w:val="TableContents"/>
              <w:spacing w:before="0" w:after="0"/>
              <w:jc w:val="right"/>
              <w:rPr>
                <w:rFonts w:ascii="inherit" w:hAnsi="inherit"/>
                <w:sz w:val="15"/>
              </w:rPr>
            </w:pPr>
            <w:r>
              <w:rPr>
                <w:rFonts w:ascii="inherit" w:hAnsi="inherit"/>
                <w:sz w:val="15"/>
              </w:rPr>
              <w:t>(i)</w:t>
            </w:r>
          </w:p>
        </w:tc>
        <w:tc>
          <w:tcPr>
            <w:tcW w:w="2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393" w:type="dxa"/>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ind w:left="0" w:right="0" w:firstLine="30"/>
              <w:rPr/>
            </w:pPr>
            <w:r>
              <w:rPr/>
              <w:t> </w:t>
            </w:r>
          </w:p>
        </w:tc>
        <w:tc>
          <w:tcPr>
            <w:tcW w:w="1228" w:type="dxa"/>
            <w:tcBorders/>
            <w:shd w:fill="CCEEFF" w:val="clear"/>
            <w:vAlign w:val="center"/>
          </w:tcPr>
          <w:p>
            <w:pPr>
              <w:pStyle w:val="TableContents"/>
              <w:spacing w:before="0" w:after="0"/>
              <w:jc w:val="right"/>
              <w:rPr/>
            </w:pPr>
            <w:r>
              <w:rPr/>
              <w:t>—</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943" w:type="dxa"/>
            <w:tcBorders/>
            <w:shd w:fill="CCEEFF" w:val="clear"/>
            <w:vAlign w:val="center"/>
          </w:tcPr>
          <w:p>
            <w:pPr>
              <w:pStyle w:val="TableContents"/>
              <w:spacing w:before="0" w:after="0"/>
              <w:jc w:val="right"/>
              <w:rPr/>
            </w:pPr>
            <w:r>
              <w:rPr/>
              <w:t>—</w:t>
            </w:r>
          </w:p>
        </w:tc>
        <w:tc>
          <w:tcPr>
            <w:tcW w:w="2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885" w:type="dxa"/>
            <w:tcBorders/>
            <w:shd w:fill="CCEEFF" w:val="clear"/>
            <w:vAlign w:val="center"/>
          </w:tcPr>
          <w:p>
            <w:pPr>
              <w:pStyle w:val="TableContents"/>
              <w:spacing w:before="0" w:after="0"/>
              <w:jc w:val="right"/>
              <w:rPr/>
            </w:pPr>
            <w:r>
              <w:rPr/>
              <w:t>—</w:t>
            </w:r>
          </w:p>
        </w:tc>
        <w:tc>
          <w:tcPr>
            <w:tcW w:w="2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2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Directors and executive officers as a group (15 persons) (o)</w:t>
            </w:r>
          </w:p>
        </w:tc>
        <w:tc>
          <w:tcPr>
            <w:tcW w:w="1309"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1,126,279</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439"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(n)</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5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2.19</w:t>
            </w:r>
          </w:p>
        </w:tc>
        <w:tc>
          <w:tcPr>
            <w:tcW w:w="21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9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28"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43"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2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85"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236" w:type="dxa"/>
            <w:tcBorders>
              <w:bottom w:val="single" w:sz="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218"/>
        <w:gridCol w:w="9987"/>
      </w:tblGrid>
      <w:tr>
        <w:trPr/>
        <w:tc>
          <w:tcPr>
            <w:tcW w:w="218" w:type="dxa"/>
            <w:tcBorders/>
            <w:shd w:fill="auto" w:val="clear"/>
            <w:vAlign w:val="center"/>
          </w:tcPr>
          <w:p>
            <w:pPr>
              <w:pStyle w:val="TableContents"/>
              <w:spacing w:before="0" w:after="283"/>
              <w:rPr>
                <w:sz w:val="4"/>
                <w:szCs w:val="4"/>
              </w:rPr>
            </w:pPr>
            <w:r>
              <w:rPr>
                <w:sz w:val="4"/>
                <w:szCs w:val="4"/>
              </w:rPr>
            </w:r>
          </w:p>
        </w:tc>
        <w:tc>
          <w:tcPr>
            <w:tcW w:w="9987" w:type="dxa"/>
            <w:tcBorders/>
            <w:shd w:fill="auto" w:val="clear"/>
            <w:vAlign w:val="center"/>
          </w:tcPr>
          <w:p>
            <w:pPr>
              <w:pStyle w:val="TableContents"/>
              <w:spacing w:before="0" w:after="283"/>
              <w:rPr>
                <w:sz w:val="4"/>
                <w:szCs w:val="4"/>
              </w:rPr>
            </w:pPr>
            <w:r>
              <w:rPr>
                <w:sz w:val="4"/>
                <w:szCs w:val="4"/>
              </w:rPr>
            </w:r>
          </w:p>
        </w:tc>
      </w:tr>
      <w:tr>
        <w:trPr/>
        <w:tc>
          <w:tcPr>
            <w:tcW w:w="218"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87" w:type="dxa"/>
            <w:tcBorders/>
            <w:shd w:fill="auto" w:val="clear"/>
            <w:vAlign w:val="center"/>
          </w:tcPr>
          <w:p>
            <w:pPr>
              <w:pStyle w:val="TableContents"/>
              <w:spacing w:lineRule="auto" w:line="288" w:before="0" w:after="0"/>
              <w:rPr>
                <w:rFonts w:ascii="inherit" w:hAnsi="inherit"/>
                <w:sz w:val="15"/>
              </w:rPr>
            </w:pPr>
            <w:r>
              <w:rPr>
                <w:rFonts w:ascii="inherit" w:hAnsi="inherit"/>
                <w:sz w:val="15"/>
              </w:rPr>
              <w:t>MS Pawn Corporation is the general partner of MS Pawn Limited Partnership and has the sole right to vote its shares of Class B Common Stock and to direct their disposition. Mr. Cohen is the sole stockholder of MS Pawn Corporation.</w:t>
            </w:r>
          </w:p>
        </w:tc>
      </w:tr>
    </w:tbl>
    <w:tbl>
      <w:tblPr>
        <w:tblW w:w="10205" w:type="dxa"/>
        <w:jc w:val="left"/>
        <w:tblInd w:w="0" w:type="dxa"/>
        <w:tblCellMar>
          <w:top w:w="0" w:type="dxa"/>
          <w:left w:w="0" w:type="dxa"/>
          <w:bottom w:w="0" w:type="dxa"/>
          <w:right w:w="0" w:type="dxa"/>
        </w:tblCellMar>
      </w:tblPr>
      <w:tblGrid>
        <w:gridCol w:w="227"/>
        <w:gridCol w:w="9978"/>
      </w:tblGrid>
      <w:tr>
        <w:trPr/>
        <w:tc>
          <w:tcPr>
            <w:tcW w:w="227" w:type="dxa"/>
            <w:tcBorders/>
            <w:shd w:fill="auto" w:val="clear"/>
            <w:vAlign w:val="center"/>
          </w:tcPr>
          <w:p>
            <w:pPr>
              <w:pStyle w:val="TableContents"/>
              <w:spacing w:before="0" w:after="283"/>
              <w:rPr>
                <w:sz w:val="4"/>
                <w:szCs w:val="4"/>
              </w:rPr>
            </w:pPr>
            <w:r>
              <w:rPr>
                <w:sz w:val="4"/>
                <w:szCs w:val="4"/>
              </w:rPr>
            </w:r>
          </w:p>
        </w:tc>
        <w:tc>
          <w:tcPr>
            <w:tcW w:w="9978" w:type="dxa"/>
            <w:tcBorders/>
            <w:shd w:fill="auto" w:val="clear"/>
            <w:vAlign w:val="center"/>
          </w:tcPr>
          <w:p>
            <w:pPr>
              <w:pStyle w:val="TableContents"/>
              <w:spacing w:before="0" w:after="283"/>
              <w:rPr>
                <w:sz w:val="4"/>
                <w:szCs w:val="4"/>
              </w:rPr>
            </w:pPr>
            <w:r>
              <w:rPr>
                <w:sz w:val="4"/>
                <w:szCs w:val="4"/>
              </w:rPr>
            </w:r>
          </w:p>
        </w:tc>
      </w:tr>
      <w:tr>
        <w:trPr/>
        <w:tc>
          <w:tcPr>
            <w:tcW w:w="227"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9978" w:type="dxa"/>
            <w:tcBorders/>
            <w:shd w:fill="auto" w:val="clear"/>
            <w:vAlign w:val="center"/>
          </w:tcPr>
          <w:p>
            <w:pPr>
              <w:pStyle w:val="TableContents"/>
              <w:spacing w:lineRule="auto" w:line="288" w:before="0" w:after="0"/>
              <w:rPr>
                <w:rFonts w:ascii="inherit" w:hAnsi="inherit"/>
                <w:sz w:val="15"/>
              </w:rPr>
            </w:pPr>
            <w:r>
              <w:rPr>
                <w:rFonts w:ascii="inherit" w:hAnsi="inherit"/>
                <w:sz w:val="15"/>
              </w:rPr>
              <w:t>The number of shares and percentage reflect Class A Common Stock, inclusive of Class B Common Stock, shares of which are convertible to Class A Common Stock on a one-to-one basis.</w:t>
            </w:r>
          </w:p>
        </w:tc>
      </w:tr>
    </w:tbl>
    <w:tbl>
      <w:tblPr>
        <w:tblW w:w="5065" w:type="dxa"/>
        <w:jc w:val="left"/>
        <w:tblInd w:w="0" w:type="dxa"/>
        <w:tblCellMar>
          <w:top w:w="0" w:type="dxa"/>
          <w:left w:w="0" w:type="dxa"/>
          <w:bottom w:w="0" w:type="dxa"/>
          <w:right w:w="0" w:type="dxa"/>
        </w:tblCellMar>
      </w:tblPr>
      <w:tblGrid>
        <w:gridCol w:w="230"/>
        <w:gridCol w:w="4835"/>
      </w:tblGrid>
      <w:tr>
        <w:trPr/>
        <w:tc>
          <w:tcPr>
            <w:tcW w:w="230" w:type="dxa"/>
            <w:tcBorders/>
            <w:shd w:fill="auto" w:val="clear"/>
            <w:vAlign w:val="center"/>
          </w:tcPr>
          <w:p>
            <w:pPr>
              <w:pStyle w:val="TableContents"/>
              <w:spacing w:before="0" w:after="283"/>
              <w:rPr>
                <w:sz w:val="4"/>
                <w:szCs w:val="4"/>
              </w:rPr>
            </w:pPr>
            <w:r>
              <w:rPr>
                <w:sz w:val="4"/>
                <w:szCs w:val="4"/>
              </w:rPr>
            </w:r>
          </w:p>
        </w:tc>
        <w:tc>
          <w:tcPr>
            <w:tcW w:w="4835"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(c)</w:t>
            </w:r>
          </w:p>
        </w:tc>
        <w:tc>
          <w:tcPr>
            <w:tcW w:w="4835" w:type="dxa"/>
            <w:tcBorders/>
            <w:shd w:fill="auto" w:val="clear"/>
            <w:vAlign w:val="center"/>
          </w:tcPr>
          <w:p>
            <w:pPr>
              <w:pStyle w:val="TableContents"/>
              <w:spacing w:lineRule="auto" w:line="288" w:before="0" w:after="0"/>
              <w:rPr>
                <w:rFonts w:ascii="inherit" w:hAnsi="inherit"/>
                <w:sz w:val="15"/>
              </w:rPr>
            </w:pPr>
            <w:r>
              <w:rPr>
                <w:rFonts w:ascii="inherit" w:hAnsi="inherit"/>
                <w:sz w:val="15"/>
              </w:rPr>
              <w:t xml:space="preserve">Based on the Form 13F filed by FMR LLC on November 14, 2013. </w:t>
            </w:r>
          </w:p>
        </w:tc>
      </w:tr>
    </w:tbl>
    <w:tbl>
      <w:tblPr>
        <w:tblW w:w="6535" w:type="dxa"/>
        <w:jc w:val="left"/>
        <w:tblInd w:w="0" w:type="dxa"/>
        <w:tblCellMar>
          <w:top w:w="0" w:type="dxa"/>
          <w:left w:w="0" w:type="dxa"/>
          <w:bottom w:w="0" w:type="dxa"/>
          <w:right w:w="0" w:type="dxa"/>
        </w:tblCellMar>
      </w:tblPr>
      <w:tblGrid>
        <w:gridCol w:w="245"/>
        <w:gridCol w:w="6290"/>
      </w:tblGrid>
      <w:tr>
        <w:trPr/>
        <w:tc>
          <w:tcPr>
            <w:tcW w:w="245" w:type="dxa"/>
            <w:tcBorders/>
            <w:shd w:fill="auto" w:val="clear"/>
            <w:vAlign w:val="center"/>
          </w:tcPr>
          <w:p>
            <w:pPr>
              <w:pStyle w:val="TableContents"/>
              <w:spacing w:before="0" w:after="283"/>
              <w:rPr>
                <w:sz w:val="4"/>
                <w:szCs w:val="4"/>
              </w:rPr>
            </w:pPr>
            <w:r>
              <w:rPr>
                <w:sz w:val="4"/>
                <w:szCs w:val="4"/>
              </w:rPr>
            </w:r>
          </w:p>
        </w:tc>
        <w:tc>
          <w:tcPr>
            <w:tcW w:w="629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(d)</w:t>
            </w:r>
          </w:p>
        </w:tc>
        <w:tc>
          <w:tcPr>
            <w:tcW w:w="6290" w:type="dxa"/>
            <w:tcBorders/>
            <w:shd w:fill="auto" w:val="clear"/>
            <w:vAlign w:val="center"/>
          </w:tcPr>
          <w:p>
            <w:pPr>
              <w:pStyle w:val="TableContents"/>
              <w:spacing w:lineRule="auto" w:line="288" w:before="0" w:after="0"/>
              <w:rPr>
                <w:rFonts w:ascii="inherit" w:hAnsi="inherit"/>
                <w:sz w:val="15"/>
              </w:rPr>
            </w:pPr>
            <w:r>
              <w:rPr>
                <w:rFonts w:ascii="inherit" w:hAnsi="inherit"/>
                <w:sz w:val="15"/>
              </w:rPr>
              <w:t>Based on the Forms 13F filed by various Blackrock managers on November 12, 2013.</w:t>
            </w:r>
          </w:p>
        </w:tc>
      </w:tr>
    </w:tbl>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sz w:val="4"/>
                <w:szCs w:val="4"/>
              </w:rPr>
            </w:pPr>
            <w:r>
              <w:rPr>
                <w:sz w:val="4"/>
                <w:szCs w:val="4"/>
              </w:rPr>
            </w:r>
          </w:p>
        </w:tc>
        <w:tc>
          <w:tcPr>
            <w:tcW w:w="729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(e)</w:t>
            </w:r>
          </w:p>
        </w:tc>
        <w:tc>
          <w:tcPr>
            <w:tcW w:w="7295" w:type="dxa"/>
            <w:tcBorders/>
            <w:shd w:fill="auto" w:val="clear"/>
            <w:vAlign w:val="center"/>
          </w:tcPr>
          <w:p>
            <w:pPr>
              <w:pStyle w:val="TableContents"/>
              <w:spacing w:lineRule="auto" w:line="288" w:before="0" w:after="0"/>
              <w:rPr>
                <w:rFonts w:ascii="inherit" w:hAnsi="inherit"/>
                <w:sz w:val="15"/>
              </w:rPr>
            </w:pPr>
            <w:r>
              <w:rPr>
                <w:rFonts w:ascii="inherit" w:hAnsi="inherit"/>
                <w:sz w:val="15"/>
              </w:rPr>
              <w:t>Based on the Form 13F filed by The Manufacturers Life Insurance Company on November 14, 2013</w:t>
            </w:r>
          </w:p>
        </w:tc>
      </w:tr>
    </w:tbl>
    <w:tbl>
      <w:tblPr>
        <w:tblW w:w="6190" w:type="dxa"/>
        <w:jc w:val="left"/>
        <w:tblInd w:w="0" w:type="dxa"/>
        <w:tblCellMar>
          <w:top w:w="0" w:type="dxa"/>
          <w:left w:w="0" w:type="dxa"/>
          <w:bottom w:w="0" w:type="dxa"/>
          <w:right w:w="0" w:type="dxa"/>
        </w:tblCellMar>
      </w:tblPr>
      <w:tblGrid>
        <w:gridCol w:w="215"/>
        <w:gridCol w:w="5975"/>
      </w:tblGrid>
      <w:tr>
        <w:trPr/>
        <w:tc>
          <w:tcPr>
            <w:tcW w:w="215" w:type="dxa"/>
            <w:tcBorders/>
            <w:shd w:fill="auto" w:val="clear"/>
            <w:vAlign w:val="center"/>
          </w:tcPr>
          <w:p>
            <w:pPr>
              <w:pStyle w:val="TableContents"/>
              <w:spacing w:before="0" w:after="283"/>
              <w:rPr>
                <w:sz w:val="4"/>
                <w:szCs w:val="4"/>
              </w:rPr>
            </w:pPr>
            <w:r>
              <w:rPr>
                <w:sz w:val="4"/>
                <w:szCs w:val="4"/>
              </w:rPr>
            </w:r>
          </w:p>
        </w:tc>
        <w:tc>
          <w:tcPr>
            <w:tcW w:w="5975" w:type="dxa"/>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(f)</w:t>
            </w:r>
          </w:p>
        </w:tc>
        <w:tc>
          <w:tcPr>
            <w:tcW w:w="5975" w:type="dxa"/>
            <w:tcBorders/>
            <w:shd w:fill="auto" w:val="clear"/>
            <w:vAlign w:val="center"/>
          </w:tcPr>
          <w:p>
            <w:pPr>
              <w:pStyle w:val="TableContents"/>
              <w:spacing w:lineRule="auto" w:line="288" w:before="0" w:after="0"/>
              <w:rPr>
                <w:rFonts w:ascii="inherit" w:hAnsi="inherit"/>
                <w:sz w:val="15"/>
              </w:rPr>
            </w:pPr>
            <w:r>
              <w:rPr>
                <w:rFonts w:ascii="inherit" w:hAnsi="inherit"/>
                <w:sz w:val="15"/>
              </w:rPr>
              <w:t>Based on the Forms 13F filed by The Vanguard Group, Inc. on November 7, 2013.</w:t>
            </w:r>
          </w:p>
        </w:tc>
      </w:tr>
    </w:tbl>
    <w:tbl>
      <w:tblPr>
        <w:tblW w:w="4855" w:type="dxa"/>
        <w:jc w:val="left"/>
        <w:tblInd w:w="0" w:type="dxa"/>
        <w:tblCellMar>
          <w:top w:w="0" w:type="dxa"/>
          <w:left w:w="0" w:type="dxa"/>
          <w:bottom w:w="0" w:type="dxa"/>
          <w:right w:w="0" w:type="dxa"/>
        </w:tblCellMar>
      </w:tblPr>
      <w:tblGrid>
        <w:gridCol w:w="245"/>
        <w:gridCol w:w="4610"/>
      </w:tblGrid>
      <w:tr>
        <w:trPr/>
        <w:tc>
          <w:tcPr>
            <w:tcW w:w="245" w:type="dxa"/>
            <w:tcBorders/>
            <w:shd w:fill="auto" w:val="clear"/>
            <w:vAlign w:val="center"/>
          </w:tcPr>
          <w:p>
            <w:pPr>
              <w:pStyle w:val="TableContents"/>
              <w:spacing w:before="0" w:after="283"/>
              <w:rPr>
                <w:sz w:val="4"/>
                <w:szCs w:val="4"/>
              </w:rPr>
            </w:pPr>
            <w:r>
              <w:rPr>
                <w:sz w:val="4"/>
                <w:szCs w:val="4"/>
              </w:rPr>
            </w:r>
          </w:p>
        </w:tc>
        <w:tc>
          <w:tcPr>
            <w:tcW w:w="461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(g)</w:t>
            </w:r>
          </w:p>
        </w:tc>
        <w:tc>
          <w:tcPr>
            <w:tcW w:w="4610" w:type="dxa"/>
            <w:tcBorders/>
            <w:shd w:fill="auto" w:val="clear"/>
            <w:vAlign w:val="center"/>
          </w:tcPr>
          <w:p>
            <w:pPr>
              <w:pStyle w:val="TableContents"/>
              <w:spacing w:lineRule="auto" w:line="288" w:before="0" w:after="0"/>
              <w:rPr>
                <w:rFonts w:ascii="inherit" w:hAnsi="inherit"/>
                <w:sz w:val="15"/>
              </w:rPr>
            </w:pPr>
            <w:r>
              <w:rPr>
                <w:rFonts w:ascii="inherit" w:hAnsi="inherit"/>
                <w:sz w:val="15"/>
              </w:rPr>
              <w:t xml:space="preserve">Does not include 470,000 shares of unvested restricted stock. </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rPr>
                <w:sz w:val="4"/>
                <w:szCs w:val="4"/>
              </w:rPr>
            </w:pPr>
            <w:r>
              <w:rPr>
                <w:sz w:val="4"/>
                <w:szCs w:val="4"/>
              </w:rPr>
            </w:r>
          </w:p>
        </w:tc>
        <w:tc>
          <w:tcPr>
            <w:tcW w:w="9964" w:type="dxa"/>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(h)</w:t>
            </w:r>
          </w:p>
        </w:tc>
        <w:tc>
          <w:tcPr>
            <w:tcW w:w="9964" w:type="dxa"/>
            <w:tcBorders/>
            <w:shd w:fill="auto" w:val="clear"/>
            <w:vAlign w:val="center"/>
          </w:tcPr>
          <w:p>
            <w:pPr>
              <w:pStyle w:val="TableContents"/>
              <w:spacing w:lineRule="auto" w:line="288" w:before="0" w:after="0"/>
              <w:rPr>
                <w:rFonts w:ascii="inherit" w:hAnsi="inherit"/>
                <w:sz w:val="15"/>
              </w:rPr>
            </w:pPr>
            <w:r>
              <w:rPr>
                <w:rFonts w:ascii="inherit" w:hAnsi="inherit"/>
                <w:sz w:val="15"/>
              </w:rPr>
              <w:t>Includes 270 shares held through the company's 401 (k) retirement savings plan. Does not include 200,000 shares of unvested restricted stock.</w:t>
            </w:r>
          </w:p>
        </w:tc>
      </w:tr>
    </w:tbl>
    <w:tbl>
      <w:tblPr>
        <w:tblW w:w="8815" w:type="dxa"/>
        <w:jc w:val="left"/>
        <w:tblInd w:w="0" w:type="dxa"/>
        <w:tblCellMar>
          <w:top w:w="0" w:type="dxa"/>
          <w:left w:w="0" w:type="dxa"/>
          <w:bottom w:w="0" w:type="dxa"/>
          <w:right w:w="0" w:type="dxa"/>
        </w:tblCellMar>
      </w:tblPr>
      <w:tblGrid>
        <w:gridCol w:w="200"/>
        <w:gridCol w:w="8615"/>
      </w:tblGrid>
      <w:tr>
        <w:trPr/>
        <w:tc>
          <w:tcPr>
            <w:tcW w:w="200" w:type="dxa"/>
            <w:tcBorders/>
            <w:shd w:fill="auto" w:val="clear"/>
            <w:vAlign w:val="center"/>
          </w:tcPr>
          <w:p>
            <w:pPr>
              <w:pStyle w:val="TableContents"/>
              <w:spacing w:before="0" w:after="283"/>
              <w:rPr>
                <w:sz w:val="4"/>
                <w:szCs w:val="4"/>
              </w:rPr>
            </w:pPr>
            <w:r>
              <w:rPr>
                <w:sz w:val="4"/>
                <w:szCs w:val="4"/>
              </w:rPr>
            </w:r>
          </w:p>
        </w:tc>
        <w:tc>
          <w:tcPr>
            <w:tcW w:w="861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(i)</w:t>
            </w:r>
          </w:p>
        </w:tc>
        <w:tc>
          <w:tcPr>
            <w:tcW w:w="8615" w:type="dxa"/>
            <w:tcBorders/>
            <w:shd w:fill="auto" w:val="clear"/>
            <w:vAlign w:val="center"/>
          </w:tcPr>
          <w:p>
            <w:pPr>
              <w:pStyle w:val="TableContents"/>
              <w:spacing w:lineRule="auto" w:line="288" w:before="0" w:after="0"/>
              <w:rPr>
                <w:rFonts w:ascii="inherit" w:hAnsi="inherit"/>
                <w:sz w:val="15"/>
              </w:rPr>
            </w:pPr>
            <w:r>
              <w:rPr>
                <w:rFonts w:ascii="inherit" w:hAnsi="inherit"/>
                <w:sz w:val="15"/>
              </w:rPr>
              <w:t>Shares beneficially owned do not exceed one percent of Class A Common Stock, inclusive of Class B Common Stock.</w:t>
            </w:r>
          </w:p>
        </w:tc>
      </w:tr>
    </w:tbl>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283"/>
              <w:rPr>
                <w:sz w:val="4"/>
                <w:szCs w:val="4"/>
              </w:rPr>
            </w:pPr>
            <w:r>
              <w:rPr>
                <w:sz w:val="4"/>
                <w:szCs w:val="4"/>
              </w:rPr>
            </w:r>
          </w:p>
        </w:tc>
        <w:tc>
          <w:tcPr>
            <w:tcW w:w="10006" w:type="dxa"/>
            <w:tcBorders/>
            <w:shd w:fill="auto" w:val="clear"/>
            <w:vAlign w:val="center"/>
          </w:tcPr>
          <w:p>
            <w:pPr>
              <w:pStyle w:val="TableContents"/>
              <w:spacing w:before="0" w:after="283"/>
              <w:rPr>
                <w:sz w:val="4"/>
                <w:szCs w:val="4"/>
              </w:rPr>
            </w:pPr>
            <w:r>
              <w:rPr>
                <w:sz w:val="4"/>
                <w:szCs w:val="4"/>
              </w:rPr>
            </w:r>
          </w:p>
        </w:tc>
      </w:tr>
      <w:tr>
        <w:trPr/>
        <w:tc>
          <w:tcPr>
            <w:tcW w:w="199"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(j)</w:t>
            </w:r>
          </w:p>
        </w:tc>
        <w:tc>
          <w:tcPr>
            <w:tcW w:w="10006" w:type="dxa"/>
            <w:tcBorders/>
            <w:shd w:fill="auto" w:val="clear"/>
            <w:vAlign w:val="center"/>
          </w:tcPr>
          <w:p>
            <w:pPr>
              <w:pStyle w:val="TableContents"/>
              <w:spacing w:lineRule="auto" w:line="288" w:before="0" w:after="0"/>
              <w:rPr>
                <w:rFonts w:ascii="inherit" w:hAnsi="inherit"/>
                <w:sz w:val="15"/>
              </w:rPr>
            </w:pPr>
            <w:r>
              <w:rPr>
                <w:rFonts w:ascii="inherit" w:hAnsi="inherit"/>
                <w:sz w:val="15"/>
              </w:rPr>
              <w:t xml:space="preserve">Includes 14,400 shares of restricted stock that vested in November 2013. Does not include 211,066 shares of unvested restricted stock. </w:t>
            </w:r>
          </w:p>
        </w:tc>
      </w:tr>
    </w:tbl>
    <w:tbl>
      <w:tblPr>
        <w:tblW w:w="4675" w:type="dxa"/>
        <w:jc w:val="left"/>
        <w:tblInd w:w="0" w:type="dxa"/>
        <w:tblCellMar>
          <w:top w:w="0" w:type="dxa"/>
          <w:left w:w="0" w:type="dxa"/>
          <w:bottom w:w="0" w:type="dxa"/>
          <w:right w:w="0" w:type="dxa"/>
        </w:tblCellMar>
      </w:tblPr>
      <w:tblGrid>
        <w:gridCol w:w="245"/>
        <w:gridCol w:w="4430"/>
      </w:tblGrid>
      <w:tr>
        <w:trPr/>
        <w:tc>
          <w:tcPr>
            <w:tcW w:w="245" w:type="dxa"/>
            <w:tcBorders/>
            <w:shd w:fill="auto" w:val="clear"/>
            <w:vAlign w:val="center"/>
          </w:tcPr>
          <w:p>
            <w:pPr>
              <w:pStyle w:val="TableContents"/>
              <w:spacing w:before="0" w:after="283"/>
              <w:rPr>
                <w:sz w:val="4"/>
                <w:szCs w:val="4"/>
              </w:rPr>
            </w:pPr>
            <w:r>
              <w:rPr>
                <w:sz w:val="4"/>
                <w:szCs w:val="4"/>
              </w:rPr>
            </w:r>
          </w:p>
        </w:tc>
        <w:tc>
          <w:tcPr>
            <w:tcW w:w="443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(k)</w:t>
            </w:r>
          </w:p>
        </w:tc>
        <w:tc>
          <w:tcPr>
            <w:tcW w:w="4430" w:type="dxa"/>
            <w:tcBorders/>
            <w:shd w:fill="auto" w:val="clear"/>
            <w:vAlign w:val="center"/>
          </w:tcPr>
          <w:p>
            <w:pPr>
              <w:pStyle w:val="TableContents"/>
              <w:spacing w:lineRule="auto" w:line="288" w:before="0" w:after="0"/>
              <w:rPr>
                <w:rFonts w:ascii="inherit" w:hAnsi="inherit"/>
                <w:sz w:val="15"/>
              </w:rPr>
            </w:pPr>
            <w:r>
              <w:rPr>
                <w:rFonts w:ascii="inherit" w:hAnsi="inherit"/>
                <w:sz w:val="15"/>
              </w:rPr>
              <w:t xml:space="preserve">Does not include 9,100 shares of unvested restricted stock. </w:t>
            </w:r>
          </w:p>
        </w:tc>
      </w:tr>
    </w:tbl>
    <w:tbl>
      <w:tblPr>
        <w:tblW w:w="10045" w:type="dxa"/>
        <w:jc w:val="left"/>
        <w:tblInd w:w="0" w:type="dxa"/>
        <w:tblCellMar>
          <w:top w:w="0" w:type="dxa"/>
          <w:left w:w="0" w:type="dxa"/>
          <w:bottom w:w="0" w:type="dxa"/>
          <w:right w:w="0" w:type="dxa"/>
        </w:tblCellMar>
      </w:tblPr>
      <w:tblGrid>
        <w:gridCol w:w="200"/>
        <w:gridCol w:w="9845"/>
      </w:tblGrid>
      <w:tr>
        <w:trPr/>
        <w:tc>
          <w:tcPr>
            <w:tcW w:w="200" w:type="dxa"/>
            <w:tcBorders/>
            <w:shd w:fill="auto" w:val="clear"/>
            <w:vAlign w:val="center"/>
          </w:tcPr>
          <w:p>
            <w:pPr>
              <w:pStyle w:val="TableContents"/>
              <w:spacing w:before="0" w:after="283"/>
              <w:rPr>
                <w:sz w:val="4"/>
                <w:szCs w:val="4"/>
              </w:rPr>
            </w:pPr>
            <w:r>
              <w:rPr>
                <w:sz w:val="4"/>
                <w:szCs w:val="4"/>
              </w:rPr>
            </w:r>
          </w:p>
        </w:tc>
        <w:tc>
          <w:tcPr>
            <w:tcW w:w="984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(l)</w:t>
            </w:r>
          </w:p>
        </w:tc>
        <w:tc>
          <w:tcPr>
            <w:tcW w:w="9845" w:type="dxa"/>
            <w:tcBorders/>
            <w:shd w:fill="auto" w:val="clear"/>
            <w:vAlign w:val="center"/>
          </w:tcPr>
          <w:p>
            <w:pPr>
              <w:pStyle w:val="TableContents"/>
              <w:spacing w:lineRule="auto" w:line="288" w:before="0" w:after="0"/>
              <w:rPr>
                <w:rFonts w:ascii="inherit" w:hAnsi="inherit"/>
                <w:sz w:val="15"/>
              </w:rPr>
            </w:pPr>
            <w:r>
              <w:rPr>
                <w:rFonts w:ascii="inherit" w:hAnsi="inherit"/>
                <w:sz w:val="15"/>
              </w:rPr>
              <w:t xml:space="preserve">Includes 7,667 shares of restricted stock that vested in November 2013. Does not include 23,566 shares of unvested restricted stock. </w:t>
            </w:r>
          </w:p>
        </w:tc>
      </w:tr>
    </w:tbl>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rPr>
                <w:sz w:val="4"/>
                <w:szCs w:val="4"/>
              </w:rPr>
            </w:pPr>
            <w:r>
              <w:rPr>
                <w:sz w:val="4"/>
                <w:szCs w:val="4"/>
              </w:rPr>
            </w:r>
          </w:p>
        </w:tc>
        <w:tc>
          <w:tcPr>
            <w:tcW w:w="9923" w:type="dxa"/>
            <w:tcBorders/>
            <w:shd w:fill="auto" w:val="clear"/>
            <w:vAlign w:val="center"/>
          </w:tcPr>
          <w:p>
            <w:pPr>
              <w:pStyle w:val="TableContents"/>
              <w:spacing w:before="0" w:after="283"/>
              <w:rPr>
                <w:sz w:val="4"/>
                <w:szCs w:val="4"/>
              </w:rPr>
            </w:pPr>
            <w:r>
              <w:rPr>
                <w:sz w:val="4"/>
                <w:szCs w:val="4"/>
              </w:rPr>
            </w:r>
          </w:p>
        </w:tc>
      </w:tr>
      <w:tr>
        <w:trPr/>
        <w:tc>
          <w:tcPr>
            <w:tcW w:w="282"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(m)</w:t>
            </w:r>
          </w:p>
        </w:tc>
        <w:tc>
          <w:tcPr>
            <w:tcW w:w="9923" w:type="dxa"/>
            <w:tcBorders/>
            <w:shd w:fill="auto" w:val="clear"/>
            <w:vAlign w:val="center"/>
          </w:tcPr>
          <w:p>
            <w:pPr>
              <w:pStyle w:val="TableContents"/>
              <w:spacing w:lineRule="auto" w:line="288" w:before="0" w:after="0"/>
              <w:rPr>
                <w:rFonts w:ascii="inherit" w:hAnsi="inherit"/>
                <w:sz w:val="15"/>
              </w:rPr>
            </w:pPr>
            <w:r>
              <w:rPr>
                <w:rFonts w:ascii="inherit" w:hAnsi="inherit"/>
                <w:sz w:val="15"/>
              </w:rPr>
              <w:t>Includes 11,734 shares of restricted stock that vested in November 2013 and 270 shares held through the company's 401(k) retirement savings plan. Does not include 13,732 shares of unvested restricted stock.</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136</w:t>
      </w:r>
      <w:r>
        <w:br w:type="page"/>
      </w:r>
    </w:p>
    <w:p>
      <w:pPr>
        <w:pStyle w:val="TextBody"/>
        <w:spacing w:lineRule="auto" w:line="288" w:before="0" w:after="0"/>
        <w:rPr/>
      </w:pPr>
      <w:hyperlink w:anchor="sA13583D437E20DC41B4583E2BD74AA47">
        <w:bookmarkStart w:id="119" w:name="sACA2C7F8E7639656A6BE83E28894D8FE2"/>
        <w:bookmarkEnd w:id="119"/>
        <w:r>
          <w:rPr>
            <w:rStyle w:val="InternetLink"/>
            <w:rFonts w:ascii="inherit" w:hAnsi="inherit"/>
            <w:color w:val="0000FF"/>
            <w:sz w:val="17"/>
            <w:u w:val="single"/>
          </w:rPr>
          <w:t>Table of Contents</w:t>
        </w:r>
      </w:hyperlink>
    </w:p>
    <w:p>
      <w:pPr>
        <w:pStyle w:val="TextBody"/>
        <w:spacing w:before="0" w:after="0"/>
        <w:rPr/>
      </w:pPr>
      <w:r>
        <w:rPr/>
      </w:r>
    </w:p>
    <w:tbl>
      <w:tblPr>
        <w:tblW w:w="7915" w:type="dxa"/>
        <w:jc w:val="left"/>
        <w:tblInd w:w="0" w:type="dxa"/>
        <w:tblCellMar>
          <w:top w:w="0" w:type="dxa"/>
          <w:left w:w="0" w:type="dxa"/>
          <w:bottom w:w="0" w:type="dxa"/>
          <w:right w:w="0" w:type="dxa"/>
        </w:tblCellMar>
      </w:tblPr>
      <w:tblGrid>
        <w:gridCol w:w="245"/>
        <w:gridCol w:w="7670"/>
      </w:tblGrid>
      <w:tr>
        <w:trPr/>
        <w:tc>
          <w:tcPr>
            <w:tcW w:w="245" w:type="dxa"/>
            <w:tcBorders/>
            <w:shd w:fill="auto" w:val="clear"/>
            <w:vAlign w:val="center"/>
          </w:tcPr>
          <w:p>
            <w:pPr>
              <w:pStyle w:val="TableContents"/>
              <w:spacing w:before="0" w:after="283"/>
              <w:rPr>
                <w:sz w:val="4"/>
                <w:szCs w:val="4"/>
              </w:rPr>
            </w:pPr>
            <w:r>
              <w:rPr>
                <w:sz w:val="4"/>
                <w:szCs w:val="4"/>
              </w:rPr>
            </w:r>
          </w:p>
        </w:tc>
        <w:tc>
          <w:tcPr>
            <w:tcW w:w="767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(n)</w:t>
            </w:r>
          </w:p>
        </w:tc>
        <w:tc>
          <w:tcPr>
            <w:tcW w:w="7670" w:type="dxa"/>
            <w:tcBorders/>
            <w:shd w:fill="auto" w:val="clear"/>
            <w:vAlign w:val="center"/>
          </w:tcPr>
          <w:p>
            <w:pPr>
              <w:pStyle w:val="TableContents"/>
              <w:spacing w:lineRule="auto" w:line="288" w:before="0" w:after="0"/>
              <w:rPr>
                <w:rFonts w:ascii="inherit" w:hAnsi="inherit"/>
                <w:sz w:val="15"/>
              </w:rPr>
            </w:pPr>
            <w:r>
              <w:rPr>
                <w:rFonts w:ascii="inherit" w:hAnsi="inherit"/>
                <w:sz w:val="15"/>
              </w:rPr>
              <w:t>Group includes those persons who were serving as directors and executive officers on October 31, 2013.</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rPr>
                <w:sz w:val="4"/>
                <w:szCs w:val="4"/>
              </w:rPr>
            </w:pPr>
            <w:r>
              <w:rPr>
                <w:sz w:val="4"/>
                <w:szCs w:val="4"/>
              </w:rPr>
            </w:r>
          </w:p>
        </w:tc>
        <w:tc>
          <w:tcPr>
            <w:tcW w:w="9961" w:type="dxa"/>
            <w:tcBorders/>
            <w:shd w:fill="auto" w:val="clear"/>
            <w:vAlign w:val="center"/>
          </w:tcPr>
          <w:p>
            <w:pPr>
              <w:pStyle w:val="TableContents"/>
              <w:spacing w:before="0" w:after="283"/>
              <w:rPr>
                <w:sz w:val="4"/>
                <w:szCs w:val="4"/>
              </w:rPr>
            </w:pPr>
            <w:r>
              <w:rPr>
                <w:sz w:val="4"/>
                <w:szCs w:val="4"/>
              </w:rPr>
            </w:r>
          </w:p>
        </w:tc>
      </w:tr>
      <w:tr>
        <w:trPr/>
        <w:tc>
          <w:tcPr>
            <w:tcW w:w="244"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(o)</w:t>
            </w:r>
          </w:p>
        </w:tc>
        <w:tc>
          <w:tcPr>
            <w:tcW w:w="9961" w:type="dxa"/>
            <w:tcBorders/>
            <w:shd w:fill="auto" w:val="clear"/>
            <w:vAlign w:val="center"/>
          </w:tcPr>
          <w:p>
            <w:pPr>
              <w:pStyle w:val="TableContents"/>
              <w:spacing w:lineRule="auto" w:line="288" w:before="0" w:after="0"/>
              <w:rPr>
                <w:rFonts w:ascii="inherit" w:hAnsi="inherit"/>
                <w:sz w:val="15"/>
              </w:rPr>
            </w:pPr>
            <w:r>
              <w:rPr>
                <w:rFonts w:ascii="inherit" w:hAnsi="inherit"/>
                <w:sz w:val="15"/>
              </w:rPr>
              <w:t>Includes 57,922 shares of restricted stock that vested in November 2013. Does not include 1,040,617 shares of unvested restricted stock.</w:t>
            </w:r>
          </w:p>
        </w:tc>
      </w:tr>
    </w:tbl>
    <w:p>
      <w:pPr>
        <w:pStyle w:val="TextBody"/>
        <w:spacing w:lineRule="auto" w:line="288" w:before="0" w:after="0"/>
        <w:jc w:val="left"/>
        <w:rPr>
          <w:rFonts w:ascii="inherit" w:hAnsi="inherit"/>
          <w:b/>
          <w:sz w:val="17"/>
        </w:rPr>
      </w:pPr>
      <w:bookmarkStart w:id="120" w:name="s4FF33248329990A48BE383E2CB436D2F"/>
      <w:bookmarkEnd w:id="120"/>
      <w:r>
        <w:rPr>
          <w:rFonts w:ascii="inherit" w:hAnsi="inherit"/>
          <w:b/>
          <w:sz w:val="17"/>
        </w:rPr>
        <w:t>ITEM 13. CERTAIN RELATIONSHIPS AND RELATED TRANSACTIONS, AND DIRECTOR INDEPENDENCE</w:t>
      </w:r>
    </w:p>
    <w:p>
      <w:pPr>
        <w:pStyle w:val="TextBody"/>
        <w:spacing w:lineRule="auto" w:line="288" w:before="0" w:after="0"/>
        <w:jc w:val="left"/>
        <w:rPr>
          <w:rFonts w:ascii="inherit" w:hAnsi="inherit"/>
          <w:b/>
          <w:sz w:val="17"/>
        </w:rPr>
      </w:pPr>
      <w:r>
        <w:rPr>
          <w:rFonts w:ascii="inherit" w:hAnsi="inherit"/>
          <w:b/>
          <w:sz w:val="17"/>
        </w:rPr>
        <w:t>Related Party Transactions</w:t>
      </w:r>
    </w:p>
    <w:p>
      <w:pPr>
        <w:pStyle w:val="TextBody"/>
        <w:spacing w:lineRule="auto" w:line="288" w:before="0" w:after="0"/>
        <w:jc w:val="left"/>
        <w:rPr>
          <w:rFonts w:ascii="inherit" w:hAnsi="inherit"/>
          <w:i/>
          <w:sz w:val="17"/>
        </w:rPr>
      </w:pPr>
      <w:r>
        <w:rPr>
          <w:rFonts w:ascii="inherit" w:hAnsi="inherit"/>
          <w:i/>
          <w:sz w:val="17"/>
        </w:rPr>
        <w:t>Agreement with Madison Park</w:t>
      </w:r>
    </w:p>
    <w:p>
      <w:pPr>
        <w:pStyle w:val="TextBody"/>
        <w:spacing w:lineRule="auto" w:line="288" w:before="0" w:after="0"/>
        <w:jc w:val="left"/>
        <w:rPr>
          <w:rFonts w:ascii="inherit" w:hAnsi="inherit"/>
          <w:sz w:val="17"/>
        </w:rPr>
      </w:pPr>
      <w:r>
        <w:rPr>
          <w:rFonts w:ascii="inherit" w:hAnsi="inherit"/>
          <w:sz w:val="17"/>
        </w:rPr>
        <w:t xml:space="preserve">On October 9, 2013, we entered into an agreement to extend the Company's engagement with Madison Park, LLC ("Madison Park"), a business and financial advisory firm wholly owned by Phillip E. Cohen, the beneficial owner of all of EZCORP’s outstanding Class B Voting Common Stock, on the same terms and conditions, including those relating to fees and expenses, as applicable to the fiscal 2013 engagement. </w:t>
      </w:r>
    </w:p>
    <w:p>
      <w:pPr>
        <w:pStyle w:val="TextBody"/>
        <w:spacing w:lineRule="auto" w:line="288" w:before="0" w:after="0"/>
        <w:jc w:val="left"/>
        <w:rPr>
          <w:sz w:val="17"/>
        </w:rPr>
      </w:pPr>
      <w:r>
        <w:rPr>
          <w:rFonts w:ascii="inherit" w:hAnsi="inherit"/>
          <w:i/>
          <w:sz w:val="17"/>
        </w:rPr>
        <w:t>Summary of Terms</w:t>
      </w:r>
      <w:r>
        <w:rPr>
          <w:sz w:val="17"/>
        </w:rPr>
        <w:t xml:space="preserve"> — </w:t>
      </w:r>
      <w:r>
        <w:rPr>
          <w:rFonts w:ascii="inherit" w:hAnsi="inherit"/>
          <w:sz w:val="17"/>
        </w:rPr>
        <w:t>The advisory services agreement is effective as of October 1, 2013, and the term of the engagement runs through September 30, 2014. Either party may terminate the agreement at any time on 30 days’ written notice to the other party.</w:t>
      </w:r>
    </w:p>
    <w:p>
      <w:pPr>
        <w:pStyle w:val="TextBody"/>
        <w:spacing w:lineRule="auto" w:line="288" w:before="0" w:after="0"/>
        <w:jc w:val="left"/>
        <w:rPr>
          <w:rFonts w:ascii="inherit" w:hAnsi="inherit"/>
          <w:sz w:val="17"/>
        </w:rPr>
      </w:pPr>
      <w:r>
        <w:rPr>
          <w:rFonts w:ascii="inherit" w:hAnsi="inherit"/>
          <w:sz w:val="17"/>
        </w:rPr>
        <w:t>Pursuant to the agreement, Madison Park will provide advisory services related to EZCORP’s business and long-term strategic plan, including (a) identifying, evaluating and negotiating potential acquisitions and strategic alliances, (b) assessing operating and strategic objectives, including new business development, (c) assisting in international business development and strategic investment opportunities that complement EZCORP’s business lines and strategic objectives, (d) analyzing financial condition and results of operations, evaluating strengths and weaknesses of financial performance and recommending measures to improve performance, (d) advising on dividend policy and corporate transactions, such as stock repurchases, splits, recapitalizations and restructurings, (f) providing briefings on business strategy to the Board of Directors from time to time, (g) advising on investor relations and relations with investment bankers, securities analysts and other members of the financial services industry and (h) performing such other services as are reasonably requested by EZCORP. In exchange for those services, EZCORP will pay Madison Park a retainer fee of $600,000 per month and will reimburse Madison Park for its out-of-pocket expenses incurred in connection with the engagement. EZCORP will indemnify Madison Park (and its officers, directors, employees and affiliates) from and against all claims, costs, liabilities and damages related to or arising out of the engagement (except to the extent that any claim, cost, liability or damage results from the recklessness, willful misconduct or bad faith of the indemnified party).</w:t>
      </w:r>
    </w:p>
    <w:p>
      <w:pPr>
        <w:pStyle w:val="TextBody"/>
        <w:spacing w:lineRule="auto" w:line="288" w:before="0" w:after="0"/>
        <w:jc w:val="left"/>
        <w:rPr>
          <w:sz w:val="17"/>
        </w:rPr>
      </w:pPr>
      <w:r>
        <w:rPr>
          <w:rFonts w:ascii="inherit" w:hAnsi="inherit"/>
          <w:i/>
          <w:sz w:val="17"/>
        </w:rPr>
        <w:t>Board Governance Process</w:t>
      </w:r>
      <w:r>
        <w:rPr>
          <w:sz w:val="17"/>
        </w:rPr>
        <w:t xml:space="preserve"> — </w:t>
      </w:r>
      <w:r>
        <w:rPr>
          <w:rFonts w:ascii="inherit" w:hAnsi="inherit"/>
          <w:sz w:val="17"/>
        </w:rPr>
        <w:t>The engagement of Madison Park pursuant to the advisory services agreement was identified and acknowledged by the EZCORP Board of Directors as a related party transaction that was subject to the company’s Policy for Review and Evaluation of Related Party Transactions. Under that policy, the Audit Committee (comprised entirely of independent, non-employee directors) is responsible for reviewing, evaluating, approving or taking other action with respect to related party transactions on behalf of, and with full power and authority of, the Board of Directors. Acting under that policy, the Audit Committee implemented measures designed to ensure that the advisory services agreement with Madison Park was considered, analyzed, negotiated and approved objectively. Those measures included the following:</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Audit Committee engaged a qualified, independent financial advisory firm for the purpose of evaluating the proposed advisory services agreement relative to comparable market rates for the services contemplated by the agreement, and that firm counseled and advised the committee in the course of its consideration and evaluation of the Madison Park relationship and the proposed terms of the new advisory services agreement.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Audit Committee sought, received and relied upon an opinion from that independent financial advisory firm to the effect that the consideration to be paid to Madison Park pursuant to the advisory services agreement is fair to EZCORP from a financial point of view.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137</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With those measures, the Audit Committee evaluated and considered the following information, among other things: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committee’s financial advisor prepared, and presented to the committee, a report that analyzed numerous separate comparable public company advisory engagements. That report described the structure of the contracted fee and compared the amount of the fee to various financial metrics such as revenues and EBITDA.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committee considered whether EZCORP continues to need services provided by Madison Park and whether there were alternative sources for those services. The committee concluded that the services provided by Madison Park under previous contracts, including the fiscal 2013 engagement, had been essential to the company’s growth and diversification of its business and that these types of services would be critical to continue that successful growth and diversification. Further, the committee concluded that, given the current challenging market environment, the advice, counsel and guidance provided by Madison Park, as well as Madison Park's contacts and perspectives on financing transactions, capital deployment strategies and strategic acquisition opportunities, would be critical to shaping and executing EZCORP’s strategic plans, both short-term and long-term.</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committee also concluded that, given EZCORP’s unique business and based on the committee’s prior investigations, it was unlikely that any other financial or strategic advisor would have the specific expertise to provide the services the company needs. A necessary element to this conclusion was the unique capabilities and expertise of Madison Park and its principal, Mr. Cohen, including long-term experience and high-level strategic, industry-specific expertise.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committee considered a multi-year, performance-based arrangement, but ultimately concluded that an extension of the fiscal 2013 fixed-fee arrangement was in the best interests of the company at this time.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In the context of an analysis of the historical and proposed fee amounts compared with the company’s historical and projected financial results, as well as the analytical data provided by the committee’s financial advisor, the committee considered whether the proposed retainer fee was appropriate, given the company’s need for the services and Madison Park’s unique ability to provide them. The committee observed that the amount of the proposed fee generally fell within the ranges indicated by the comparable data, albeit at the upper portions of those ranges. Given the unique expertise provided by Madison Park and the company’s need for that unique expertise, the committee concluded that a fee in the upper portions of the comparable ranges was justified, particularly given the strategic challenges facing the company over the next year. The committee considered that the Company's EBITDA performance over the past year had been adversely affected by factors beyond management's control (specifically, the continued challenging gold environment) and the Company's decision to invest in future growth opportunities, and noted that the need to formulate and execute strategic plans to address and adapt to those continuing challenges created a continued, if not enhanced, need for the unique expertise and services provided by Madison Park.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After thorough discussion and analysis, the committee concluded that, under reasonable analytical methodologies, the proposed fee appeared to be within the range indicated by the comparative data, particularly when the Company’s unique needs and Madison Park’s unique abilities were considered. </w:t>
            </w:r>
          </w:p>
        </w:tc>
      </w:tr>
    </w:tbl>
    <w:p>
      <w:pPr>
        <w:pStyle w:val="TextBody"/>
        <w:spacing w:lineRule="auto" w:line="288" w:before="0" w:after="0"/>
        <w:jc w:val="left"/>
        <w:rPr>
          <w:rFonts w:ascii="inherit" w:hAnsi="inherit"/>
          <w:sz w:val="17"/>
        </w:rPr>
      </w:pPr>
      <w:r>
        <w:rPr>
          <w:rFonts w:ascii="inherit" w:hAnsi="inherit"/>
          <w:sz w:val="17"/>
        </w:rPr>
        <w:t>After consideration and discussion of this information and other factors, the information and fairness opinion provided by its independent financial advisory firm and the relationships and the interests of Mr. Cohen, the Audit Committee concluded that the proposed advisory services agreement for fiscal 2014 was fair to, and in the best interests of, EZCORP and its stockholders and, on that basis, approved the engagement of Madison Park pursuant to the advisory services agreement.</w:t>
      </w:r>
    </w:p>
    <w:p>
      <w:pPr>
        <w:pStyle w:val="TextBody"/>
        <w:spacing w:lineRule="auto" w:line="288" w:before="0" w:after="0"/>
        <w:jc w:val="left"/>
        <w:rPr>
          <w:rFonts w:ascii="inherit" w:hAnsi="inherit"/>
          <w:i/>
          <w:sz w:val="17"/>
        </w:rPr>
      </w:pPr>
      <w:r>
        <w:rPr>
          <w:rFonts w:ascii="inherit" w:hAnsi="inherit"/>
          <w:i/>
          <w:sz w:val="17"/>
        </w:rPr>
        <w:t>Review and Approval of Transactions with Related Persons</w:t>
      </w:r>
    </w:p>
    <w:p>
      <w:pPr>
        <w:pStyle w:val="TextBody"/>
        <w:spacing w:lineRule="auto" w:line="288" w:before="0" w:after="0"/>
        <w:jc w:val="left"/>
        <w:rPr>
          <w:rFonts w:ascii="inherit" w:hAnsi="inherit"/>
          <w:sz w:val="17"/>
        </w:rPr>
      </w:pPr>
      <w:r>
        <w:rPr>
          <w:rFonts w:ascii="inherit" w:hAnsi="inherit"/>
          <w:sz w:val="17"/>
        </w:rPr>
        <w:t>The Board of Directors has adopted a written comprehensive policy for the review and evaluation of all related party transactions. Under that policy, the Audit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Committee may, in its discretion, transfer its responsibilities to either the full Board of Directors or to any special committee of the Board of Directors designated and created for the purpose of reviewing, evaluating, approving or ratifying such transaction. As noted under "Agreement with Madison Park" above, the Audit Committee reviewed and approved the transaction described in that section.</w:t>
      </w:r>
    </w:p>
    <w:p>
      <w:pPr>
        <w:pStyle w:val="TextBody"/>
        <w:spacing w:lineRule="auto" w:line="288" w:before="0" w:after="0"/>
        <w:jc w:val="left"/>
        <w:rPr>
          <w:rFonts w:ascii="inherit" w:hAnsi="inherit"/>
          <w:b/>
          <w:sz w:val="17"/>
        </w:rPr>
      </w:pPr>
      <w:r>
        <w:rPr>
          <w:rFonts w:ascii="inherit" w:hAnsi="inherit"/>
          <w:b/>
          <w:sz w:val="17"/>
        </w:rPr>
        <w:t>Director Independence</w:t>
      </w:r>
    </w:p>
    <w:p>
      <w:pPr>
        <w:pStyle w:val="TextBody"/>
        <w:spacing w:lineRule="auto" w:line="288" w:before="0" w:after="0"/>
        <w:jc w:val="left"/>
        <w:rPr>
          <w:rFonts w:ascii="inherit" w:hAnsi="inherit"/>
          <w:sz w:val="17"/>
        </w:rPr>
      </w:pPr>
      <w:r>
        <w:rPr>
          <w:rFonts w:ascii="inherit" w:hAnsi="inherit"/>
          <w:sz w:val="17"/>
        </w:rPr>
        <w:t xml:space="preserve">The Board of Directors believes that the interests of the stockholders are best served by having a substantial number of objective, independent representatives on the Board. For this purpose, a director is considered to be independent only if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138</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Board affirmatively determines that the director does not have any direct or indirect material relationship with the Company that may impair, or appear to impair, the director’s ability to make independent judgments.</w:t>
      </w:r>
    </w:p>
    <w:p>
      <w:pPr>
        <w:pStyle w:val="TextBody"/>
        <w:spacing w:lineRule="auto" w:line="288" w:before="0" w:after="0"/>
        <w:jc w:val="left"/>
        <w:rPr>
          <w:rFonts w:ascii="inherit" w:hAnsi="inherit"/>
          <w:sz w:val="17"/>
        </w:rPr>
      </w:pPr>
      <w:r>
        <w:rPr>
          <w:rFonts w:ascii="inherit" w:hAnsi="inherit"/>
          <w:sz w:val="17"/>
        </w:rPr>
        <w:t>The Board has evaluated all relationships between each director and the Company and has made the following determinations with respect to each director’s independence:</w:t>
      </w:r>
    </w:p>
    <w:tbl>
      <w:tblPr>
        <w:tblW w:w="9174" w:type="dxa"/>
        <w:jc w:val="left"/>
        <w:tblInd w:w="0" w:type="dxa"/>
        <w:tblCellMar>
          <w:top w:w="0" w:type="dxa"/>
          <w:left w:w="0" w:type="dxa"/>
          <w:bottom w:w="0" w:type="dxa"/>
          <w:right w:w="0" w:type="dxa"/>
        </w:tblCellMar>
      </w:tblPr>
      <w:tblGrid>
        <w:gridCol w:w="5138"/>
        <w:gridCol w:w="91"/>
        <w:gridCol w:w="3945"/>
      </w:tblGrid>
      <w:tr>
        <w:trPr/>
        <w:tc>
          <w:tcPr>
            <w:tcW w:w="9174" w:type="dxa"/>
            <w:gridSpan w:val="3"/>
            <w:tcBorders/>
            <w:shd w:fill="auto" w:val="clear"/>
            <w:vAlign w:val="center"/>
          </w:tcPr>
          <w:p>
            <w:pPr>
              <w:pStyle w:val="TableContents"/>
              <w:spacing w:before="0" w:after="283"/>
              <w:rPr>
                <w:sz w:val="4"/>
                <w:szCs w:val="4"/>
              </w:rPr>
            </w:pPr>
            <w:r>
              <w:rPr>
                <w:sz w:val="4"/>
                <w:szCs w:val="4"/>
              </w:rPr>
            </w:r>
          </w:p>
        </w:tc>
      </w:tr>
      <w:tr>
        <w:trPr/>
        <w:tc>
          <w:tcPr>
            <w:tcW w:w="5138"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39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Director</w:t>
            </w:r>
          </w:p>
        </w:tc>
        <w:tc>
          <w:tcPr>
            <w:tcW w:w="91" w:type="dxa"/>
            <w:tcBorders/>
            <w:shd w:fill="auto" w:val="clear"/>
            <w:vAlign w:val="center"/>
          </w:tcPr>
          <w:p>
            <w:pPr>
              <w:pStyle w:val="TableContents"/>
              <w:spacing w:before="0" w:after="0"/>
              <w:ind w:left="0" w:right="0" w:firstLine="30"/>
              <w:rPr/>
            </w:pPr>
            <w:r>
              <w:rPr/>
              <w:t> </w:t>
            </w:r>
          </w:p>
        </w:tc>
        <w:tc>
          <w:tcPr>
            <w:tcW w:w="39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Status (a)</w:t>
            </w:r>
          </w:p>
        </w:tc>
      </w:tr>
      <w:tr>
        <w:trPr/>
        <w:tc>
          <w:tcPr>
            <w:tcW w:w="5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Sterling B. Brinkley</w:t>
            </w:r>
          </w:p>
        </w:tc>
        <w:tc>
          <w:tcPr>
            <w:tcW w:w="91" w:type="dxa"/>
            <w:tcBorders/>
            <w:shd w:fill="CCEEFF" w:val="clear"/>
            <w:vAlign w:val="center"/>
          </w:tcPr>
          <w:p>
            <w:pPr>
              <w:pStyle w:val="TableContents"/>
              <w:spacing w:before="0" w:after="0"/>
              <w:ind w:left="0" w:right="0" w:firstLine="30"/>
              <w:rPr/>
            </w:pPr>
            <w:r>
              <w:rPr/>
              <w:t> </w:t>
            </w:r>
          </w:p>
        </w:tc>
        <w:tc>
          <w:tcPr>
            <w:tcW w:w="39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Not independent (b)</w:t>
            </w:r>
          </w:p>
        </w:tc>
      </w:tr>
      <w:tr>
        <w:trPr/>
        <w:tc>
          <w:tcPr>
            <w:tcW w:w="5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w:t>
            </w:r>
          </w:p>
        </w:tc>
        <w:tc>
          <w:tcPr>
            <w:tcW w:w="91" w:type="dxa"/>
            <w:tcBorders/>
            <w:shd w:fill="auto" w:val="clear"/>
            <w:vAlign w:val="center"/>
          </w:tcPr>
          <w:p>
            <w:pPr>
              <w:pStyle w:val="TableContents"/>
              <w:spacing w:before="0" w:after="0"/>
              <w:ind w:left="0" w:right="0" w:firstLine="30"/>
              <w:rPr/>
            </w:pPr>
            <w:r>
              <w:rPr/>
              <w:t> </w:t>
            </w:r>
          </w:p>
        </w:tc>
        <w:tc>
          <w:tcPr>
            <w:tcW w:w="39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Not independent (b)</w:t>
            </w:r>
          </w:p>
        </w:tc>
      </w:tr>
      <w:tr>
        <w:trPr/>
        <w:tc>
          <w:tcPr>
            <w:tcW w:w="5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Joseph J. Beal</w:t>
            </w:r>
          </w:p>
        </w:tc>
        <w:tc>
          <w:tcPr>
            <w:tcW w:w="91" w:type="dxa"/>
            <w:tcBorders/>
            <w:shd w:fill="CCEEFF" w:val="clear"/>
            <w:vAlign w:val="center"/>
          </w:tcPr>
          <w:p>
            <w:pPr>
              <w:pStyle w:val="TableContents"/>
              <w:spacing w:before="0" w:after="0"/>
              <w:ind w:left="0" w:right="0" w:firstLine="30"/>
              <w:rPr/>
            </w:pPr>
            <w:r>
              <w:rPr/>
              <w:t> </w:t>
            </w:r>
          </w:p>
        </w:tc>
        <w:tc>
          <w:tcPr>
            <w:tcW w:w="39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Independent</w:t>
            </w:r>
          </w:p>
        </w:tc>
      </w:tr>
      <w:tr>
        <w:trPr/>
        <w:tc>
          <w:tcPr>
            <w:tcW w:w="5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Pablo Lagos Espinosa</w:t>
            </w:r>
          </w:p>
        </w:tc>
        <w:tc>
          <w:tcPr>
            <w:tcW w:w="91" w:type="dxa"/>
            <w:tcBorders/>
            <w:shd w:fill="auto" w:val="clear"/>
            <w:vAlign w:val="center"/>
          </w:tcPr>
          <w:p>
            <w:pPr>
              <w:pStyle w:val="TableContents"/>
              <w:spacing w:before="0" w:after="0"/>
              <w:ind w:left="0" w:right="0" w:firstLine="30"/>
              <w:rPr/>
            </w:pPr>
            <w:r>
              <w:rPr/>
              <w:t> </w:t>
            </w:r>
          </w:p>
        </w:tc>
        <w:tc>
          <w:tcPr>
            <w:tcW w:w="39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Independent</w:t>
            </w:r>
          </w:p>
        </w:tc>
      </w:tr>
      <w:tr>
        <w:trPr/>
        <w:tc>
          <w:tcPr>
            <w:tcW w:w="5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John Farrell</w:t>
            </w:r>
          </w:p>
        </w:tc>
        <w:tc>
          <w:tcPr>
            <w:tcW w:w="91" w:type="dxa"/>
            <w:tcBorders/>
            <w:shd w:fill="CCEEFF" w:val="clear"/>
            <w:vAlign w:val="center"/>
          </w:tcPr>
          <w:p>
            <w:pPr>
              <w:pStyle w:val="TableContents"/>
              <w:spacing w:before="0" w:after="0"/>
              <w:ind w:left="0" w:right="0" w:firstLine="30"/>
              <w:rPr/>
            </w:pPr>
            <w:r>
              <w:rPr/>
              <w:t> </w:t>
            </w:r>
          </w:p>
        </w:tc>
        <w:tc>
          <w:tcPr>
            <w:tcW w:w="39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Independent</w:t>
            </w:r>
          </w:p>
        </w:tc>
      </w:tr>
      <w:tr>
        <w:trPr/>
        <w:tc>
          <w:tcPr>
            <w:tcW w:w="5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William C. Love</w:t>
            </w:r>
          </w:p>
        </w:tc>
        <w:tc>
          <w:tcPr>
            <w:tcW w:w="91" w:type="dxa"/>
            <w:tcBorders/>
            <w:shd w:fill="auto" w:val="clear"/>
            <w:vAlign w:val="center"/>
          </w:tcPr>
          <w:p>
            <w:pPr>
              <w:pStyle w:val="TableContents"/>
              <w:spacing w:before="0" w:after="0"/>
              <w:ind w:left="0" w:right="0" w:firstLine="30"/>
              <w:rPr/>
            </w:pPr>
            <w:r>
              <w:rPr/>
              <w:t> </w:t>
            </w:r>
          </w:p>
        </w:tc>
        <w:tc>
          <w:tcPr>
            <w:tcW w:w="39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Independent</w:t>
            </w:r>
          </w:p>
        </w:tc>
      </w:tr>
      <w:tr>
        <w:trPr/>
        <w:tc>
          <w:tcPr>
            <w:tcW w:w="513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Thomas C. Roberts</w:t>
            </w:r>
          </w:p>
        </w:tc>
        <w:tc>
          <w:tcPr>
            <w:tcW w:w="91"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3945"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Independent</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sz w:val="4"/>
                <w:szCs w:val="4"/>
              </w:rPr>
            </w:pPr>
            <w:r>
              <w:rPr>
                <w:sz w:val="4"/>
                <w:szCs w:val="4"/>
              </w:rPr>
            </w:r>
          </w:p>
        </w:tc>
        <w:tc>
          <w:tcPr>
            <w:tcW w:w="10007" w:type="dxa"/>
            <w:tcBorders/>
            <w:shd w:fill="auto" w:val="clear"/>
            <w:vAlign w:val="center"/>
          </w:tcPr>
          <w:p>
            <w:pPr>
              <w:pStyle w:val="TableContents"/>
              <w:spacing w:before="0" w:after="283"/>
              <w:rPr>
                <w:sz w:val="4"/>
                <w:szCs w:val="4"/>
              </w:rPr>
            </w:pPr>
            <w:r>
              <w:rPr>
                <w:sz w:val="4"/>
                <w:szCs w:val="4"/>
              </w:rPr>
            </w:r>
          </w:p>
        </w:tc>
      </w:tr>
      <w:tr>
        <w:trPr/>
        <w:tc>
          <w:tcPr>
            <w:tcW w:w="198"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10007" w:type="dxa"/>
            <w:tcBorders/>
            <w:shd w:fill="auto" w:val="clear"/>
            <w:vAlign w:val="center"/>
          </w:tcPr>
          <w:p>
            <w:pPr>
              <w:pStyle w:val="TableContents"/>
              <w:spacing w:lineRule="auto" w:line="288" w:before="0" w:after="0"/>
              <w:rPr>
                <w:rFonts w:ascii="inherit" w:hAnsi="inherit"/>
                <w:sz w:val="15"/>
              </w:rPr>
            </w:pPr>
            <w:r>
              <w:rPr>
                <w:rFonts w:ascii="inherit" w:hAnsi="inherit"/>
                <w:sz w:val="15"/>
              </w:rPr>
              <w:t>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tc>
      </w:tr>
    </w:tbl>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283"/>
              <w:rPr>
                <w:sz w:val="4"/>
                <w:szCs w:val="4"/>
              </w:rPr>
            </w:pPr>
            <w:r>
              <w:rPr>
                <w:sz w:val="4"/>
                <w:szCs w:val="4"/>
              </w:rPr>
            </w:r>
          </w:p>
        </w:tc>
        <w:tc>
          <w:tcPr>
            <w:tcW w:w="9971" w:type="dxa"/>
            <w:tcBorders/>
            <w:shd w:fill="auto" w:val="clear"/>
            <w:vAlign w:val="center"/>
          </w:tcPr>
          <w:p>
            <w:pPr>
              <w:pStyle w:val="TableContents"/>
              <w:spacing w:before="0" w:after="283"/>
              <w:rPr>
                <w:sz w:val="4"/>
                <w:szCs w:val="4"/>
              </w:rPr>
            </w:pPr>
            <w:r>
              <w:rPr>
                <w:sz w:val="4"/>
                <w:szCs w:val="4"/>
              </w:rPr>
            </w:r>
          </w:p>
        </w:tc>
      </w:tr>
      <w:tr>
        <w:trPr/>
        <w:tc>
          <w:tcPr>
            <w:tcW w:w="234"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(b)</w:t>
            </w:r>
          </w:p>
        </w:tc>
        <w:tc>
          <w:tcPr>
            <w:tcW w:w="9971" w:type="dxa"/>
            <w:tcBorders/>
            <w:shd w:fill="auto" w:val="clear"/>
            <w:vAlign w:val="center"/>
          </w:tcPr>
          <w:p>
            <w:pPr>
              <w:pStyle w:val="TableContents"/>
              <w:spacing w:lineRule="auto" w:line="288" w:before="0" w:after="0"/>
              <w:rPr>
                <w:rFonts w:ascii="inherit" w:hAnsi="inherit"/>
                <w:sz w:val="15"/>
              </w:rPr>
            </w:pPr>
            <w:r>
              <w:rPr>
                <w:rFonts w:ascii="inherit" w:hAnsi="inherit"/>
                <w:sz w:val="15"/>
              </w:rPr>
              <w:t>Mr. Brinkley and Mr. Rothamel are executive officers and, therefore, are not independent in accordance with the standards set forth in the NASDAQ Listing Rules.</w:t>
            </w:r>
          </w:p>
        </w:tc>
      </w:tr>
    </w:tbl>
    <w:p>
      <w:pPr>
        <w:pStyle w:val="TextBody"/>
        <w:spacing w:lineRule="auto" w:line="288" w:before="0" w:after="0"/>
        <w:jc w:val="left"/>
        <w:rPr>
          <w:rFonts w:ascii="inherit" w:hAnsi="inherit"/>
          <w:b/>
          <w:sz w:val="17"/>
        </w:rPr>
      </w:pPr>
      <w:bookmarkStart w:id="121" w:name="sF3069CE373A00669726A83E2883EFFED"/>
      <w:bookmarkEnd w:id="121"/>
      <w:r>
        <w:rPr>
          <w:rFonts w:ascii="inherit" w:hAnsi="inherit"/>
          <w:b/>
          <w:sz w:val="17"/>
        </w:rPr>
        <w:t>ITEM 14. PRINCIPAL ACCOUNTANT FEES AND SERVICES</w:t>
      </w:r>
    </w:p>
    <w:p>
      <w:pPr>
        <w:pStyle w:val="TextBody"/>
        <w:spacing w:lineRule="auto" w:line="288" w:before="0" w:after="0"/>
        <w:jc w:val="left"/>
        <w:rPr>
          <w:rFonts w:ascii="inherit" w:hAnsi="inherit"/>
          <w:sz w:val="17"/>
        </w:rPr>
      </w:pPr>
      <w:r>
        <w:rPr>
          <w:rFonts w:ascii="inherit" w:hAnsi="inherit"/>
          <w:sz w:val="17"/>
        </w:rPr>
        <w:t>During early fiscal 2013, the Audit Committee of the Board of Directors of the Company completed a competitive process to the review the appointment of the Company's independent registered public accounting firm for the fiscal year ending September 30, 2013. As a result of this process, on December 3, 2012 the Audit Committee selected Deloitte &amp; Touche LLP as the Company's independent registered public accounting firm for the fiscal year ended September 30, 2013. In addition to retaining Deloitte &amp; Touche LLP to audit our consolidated financial statements, we engage the firm from time to time to perform other services.</w:t>
      </w:r>
    </w:p>
    <w:p>
      <w:pPr>
        <w:pStyle w:val="TextBody"/>
        <w:spacing w:lineRule="auto" w:line="288" w:before="0" w:after="0"/>
        <w:jc w:val="left"/>
        <w:rPr>
          <w:rFonts w:ascii="inherit" w:hAnsi="inherit"/>
          <w:sz w:val="17"/>
        </w:rPr>
      </w:pPr>
      <w:r>
        <w:rPr>
          <w:rFonts w:ascii="inherit" w:hAnsi="inherit"/>
          <w:sz w:val="17"/>
        </w:rPr>
        <w:t xml:space="preserve">BDO USA, LLP is a registered public accounting firm and was our independent auditor from 2004 through 2012. In addition to retaining BDO USA, LLP to audit our consolidated financial statements, we engage the firm from time to time to perform other services. </w:t>
      </w:r>
    </w:p>
    <w:p>
      <w:pPr>
        <w:pStyle w:val="TextBody"/>
        <w:spacing w:lineRule="auto" w:line="288" w:before="0" w:after="0"/>
        <w:jc w:val="left"/>
        <w:rPr>
          <w:rFonts w:ascii="inherit" w:hAnsi="inherit"/>
          <w:sz w:val="17"/>
        </w:rPr>
      </w:pPr>
      <w:r>
        <w:rPr>
          <w:rFonts w:ascii="inherit" w:hAnsi="inherit"/>
          <w:sz w:val="17"/>
        </w:rPr>
        <w:t>The following table presents all fees we incurred in connection with professional services provided by Deloitte &amp; Touche LLP for fiscal 2013 and by BDO USA, LLP for fiscal 2012:</w:t>
      </w:r>
    </w:p>
    <w:tbl>
      <w:tblPr>
        <w:tblW w:w="10205" w:type="dxa"/>
        <w:jc w:val="left"/>
        <w:tblInd w:w="0" w:type="dxa"/>
        <w:tblCellMar>
          <w:top w:w="0" w:type="dxa"/>
          <w:left w:w="0" w:type="dxa"/>
          <w:bottom w:w="0" w:type="dxa"/>
          <w:right w:w="0" w:type="dxa"/>
        </w:tblCellMar>
      </w:tblPr>
      <w:tblGrid>
        <w:gridCol w:w="6937"/>
        <w:gridCol w:w="154"/>
        <w:gridCol w:w="1309"/>
        <w:gridCol w:w="98"/>
        <w:gridCol w:w="133"/>
        <w:gridCol w:w="154"/>
        <w:gridCol w:w="1221"/>
        <w:gridCol w:w="199"/>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9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937" w:type="dxa"/>
            <w:tcBorders/>
            <w:shd w:fill="auto" w:val="clear"/>
            <w:vAlign w:val="center"/>
          </w:tcPr>
          <w:p>
            <w:pPr>
              <w:pStyle w:val="TableContents"/>
              <w:spacing w:before="0" w:after="0"/>
              <w:ind w:left="0" w:right="0" w:firstLine="30"/>
              <w:jc w:val="left"/>
              <w:rPr/>
            </w:pPr>
            <w:r>
              <w:rPr/>
              <w:t> </w:t>
            </w:r>
          </w:p>
        </w:tc>
        <w:tc>
          <w:tcPr>
            <w:tcW w:w="326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Year Ended September 30,</w:t>
            </w:r>
          </w:p>
        </w:tc>
      </w:tr>
      <w:tr>
        <w:trPr/>
        <w:tc>
          <w:tcPr>
            <w:tcW w:w="6937" w:type="dxa"/>
            <w:tcBorders/>
            <w:shd w:fill="auto" w:val="clear"/>
            <w:vAlign w:val="center"/>
          </w:tcPr>
          <w:p>
            <w:pPr>
              <w:pStyle w:val="TableContents"/>
              <w:spacing w:before="0" w:after="0"/>
              <w:ind w:left="0" w:right="0" w:firstLine="30"/>
              <w:jc w:val="left"/>
              <w:rPr/>
            </w:pPr>
            <w:r>
              <w:rPr/>
              <w:t> </w:t>
            </w:r>
          </w:p>
        </w:tc>
        <w:tc>
          <w:tcPr>
            <w:tcW w:w="156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3" w:type="dxa"/>
            <w:tcBorders/>
            <w:shd w:fill="auto" w:val="clear"/>
            <w:vAlign w:val="center"/>
          </w:tcPr>
          <w:p>
            <w:pPr>
              <w:pStyle w:val="TableContents"/>
              <w:spacing w:before="0" w:after="0"/>
              <w:ind w:left="0" w:right="0" w:firstLine="30"/>
              <w:rPr/>
            </w:pPr>
            <w:r>
              <w:rPr/>
              <w:t> </w:t>
            </w:r>
          </w:p>
        </w:tc>
        <w:tc>
          <w:tcPr>
            <w:tcW w:w="15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9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Audit fees:</w:t>
            </w:r>
          </w:p>
        </w:tc>
        <w:tc>
          <w:tcPr>
            <w:tcW w:w="1561" w:type="dxa"/>
            <w:gridSpan w:val="3"/>
            <w:tcBorders/>
            <w:shd w:fill="CCEEFF" w:val="clear"/>
            <w:vAlign w:val="center"/>
          </w:tcPr>
          <w:p>
            <w:pPr>
              <w:pStyle w:val="TableContents"/>
              <w:spacing w:before="0" w:after="0"/>
              <w:ind w:left="0" w:right="0" w:firstLine="30"/>
              <w:jc w:val="left"/>
              <w:rPr/>
            </w:pPr>
            <w:r>
              <w:rPr/>
              <w:t> </w:t>
            </w:r>
          </w:p>
        </w:tc>
        <w:tc>
          <w:tcPr>
            <w:tcW w:w="133" w:type="dxa"/>
            <w:tcBorders/>
            <w:shd w:fill="CCEEFF" w:val="clear"/>
            <w:vAlign w:val="center"/>
          </w:tcPr>
          <w:p>
            <w:pPr>
              <w:pStyle w:val="TableContents"/>
              <w:spacing w:before="0" w:after="0"/>
              <w:ind w:left="0" w:right="0" w:firstLine="30"/>
              <w:rPr/>
            </w:pPr>
            <w:r>
              <w:rPr/>
              <w:t> </w:t>
            </w:r>
          </w:p>
        </w:tc>
        <w:tc>
          <w:tcPr>
            <w:tcW w:w="1574" w:type="dxa"/>
            <w:gridSpan w:val="3"/>
            <w:tcBorders/>
            <w:shd w:fill="CCEEFF" w:val="clear"/>
            <w:vAlign w:val="center"/>
          </w:tcPr>
          <w:p>
            <w:pPr>
              <w:pStyle w:val="TableContents"/>
              <w:spacing w:before="0" w:after="0"/>
              <w:ind w:left="0" w:right="0" w:firstLine="180"/>
              <w:jc w:val="left"/>
              <w:rPr/>
            </w:pPr>
            <w:r>
              <w:rPr/>
              <w:t> </w:t>
            </w:r>
          </w:p>
        </w:tc>
      </w:tr>
      <w:tr>
        <w:trPr/>
        <w:tc>
          <w:tcPr>
            <w:tcW w:w="69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Audit of financial statements and audit pursuant to section 404 of the Sarbanes-Oxley Act</w:t>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09" w:type="dxa"/>
            <w:tcBorders/>
            <w:shd w:fill="auto" w:val="clear"/>
            <w:vAlign w:val="center"/>
          </w:tcPr>
          <w:p>
            <w:pPr>
              <w:pStyle w:val="TableContents"/>
              <w:spacing w:before="0" w:after="0"/>
              <w:jc w:val="right"/>
              <w:rPr>
                <w:rFonts w:ascii="inherit" w:hAnsi="inherit"/>
                <w:sz w:val="17"/>
              </w:rPr>
            </w:pPr>
            <w:r>
              <w:rPr>
                <w:rFonts w:ascii="inherit" w:hAnsi="inherit"/>
                <w:sz w:val="17"/>
              </w:rPr>
              <w:t>820,019</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21" w:type="dxa"/>
            <w:tcBorders/>
            <w:shd w:fill="auto" w:val="clear"/>
            <w:vAlign w:val="center"/>
          </w:tcPr>
          <w:p>
            <w:pPr>
              <w:pStyle w:val="TableContents"/>
              <w:spacing w:before="0" w:after="0"/>
              <w:jc w:val="right"/>
              <w:rPr>
                <w:rFonts w:ascii="inherit" w:hAnsi="inherit"/>
                <w:sz w:val="17"/>
              </w:rPr>
            </w:pPr>
            <w:r>
              <w:rPr>
                <w:rFonts w:ascii="inherit" w:hAnsi="inherit"/>
                <w:sz w:val="17"/>
              </w:rPr>
              <w:t>557,417</w:t>
            </w:r>
          </w:p>
        </w:tc>
        <w:tc>
          <w:tcPr>
            <w:tcW w:w="19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9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Quarterly reviews and other audit fees</w:t>
            </w:r>
          </w:p>
        </w:tc>
        <w:tc>
          <w:tcPr>
            <w:tcW w:w="146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240,000</w:t>
            </w:r>
          </w:p>
        </w:tc>
        <w:tc>
          <w:tcPr>
            <w:tcW w:w="9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144,568</w:t>
            </w:r>
          </w:p>
        </w:tc>
        <w:tc>
          <w:tcPr>
            <w:tcW w:w="19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audit fees</w:t>
            </w:r>
          </w:p>
        </w:tc>
        <w:tc>
          <w:tcPr>
            <w:tcW w:w="146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1,060,019</w:t>
            </w:r>
          </w:p>
        </w:tc>
        <w:tc>
          <w:tcPr>
            <w:tcW w:w="9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7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701,985</w:t>
            </w:r>
          </w:p>
        </w:tc>
        <w:tc>
          <w:tcPr>
            <w:tcW w:w="199"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Audit related fees (a)</w:t>
            </w:r>
          </w:p>
        </w:tc>
        <w:tc>
          <w:tcPr>
            <w:tcW w:w="14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121,905</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67,105</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Tax Fees</w:t>
            </w:r>
          </w:p>
        </w:tc>
        <w:tc>
          <w:tcPr>
            <w:tcW w:w="14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88,085</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7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99"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9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fees for services</w:t>
            </w:r>
          </w:p>
        </w:tc>
        <w:tc>
          <w:tcPr>
            <w:tcW w:w="15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1,270,009</w:t>
            </w:r>
          </w:p>
        </w:tc>
        <w:tc>
          <w:tcPr>
            <w:tcW w:w="9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769,090</w:t>
            </w:r>
          </w:p>
        </w:tc>
        <w:tc>
          <w:tcPr>
            <w:tcW w:w="199"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t>_____________________________</w:t>
      </w:r>
    </w:p>
    <w:tbl>
      <w:tblPr>
        <w:tblW w:w="8110" w:type="dxa"/>
        <w:jc w:val="left"/>
        <w:tblInd w:w="0" w:type="dxa"/>
        <w:tblCellMar>
          <w:top w:w="0" w:type="dxa"/>
          <w:left w:w="0" w:type="dxa"/>
          <w:bottom w:w="0" w:type="dxa"/>
          <w:right w:w="0" w:type="dxa"/>
        </w:tblCellMar>
      </w:tblPr>
      <w:tblGrid>
        <w:gridCol w:w="260"/>
        <w:gridCol w:w="7850"/>
      </w:tblGrid>
      <w:tr>
        <w:trPr/>
        <w:tc>
          <w:tcPr>
            <w:tcW w:w="260" w:type="dxa"/>
            <w:tcBorders/>
            <w:shd w:fill="auto" w:val="clear"/>
            <w:vAlign w:val="center"/>
          </w:tcPr>
          <w:p>
            <w:pPr>
              <w:pStyle w:val="TableContents"/>
              <w:spacing w:before="0" w:after="283"/>
              <w:rPr>
                <w:sz w:val="4"/>
                <w:szCs w:val="4"/>
              </w:rPr>
            </w:pPr>
            <w:r>
              <w:rPr>
                <w:sz w:val="4"/>
                <w:szCs w:val="4"/>
              </w:rPr>
            </w:r>
          </w:p>
        </w:tc>
        <w:tc>
          <w:tcPr>
            <w:tcW w:w="7850"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(a)</w:t>
            </w:r>
          </w:p>
        </w:tc>
        <w:tc>
          <w:tcPr>
            <w:tcW w:w="78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Audit related fees consist of consultations and the audit of our 401(k) retirement savings plan.</w:t>
            </w:r>
          </w:p>
        </w:tc>
      </w:tr>
    </w:tbl>
    <w:p>
      <w:pPr>
        <w:pStyle w:val="TextBody"/>
        <w:spacing w:lineRule="auto" w:line="288" w:before="0" w:after="0"/>
        <w:ind w:left="0" w:right="0" w:firstLine="6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The amounts shown for fiscal 2013 include our estimated costs for the fiscal 2013 integrated audit, for which we have not yet received final billings. Included in the amounts for fiscal 2013 above is a $30,769 increase of fees related to the fiscal 2012 integrated audit, as our actual billings exceeded the previously estimated costs. Included in the amounts for fiscal 2012 above is a $37,583 reduction of fees related to the fiscal 2011 integrated audit, as our previously estimated costs exceeded total billings. </w:t>
      </w:r>
    </w:p>
    <w:p>
      <w:pPr>
        <w:pStyle w:val="TextBody"/>
        <w:spacing w:lineRule="auto" w:line="288" w:before="0" w:after="0"/>
        <w:jc w:val="left"/>
        <w:rPr>
          <w:rFonts w:ascii="inherit" w:hAnsi="inherit"/>
          <w:sz w:val="17"/>
        </w:rPr>
      </w:pPr>
      <w:r>
        <w:rPr>
          <w:rFonts w:ascii="inherit" w:hAnsi="inherit"/>
          <w:sz w:val="17"/>
        </w:rPr>
        <w:t xml:space="preserve">The Audit Committee of our Board of Directors has adopted a policy requiring its pre-approval of all fees to be paid to our independent audit firm, regardless of the type of service. All non-audit services were reviewed with the Audit Committee, </w:t>
      </w:r>
    </w:p>
    <w:p>
      <w:pPr>
        <w:pStyle w:val="TextBody"/>
        <w:spacing w:lineRule="auto" w:line="288" w:before="0" w:after="0"/>
        <w:jc w:val="left"/>
        <w:rPr>
          <w:rFonts w:ascii="inherit" w:hAnsi="inherit"/>
          <w:sz w:val="17"/>
        </w:rPr>
      </w:pPr>
      <w:r>
        <w:rPr>
          <w:rFonts w:ascii="inherit" w:hAnsi="inherit"/>
          <w:sz w:val="17"/>
        </w:rPr>
        <w:t>which concluded that the provision of such services by Deloitte &amp; Touche LLP and BDO USA, LLP, as the case may be, was compatible with the maintenance of that firm’s independence in the conduct of its auditing functions.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139</w:t>
      </w:r>
      <w:r>
        <w:br w:type="page"/>
      </w:r>
    </w:p>
    <w:p>
      <w:pPr>
        <w:pStyle w:val="TextBody"/>
        <w:spacing w:lineRule="auto" w:line="288" w:before="0" w:after="0"/>
        <w:rPr/>
      </w:pPr>
      <w:hyperlink w:anchor="sA13583D437E20DC41B4583E2BD74AA47">
        <w:bookmarkStart w:id="122" w:name="sD65BD7E540D7C1E0F02183E2CB941BBB"/>
        <w:bookmarkEnd w:id="122"/>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0"/>
        </w:rPr>
      </w:pPr>
      <w:bookmarkStart w:id="123" w:name="s7B8F6A49B966AD8AF1AC83E2CBC62EA9"/>
      <w:bookmarkEnd w:id="123"/>
      <w:r>
        <w:rPr>
          <w:rFonts w:ascii="inherit" w:hAnsi="inherit"/>
          <w:b/>
          <w:sz w:val="20"/>
        </w:rPr>
        <w:t>PART IV</w:t>
      </w:r>
    </w:p>
    <w:p>
      <w:pPr>
        <w:pStyle w:val="TextBody"/>
        <w:spacing w:lineRule="auto" w:line="288" w:before="0" w:after="0"/>
        <w:jc w:val="left"/>
        <w:rPr>
          <w:rFonts w:ascii="inherit" w:hAnsi="inherit"/>
          <w:b/>
          <w:sz w:val="17"/>
        </w:rPr>
      </w:pPr>
      <w:r>
        <w:rPr>
          <w:rFonts w:ascii="inherit" w:hAnsi="inherit"/>
          <w:b/>
          <w:sz w:val="17"/>
        </w:rPr>
        <w:t>ITEM 15. EXHIBITS AND FINANCIAL STATEMENT SCHEDULES</w:t>
      </w:r>
    </w:p>
    <w:p>
      <w:pPr>
        <w:pStyle w:val="TextBody"/>
        <w:spacing w:lineRule="auto" w:line="288" w:before="0" w:after="0"/>
        <w:jc w:val="left"/>
        <w:rPr>
          <w:rFonts w:ascii="inherit" w:hAnsi="inherit"/>
          <w:b/>
          <w:sz w:val="17"/>
        </w:rPr>
      </w:pPr>
      <w:r>
        <w:rPr>
          <w:rFonts w:ascii="inherit" w:hAnsi="inherit"/>
          <w:b/>
          <w:sz w:val="17"/>
        </w:rPr>
        <w:t>(a)(1) Financial Statements</w:t>
      </w:r>
    </w:p>
    <w:p>
      <w:pPr>
        <w:pStyle w:val="TextBody"/>
        <w:spacing w:lineRule="auto" w:line="288" w:before="0" w:after="0"/>
        <w:jc w:val="left"/>
        <w:rPr>
          <w:rFonts w:ascii="inherit" w:hAnsi="inherit"/>
          <w:sz w:val="17"/>
        </w:rPr>
      </w:pPr>
      <w:r>
        <w:rPr>
          <w:rFonts w:ascii="inherit" w:hAnsi="inherit"/>
          <w:sz w:val="17"/>
        </w:rPr>
        <w:t>The following consolidated financial statements of EZCORP, Inc. are included in “Part II — Item 8 — Financial Statements and Supplementary Data”:</w:t>
      </w:r>
    </w:p>
    <w:tbl>
      <w:tblPr>
        <w:tblW w:w="7840" w:type="dxa"/>
        <w:jc w:val="left"/>
        <w:tblInd w:w="0" w:type="dxa"/>
        <w:tblCellMar>
          <w:top w:w="0" w:type="dxa"/>
          <w:left w:w="0" w:type="dxa"/>
          <w:bottom w:w="0" w:type="dxa"/>
          <w:right w:w="0" w:type="dxa"/>
        </w:tblCellMar>
      </w:tblPr>
      <w:tblGrid>
        <w:gridCol w:w="485"/>
        <w:gridCol w:w="7355"/>
      </w:tblGrid>
      <w:tr>
        <w:trPr/>
        <w:tc>
          <w:tcPr>
            <w:tcW w:w="485" w:type="dxa"/>
            <w:tcBorders/>
            <w:shd w:fill="auto" w:val="clear"/>
            <w:vAlign w:val="center"/>
          </w:tcPr>
          <w:p>
            <w:pPr>
              <w:pStyle w:val="TableContents"/>
              <w:spacing w:before="0" w:after="283"/>
              <w:rPr>
                <w:sz w:val="4"/>
                <w:szCs w:val="4"/>
              </w:rPr>
            </w:pPr>
            <w:r>
              <w:rPr>
                <w:sz w:val="4"/>
                <w:szCs w:val="4"/>
              </w:rPr>
            </w:r>
          </w:p>
        </w:tc>
        <w:tc>
          <w:tcPr>
            <w:tcW w:w="735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3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Report of Independent Registered Public Accounting Firm (2013) - Deloitte &amp; Touche LLP</w:t>
            </w:r>
          </w:p>
        </w:tc>
      </w:tr>
    </w:tbl>
    <w:tbl>
      <w:tblPr>
        <w:tblW w:w="7810" w:type="dxa"/>
        <w:jc w:val="left"/>
        <w:tblInd w:w="0" w:type="dxa"/>
        <w:tblCellMar>
          <w:top w:w="0" w:type="dxa"/>
          <w:left w:w="0" w:type="dxa"/>
          <w:bottom w:w="0" w:type="dxa"/>
          <w:right w:w="0" w:type="dxa"/>
        </w:tblCellMar>
      </w:tblPr>
      <w:tblGrid>
        <w:gridCol w:w="485"/>
        <w:gridCol w:w="7325"/>
      </w:tblGrid>
      <w:tr>
        <w:trPr/>
        <w:tc>
          <w:tcPr>
            <w:tcW w:w="485" w:type="dxa"/>
            <w:tcBorders/>
            <w:shd w:fill="auto" w:val="clear"/>
            <w:vAlign w:val="center"/>
          </w:tcPr>
          <w:p>
            <w:pPr>
              <w:pStyle w:val="TableContents"/>
              <w:spacing w:before="0" w:after="283"/>
              <w:rPr>
                <w:sz w:val="4"/>
                <w:szCs w:val="4"/>
              </w:rPr>
            </w:pPr>
            <w:r>
              <w:rPr>
                <w:sz w:val="4"/>
                <w:szCs w:val="4"/>
              </w:rPr>
            </w:r>
          </w:p>
        </w:tc>
        <w:tc>
          <w:tcPr>
            <w:tcW w:w="732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3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Report of Independent Registered Public Accounting Firm (2012 &amp; 2011) - BDO USA, LLP</w:t>
            </w:r>
          </w:p>
        </w:tc>
      </w:tr>
    </w:tbl>
    <w:tbl>
      <w:tblPr>
        <w:tblW w:w="5665" w:type="dxa"/>
        <w:jc w:val="left"/>
        <w:tblInd w:w="0" w:type="dxa"/>
        <w:tblCellMar>
          <w:top w:w="0" w:type="dxa"/>
          <w:left w:w="0" w:type="dxa"/>
          <w:bottom w:w="0" w:type="dxa"/>
          <w:right w:w="0" w:type="dxa"/>
        </w:tblCellMar>
      </w:tblPr>
      <w:tblGrid>
        <w:gridCol w:w="485"/>
        <w:gridCol w:w="5180"/>
      </w:tblGrid>
      <w:tr>
        <w:trPr/>
        <w:tc>
          <w:tcPr>
            <w:tcW w:w="485" w:type="dxa"/>
            <w:tcBorders/>
            <w:shd w:fill="auto" w:val="clear"/>
            <w:vAlign w:val="center"/>
          </w:tcPr>
          <w:p>
            <w:pPr>
              <w:pStyle w:val="TableContents"/>
              <w:spacing w:before="0" w:after="283"/>
              <w:rPr>
                <w:sz w:val="4"/>
                <w:szCs w:val="4"/>
              </w:rPr>
            </w:pPr>
            <w:r>
              <w:rPr>
                <w:sz w:val="4"/>
                <w:szCs w:val="4"/>
              </w:rPr>
            </w:r>
          </w:p>
        </w:tc>
        <w:tc>
          <w:tcPr>
            <w:tcW w:w="518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180" w:type="dxa"/>
            <w:tcBorders/>
            <w:shd w:fill="auto" w:val="clear"/>
            <w:vAlign w:val="center"/>
          </w:tcPr>
          <w:p>
            <w:pPr>
              <w:pStyle w:val="TableContents"/>
              <w:spacing w:lineRule="auto" w:line="288" w:before="0" w:after="0"/>
              <w:jc w:val="left"/>
              <w:rPr>
                <w:sz w:val="17"/>
              </w:rPr>
            </w:pPr>
            <w:r>
              <w:rPr>
                <w:rFonts w:ascii="inherit" w:hAnsi="inherit"/>
                <w:sz w:val="17"/>
              </w:rPr>
              <w:t xml:space="preserve">Consolidated Balance Sheets as of </w:t>
            </w:r>
            <w:r>
              <w:rPr>
                <w:rFonts w:ascii="Times New Roman" w:hAnsi="Times New Roman"/>
                <w:strike w:val="false"/>
                <w:dstrike w:val="false"/>
                <w:color w:val="000000"/>
                <w:sz w:val="17"/>
                <w:u w:val="none"/>
                <w:effect w:val="none"/>
              </w:rPr>
              <w:t>September 30, 2013</w:t>
            </w:r>
            <w:r>
              <w:rPr>
                <w:sz w:val="17"/>
              </w:rPr>
              <w:t xml:space="preserve"> </w:t>
            </w:r>
            <w:r>
              <w:rPr>
                <w:rFonts w:ascii="inherit" w:hAnsi="inherit"/>
                <w:sz w:val="17"/>
              </w:rPr>
              <w:t xml:space="preserve">and </w:t>
            </w:r>
            <w:r>
              <w:rPr>
                <w:rFonts w:ascii="Times New Roman" w:hAnsi="Times New Roman"/>
                <w:strike w:val="false"/>
                <w:dstrike w:val="false"/>
                <w:color w:val="000000"/>
                <w:sz w:val="17"/>
                <w:u w:val="none"/>
                <w:effect w:val="none"/>
              </w:rPr>
              <w:t>2012</w:t>
            </w:r>
            <w:r>
              <w:rPr>
                <w:sz w:val="17"/>
              </w:rPr>
              <w:t xml:space="preserve"> </w:t>
            </w:r>
          </w:p>
        </w:tc>
      </w:tr>
    </w:tbl>
    <w:tbl>
      <w:tblPr>
        <w:tblW w:w="9250" w:type="dxa"/>
        <w:jc w:val="left"/>
        <w:tblInd w:w="0" w:type="dxa"/>
        <w:tblCellMar>
          <w:top w:w="0" w:type="dxa"/>
          <w:left w:w="0" w:type="dxa"/>
          <w:bottom w:w="0" w:type="dxa"/>
          <w:right w:w="0" w:type="dxa"/>
        </w:tblCellMar>
      </w:tblPr>
      <w:tblGrid>
        <w:gridCol w:w="485"/>
        <w:gridCol w:w="8765"/>
      </w:tblGrid>
      <w:tr>
        <w:trPr/>
        <w:tc>
          <w:tcPr>
            <w:tcW w:w="485" w:type="dxa"/>
            <w:tcBorders/>
            <w:shd w:fill="auto" w:val="clear"/>
            <w:vAlign w:val="center"/>
          </w:tcPr>
          <w:p>
            <w:pPr>
              <w:pStyle w:val="TableContents"/>
              <w:spacing w:before="0" w:after="283"/>
              <w:rPr>
                <w:sz w:val="4"/>
                <w:szCs w:val="4"/>
              </w:rPr>
            </w:pPr>
            <w:r>
              <w:rPr>
                <w:sz w:val="4"/>
                <w:szCs w:val="4"/>
              </w:rPr>
            </w:r>
          </w:p>
        </w:tc>
        <w:tc>
          <w:tcPr>
            <w:tcW w:w="876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765" w:type="dxa"/>
            <w:tcBorders/>
            <w:shd w:fill="auto" w:val="clear"/>
            <w:vAlign w:val="center"/>
          </w:tcPr>
          <w:p>
            <w:pPr>
              <w:pStyle w:val="TableContents"/>
              <w:spacing w:lineRule="auto" w:line="288" w:before="0" w:after="0"/>
              <w:jc w:val="left"/>
              <w:rPr>
                <w:sz w:val="17"/>
              </w:rPr>
            </w:pPr>
            <w:r>
              <w:rPr>
                <w:rFonts w:ascii="inherit" w:hAnsi="inherit"/>
                <w:sz w:val="17"/>
              </w:rPr>
              <w:t xml:space="preserve">Consolidated Statements of Operations for each of the three years in the period ended </w:t>
            </w:r>
            <w:r>
              <w:rPr>
                <w:rFonts w:ascii="Times New Roman" w:hAnsi="Times New Roman"/>
                <w:strike w:val="false"/>
                <w:dstrike w:val="false"/>
                <w:color w:val="000000"/>
                <w:sz w:val="17"/>
                <w:u w:val="none"/>
                <w:effect w:val="none"/>
              </w:rPr>
              <w:t>September 30, 2013</w:t>
            </w:r>
            <w:r>
              <w:rPr>
                <w:sz w:val="17"/>
              </w:rPr>
              <w:t xml:space="preserve">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 xml:space="preserve">Consolidated Statements of Comprehensive Income for each of the three years in the period ended </w:t>
            </w:r>
            <w:r>
              <w:rPr>
                <w:rFonts w:ascii="Times New Roman" w:hAnsi="Times New Roman"/>
                <w:strike w:val="false"/>
                <w:dstrike w:val="false"/>
                <w:color w:val="000000"/>
                <w:sz w:val="17"/>
                <w:u w:val="none"/>
                <w:effect w:val="none"/>
              </w:rPr>
              <w:t>September 30, 2013</w:t>
            </w:r>
            <w:r>
              <w:rPr>
                <w:sz w:val="17"/>
              </w:rPr>
              <w:t xml:space="preserve"> </w:t>
            </w:r>
          </w:p>
        </w:tc>
      </w:tr>
    </w:tbl>
    <w:tbl>
      <w:tblPr>
        <w:tblW w:w="9250" w:type="dxa"/>
        <w:jc w:val="left"/>
        <w:tblInd w:w="0" w:type="dxa"/>
        <w:tblCellMar>
          <w:top w:w="0" w:type="dxa"/>
          <w:left w:w="0" w:type="dxa"/>
          <w:bottom w:w="0" w:type="dxa"/>
          <w:right w:w="0" w:type="dxa"/>
        </w:tblCellMar>
      </w:tblPr>
      <w:tblGrid>
        <w:gridCol w:w="485"/>
        <w:gridCol w:w="8765"/>
      </w:tblGrid>
      <w:tr>
        <w:trPr/>
        <w:tc>
          <w:tcPr>
            <w:tcW w:w="485" w:type="dxa"/>
            <w:tcBorders/>
            <w:shd w:fill="auto" w:val="clear"/>
            <w:vAlign w:val="center"/>
          </w:tcPr>
          <w:p>
            <w:pPr>
              <w:pStyle w:val="TableContents"/>
              <w:spacing w:before="0" w:after="283"/>
              <w:rPr>
                <w:sz w:val="4"/>
                <w:szCs w:val="4"/>
              </w:rPr>
            </w:pPr>
            <w:r>
              <w:rPr>
                <w:sz w:val="4"/>
                <w:szCs w:val="4"/>
              </w:rPr>
            </w:r>
          </w:p>
        </w:tc>
        <w:tc>
          <w:tcPr>
            <w:tcW w:w="876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765" w:type="dxa"/>
            <w:tcBorders/>
            <w:shd w:fill="auto" w:val="clear"/>
            <w:vAlign w:val="center"/>
          </w:tcPr>
          <w:p>
            <w:pPr>
              <w:pStyle w:val="TableContents"/>
              <w:spacing w:lineRule="auto" w:line="288" w:before="0" w:after="0"/>
              <w:jc w:val="left"/>
              <w:rPr>
                <w:sz w:val="17"/>
              </w:rPr>
            </w:pPr>
            <w:r>
              <w:rPr>
                <w:rFonts w:ascii="inherit" w:hAnsi="inherit"/>
                <w:sz w:val="17"/>
              </w:rPr>
              <w:t xml:space="preserve">Consolidated Statements of Cash Flows for each of the three years in the period ended </w:t>
            </w:r>
            <w:r>
              <w:rPr>
                <w:rFonts w:ascii="Times New Roman" w:hAnsi="Times New Roman"/>
                <w:strike w:val="false"/>
                <w:dstrike w:val="false"/>
                <w:color w:val="000000"/>
                <w:sz w:val="17"/>
                <w:u w:val="none"/>
                <w:effect w:val="none"/>
              </w:rPr>
              <w:t>September 30, 2013</w:t>
            </w:r>
            <w:r>
              <w:rPr>
                <w:sz w:val="17"/>
              </w:rPr>
              <w:t xml:space="preserve"> </w:t>
            </w:r>
          </w:p>
        </w:tc>
      </w:tr>
    </w:tbl>
    <w:tbl>
      <w:tblPr>
        <w:tblW w:w="10015" w:type="dxa"/>
        <w:jc w:val="left"/>
        <w:tblInd w:w="0" w:type="dxa"/>
        <w:tblCellMar>
          <w:top w:w="0" w:type="dxa"/>
          <w:left w:w="0" w:type="dxa"/>
          <w:bottom w:w="0" w:type="dxa"/>
          <w:right w:w="0" w:type="dxa"/>
        </w:tblCellMar>
      </w:tblPr>
      <w:tblGrid>
        <w:gridCol w:w="485"/>
        <w:gridCol w:w="9530"/>
      </w:tblGrid>
      <w:tr>
        <w:trPr/>
        <w:tc>
          <w:tcPr>
            <w:tcW w:w="485" w:type="dxa"/>
            <w:tcBorders/>
            <w:shd w:fill="auto" w:val="clear"/>
            <w:vAlign w:val="center"/>
          </w:tcPr>
          <w:p>
            <w:pPr>
              <w:pStyle w:val="TableContents"/>
              <w:spacing w:before="0" w:after="283"/>
              <w:rPr>
                <w:sz w:val="4"/>
                <w:szCs w:val="4"/>
              </w:rPr>
            </w:pPr>
            <w:r>
              <w:rPr>
                <w:sz w:val="4"/>
                <w:szCs w:val="4"/>
              </w:rPr>
            </w:r>
          </w:p>
        </w:tc>
        <w:tc>
          <w:tcPr>
            <w:tcW w:w="953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530" w:type="dxa"/>
            <w:tcBorders/>
            <w:shd w:fill="auto" w:val="clear"/>
            <w:vAlign w:val="center"/>
          </w:tcPr>
          <w:p>
            <w:pPr>
              <w:pStyle w:val="TableContents"/>
              <w:spacing w:lineRule="auto" w:line="288" w:before="0" w:after="0"/>
              <w:jc w:val="left"/>
              <w:rPr>
                <w:sz w:val="17"/>
              </w:rPr>
            </w:pPr>
            <w:r>
              <w:rPr>
                <w:rFonts w:ascii="inherit" w:hAnsi="inherit"/>
                <w:sz w:val="17"/>
              </w:rPr>
              <w:t xml:space="preserve">Consolidated Statements of Stockholders’ Equity for each of the three years in the period ended </w:t>
            </w:r>
            <w:r>
              <w:rPr>
                <w:rFonts w:ascii="Times New Roman" w:hAnsi="Times New Roman"/>
                <w:strike w:val="false"/>
                <w:dstrike w:val="false"/>
                <w:color w:val="000000"/>
                <w:sz w:val="17"/>
                <w:u w:val="none"/>
                <w:effect w:val="none"/>
              </w:rPr>
              <w:t>September 30, 2013</w:t>
            </w:r>
            <w:r>
              <w:rPr>
                <w:sz w:val="17"/>
              </w:rPr>
              <w:t xml:space="preserve"> </w:t>
            </w:r>
          </w:p>
        </w:tc>
      </w:tr>
    </w:tbl>
    <w:tbl>
      <w:tblPr>
        <w:tblW w:w="4180" w:type="dxa"/>
        <w:jc w:val="left"/>
        <w:tblInd w:w="0" w:type="dxa"/>
        <w:tblCellMar>
          <w:top w:w="0" w:type="dxa"/>
          <w:left w:w="0" w:type="dxa"/>
          <w:bottom w:w="0" w:type="dxa"/>
          <w:right w:w="0" w:type="dxa"/>
        </w:tblCellMar>
      </w:tblPr>
      <w:tblGrid>
        <w:gridCol w:w="485"/>
        <w:gridCol w:w="3695"/>
      </w:tblGrid>
      <w:tr>
        <w:trPr/>
        <w:tc>
          <w:tcPr>
            <w:tcW w:w="485" w:type="dxa"/>
            <w:tcBorders/>
            <w:shd w:fill="auto" w:val="clear"/>
            <w:vAlign w:val="center"/>
          </w:tcPr>
          <w:p>
            <w:pPr>
              <w:pStyle w:val="TableContents"/>
              <w:spacing w:before="0" w:after="283"/>
              <w:rPr>
                <w:sz w:val="4"/>
                <w:szCs w:val="4"/>
              </w:rPr>
            </w:pPr>
            <w:r>
              <w:rPr>
                <w:sz w:val="4"/>
                <w:szCs w:val="4"/>
              </w:rPr>
            </w:r>
          </w:p>
        </w:tc>
        <w:tc>
          <w:tcPr>
            <w:tcW w:w="36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6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Notes to Consolidated Financial Statements.</w:t>
            </w:r>
          </w:p>
        </w:tc>
      </w:tr>
    </w:tbl>
    <w:p>
      <w:pPr>
        <w:pStyle w:val="TextBody"/>
        <w:spacing w:lineRule="auto" w:line="288" w:before="0" w:after="0"/>
        <w:jc w:val="left"/>
        <w:rPr>
          <w:rFonts w:ascii="inherit" w:hAnsi="inherit"/>
          <w:b/>
          <w:sz w:val="17"/>
        </w:rPr>
      </w:pPr>
      <w:r>
        <w:rPr>
          <w:rFonts w:ascii="inherit" w:hAnsi="inherit"/>
          <w:b/>
          <w:sz w:val="17"/>
        </w:rPr>
        <w:t>Exhibits</w:t>
      </w:r>
    </w:p>
    <w:p>
      <w:pPr>
        <w:pStyle w:val="TextBody"/>
        <w:spacing w:lineRule="auto" w:line="288" w:before="0" w:after="0"/>
        <w:jc w:val="left"/>
        <w:rPr>
          <w:rFonts w:ascii="inherit" w:hAnsi="inherit"/>
          <w:sz w:val="17"/>
        </w:rPr>
      </w:pPr>
      <w:r>
        <w:rPr>
          <w:rFonts w:ascii="inherit" w:hAnsi="inherit"/>
          <w:sz w:val="17"/>
        </w:rPr>
        <w:t>The following exhibits are filed with, or incorporated by reference into, this report.</w:t>
      </w:r>
    </w:p>
    <w:tbl>
      <w:tblPr>
        <w:tblW w:w="10205" w:type="dxa"/>
        <w:jc w:val="left"/>
        <w:tblInd w:w="0" w:type="dxa"/>
        <w:tblCellMar>
          <w:top w:w="0" w:type="dxa"/>
          <w:left w:w="0" w:type="dxa"/>
          <w:bottom w:w="0" w:type="dxa"/>
          <w:right w:w="0" w:type="dxa"/>
        </w:tblCellMar>
      </w:tblPr>
      <w:tblGrid>
        <w:gridCol w:w="1501"/>
        <w:gridCol w:w="157"/>
        <w:gridCol w:w="854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50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54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50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Exhibit No.</w:t>
            </w:r>
          </w:p>
        </w:tc>
        <w:tc>
          <w:tcPr>
            <w:tcW w:w="157" w:type="dxa"/>
            <w:tcBorders/>
            <w:shd w:fill="auto" w:val="clear"/>
            <w:vAlign w:val="center"/>
          </w:tcPr>
          <w:p>
            <w:pPr>
              <w:pStyle w:val="TableContents"/>
              <w:spacing w:before="0" w:after="0"/>
              <w:ind w:left="0" w:right="0" w:firstLine="30"/>
              <w:rPr/>
            </w:pPr>
            <w:r>
              <w:rPr/>
              <w:t> </w:t>
            </w:r>
          </w:p>
        </w:tc>
        <w:tc>
          <w:tcPr>
            <w:tcW w:w="854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Description of Exhibit</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3.1</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Amended and Restated Certificate of Incorporation (incorporated by reference to Exhibit 3.1 to the Company’s Current Report on Form 8-K dated October 1, 2013,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3.2</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Bylaws (incorporated by reference to Exhibit 3.2 to the Company’s Current Report on Form 8-K dated October 1, 2013,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4.1</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Specimen of Class A Non-voting Common Stock certificate (incorporated by reference to Exhibit 4.1 to the Company’s Registration Statement on Form S-1 effective August 23, 1991, Commission File No. 33-41317)</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4.2</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Description of EZCORP, Inc. Class A Non-Voting Comon Stock (incorporated by reference to Exhibit 4.1 to the Company’s Current Report on Form 8-K dated October 1, 2013,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Credit Services and Loan Administration Agreement, dated April 11, 2006, between Texas EZPAWN, L.P. and NCP Finance Limited Partnership (incorporated by reference to Exhibit 10.97 to the Company’s Quarterly Report on Form 10-Q for the quarter ended March 31, 2006,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10.2</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Guaranty, dated April 11, 2006, from EZCORP, Inc. to NCP Finance Limited Partnership (incorporated by reference to Exhibit 10.98 to the Company’s Quarterly Report on Form 10-Q for the quarter ended March 31, 2006,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10.3</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Credit Services Organization and Lender Agreement, dated April 12, 2006, between Texas EZMONEY, L.P. and Integrity Texas Funding, L.P. (incorporated by reference to Exhibit 10.99 to the Company’s Quarterly Report on Form 10-Q for the quarter ended March 31, 2006,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10.4</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Credit Services Organization and Lender Agreement, dated November 9, 2005, between Texas EZPAWN, L.P. and Integrity Texas Funding, L.P. (incorporated by reference to Exhibit 10.100 to the Company’s Quarterly Report on Form 10-Q for the quarter ended March 31, 2006,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10.5</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Credit Agreement, dated as of May 10, 2011, among EZCORP, Inc. (as Borrower), certain domestic subsidiaries of the Borrower from time to time party thereto (as Guarantors), the Lenders party thereto, and Wells Fargo Bank, National Association (as Administrative Agent) and BBVA Compass Bank (as Syndication Agent) (incorporated by reference to Exhibit 10.1 to the Company’s Current Report on Form 8-K dated May 10, 2011,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10.6</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jc w:val="left"/>
              <w:rPr>
                <w:rFonts w:ascii="inherit" w:hAnsi="inherit"/>
                <w:sz w:val="15"/>
              </w:rPr>
            </w:pPr>
            <w:r>
              <w:rPr>
                <w:rFonts w:ascii="inherit" w:hAnsi="inherit"/>
                <w:sz w:val="15"/>
              </w:rPr>
              <w:t>Assumption Agreement, dated as of October 1, 2013, by and between EZMergeco, Inc. and EZCORP, Inc. (incorporated by reference to Exhibit 10.1 to the Company’s Current Report on Form 8-K dated October 1, 2013, Commission File No. 0-19424)</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140</w:t>
      </w:r>
      <w:r>
        <w:br w:type="page"/>
      </w:r>
    </w:p>
    <w:p>
      <w:pPr>
        <w:pStyle w:val="TextBody"/>
        <w:spacing w:lineRule="auto" w:line="288" w:before="0" w:after="0"/>
        <w:rPr/>
      </w:pPr>
      <w:hyperlink w:anchor="sA13583D437E20DC41B4583E2BD74AA47">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398"/>
        <w:gridCol w:w="151"/>
        <w:gridCol w:w="8656"/>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39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65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10.7</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Advisory Services Agreement, effective October 1, 2012, between the Company and Madison Park, LLC (incorporated by reference to Exhibit 10.1 to the Company’s Current Report on Form 8-K dated September 28, 2012, Commission File No. 0-19424)</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10.8</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Letter Agreement, dated October 9, 2013, between EZCORP, Inc. and Madison Park, LLC extending the engagement of Madison Park through September 30, 2014 (incorporated by reference to Exhibit 10.2 to the Company's Current Report on Form 8-K dated October 9, 2013, Commission File No. 0-19424)</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10.9*</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EZCORP, Inc. Supplemental Executive Retirement Plan effective December 1, 2005 (incorporated by reference to Exhibit 10.94 to the Company’s Current Report on Form 8-K dated November 28, 2005 and filed December 1, 2005, Commission File No. 0-19424)</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10.10*</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EZCORP, Inc. 2006 Incentive Plan (incorporated by reference to Exhibit 10.104 to the Company’s Annual Report on Form 10-K for the year ended September 30, 2006, Commission File No. 0-19424)</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10.11*</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Amended and Restated EZCORP, Inc. 2010 Long-Term Incentive Plan (incorporated by reference to Exhibit 99.1 to the Company’s Registration Statement on Form S-8 effective May 19, 2010, Commission File No. 333-166950)</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10.12*</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Amended and Restated EZCORP, Inc. Incentive Compensation Plan (incorporated by reference to Exhibit 10.2 to the Company’s Current Report on Form 8-K dated September 28, 2012, Commission File No. 0-19424).</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10.13*</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Form of Protection of Sensitive Information, Noncompetition and Nonsolicitation Agreement between the Company and certain employees, including the executive officers (incorporated by reference to Exhibit 10.15 to the Company’s Annual Report on Form 10-K for the year ended September 30, 2010, Commission File No. 0-19424)</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10.14*</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Form of Restricted Stock Award for executive officers (incorporated by reference to Exhibit 10.16 to the Company’s Annual Report on Form 10-K for the year ended September 30, 2010, Commission File No. 0-19424)</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10.15*</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Form of Restricted Stock Award for non-employee directors (incorporated by reference to Exhibit 10.17 to the Company’s Annual Report on Form 10-K for the year ended September 30, 2010, Commission File No. 0-19424)</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10.16*</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Employment and Compensation Agreement, effective September 14, 2009, between the Company and Paul E. Rothamel (incorporated by reference to Exhibit 10.1 to the Company’s Annual Report on Form 10-K for the year ended September 30, 2009, Commission File No. 0-19424)</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21.1†</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Subsidiaries of EZCORP, Inc.</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23.1†</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Consent of BDO USA, LLP</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23.2†</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Consent of Deloitte &amp; Touche LLP</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31.1†</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Certification of Paul E. Rothamel, Chief Executive Officer, pursuant to Rule 13a-14(a) under the Securities Exchange Act of 1934, as adopted pursuant to Section 302 of the Sarbanes-Oxley Act of 2002</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31.2†</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Certification of Mark Kuchenrither, Chief Financial Officer, pursuant to Rule 13a-14(a) under the Securities Exchange Act of 1934, as adopted pursuant to Section 302 of the Sarbanes-Oxley Act of 2002</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32.1††</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Certifications of Paul E. Rothamel, Chief Executive Officer, and Mark Kuchenrither, Chief Financial Officer, pursuant to 18 U.S.C. Section 1350, as adopted pursuant to Section 906 of the Sarbanes-Oxley Act of 2002</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101.INS†††</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XBRL Instance Document</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101.SCH†††</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XBRL Taxonomy Extension Schema Document</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101.CAL†††</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XBRL Taxonomy Extension Calculation Linkbase Document</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101.LAB†††</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XBRL Taxonomy Label Linkbase Document</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101.DEF†††</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XBRL Taxonomy Extension Definition Linkbase Document</w:t>
            </w:r>
          </w:p>
        </w:tc>
      </w:tr>
      <w:tr>
        <w:trPr/>
        <w:tc>
          <w:tcPr>
            <w:tcW w:w="1398"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101.PRE†††</w:t>
            </w:r>
          </w:p>
        </w:tc>
        <w:tc>
          <w:tcPr>
            <w:tcW w:w="151" w:type="dxa"/>
            <w:tcBorders/>
            <w:shd w:fill="auto" w:val="clear"/>
            <w:vAlign w:val="center"/>
          </w:tcPr>
          <w:p>
            <w:pPr>
              <w:pStyle w:val="TableContents"/>
              <w:spacing w:before="0" w:after="0"/>
              <w:ind w:left="0" w:right="0" w:firstLine="30"/>
              <w:rPr/>
            </w:pPr>
            <w:r>
              <w:rPr/>
              <w:t> </w:t>
            </w:r>
          </w:p>
        </w:tc>
        <w:tc>
          <w:tcPr>
            <w:tcW w:w="8656" w:type="dxa"/>
            <w:tcBorders/>
            <w:shd w:fill="auto" w:val="clear"/>
            <w:vAlign w:val="center"/>
          </w:tcPr>
          <w:p>
            <w:pPr>
              <w:pStyle w:val="TableContents"/>
              <w:spacing w:before="0" w:after="0"/>
              <w:jc w:val="left"/>
              <w:rPr>
                <w:rFonts w:ascii="inherit" w:hAnsi="inherit"/>
                <w:sz w:val="15"/>
              </w:rPr>
            </w:pPr>
            <w:r>
              <w:rPr>
                <w:rFonts w:ascii="inherit" w:hAnsi="inherit"/>
                <w:sz w:val="15"/>
              </w:rPr>
              <w:t>XBRL Taxonomy Extension Presentation Linkbase Document</w:t>
            </w:r>
          </w:p>
        </w:tc>
      </w:tr>
    </w:tbl>
    <w:p>
      <w:pPr>
        <w:pStyle w:val="TextBody"/>
        <w:spacing w:lineRule="auto" w:line="288" w:before="0" w:after="0"/>
        <w:rPr>
          <w:rFonts w:ascii="inherit" w:hAnsi="inherit"/>
          <w:sz w:val="17"/>
        </w:rPr>
      </w:pPr>
      <w:r>
        <w:rPr>
          <w:rFonts w:ascii="inherit" w:hAnsi="inherit"/>
          <w:sz w:val="17"/>
        </w:rPr>
        <w:t>_____________________________</w:t>
      </w:r>
    </w:p>
    <w:tbl>
      <w:tblPr>
        <w:tblW w:w="10205" w:type="dxa"/>
        <w:jc w:val="left"/>
        <w:tblInd w:w="0" w:type="dxa"/>
        <w:tblCellMar>
          <w:top w:w="0" w:type="dxa"/>
          <w:left w:w="0" w:type="dxa"/>
          <w:bottom w:w="0" w:type="dxa"/>
          <w:right w:w="0" w:type="dxa"/>
        </w:tblCellMar>
      </w:tblPr>
      <w:tblGrid>
        <w:gridCol w:w="1221"/>
        <w:gridCol w:w="166"/>
        <w:gridCol w:w="8818"/>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2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881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2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66" w:type="dxa"/>
            <w:tcBorders/>
            <w:shd w:fill="auto" w:val="clear"/>
            <w:vAlign w:val="center"/>
          </w:tcPr>
          <w:p>
            <w:pPr>
              <w:pStyle w:val="TableContents"/>
              <w:spacing w:before="0" w:after="0"/>
              <w:ind w:left="0" w:right="0" w:firstLine="30"/>
              <w:rPr/>
            </w:pPr>
            <w:r>
              <w:rPr/>
              <w:t> </w:t>
            </w:r>
          </w:p>
        </w:tc>
        <w:tc>
          <w:tcPr>
            <w:tcW w:w="881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Identifies Exhibit that consists of or includes a management contract or compensatory plan or arrangement.</w:t>
            </w:r>
          </w:p>
        </w:tc>
      </w:tr>
      <w:tr>
        <w:trPr/>
        <w:tc>
          <w:tcPr>
            <w:tcW w:w="1221" w:type="dxa"/>
            <w:tcBorders/>
            <w:shd w:fill="auto" w:val="clear"/>
            <w:vAlign w:val="center"/>
          </w:tcPr>
          <w:p>
            <w:pPr>
              <w:pStyle w:val="TableContents"/>
              <w:spacing w:before="0" w:after="0"/>
              <w:ind w:left="0" w:right="0" w:firstLine="30"/>
              <w:jc w:val="left"/>
              <w:rPr/>
            </w:pPr>
            <w:r>
              <w:rPr/>
              <w:t>†</w:t>
            </w:r>
          </w:p>
        </w:tc>
        <w:tc>
          <w:tcPr>
            <w:tcW w:w="166" w:type="dxa"/>
            <w:tcBorders/>
            <w:shd w:fill="auto" w:val="clear"/>
            <w:vAlign w:val="center"/>
          </w:tcPr>
          <w:p>
            <w:pPr>
              <w:pStyle w:val="TableContents"/>
              <w:spacing w:before="0" w:after="0"/>
              <w:ind w:left="0" w:right="0" w:firstLine="30"/>
              <w:rPr/>
            </w:pPr>
            <w:r>
              <w:rPr/>
              <w:t> </w:t>
            </w:r>
          </w:p>
        </w:tc>
        <w:tc>
          <w:tcPr>
            <w:tcW w:w="881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Filed herewith.</w:t>
            </w:r>
          </w:p>
        </w:tc>
      </w:tr>
      <w:tr>
        <w:trPr/>
        <w:tc>
          <w:tcPr>
            <w:tcW w:w="1221" w:type="dxa"/>
            <w:tcBorders/>
            <w:shd w:fill="auto" w:val="clear"/>
            <w:vAlign w:val="center"/>
          </w:tcPr>
          <w:p>
            <w:pPr>
              <w:pStyle w:val="TableContents"/>
              <w:spacing w:before="0" w:after="0"/>
              <w:ind w:left="0" w:right="0" w:firstLine="30"/>
              <w:jc w:val="left"/>
              <w:rPr/>
            </w:pPr>
            <w:r>
              <w:rPr/>
              <w:t>††</w:t>
            </w:r>
          </w:p>
        </w:tc>
        <w:tc>
          <w:tcPr>
            <w:tcW w:w="166" w:type="dxa"/>
            <w:tcBorders/>
            <w:shd w:fill="auto" w:val="clear"/>
            <w:vAlign w:val="center"/>
          </w:tcPr>
          <w:p>
            <w:pPr>
              <w:pStyle w:val="TableContents"/>
              <w:spacing w:before="0" w:after="0"/>
              <w:ind w:left="0" w:right="0" w:firstLine="30"/>
              <w:rPr/>
            </w:pPr>
            <w:r>
              <w:rPr/>
              <w:t> </w:t>
            </w:r>
          </w:p>
        </w:tc>
        <w:tc>
          <w:tcPr>
            <w:tcW w:w="881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Furnished herewith.</w:t>
            </w:r>
          </w:p>
        </w:tc>
      </w:tr>
      <w:tr>
        <w:trPr/>
        <w:tc>
          <w:tcPr>
            <w:tcW w:w="1221" w:type="dxa"/>
            <w:tcBorders/>
            <w:shd w:fill="auto" w:val="clear"/>
            <w:vAlign w:val="center"/>
          </w:tcPr>
          <w:p>
            <w:pPr>
              <w:pStyle w:val="TableContents"/>
              <w:spacing w:before="0" w:after="0"/>
              <w:ind w:left="0" w:right="0" w:firstLine="30"/>
              <w:jc w:val="left"/>
              <w:rPr/>
            </w:pPr>
            <w:r>
              <w:rPr/>
              <w:t>†††</w:t>
            </w:r>
          </w:p>
        </w:tc>
        <w:tc>
          <w:tcPr>
            <w:tcW w:w="166" w:type="dxa"/>
            <w:tcBorders/>
            <w:shd w:fill="auto" w:val="clear"/>
            <w:vAlign w:val="center"/>
          </w:tcPr>
          <w:p>
            <w:pPr>
              <w:pStyle w:val="TableContents"/>
              <w:spacing w:before="0" w:after="0"/>
              <w:ind w:left="0" w:right="0" w:firstLine="30"/>
              <w:rPr/>
            </w:pPr>
            <w:r>
              <w:rPr/>
              <w:t> </w:t>
            </w:r>
          </w:p>
        </w:tc>
        <w:tc>
          <w:tcPr>
            <w:tcW w:w="8818" w:type="dxa"/>
            <w:tcBorders/>
            <w:shd w:fill="auto" w:val="clear"/>
            <w:vAlign w:val="center"/>
          </w:tcPr>
          <w:p>
            <w:pPr>
              <w:pStyle w:val="TableContents"/>
              <w:spacing w:before="0" w:after="0"/>
              <w:jc w:val="left"/>
              <w:rPr>
                <w:rFonts w:ascii="inherit" w:hAnsi="inherit"/>
                <w:sz w:val="15"/>
              </w:rPr>
            </w:pPr>
            <w:r>
              <w:rPr>
                <w:rFonts w:ascii="inherit" w:hAnsi="inherit"/>
                <w:sz w:val="15"/>
              </w:rPr>
              <w:t>Attached as Exhibit 101 to this report are the following formatted in XBRL (Extensible Business Reporting Language): (i) Consolidated Balance Sheets at September 30, 2013, and September 30, 2012; (ii) Consolidated Statements of Operations for the years ended September 30, 2013, September 30, 2012 and September 30, 2011; (iii) Consolidated Statements of Comprehensive Income for the years ended September 30, 2013, September 30, 2012 and September 30, 2011; Consolidated Statements of Cash Flows for the for the years ended September 30, 2013, September 30, 2012 and September 30, 2011; Consolidated Statements of Shareholders’ Equity for the years ended September 30, 2013, September 30, 2012 and September 30, 2011; and (iv) Notes to Consolidated Financial Statements.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141</w:t>
      </w:r>
      <w:r>
        <w:br w:type="page"/>
      </w:r>
    </w:p>
    <w:p>
      <w:pPr>
        <w:pStyle w:val="TextBody"/>
        <w:spacing w:lineRule="auto" w:line="288" w:before="0" w:after="0"/>
        <w:rPr/>
      </w:pPr>
      <w:hyperlink w:anchor="sA13583D437E20DC41B4583E2BD74AA47">
        <w:bookmarkStart w:id="124" w:name="sC4D489C81CCCE1C398D183E2CBE7EDBD"/>
        <w:bookmarkEnd w:id="124"/>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20"/>
        </w:rPr>
      </w:pPr>
      <w:r>
        <w:rPr>
          <w:rFonts w:ascii="inherit" w:hAnsi="inherit"/>
          <w:b/>
          <w:sz w:val="20"/>
        </w:rPr>
        <w:t>SIGNATURES</w:t>
      </w:r>
    </w:p>
    <w:p>
      <w:pPr>
        <w:pStyle w:val="TextBody"/>
        <w:spacing w:lineRule="auto" w:line="288" w:before="0" w:after="0"/>
        <w:jc w:val="left"/>
        <w:rPr>
          <w:rFonts w:ascii="inherit" w:hAnsi="inherit"/>
          <w:sz w:val="17"/>
        </w:rPr>
      </w:pPr>
      <w:r>
        <w:rPr>
          <w:rFonts w:ascii="inherit" w:hAnsi="inherit"/>
          <w:sz w:val="17"/>
        </w:rPr>
        <w:t>Pursuant to the requirements of Section 13 or 15(d) of the Securities Exchange Act of 1934, the registrant has duly caused this report to be signed on its behalf by the undersigned, thereunto duly authorized.</w:t>
      </w:r>
    </w:p>
    <w:tbl>
      <w:tblPr>
        <w:tblW w:w="10205" w:type="dxa"/>
        <w:jc w:val="left"/>
        <w:tblInd w:w="0" w:type="dxa"/>
        <w:tblCellMar>
          <w:top w:w="0" w:type="dxa"/>
          <w:left w:w="0" w:type="dxa"/>
          <w:bottom w:w="0" w:type="dxa"/>
          <w:right w:w="0" w:type="dxa"/>
        </w:tblCellMar>
      </w:tblPr>
      <w:tblGrid>
        <w:gridCol w:w="4427"/>
        <w:gridCol w:w="571"/>
        <w:gridCol w:w="3611"/>
        <w:gridCol w:w="1596"/>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4427"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611" w:type="dxa"/>
            <w:tcBorders/>
            <w:shd w:fill="auto" w:val="clear"/>
            <w:vAlign w:val="center"/>
          </w:tcPr>
          <w:p>
            <w:pPr>
              <w:pStyle w:val="TableContents"/>
              <w:spacing w:before="0" w:after="283"/>
              <w:rPr>
                <w:sz w:val="4"/>
                <w:szCs w:val="4"/>
              </w:rPr>
            </w:pPr>
            <w:r>
              <w:rPr>
                <w:sz w:val="4"/>
                <w:szCs w:val="4"/>
              </w:rPr>
            </w:r>
          </w:p>
        </w:tc>
        <w:tc>
          <w:tcPr>
            <w:tcW w:w="159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27" w:type="dxa"/>
            <w:tcBorders/>
            <w:shd w:fill="auto" w:val="clear"/>
            <w:vAlign w:val="center"/>
          </w:tcPr>
          <w:p>
            <w:pPr>
              <w:pStyle w:val="TableContents"/>
              <w:spacing w:before="0" w:after="0"/>
              <w:ind w:left="0" w:right="0" w:firstLine="30"/>
              <w:jc w:val="left"/>
              <w:rPr/>
            </w:pPr>
            <w:r>
              <w:rPr/>
              <w:t> </w:t>
            </w:r>
          </w:p>
        </w:tc>
        <w:tc>
          <w:tcPr>
            <w:tcW w:w="4182" w:type="dxa"/>
            <w:gridSpan w:val="2"/>
            <w:tcBorders/>
            <w:shd w:fill="auto" w:val="clear"/>
            <w:vAlign w:val="center"/>
          </w:tcPr>
          <w:p>
            <w:pPr>
              <w:pStyle w:val="TableContents"/>
              <w:spacing w:before="0" w:after="0"/>
              <w:rPr>
                <w:rFonts w:ascii="inherit" w:hAnsi="inherit"/>
                <w:sz w:val="17"/>
              </w:rPr>
            </w:pPr>
            <w:r>
              <w:rPr>
                <w:rFonts w:ascii="inherit" w:hAnsi="inherit"/>
                <w:sz w:val="17"/>
              </w:rPr>
              <w:t>EZCORP, Inc.</w:t>
            </w:r>
          </w:p>
          <w:p>
            <w:pPr>
              <w:pStyle w:val="TableContents"/>
              <w:spacing w:before="0" w:after="0"/>
              <w:ind w:left="0" w:right="0" w:firstLine="30"/>
              <w:rPr/>
            </w:pPr>
            <w:r>
              <w:rPr/>
              <w:t> </w:t>
            </w:r>
          </w:p>
        </w:tc>
        <w:tc>
          <w:tcPr>
            <w:tcW w:w="1596" w:type="dxa"/>
            <w:tcBorders/>
            <w:shd w:fill="auto" w:val="clear"/>
            <w:vAlign w:val="center"/>
          </w:tcPr>
          <w:p>
            <w:pPr>
              <w:pStyle w:val="TableContents"/>
              <w:spacing w:before="0" w:after="0"/>
              <w:ind w:left="0" w:right="0" w:firstLine="30"/>
              <w:jc w:val="left"/>
              <w:rPr/>
            </w:pPr>
            <w:r>
              <w:rPr/>
              <w:t> </w:t>
            </w:r>
          </w:p>
        </w:tc>
      </w:tr>
      <w:tr>
        <w:trPr/>
        <w:tc>
          <w:tcPr>
            <w:tcW w:w="4427" w:type="dxa"/>
            <w:tcBorders/>
            <w:shd w:fill="auto" w:val="clear"/>
            <w:vAlign w:val="center"/>
          </w:tcPr>
          <w:p>
            <w:pPr>
              <w:pStyle w:val="TableContents"/>
              <w:spacing w:before="0" w:after="0"/>
              <w:ind w:left="0" w:right="0" w:firstLine="30"/>
              <w:jc w:val="left"/>
              <w:rPr/>
            </w:pPr>
            <w:r>
              <w:rPr/>
              <w:t> </w:t>
            </w:r>
          </w:p>
        </w:tc>
        <w:tc>
          <w:tcPr>
            <w:tcW w:w="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  </w:t>
            </w:r>
          </w:p>
        </w:tc>
        <w:tc>
          <w:tcPr>
            <w:tcW w:w="361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Paul E. Rothamel</w:t>
            </w:r>
          </w:p>
        </w:tc>
        <w:tc>
          <w:tcPr>
            <w:tcW w:w="1596" w:type="dxa"/>
            <w:tcBorders/>
            <w:shd w:fill="auto" w:val="clear"/>
            <w:vAlign w:val="center"/>
          </w:tcPr>
          <w:p>
            <w:pPr>
              <w:pStyle w:val="TableContents"/>
              <w:spacing w:before="0" w:after="0"/>
              <w:ind w:left="0" w:right="0" w:firstLine="30"/>
              <w:jc w:val="left"/>
              <w:rPr/>
            </w:pPr>
            <w:r>
              <w:rPr/>
              <w:t> </w:t>
            </w:r>
          </w:p>
        </w:tc>
      </w:tr>
      <w:tr>
        <w:trPr/>
        <w:tc>
          <w:tcPr>
            <w:tcW w:w="4427" w:type="dxa"/>
            <w:tcBorders/>
            <w:shd w:fill="auto" w:val="clear"/>
            <w:vAlign w:val="center"/>
          </w:tcPr>
          <w:p>
            <w:pPr>
              <w:pStyle w:val="TableContents"/>
              <w:spacing w:before="0" w:after="0"/>
              <w:ind w:left="0" w:right="0" w:firstLine="30"/>
              <w:jc w:val="left"/>
              <w:rPr/>
            </w:pPr>
            <w:r>
              <w:rPr/>
              <w:t> </w:t>
            </w:r>
          </w:p>
        </w:tc>
        <w:tc>
          <w:tcPr>
            <w:tcW w:w="571" w:type="dxa"/>
            <w:tcBorders/>
            <w:shd w:fill="auto" w:val="clear"/>
            <w:vAlign w:val="center"/>
          </w:tcPr>
          <w:p>
            <w:pPr>
              <w:pStyle w:val="TableContents"/>
              <w:spacing w:before="0" w:after="0"/>
              <w:ind w:left="0" w:right="0" w:firstLine="30"/>
              <w:jc w:val="left"/>
              <w:rPr/>
            </w:pPr>
            <w:r>
              <w:rPr/>
              <w:t> </w:t>
            </w:r>
          </w:p>
        </w:tc>
        <w:tc>
          <w:tcPr>
            <w:tcW w:w="3611" w:type="dxa"/>
            <w:vMerge w:val="restart"/>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  President and Chief Executive Officer</w:t>
            </w:r>
          </w:p>
        </w:tc>
        <w:tc>
          <w:tcPr>
            <w:tcW w:w="1596" w:type="dxa"/>
            <w:tcBorders/>
            <w:shd w:fill="auto" w:val="clear"/>
            <w:vAlign w:val="center"/>
          </w:tcPr>
          <w:p>
            <w:pPr>
              <w:pStyle w:val="TableContents"/>
              <w:spacing w:before="0" w:after="0"/>
              <w:ind w:left="0" w:right="0" w:firstLine="30"/>
              <w:jc w:val="left"/>
              <w:rPr/>
            </w:pPr>
            <w:r>
              <w:rPr/>
              <w:t> </w:t>
            </w:r>
          </w:p>
        </w:tc>
      </w:tr>
      <w:tr>
        <w:trPr/>
        <w:tc>
          <w:tcPr>
            <w:tcW w:w="4427" w:type="dxa"/>
            <w:tcBorders/>
            <w:shd w:fill="auto" w:val="clear"/>
            <w:vAlign w:val="center"/>
          </w:tcPr>
          <w:p>
            <w:pPr>
              <w:pStyle w:val="TableContents"/>
              <w:spacing w:before="0" w:after="0"/>
              <w:ind w:left="0" w:right="0" w:firstLine="30"/>
              <w:jc w:val="left"/>
              <w:rPr/>
            </w:pPr>
            <w:r>
              <w:rPr/>
              <w:t> </w:t>
            </w:r>
          </w:p>
        </w:tc>
        <w:tc>
          <w:tcPr>
            <w:tcW w:w="571" w:type="dxa"/>
            <w:tcBorders/>
            <w:shd w:fill="auto" w:val="clear"/>
            <w:vAlign w:val="center"/>
          </w:tcPr>
          <w:p>
            <w:pPr>
              <w:pStyle w:val="TableContents"/>
              <w:spacing w:before="0" w:after="0"/>
              <w:ind w:left="0" w:right="0" w:firstLine="30"/>
              <w:jc w:val="left"/>
              <w:rPr/>
            </w:pPr>
            <w:r>
              <w:rPr/>
              <w:t> </w:t>
            </w:r>
          </w:p>
        </w:tc>
        <w:tc>
          <w:tcPr>
            <w:tcW w:w="3611" w:type="dxa"/>
            <w:vMerge w:val="continue"/>
            <w:tcBorders/>
            <w:shd w:fill="auto" w:val="clear"/>
            <w:vAlign w:val="center"/>
          </w:tcPr>
          <w:p>
            <w:pPr>
              <w:pStyle w:val="Normal"/>
              <w:rPr/>
            </w:pPr>
            <w:r>
              <w:rPr/>
            </w:r>
          </w:p>
        </w:tc>
        <w:tc>
          <w:tcPr>
            <w:tcW w:w="1596" w:type="dxa"/>
            <w:tcBorders/>
            <w:shd w:fill="auto" w:val="clear"/>
            <w:vAlign w:val="center"/>
          </w:tcPr>
          <w:p>
            <w:pPr>
              <w:pStyle w:val="TableContents"/>
              <w:spacing w:before="0" w:after="0"/>
              <w:jc w:val="left"/>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CellMar>
          <w:top w:w="0" w:type="dxa"/>
          <w:left w:w="0" w:type="dxa"/>
          <w:bottom w:w="0" w:type="dxa"/>
          <w:right w:w="0" w:type="dxa"/>
        </w:tblCellMar>
      </w:tblPr>
      <w:tblGrid>
        <w:gridCol w:w="2668"/>
        <w:gridCol w:w="121"/>
        <w:gridCol w:w="4693"/>
        <w:gridCol w:w="121"/>
        <w:gridCol w:w="2602"/>
      </w:tblGrid>
      <w:tr>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266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469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6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6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Signature</w:t>
            </w:r>
          </w:p>
        </w:tc>
        <w:tc>
          <w:tcPr>
            <w:tcW w:w="121" w:type="dxa"/>
            <w:tcBorders/>
            <w:shd w:fill="auto" w:val="clear"/>
            <w:vAlign w:val="center"/>
          </w:tcPr>
          <w:p>
            <w:pPr>
              <w:pStyle w:val="TableContents"/>
              <w:spacing w:before="0" w:after="0"/>
              <w:ind w:left="0" w:right="0" w:firstLine="30"/>
              <w:rPr/>
            </w:pPr>
            <w:r>
              <w:rPr/>
              <w:t> </w:t>
            </w:r>
          </w:p>
        </w:tc>
        <w:tc>
          <w:tcPr>
            <w:tcW w:w="469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Title</w:t>
            </w:r>
          </w:p>
        </w:tc>
        <w:tc>
          <w:tcPr>
            <w:tcW w:w="121" w:type="dxa"/>
            <w:tcBorders/>
            <w:shd w:fill="auto" w:val="clear"/>
            <w:vAlign w:val="center"/>
          </w:tcPr>
          <w:p>
            <w:pPr>
              <w:pStyle w:val="TableContents"/>
              <w:spacing w:before="0" w:after="0"/>
              <w:ind w:left="0" w:right="0" w:firstLine="30"/>
              <w:rPr/>
            </w:pPr>
            <w:r>
              <w:rPr/>
              <w:t> </w:t>
            </w:r>
          </w:p>
        </w:tc>
        <w:tc>
          <w:tcPr>
            <w:tcW w:w="260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Date</w:t>
            </w:r>
          </w:p>
        </w:tc>
      </w:tr>
      <w:tr>
        <w:trPr/>
        <w:tc>
          <w:tcPr>
            <w:tcW w:w="2668"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2602"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r>
      <w:tr>
        <w:trPr/>
        <w:tc>
          <w:tcPr>
            <w:tcW w:w="266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Sterling B. Brinkley</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Chairman of the Board</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26, 2013</w:t>
            </w:r>
          </w:p>
        </w:tc>
      </w:tr>
      <w:tr>
        <w:trPr/>
        <w:tc>
          <w:tcPr>
            <w:tcW w:w="2668" w:type="dxa"/>
            <w:tcBorders/>
            <w:shd w:fill="auto" w:val="clear"/>
            <w:vAlign w:val="center"/>
          </w:tcPr>
          <w:p>
            <w:pPr>
              <w:pStyle w:val="TableContents"/>
              <w:spacing w:before="0" w:after="0"/>
              <w:jc w:val="center"/>
              <w:rPr/>
            </w:pPr>
            <w:r>
              <w:rPr/>
              <w:t> </w:t>
            </w:r>
          </w:p>
          <w:p>
            <w:pPr>
              <w:pStyle w:val="TableContents"/>
              <w:spacing w:before="0" w:after="0"/>
              <w:ind w:left="0" w:right="0" w:firstLine="30"/>
              <w:jc w:val="center"/>
              <w:rPr>
                <w:rFonts w:ascii="inherit" w:hAnsi="inherit"/>
                <w:sz w:val="17"/>
              </w:rPr>
            </w:pPr>
            <w:r>
              <w:rPr>
                <w:rFonts w:ascii="inherit" w:hAnsi="inherit"/>
                <w:sz w:val="17"/>
              </w:rPr>
              <w:t>Sterling B. Brinkley</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pPr>
            <w:r>
              <w:rPr/>
              <w:t> </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pPr>
            <w:r>
              <w:rPr/>
              <w:t> </w:t>
            </w:r>
          </w:p>
        </w:tc>
      </w:tr>
      <w:tr>
        <w:trPr/>
        <w:tc>
          <w:tcPr>
            <w:tcW w:w="2668" w:type="dxa"/>
            <w:tcBorders/>
            <w:shd w:fill="auto" w:val="clear"/>
            <w:vAlign w:val="center"/>
          </w:tcPr>
          <w:p>
            <w:pPr>
              <w:pStyle w:val="TableContents"/>
              <w:spacing w:before="0" w:after="0"/>
              <w:ind w:left="0" w:right="0" w:firstLine="30"/>
              <w:jc w:val="left"/>
              <w:rPr/>
            </w:pPr>
            <w:r>
              <w:rPr/>
              <w:t> </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pPr>
            <w:r>
              <w:rPr/>
              <w:t> </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pPr>
            <w:r>
              <w:rPr/>
              <w:t> </w:t>
            </w:r>
          </w:p>
        </w:tc>
      </w:tr>
      <w:tr>
        <w:trPr/>
        <w:tc>
          <w:tcPr>
            <w:tcW w:w="266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Paul E. Rothamel</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Chief Executive Officer and Director</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26, 2013</w:t>
            </w:r>
          </w:p>
        </w:tc>
      </w:tr>
      <w:tr>
        <w:trPr/>
        <w:tc>
          <w:tcPr>
            <w:tcW w:w="2668" w:type="dxa"/>
            <w:tcBorders/>
            <w:shd w:fill="auto" w:val="clear"/>
            <w:vAlign w:val="center"/>
          </w:tcPr>
          <w:p>
            <w:pPr>
              <w:pStyle w:val="TableContents"/>
              <w:spacing w:before="0" w:after="0"/>
              <w:jc w:val="center"/>
              <w:rPr/>
            </w:pPr>
            <w:r>
              <w:rPr/>
              <w:t> </w:t>
            </w:r>
          </w:p>
          <w:p>
            <w:pPr>
              <w:pStyle w:val="TableContents"/>
              <w:spacing w:before="0" w:after="0"/>
              <w:ind w:left="0" w:right="0" w:firstLine="30"/>
              <w:jc w:val="center"/>
              <w:rPr>
                <w:rFonts w:ascii="inherit" w:hAnsi="inherit"/>
                <w:sz w:val="17"/>
              </w:rPr>
            </w:pPr>
            <w:r>
              <w:rPr>
                <w:rFonts w:ascii="inherit" w:hAnsi="inherit"/>
                <w:sz w:val="17"/>
              </w:rPr>
              <w:t>Paul E. Rothamel</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(principal executive officer)</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pPr>
            <w:r>
              <w:rPr/>
              <w:t> </w:t>
            </w:r>
          </w:p>
        </w:tc>
      </w:tr>
      <w:tr>
        <w:trPr/>
        <w:tc>
          <w:tcPr>
            <w:tcW w:w="2668" w:type="dxa"/>
            <w:tcBorders/>
            <w:shd w:fill="auto" w:val="clear"/>
            <w:vAlign w:val="center"/>
          </w:tcPr>
          <w:p>
            <w:pPr>
              <w:pStyle w:val="TableContents"/>
              <w:spacing w:before="0" w:after="0"/>
              <w:ind w:left="0" w:right="0" w:firstLine="30"/>
              <w:jc w:val="left"/>
              <w:rPr/>
            </w:pPr>
            <w:r>
              <w:rPr/>
              <w:t> </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pPr>
            <w:r>
              <w:rPr/>
              <w:t> </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pPr>
            <w:r>
              <w:rPr/>
              <w:t> </w:t>
            </w:r>
          </w:p>
        </w:tc>
      </w:tr>
      <w:tr>
        <w:trPr/>
        <w:tc>
          <w:tcPr>
            <w:tcW w:w="266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Joseph J. Beal</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26, 2013</w:t>
            </w:r>
          </w:p>
        </w:tc>
      </w:tr>
      <w:tr>
        <w:trPr/>
        <w:tc>
          <w:tcPr>
            <w:tcW w:w="2668" w:type="dxa"/>
            <w:tcBorders>
              <w:top w:val="single" w:sz="2" w:space="0" w:color="000000"/>
            </w:tcBorders>
            <w:shd w:fill="auto" w:val="clear"/>
            <w:tcMar>
              <w:top w:w="30" w:type="dxa"/>
            </w:tcMar>
            <w:vAlign w:val="center"/>
          </w:tcPr>
          <w:p>
            <w:pPr>
              <w:pStyle w:val="TableContents"/>
              <w:spacing w:before="0" w:after="0"/>
              <w:jc w:val="center"/>
              <w:rPr/>
            </w:pPr>
            <w:r>
              <w:rPr/>
              <w:t> </w:t>
            </w:r>
          </w:p>
          <w:p>
            <w:pPr>
              <w:pStyle w:val="TableContents"/>
              <w:spacing w:before="0" w:after="0"/>
              <w:ind w:left="0" w:right="0" w:firstLine="30"/>
              <w:jc w:val="center"/>
              <w:rPr>
                <w:rFonts w:ascii="inherit" w:hAnsi="inherit"/>
                <w:sz w:val="17"/>
              </w:rPr>
            </w:pPr>
            <w:r>
              <w:rPr>
                <w:rFonts w:ascii="inherit" w:hAnsi="inherit"/>
                <w:sz w:val="17"/>
              </w:rPr>
              <w:t>Joseph J. Beal</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pPr>
            <w:r>
              <w:rPr/>
              <w:t> </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pPr>
            <w:r>
              <w:rPr/>
              <w:t> </w:t>
            </w:r>
          </w:p>
        </w:tc>
      </w:tr>
      <w:tr>
        <w:trPr/>
        <w:tc>
          <w:tcPr>
            <w:tcW w:w="2668"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rPr/>
            </w:pPr>
            <w:r>
              <w:rPr/>
              <w:t> </w:t>
            </w:r>
          </w:p>
        </w:tc>
      </w:tr>
      <w:tr>
        <w:trPr/>
        <w:tc>
          <w:tcPr>
            <w:tcW w:w="266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26, 2013</w:t>
            </w:r>
          </w:p>
        </w:tc>
      </w:tr>
      <w:tr>
        <w:trPr/>
        <w:tc>
          <w:tcPr>
            <w:tcW w:w="2668" w:type="dxa"/>
            <w:tcBorders/>
            <w:shd w:fill="auto" w:val="clear"/>
            <w:vAlign w:val="center"/>
          </w:tcPr>
          <w:p>
            <w:pPr>
              <w:pStyle w:val="TableContents"/>
              <w:spacing w:before="0" w:after="0"/>
              <w:jc w:val="center"/>
              <w:rPr/>
            </w:pPr>
            <w:r>
              <w:rPr/>
              <w:t> </w:t>
            </w:r>
          </w:p>
          <w:p>
            <w:pPr>
              <w:pStyle w:val="TableContents"/>
              <w:spacing w:before="0" w:after="0"/>
              <w:ind w:left="0" w:right="0" w:firstLine="30"/>
              <w:jc w:val="center"/>
              <w:rPr>
                <w:rFonts w:ascii="inherit" w:hAnsi="inherit"/>
                <w:sz w:val="17"/>
              </w:rPr>
            </w:pPr>
            <w:r>
              <w:rPr>
                <w:rFonts w:ascii="inherit" w:hAnsi="inherit"/>
                <w:sz w:val="17"/>
              </w:rPr>
              <w:t>Pablo Lagos Espinosa</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pPr>
            <w:r>
              <w:rPr/>
              <w:t> </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pPr>
            <w:r>
              <w:rPr/>
              <w:t> </w:t>
            </w:r>
          </w:p>
        </w:tc>
      </w:tr>
      <w:tr>
        <w:trPr/>
        <w:tc>
          <w:tcPr>
            <w:tcW w:w="2668"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rPr/>
            </w:pPr>
            <w:r>
              <w:rPr/>
              <w:t> </w:t>
            </w:r>
          </w:p>
        </w:tc>
      </w:tr>
      <w:tr>
        <w:trPr/>
        <w:tc>
          <w:tcPr>
            <w:tcW w:w="266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John Farrell</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26, 2013</w:t>
            </w:r>
          </w:p>
        </w:tc>
      </w:tr>
      <w:tr>
        <w:trPr/>
        <w:tc>
          <w:tcPr>
            <w:tcW w:w="2668" w:type="dxa"/>
            <w:tcBorders/>
            <w:shd w:fill="auto" w:val="clear"/>
            <w:vAlign w:val="center"/>
          </w:tcPr>
          <w:p>
            <w:pPr>
              <w:pStyle w:val="TableContents"/>
              <w:spacing w:before="0" w:after="0"/>
              <w:jc w:val="center"/>
              <w:rPr/>
            </w:pPr>
            <w:r>
              <w:rPr/>
              <w:t> </w:t>
            </w:r>
          </w:p>
          <w:p>
            <w:pPr>
              <w:pStyle w:val="TableContents"/>
              <w:spacing w:before="0" w:after="0"/>
              <w:ind w:left="0" w:right="0" w:firstLine="30"/>
              <w:jc w:val="center"/>
              <w:rPr>
                <w:rFonts w:ascii="inherit" w:hAnsi="inherit"/>
                <w:sz w:val="17"/>
              </w:rPr>
            </w:pPr>
            <w:r>
              <w:rPr>
                <w:rFonts w:ascii="inherit" w:hAnsi="inherit"/>
                <w:sz w:val="17"/>
              </w:rPr>
              <w:t>John Farrell</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pPr>
            <w:r>
              <w:rPr/>
              <w:t> </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pPr>
            <w:r>
              <w:rPr/>
              <w:t> </w:t>
            </w:r>
          </w:p>
        </w:tc>
      </w:tr>
      <w:tr>
        <w:trPr/>
        <w:tc>
          <w:tcPr>
            <w:tcW w:w="2668" w:type="dxa"/>
            <w:tcBorders/>
            <w:shd w:fill="auto" w:val="clear"/>
            <w:vAlign w:val="center"/>
          </w:tcPr>
          <w:p>
            <w:pPr>
              <w:pStyle w:val="TableContents"/>
              <w:spacing w:before="0" w:after="0"/>
              <w:ind w:left="0" w:right="0" w:firstLine="30"/>
              <w:jc w:val="left"/>
              <w:rPr/>
            </w:pPr>
            <w:r>
              <w:rPr/>
              <w:t> </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pPr>
            <w:r>
              <w:rPr/>
              <w:t> </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pPr>
            <w:r>
              <w:rPr/>
              <w:t> </w:t>
            </w:r>
          </w:p>
        </w:tc>
      </w:tr>
      <w:tr>
        <w:trPr/>
        <w:tc>
          <w:tcPr>
            <w:tcW w:w="266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William C. Love</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26, 2013</w:t>
            </w:r>
          </w:p>
        </w:tc>
      </w:tr>
      <w:tr>
        <w:trPr/>
        <w:tc>
          <w:tcPr>
            <w:tcW w:w="2668" w:type="dxa"/>
            <w:tcBorders/>
            <w:shd w:fill="auto" w:val="clear"/>
            <w:vAlign w:val="center"/>
          </w:tcPr>
          <w:p>
            <w:pPr>
              <w:pStyle w:val="TableContents"/>
              <w:spacing w:before="0" w:after="0"/>
              <w:jc w:val="center"/>
              <w:rPr/>
            </w:pPr>
            <w:r>
              <w:rPr/>
              <w:t> </w:t>
            </w:r>
          </w:p>
          <w:p>
            <w:pPr>
              <w:pStyle w:val="TableContents"/>
              <w:spacing w:before="0" w:after="0"/>
              <w:ind w:left="0" w:right="0" w:firstLine="30"/>
              <w:jc w:val="center"/>
              <w:rPr>
                <w:rFonts w:ascii="inherit" w:hAnsi="inherit"/>
                <w:sz w:val="17"/>
              </w:rPr>
            </w:pPr>
            <w:r>
              <w:rPr>
                <w:rFonts w:ascii="inherit" w:hAnsi="inherit"/>
                <w:sz w:val="17"/>
              </w:rPr>
              <w:t>William C. Love</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pPr>
            <w:r>
              <w:rPr/>
              <w:t> </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pPr>
            <w:r>
              <w:rPr/>
              <w:t> </w:t>
            </w:r>
          </w:p>
        </w:tc>
      </w:tr>
      <w:tr>
        <w:trPr/>
        <w:tc>
          <w:tcPr>
            <w:tcW w:w="2668" w:type="dxa"/>
            <w:tcBorders/>
            <w:shd w:fill="auto" w:val="clear"/>
            <w:vAlign w:val="center"/>
          </w:tcPr>
          <w:p>
            <w:pPr>
              <w:pStyle w:val="TableContents"/>
              <w:spacing w:before="0" w:after="0"/>
              <w:ind w:left="0" w:right="0" w:firstLine="30"/>
              <w:jc w:val="left"/>
              <w:rPr/>
            </w:pPr>
            <w:r>
              <w:rPr/>
              <w:t> </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pPr>
            <w:r>
              <w:rPr/>
              <w:t> </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pPr>
            <w:r>
              <w:rPr/>
              <w:t> </w:t>
            </w:r>
          </w:p>
        </w:tc>
      </w:tr>
      <w:tr>
        <w:trPr/>
        <w:tc>
          <w:tcPr>
            <w:tcW w:w="266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Thomas C. Roberts</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26, 2013</w:t>
            </w:r>
          </w:p>
        </w:tc>
      </w:tr>
      <w:tr>
        <w:trPr/>
        <w:tc>
          <w:tcPr>
            <w:tcW w:w="2668" w:type="dxa"/>
            <w:tcBorders/>
            <w:shd w:fill="auto" w:val="clear"/>
            <w:vAlign w:val="center"/>
          </w:tcPr>
          <w:p>
            <w:pPr>
              <w:pStyle w:val="TableContents"/>
              <w:spacing w:before="0" w:after="0"/>
              <w:jc w:val="center"/>
              <w:rPr/>
            </w:pPr>
            <w:r>
              <w:rPr/>
              <w:t> </w:t>
            </w:r>
          </w:p>
          <w:p>
            <w:pPr>
              <w:pStyle w:val="TableContents"/>
              <w:spacing w:before="0" w:after="0"/>
              <w:ind w:left="0" w:right="0" w:firstLine="30"/>
              <w:jc w:val="center"/>
              <w:rPr>
                <w:rFonts w:ascii="inherit" w:hAnsi="inherit"/>
                <w:sz w:val="17"/>
              </w:rPr>
            </w:pPr>
            <w:r>
              <w:rPr>
                <w:rFonts w:ascii="inherit" w:hAnsi="inherit"/>
                <w:sz w:val="17"/>
              </w:rPr>
              <w:t>Thomas C. Roberts</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jc w:val="left"/>
              <w:rPr/>
            </w:pPr>
            <w:r>
              <w:rPr/>
              <w:t> </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pPr>
            <w:r>
              <w:rPr/>
              <w:t> </w:t>
            </w:r>
          </w:p>
        </w:tc>
      </w:tr>
      <w:tr>
        <w:trPr/>
        <w:tc>
          <w:tcPr>
            <w:tcW w:w="2668"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rPr/>
            </w:pPr>
            <w:r>
              <w:rPr/>
              <w:t> </w:t>
            </w:r>
          </w:p>
        </w:tc>
      </w:tr>
      <w:tr>
        <w:trPr/>
        <w:tc>
          <w:tcPr>
            <w:tcW w:w="266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Mark E. Kuchenrither</w:t>
            </w:r>
          </w:p>
        </w:tc>
        <w:tc>
          <w:tcPr>
            <w:tcW w:w="121" w:type="dxa"/>
            <w:tcBorders/>
            <w:shd w:fill="auto" w:val="clear"/>
            <w:vAlign w:val="center"/>
          </w:tcPr>
          <w:p>
            <w:pPr>
              <w:pStyle w:val="TableContents"/>
              <w:spacing w:before="0" w:after="0"/>
              <w:ind w:left="0" w:right="0" w:firstLine="30"/>
              <w:rPr/>
            </w:pPr>
            <w:r>
              <w:rPr/>
              <w:t> </w:t>
            </w:r>
          </w:p>
        </w:tc>
        <w:tc>
          <w:tcPr>
            <w:tcW w:w="4693" w:type="dxa"/>
            <w:vMerge w:val="restart"/>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Executive Vice President and Chief Financial Officer (principal financial officer)</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26, 2013</w:t>
            </w:r>
          </w:p>
        </w:tc>
      </w:tr>
      <w:tr>
        <w:trPr/>
        <w:tc>
          <w:tcPr>
            <w:tcW w:w="266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Mark E. Kuchenrither</w:t>
            </w:r>
          </w:p>
        </w:tc>
        <w:tc>
          <w:tcPr>
            <w:tcW w:w="121" w:type="dxa"/>
            <w:tcBorders/>
            <w:shd w:fill="auto" w:val="clear"/>
            <w:vAlign w:val="center"/>
          </w:tcPr>
          <w:p>
            <w:pPr>
              <w:pStyle w:val="TableContents"/>
              <w:spacing w:before="0" w:after="0"/>
              <w:ind w:left="0" w:right="0" w:firstLine="30"/>
              <w:rPr/>
            </w:pPr>
            <w:r>
              <w:rPr/>
              <w:t> </w:t>
            </w:r>
          </w:p>
        </w:tc>
        <w:tc>
          <w:tcPr>
            <w:tcW w:w="4693" w:type="dxa"/>
            <w:vMerge w:val="continue"/>
            <w:tcBorders/>
            <w:shd w:fill="auto" w:val="clear"/>
            <w:vAlign w:val="center"/>
          </w:tcPr>
          <w:p>
            <w:pPr>
              <w:pStyle w:val="Normal"/>
              <w:rPr/>
            </w:pPr>
            <w:r>
              <w:rPr/>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rPr/>
            </w:pPr>
            <w:r>
              <w:rPr/>
              <w:t> </w:t>
            </w:r>
          </w:p>
        </w:tc>
      </w:tr>
      <w:tr>
        <w:trPr/>
        <w:tc>
          <w:tcPr>
            <w:tcW w:w="2668"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4693"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rPr/>
            </w:pPr>
            <w:r>
              <w:rPr/>
              <w:t> </w:t>
            </w:r>
          </w:p>
        </w:tc>
      </w:tr>
      <w:tr>
        <w:trPr/>
        <w:tc>
          <w:tcPr>
            <w:tcW w:w="266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Jeffrey S. Byal</w:t>
            </w:r>
          </w:p>
        </w:tc>
        <w:tc>
          <w:tcPr>
            <w:tcW w:w="121" w:type="dxa"/>
            <w:tcBorders/>
            <w:shd w:fill="auto" w:val="clear"/>
            <w:vAlign w:val="center"/>
          </w:tcPr>
          <w:p>
            <w:pPr>
              <w:pStyle w:val="TableContents"/>
              <w:spacing w:before="0" w:after="0"/>
              <w:ind w:left="0" w:right="0" w:firstLine="30"/>
              <w:rPr/>
            </w:pPr>
            <w:r>
              <w:rPr/>
              <w:t> </w:t>
            </w:r>
          </w:p>
        </w:tc>
        <w:tc>
          <w:tcPr>
            <w:tcW w:w="4693" w:type="dxa"/>
            <w:vMerge w:val="restart"/>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 and Chief Accounting Officer (principal accounting officer)</w:t>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November 26, 2013</w:t>
            </w:r>
          </w:p>
        </w:tc>
      </w:tr>
      <w:tr>
        <w:trPr/>
        <w:tc>
          <w:tcPr>
            <w:tcW w:w="266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Jeffrey S. Byal</w:t>
            </w:r>
          </w:p>
        </w:tc>
        <w:tc>
          <w:tcPr>
            <w:tcW w:w="121" w:type="dxa"/>
            <w:tcBorders/>
            <w:shd w:fill="auto" w:val="clear"/>
            <w:vAlign w:val="center"/>
          </w:tcPr>
          <w:p>
            <w:pPr>
              <w:pStyle w:val="TableContents"/>
              <w:spacing w:before="0" w:after="0"/>
              <w:ind w:left="0" w:right="0" w:firstLine="30"/>
              <w:rPr/>
            </w:pPr>
            <w:r>
              <w:rPr/>
              <w:t> </w:t>
            </w:r>
          </w:p>
        </w:tc>
        <w:tc>
          <w:tcPr>
            <w:tcW w:w="4693" w:type="dxa"/>
            <w:vMerge w:val="continue"/>
            <w:tcBorders/>
            <w:shd w:fill="auto" w:val="clear"/>
            <w:vAlign w:val="center"/>
          </w:tcPr>
          <w:p>
            <w:pPr>
              <w:pStyle w:val="Normal"/>
              <w:rPr/>
            </w:pPr>
            <w:r>
              <w:rPr/>
            </w:r>
          </w:p>
        </w:tc>
        <w:tc>
          <w:tcPr>
            <w:tcW w:w="121" w:type="dxa"/>
            <w:tcBorders/>
            <w:shd w:fill="auto" w:val="clear"/>
            <w:vAlign w:val="center"/>
          </w:tcPr>
          <w:p>
            <w:pPr>
              <w:pStyle w:val="TableContents"/>
              <w:spacing w:before="0" w:after="0"/>
              <w:ind w:left="0" w:right="0" w:firstLine="30"/>
              <w:rPr/>
            </w:pPr>
            <w:r>
              <w:rPr/>
              <w:t> </w:t>
            </w:r>
          </w:p>
        </w:tc>
        <w:tc>
          <w:tcPr>
            <w:tcW w:w="2602" w:type="dxa"/>
            <w:tcBorders/>
            <w:shd w:fill="auto" w:val="cle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142</w:t>
      </w:r>
      <w:r>
        <w:br w:type="page"/>
      </w:r>
    </w:p>
    <w:p>
      <w:pPr>
        <w:pStyle w:val="TextBody"/>
        <w:spacing w:lineRule="auto" w:line="288" w:before="0" w:after="0"/>
        <w:rPr/>
      </w:pPr>
      <w:hyperlink w:anchor="sA13583D437E20DC41B4583E2BD74AA47">
        <w:bookmarkStart w:id="125" w:name="sA54999D7E4D76B4D598383E2CC19A617"/>
        <w:bookmarkEnd w:id="125"/>
        <w:r>
          <w:rPr>
            <w:rStyle w:val="InternetLink"/>
            <w:rFonts w:ascii="inherit" w:hAnsi="inherit"/>
            <w:color w:val="0000FF"/>
            <w:sz w:val="17"/>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20"/>
        </w:rPr>
      </w:pPr>
      <w:r>
        <w:rPr>
          <w:rFonts w:ascii="inherit" w:hAnsi="inherit"/>
          <w:b/>
          <w:sz w:val="20"/>
        </w:rPr>
        <w:t xml:space="preserve">EXHIBIT INDEX </w:t>
      </w:r>
    </w:p>
    <w:tbl>
      <w:tblPr>
        <w:tblW w:w="10205" w:type="dxa"/>
        <w:jc w:val="left"/>
        <w:tblInd w:w="0" w:type="dxa"/>
        <w:tblCellMar>
          <w:top w:w="0" w:type="dxa"/>
          <w:left w:w="0" w:type="dxa"/>
          <w:bottom w:w="0" w:type="dxa"/>
          <w:right w:w="0" w:type="dxa"/>
        </w:tblCellMar>
      </w:tblPr>
      <w:tblGrid>
        <w:gridCol w:w="1501"/>
        <w:gridCol w:w="157"/>
        <w:gridCol w:w="854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50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54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50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Exhibit No.</w:t>
            </w:r>
          </w:p>
        </w:tc>
        <w:tc>
          <w:tcPr>
            <w:tcW w:w="157" w:type="dxa"/>
            <w:tcBorders/>
            <w:shd w:fill="auto" w:val="clear"/>
            <w:vAlign w:val="center"/>
          </w:tcPr>
          <w:p>
            <w:pPr>
              <w:pStyle w:val="TableContents"/>
              <w:spacing w:before="0" w:after="0"/>
              <w:ind w:left="0" w:right="0" w:firstLine="30"/>
              <w:rPr/>
            </w:pPr>
            <w:r>
              <w:rPr/>
              <w:t> </w:t>
            </w:r>
          </w:p>
        </w:tc>
        <w:tc>
          <w:tcPr>
            <w:tcW w:w="854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Description of Exhibit</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3.1</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Amended and Restated Certificate of Incorporation (incorporated by reference to Exhibit 3.1 to the Company’s Current Report on Form 8-K dated October 1, 2013,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3.2</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Bylaws (incorporated by reference to Exhibit 3.2 to the Company’s Current Report on Form 8-K dated October 1, 2013,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4.1</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Specimen of Class A Non-voting Common Stock certificate (incorporated by reference to Exhibit 4.1 to the Company’s Registration Statement on Form S-1 effective August 23, 1991, Commission File No. 33-41317)</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4.2</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Description of EZCORP, Inc. Class A Non-Voting Comon Stock (incorporated by reference to Exhibit 4.1 to the Company’s Current Report on Form 8-K dated October 1, 2013,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Credit Services and Loan Administration Agreement, dated April 11, 2006, between Texas EZPAWN, L.P. and NCP Finance Limited Partnership (incorporated by reference to Exhibit 10.97 to the Company’s Quarterly Report on Form 10-Q for the quarter ended March 31, 2006,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10.2</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Guaranty, dated April 11, 2006, from EZCORP, Inc. to NCP Finance Limited Partnership (incorporated by reference to Exhibit 10.98 to the Company’s Quarterly Report on Form 10-Q for the quarter ended March 31, 2006,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10.3</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Credit Services Organization and Lender Agreement, dated April 12, 2006, between Texas EZMONEY, L.P. and Integrity Texas Funding, L.P. (incorporated by reference to Exhibit 10.99 to the Company’s Quarterly Report on Form 10-Q for the quarter ended March 31, 2006,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10.4</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Credit Services Organization and Lender Agreement, dated November 9, 2005, between Texas EZPAWN, L.P. and Integrity Texas Funding, L.P. (incorporated by reference to Exhibit 10.100 to the Company’s Quarterly Report on Form 10-Q for the quarter ended March 31, 2006,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10.5</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Credit Agreement, dated as of May 10, 2011, among EZCORP, Inc. (as Borrower), certain domestic subsidiaries of the Borrower from time to time party thereto (as Guarantors), the Lenders party thereto, and Wells Fargo Bank, National Association (as Administrative Agent) and BBVA Compass Bank (as Syndication Agent) (incorporated by reference to Exhibit 10.1 to the Company’s Current Report on Form 8-K dated May 10, 2011,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10.6</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Assumption Agreement, dated as of October 1, 2013, by and between EZMergeco, Inc. and EZCORP, Inc. (incorporated by reference to Exhibit 10.1 to the Company’s Current Report on Form 8-K dated October 1, 2013,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10.7</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Advisory Services Agreement, effective October 1, 2012, between the Company and Madison Park, LLC (incorporated by reference to Exhibit 10.1 to the Company’s Current Report on Form 8-K dated September 28, 2012,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10.8</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Letter Agreement, dated October 9, 2013, between EZCORP, Inc. and Madison Park, LLC extending the engagement of Madison Park through September 30, 2014 (incorporated by reference to Exhibit 10.2 to the Company's Current Report on Form 8-K dated October 9, 2013,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10.9*</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EZCORP, Inc. Supplemental Executive Retirement Plan effective December 1, 2005 (incorporated by reference to Exhibit 10.94 to the Company’s Current Report on Form 8-K dated November 28, 2005 and filed December 1, 2005,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10.10*</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EZCORP, Inc. 2006 Incentive Plan (incorporated by reference to Exhibit 10.104 to the Company’s Annual Report on Form 10-K for the year ended September 30, 2006,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10.11*</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Amended and Restated EZCORP, Inc. 2010 Long-Term Incentive Plan (incorporated by reference to Exhibit 99.1 to the Company’s Registration Statement on Form S-8 effective May 19, 2010, Commission File No. 333-166950)</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10.12*</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Amended and Restated EZCORP, Inc. Incentive Compensation Plan (incorporated by reference to Exhibit 10.2 to the Company’s Current Report on Form 8-K dated September 28, 2012,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10.13*</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Form of Protection of Sensitive Information, Noncompetition and Nonsolicitation Agreement between the Company and certain employees, including the executive officers (incorporated by reference to Exhibit 10.15 to the Company’s Annual Report on Form 10-K for the year ended September 30, 2010,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10.14*</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Form of Restricted Stock Award for executive officers (incorporated by reference to Exhibit 10.16 to the Company’s Annual Report on Form 10-K for the year ended September 30, 2010,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10.15*</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Form of Restricted Stock Award for non-employee directors (incorporated by reference to Exhibit 10.17 to the Company’s Annual Report on Form 10-K for the year ended September 30, 2010,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10.16*</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Employment and Compensation Agreement, effective September 14, 2009, between the Company and Paul E. Rothamel (incorporated by reference to Exhibit 10.1 to the Company’s Annual Report on Form 10-K for the year ended September 30, 2009, Commission File No. 0-19424)</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21.1†</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Subsidiaries of EZCORP, Inc.</w:t>
            </w:r>
          </w:p>
        </w:tc>
      </w:tr>
      <w:tr>
        <w:trPr/>
        <w:tc>
          <w:tcPr>
            <w:tcW w:w="150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23.1†</w:t>
            </w:r>
          </w:p>
        </w:tc>
        <w:tc>
          <w:tcPr>
            <w:tcW w:w="157" w:type="dxa"/>
            <w:tcBorders/>
            <w:shd w:fill="auto" w:val="clear"/>
            <w:vAlign w:val="center"/>
          </w:tcPr>
          <w:p>
            <w:pPr>
              <w:pStyle w:val="TableContents"/>
              <w:spacing w:before="0" w:after="0"/>
              <w:ind w:left="0" w:right="0" w:firstLine="30"/>
              <w:rPr/>
            </w:pPr>
            <w:r>
              <w:rPr/>
              <w:t> </w:t>
            </w:r>
          </w:p>
        </w:tc>
        <w:tc>
          <w:tcPr>
            <w:tcW w:w="8547" w:type="dxa"/>
            <w:tcBorders/>
            <w:shd w:fill="auto" w:val="clear"/>
            <w:vAlign w:val="center"/>
          </w:tcPr>
          <w:p>
            <w:pPr>
              <w:pStyle w:val="TableContents"/>
              <w:spacing w:before="0" w:after="0"/>
              <w:jc w:val="left"/>
              <w:rPr>
                <w:rFonts w:ascii="inherit" w:hAnsi="inherit"/>
                <w:sz w:val="15"/>
              </w:rPr>
            </w:pPr>
            <w:r>
              <w:rPr>
                <w:rFonts w:ascii="inherit" w:hAnsi="inherit"/>
                <w:sz w:val="15"/>
              </w:rPr>
              <w:t>Consent of BDO USA, LLP</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143</w:t>
      </w:r>
      <w:r>
        <w:br w:type="page"/>
      </w:r>
    </w:p>
    <w:p>
      <w:pPr>
        <w:pStyle w:val="TextBody"/>
        <w:spacing w:lineRule="auto" w:line="288" w:before="0" w:after="0"/>
        <w:rPr/>
      </w:pPr>
      <w:hyperlink w:anchor="sA13583D437E20DC41B4583E2BD74AA47">
        <w:bookmarkStart w:id="126" w:name="sA54999D7E4D76B4D598383E2CC19A6171"/>
        <w:bookmarkEnd w:id="126"/>
        <w:r>
          <w:rPr>
            <w:rStyle w:val="InternetLink"/>
            <w:rFonts w:ascii="inherit" w:hAnsi="inherit"/>
            <w:color w:val="0000FF"/>
            <w:sz w:val="17"/>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309"/>
        <w:gridCol w:w="136"/>
        <w:gridCol w:w="876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3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76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0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23.2†</w:t>
            </w:r>
          </w:p>
        </w:tc>
        <w:tc>
          <w:tcPr>
            <w:tcW w:w="136" w:type="dxa"/>
            <w:tcBorders/>
            <w:shd w:fill="auto" w:val="clear"/>
            <w:vAlign w:val="center"/>
          </w:tcPr>
          <w:p>
            <w:pPr>
              <w:pStyle w:val="TableContents"/>
              <w:spacing w:before="0" w:after="0"/>
              <w:ind w:left="0" w:right="0" w:firstLine="30"/>
              <w:rPr/>
            </w:pPr>
            <w:r>
              <w:rPr/>
              <w:t> </w:t>
            </w:r>
          </w:p>
        </w:tc>
        <w:tc>
          <w:tcPr>
            <w:tcW w:w="87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Consent of Deloitte &amp; Touche LLP</w:t>
            </w:r>
          </w:p>
        </w:tc>
      </w:tr>
      <w:tr>
        <w:trPr/>
        <w:tc>
          <w:tcPr>
            <w:tcW w:w="130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31.1†</w:t>
            </w:r>
          </w:p>
        </w:tc>
        <w:tc>
          <w:tcPr>
            <w:tcW w:w="136" w:type="dxa"/>
            <w:tcBorders/>
            <w:shd w:fill="auto" w:val="clear"/>
            <w:vAlign w:val="center"/>
          </w:tcPr>
          <w:p>
            <w:pPr>
              <w:pStyle w:val="TableContents"/>
              <w:spacing w:before="0" w:after="0"/>
              <w:ind w:left="0" w:right="0" w:firstLine="30"/>
              <w:rPr/>
            </w:pPr>
            <w:r>
              <w:rPr/>
              <w:t> </w:t>
            </w:r>
          </w:p>
        </w:tc>
        <w:tc>
          <w:tcPr>
            <w:tcW w:w="87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Certification of Paul E. Rothamel, Chief Executive Officer, pursuant to Rule 13a-14(a) under the Securities Exchange Act of 1934, as adopted pursuant to Section 302 of the Sarbanes-Oxley Act of 2002</w:t>
            </w:r>
          </w:p>
        </w:tc>
      </w:tr>
      <w:tr>
        <w:trPr/>
        <w:tc>
          <w:tcPr>
            <w:tcW w:w="130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31.2†</w:t>
            </w:r>
          </w:p>
        </w:tc>
        <w:tc>
          <w:tcPr>
            <w:tcW w:w="136" w:type="dxa"/>
            <w:tcBorders/>
            <w:shd w:fill="auto" w:val="clear"/>
            <w:vAlign w:val="center"/>
          </w:tcPr>
          <w:p>
            <w:pPr>
              <w:pStyle w:val="TableContents"/>
              <w:spacing w:before="0" w:after="0"/>
              <w:ind w:left="0" w:right="0" w:firstLine="30"/>
              <w:rPr/>
            </w:pPr>
            <w:r>
              <w:rPr/>
              <w:t> </w:t>
            </w:r>
          </w:p>
        </w:tc>
        <w:tc>
          <w:tcPr>
            <w:tcW w:w="87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Certification of Mark Kuchenrither, Chief Financial Officer, pursuant to Rule 13a-14(a) under the Securities Exchange Act of 1934, as adopted pursuant to Section 302 of the Sarbanes-Oxley Act of 2002</w:t>
            </w:r>
          </w:p>
        </w:tc>
      </w:tr>
      <w:tr>
        <w:trPr/>
        <w:tc>
          <w:tcPr>
            <w:tcW w:w="130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32.1††</w:t>
            </w:r>
          </w:p>
        </w:tc>
        <w:tc>
          <w:tcPr>
            <w:tcW w:w="136" w:type="dxa"/>
            <w:tcBorders/>
            <w:shd w:fill="auto" w:val="clear"/>
            <w:vAlign w:val="center"/>
          </w:tcPr>
          <w:p>
            <w:pPr>
              <w:pStyle w:val="TableContents"/>
              <w:spacing w:before="0" w:after="0"/>
              <w:ind w:left="0" w:right="0" w:firstLine="30"/>
              <w:rPr/>
            </w:pPr>
            <w:r>
              <w:rPr/>
              <w:t> </w:t>
            </w:r>
          </w:p>
        </w:tc>
        <w:tc>
          <w:tcPr>
            <w:tcW w:w="87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Certifications of Paul E. Rothamel, Chief Executive Officer, and Mark Kuchenrither, Chief Financial Officer, pursuant to 18 U.S.C. Section 1350, as adopted pursuant to Section 906 of the Sarbanes-Oxley Act of 2002</w:t>
            </w:r>
          </w:p>
        </w:tc>
      </w:tr>
      <w:tr>
        <w:trPr/>
        <w:tc>
          <w:tcPr>
            <w:tcW w:w="130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101.INS†††</w:t>
            </w:r>
          </w:p>
        </w:tc>
        <w:tc>
          <w:tcPr>
            <w:tcW w:w="136" w:type="dxa"/>
            <w:tcBorders/>
            <w:shd w:fill="auto" w:val="clear"/>
            <w:vAlign w:val="center"/>
          </w:tcPr>
          <w:p>
            <w:pPr>
              <w:pStyle w:val="TableContents"/>
              <w:spacing w:before="0" w:after="0"/>
              <w:ind w:left="0" w:right="0" w:firstLine="30"/>
              <w:rPr/>
            </w:pPr>
            <w:r>
              <w:rPr/>
              <w:t> </w:t>
            </w:r>
          </w:p>
        </w:tc>
        <w:tc>
          <w:tcPr>
            <w:tcW w:w="87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XBRL Instance Document</w:t>
            </w:r>
          </w:p>
        </w:tc>
      </w:tr>
      <w:tr>
        <w:trPr/>
        <w:tc>
          <w:tcPr>
            <w:tcW w:w="130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101.SCH†††</w:t>
            </w:r>
          </w:p>
        </w:tc>
        <w:tc>
          <w:tcPr>
            <w:tcW w:w="136" w:type="dxa"/>
            <w:tcBorders/>
            <w:shd w:fill="auto" w:val="clear"/>
            <w:vAlign w:val="center"/>
          </w:tcPr>
          <w:p>
            <w:pPr>
              <w:pStyle w:val="TableContents"/>
              <w:spacing w:before="0" w:after="0"/>
              <w:ind w:left="0" w:right="0" w:firstLine="30"/>
              <w:rPr/>
            </w:pPr>
            <w:r>
              <w:rPr/>
              <w:t> </w:t>
            </w:r>
          </w:p>
        </w:tc>
        <w:tc>
          <w:tcPr>
            <w:tcW w:w="87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XBRL Taxonomy Extension Schema Document</w:t>
            </w:r>
          </w:p>
        </w:tc>
      </w:tr>
      <w:tr>
        <w:trPr/>
        <w:tc>
          <w:tcPr>
            <w:tcW w:w="130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101.CAL†††</w:t>
            </w:r>
          </w:p>
        </w:tc>
        <w:tc>
          <w:tcPr>
            <w:tcW w:w="136" w:type="dxa"/>
            <w:tcBorders/>
            <w:shd w:fill="auto" w:val="clear"/>
            <w:vAlign w:val="center"/>
          </w:tcPr>
          <w:p>
            <w:pPr>
              <w:pStyle w:val="TableContents"/>
              <w:spacing w:before="0" w:after="0"/>
              <w:ind w:left="0" w:right="0" w:firstLine="30"/>
              <w:rPr/>
            </w:pPr>
            <w:r>
              <w:rPr/>
              <w:t> </w:t>
            </w:r>
          </w:p>
        </w:tc>
        <w:tc>
          <w:tcPr>
            <w:tcW w:w="87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XBRL Taxonomy Extension Calculation Linkbase Document</w:t>
            </w:r>
          </w:p>
        </w:tc>
      </w:tr>
      <w:tr>
        <w:trPr/>
        <w:tc>
          <w:tcPr>
            <w:tcW w:w="130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101.LAB†††</w:t>
            </w:r>
          </w:p>
        </w:tc>
        <w:tc>
          <w:tcPr>
            <w:tcW w:w="136" w:type="dxa"/>
            <w:tcBorders/>
            <w:shd w:fill="auto" w:val="clear"/>
            <w:vAlign w:val="center"/>
          </w:tcPr>
          <w:p>
            <w:pPr>
              <w:pStyle w:val="TableContents"/>
              <w:spacing w:before="0" w:after="0"/>
              <w:ind w:left="0" w:right="0" w:firstLine="30"/>
              <w:rPr/>
            </w:pPr>
            <w:r>
              <w:rPr/>
              <w:t> </w:t>
            </w:r>
          </w:p>
        </w:tc>
        <w:tc>
          <w:tcPr>
            <w:tcW w:w="87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XBRL Taxonomy Label Linkbase Document</w:t>
            </w:r>
          </w:p>
        </w:tc>
      </w:tr>
      <w:tr>
        <w:trPr/>
        <w:tc>
          <w:tcPr>
            <w:tcW w:w="130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101.DEF†††</w:t>
            </w:r>
          </w:p>
        </w:tc>
        <w:tc>
          <w:tcPr>
            <w:tcW w:w="136" w:type="dxa"/>
            <w:tcBorders/>
            <w:shd w:fill="auto" w:val="clear"/>
            <w:vAlign w:val="center"/>
          </w:tcPr>
          <w:p>
            <w:pPr>
              <w:pStyle w:val="TableContents"/>
              <w:spacing w:before="0" w:after="0"/>
              <w:ind w:left="0" w:right="0" w:firstLine="30"/>
              <w:rPr/>
            </w:pPr>
            <w:r>
              <w:rPr/>
              <w:t> </w:t>
            </w:r>
          </w:p>
        </w:tc>
        <w:tc>
          <w:tcPr>
            <w:tcW w:w="87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XBRL Taxonomy Extension Definition Linkbase Document</w:t>
            </w:r>
          </w:p>
        </w:tc>
      </w:tr>
      <w:tr>
        <w:trPr/>
        <w:tc>
          <w:tcPr>
            <w:tcW w:w="130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101.PRE†††</w:t>
            </w:r>
          </w:p>
        </w:tc>
        <w:tc>
          <w:tcPr>
            <w:tcW w:w="136" w:type="dxa"/>
            <w:tcBorders/>
            <w:shd w:fill="auto" w:val="clear"/>
            <w:vAlign w:val="center"/>
          </w:tcPr>
          <w:p>
            <w:pPr>
              <w:pStyle w:val="TableContents"/>
              <w:spacing w:before="0" w:after="0"/>
              <w:ind w:left="0" w:right="0" w:firstLine="30"/>
              <w:rPr/>
            </w:pPr>
            <w:r>
              <w:rPr/>
              <w:t> </w:t>
            </w:r>
          </w:p>
        </w:tc>
        <w:tc>
          <w:tcPr>
            <w:tcW w:w="8760" w:type="dxa"/>
            <w:tcBorders/>
            <w:shd w:fill="auto" w:val="clear"/>
            <w:vAlign w:val="center"/>
          </w:tcPr>
          <w:p>
            <w:pPr>
              <w:pStyle w:val="TableContents"/>
              <w:spacing w:before="0" w:after="0"/>
              <w:jc w:val="left"/>
              <w:rPr>
                <w:rFonts w:ascii="inherit" w:hAnsi="inherit"/>
                <w:sz w:val="15"/>
              </w:rPr>
            </w:pPr>
            <w:r>
              <w:rPr>
                <w:rFonts w:ascii="inherit" w:hAnsi="inherit"/>
                <w:sz w:val="15"/>
              </w:rPr>
              <w:t>XBRL Taxonomy Extension Presentation Linkbase Document</w:t>
            </w:r>
          </w:p>
        </w:tc>
      </w:tr>
    </w:tbl>
    <w:p>
      <w:pPr>
        <w:pStyle w:val="TextBody"/>
        <w:spacing w:lineRule="auto" w:line="288" w:before="0" w:after="0"/>
        <w:rPr>
          <w:rFonts w:ascii="inherit" w:hAnsi="inherit"/>
          <w:sz w:val="17"/>
        </w:rPr>
      </w:pPr>
      <w:r>
        <w:rPr>
          <w:rFonts w:ascii="inherit" w:hAnsi="inherit"/>
          <w:sz w:val="17"/>
        </w:rPr>
        <w:t>_____________________________</w:t>
      </w:r>
    </w:p>
    <w:tbl>
      <w:tblPr>
        <w:tblW w:w="10205" w:type="dxa"/>
        <w:jc w:val="left"/>
        <w:tblInd w:w="0" w:type="dxa"/>
        <w:tblCellMar>
          <w:top w:w="0" w:type="dxa"/>
          <w:left w:w="0" w:type="dxa"/>
          <w:bottom w:w="0" w:type="dxa"/>
          <w:right w:w="0" w:type="dxa"/>
        </w:tblCellMar>
      </w:tblPr>
      <w:tblGrid>
        <w:gridCol w:w="1205"/>
        <w:gridCol w:w="166"/>
        <w:gridCol w:w="8834"/>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883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66" w:type="dxa"/>
            <w:tcBorders/>
            <w:shd w:fill="auto" w:val="clear"/>
            <w:vAlign w:val="center"/>
          </w:tcPr>
          <w:p>
            <w:pPr>
              <w:pStyle w:val="TableContents"/>
              <w:spacing w:before="0" w:after="0"/>
              <w:ind w:left="0" w:right="0" w:firstLine="30"/>
              <w:rPr/>
            </w:pPr>
            <w:r>
              <w:rPr/>
              <w:t> </w:t>
            </w:r>
          </w:p>
        </w:tc>
        <w:tc>
          <w:tcPr>
            <w:tcW w:w="88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Identifies Exhibit that consists of or includes a management contract or compensatory plan or arrangement.</w:t>
            </w:r>
          </w:p>
        </w:tc>
      </w:tr>
      <w:tr>
        <w:trPr/>
        <w:tc>
          <w:tcPr>
            <w:tcW w:w="1205" w:type="dxa"/>
            <w:tcBorders/>
            <w:shd w:fill="auto" w:val="clear"/>
            <w:vAlign w:val="center"/>
          </w:tcPr>
          <w:p>
            <w:pPr>
              <w:pStyle w:val="TableContents"/>
              <w:spacing w:before="0" w:after="0"/>
              <w:ind w:left="0" w:right="0" w:firstLine="30"/>
              <w:jc w:val="left"/>
              <w:rPr/>
            </w:pPr>
            <w:r>
              <w:rPr/>
              <w:t>†</w:t>
            </w:r>
          </w:p>
        </w:tc>
        <w:tc>
          <w:tcPr>
            <w:tcW w:w="166" w:type="dxa"/>
            <w:tcBorders/>
            <w:shd w:fill="auto" w:val="clear"/>
            <w:vAlign w:val="center"/>
          </w:tcPr>
          <w:p>
            <w:pPr>
              <w:pStyle w:val="TableContents"/>
              <w:spacing w:before="0" w:after="0"/>
              <w:ind w:left="0" w:right="0" w:firstLine="30"/>
              <w:rPr/>
            </w:pPr>
            <w:r>
              <w:rPr/>
              <w:t> </w:t>
            </w:r>
          </w:p>
        </w:tc>
        <w:tc>
          <w:tcPr>
            <w:tcW w:w="88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Filed herewith.</w:t>
            </w:r>
          </w:p>
        </w:tc>
      </w:tr>
      <w:tr>
        <w:trPr/>
        <w:tc>
          <w:tcPr>
            <w:tcW w:w="1205" w:type="dxa"/>
            <w:tcBorders/>
            <w:shd w:fill="auto" w:val="clear"/>
            <w:vAlign w:val="center"/>
          </w:tcPr>
          <w:p>
            <w:pPr>
              <w:pStyle w:val="TableContents"/>
              <w:spacing w:before="0" w:after="0"/>
              <w:ind w:left="0" w:right="0" w:firstLine="30"/>
              <w:jc w:val="left"/>
              <w:rPr/>
            </w:pPr>
            <w:r>
              <w:rPr/>
              <w:t>††</w:t>
            </w:r>
          </w:p>
        </w:tc>
        <w:tc>
          <w:tcPr>
            <w:tcW w:w="166" w:type="dxa"/>
            <w:tcBorders/>
            <w:shd w:fill="auto" w:val="clear"/>
            <w:vAlign w:val="center"/>
          </w:tcPr>
          <w:p>
            <w:pPr>
              <w:pStyle w:val="TableContents"/>
              <w:spacing w:before="0" w:after="0"/>
              <w:ind w:left="0" w:right="0" w:firstLine="30"/>
              <w:rPr/>
            </w:pPr>
            <w:r>
              <w:rPr/>
              <w:t> </w:t>
            </w:r>
          </w:p>
        </w:tc>
        <w:tc>
          <w:tcPr>
            <w:tcW w:w="88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Furnished herewith.</w:t>
            </w:r>
          </w:p>
        </w:tc>
      </w:tr>
      <w:tr>
        <w:trPr/>
        <w:tc>
          <w:tcPr>
            <w:tcW w:w="1205" w:type="dxa"/>
            <w:tcBorders/>
            <w:shd w:fill="auto" w:val="clear"/>
            <w:vAlign w:val="center"/>
          </w:tcPr>
          <w:p>
            <w:pPr>
              <w:pStyle w:val="TableContents"/>
              <w:spacing w:before="0" w:after="0"/>
              <w:ind w:left="0" w:right="0" w:firstLine="30"/>
              <w:jc w:val="left"/>
              <w:rPr/>
            </w:pPr>
            <w:r>
              <w:rPr/>
              <w:t>†††</w:t>
            </w:r>
          </w:p>
        </w:tc>
        <w:tc>
          <w:tcPr>
            <w:tcW w:w="166" w:type="dxa"/>
            <w:tcBorders/>
            <w:shd w:fill="auto" w:val="clear"/>
            <w:vAlign w:val="center"/>
          </w:tcPr>
          <w:p>
            <w:pPr>
              <w:pStyle w:val="TableContents"/>
              <w:spacing w:before="0" w:after="0"/>
              <w:ind w:left="0" w:right="0" w:firstLine="30"/>
              <w:rPr/>
            </w:pPr>
            <w:r>
              <w:rPr/>
              <w:t> </w:t>
            </w:r>
          </w:p>
        </w:tc>
        <w:tc>
          <w:tcPr>
            <w:tcW w:w="8834" w:type="dxa"/>
            <w:tcBorders/>
            <w:shd w:fill="auto" w:val="clear"/>
            <w:vAlign w:val="center"/>
          </w:tcPr>
          <w:p>
            <w:pPr>
              <w:pStyle w:val="TableContents"/>
              <w:spacing w:before="0" w:after="0"/>
              <w:jc w:val="left"/>
              <w:rPr>
                <w:rFonts w:ascii="inherit" w:hAnsi="inherit"/>
                <w:sz w:val="17"/>
              </w:rPr>
            </w:pPr>
            <w:r>
              <w:rPr>
                <w:rFonts w:ascii="inherit" w:hAnsi="inherit"/>
                <w:sz w:val="17"/>
              </w:rPr>
              <w:t>Attached as Exhibit 101 to this report are the following formatted in XBRL (Extensible Business Reporting Language): (i) Consolidated Balance Sheets at September 30, 2013, and September 30, 2012; (ii) Consolidated Statements of Operations for the years ended September 30, 2013, September 30, 2012 and September 30, 2011; (iii) Consolidated Statements of Comprehensive Income for the years ended September 30, 2013, September 30, 2012 and September 30, 2011;Consolidated Statements of Cash Flows for the for the years ended September 30, 2013, September 30, 2012 and September 30, 2011; Consolidated Statements of Shareholders’ Equity for the years ended September 30, 2013, September 30, 2012 and September 30, 2011; and (iv) Notes to Consolidated Financial Statements.</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144</w:t>
      </w:r>
      <w:r>
        <w:br w:type="page"/>
      </w:r>
    </w:p>
    <w:p>
      <w:pPr>
        <w:pStyle w:val="TextBody"/>
        <w:spacing w:lineRule="auto" w:line="288" w:before="0" w:after="0"/>
        <w:rPr>
          <w:rFonts w:ascii="inherit" w:hAnsi="inherit"/>
          <w:sz w:val="17"/>
        </w:rPr>
      </w:pPr>
      <w:r>
        <w:rPr>
          <w:rFonts w:ascii="inherit" w:hAnsi="inherit"/>
          <w:sz w:val="17"/>
        </w:rPr>
      </w:r>
      <w:bookmarkStart w:id="127" w:name="s636618A1DCAD6495A79083E2DA3AA2BF"/>
      <w:bookmarkStart w:id="128" w:name="ezpw_2013930-10kex211.htm"/>
      <w:bookmarkStart w:id="129" w:name="ksezpw_201393010kex211"/>
      <w:bookmarkStart w:id="130" w:name="s636618A1DCAD6495A79083E2DA3AA2BF"/>
      <w:bookmarkStart w:id="131" w:name="ezpw_2013930-10kex211.htm"/>
      <w:bookmarkStart w:id="132" w:name="ksezpw_201393010kex211"/>
      <w:bookmarkEnd w:id="130"/>
      <w:bookmarkEnd w:id="131"/>
      <w:bookmarkEnd w:id="132"/>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21.1</w:t>
      </w:r>
    </w:p>
    <w:p>
      <w:pPr>
        <w:pStyle w:val="TextBody"/>
        <w:spacing w:lineRule="auto" w:line="288" w:before="0" w:after="0"/>
        <w:jc w:val="right"/>
        <w:rPr>
          <w:rFonts w:ascii="inherit" w:hAnsi="inherit"/>
          <w:sz w:val="17"/>
        </w:rPr>
      </w:pPr>
      <w:r>
        <w:rPr>
          <w:rFonts w:ascii="inherit" w:hAnsi="inherit"/>
          <w:sz w:val="17"/>
        </w:rPr>
      </w:r>
    </w:p>
    <w:tbl>
      <w:tblPr>
        <w:tblW w:w="9972" w:type="dxa"/>
        <w:jc w:val="left"/>
        <w:tblInd w:w="0" w:type="dxa"/>
        <w:tblCellMar>
          <w:top w:w="0" w:type="dxa"/>
          <w:left w:w="0" w:type="dxa"/>
          <w:bottom w:w="0" w:type="dxa"/>
          <w:right w:w="0" w:type="dxa"/>
        </w:tblCellMar>
      </w:tblPr>
      <w:tblGrid>
        <w:gridCol w:w="7480"/>
        <w:gridCol w:w="398"/>
        <w:gridCol w:w="2094"/>
      </w:tblGrid>
      <w:tr>
        <w:trPr/>
        <w:tc>
          <w:tcPr>
            <w:tcW w:w="9972" w:type="dxa"/>
            <w:gridSpan w:val="3"/>
            <w:tcBorders/>
            <w:shd w:fill="auto" w:val="clear"/>
            <w:vAlign w:val="center"/>
          </w:tcPr>
          <w:p>
            <w:pPr>
              <w:pStyle w:val="TableContents"/>
              <w:spacing w:before="0" w:after="283"/>
              <w:rPr>
                <w:sz w:val="4"/>
                <w:szCs w:val="4"/>
              </w:rPr>
            </w:pPr>
            <w:r>
              <w:rPr>
                <w:sz w:val="4"/>
                <w:szCs w:val="4"/>
              </w:rPr>
            </w:r>
          </w:p>
        </w:tc>
      </w:tr>
      <w:tr>
        <w:trPr/>
        <w:tc>
          <w:tcPr>
            <w:tcW w:w="7480"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97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SUBSIDIARIES OF EZCORP, INC.</w:t>
            </w:r>
          </w:p>
        </w:tc>
      </w:tr>
      <w:tr>
        <w:trPr/>
        <w:tc>
          <w:tcPr>
            <w:tcW w:w="7480"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Entity</w:t>
            </w:r>
          </w:p>
        </w:tc>
        <w:tc>
          <w:tcPr>
            <w:tcW w:w="398" w:type="dxa"/>
            <w:tcBorders/>
            <w:shd w:fill="auto" w:val="clear"/>
            <w:vAlign w:val="center"/>
          </w:tcPr>
          <w:p>
            <w:pPr>
              <w:pStyle w:val="TableContents"/>
              <w:spacing w:before="0" w:after="0"/>
              <w:ind w:left="0" w:right="0" w:firstLine="30"/>
              <w:jc w:val="left"/>
              <w:rPr/>
            </w:pPr>
            <w:r>
              <w:rPr/>
              <w:t> </w:t>
            </w:r>
          </w:p>
        </w:tc>
        <w:tc>
          <w:tcPr>
            <w:tcW w:w="2094"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Jurisdiction of Organization</w:t>
            </w:r>
          </w:p>
        </w:tc>
      </w:tr>
      <w:tr>
        <w:trPr/>
        <w:tc>
          <w:tcPr>
            <w:tcW w:w="9972" w:type="dxa"/>
            <w:gridSpan w:val="3"/>
            <w:tcBorders>
              <w:top w:val="single" w:sz="2" w:space="0" w:color="000000"/>
            </w:tcBorders>
            <w:shd w:fill="auto" w:val="clear"/>
            <w:tcMar>
              <w:top w:w="30" w:type="dxa"/>
            </w:tcMar>
            <w:vAlign w:val="center"/>
          </w:tcPr>
          <w:p>
            <w:pPr>
              <w:pStyle w:val="TableContents"/>
              <w:spacing w:before="0" w:after="0"/>
              <w:ind w:left="0" w:right="0" w:firstLine="30"/>
              <w:jc w:val="left"/>
              <w:rPr/>
            </w:pPr>
            <w:r>
              <w:rPr/>
              <w:t> </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Artiste Holding Limited</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United Kingdom</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Cash-N-Pawn International, Ltd.</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Minnesota</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Cash-N-Pawn of Minnesota, Ltd.</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Minnesota</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CCV Americas, LLC</w:t>
            </w:r>
          </w:p>
        </w:tc>
        <w:tc>
          <w:tcPr>
            <w:tcW w:w="398" w:type="dxa"/>
            <w:tcBorders/>
            <w:shd w:fill="auto" w:val="clear"/>
            <w:vAlign w:val="center"/>
          </w:tcPr>
          <w:p>
            <w:pPr>
              <w:pStyle w:val="TableContents"/>
              <w:spacing w:before="0" w:after="0"/>
              <w:ind w:left="0" w:right="0" w:firstLine="30"/>
              <w:jc w:val="left"/>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CCV Pennsylvania, Inc.</w:t>
            </w:r>
          </w:p>
        </w:tc>
        <w:tc>
          <w:tcPr>
            <w:tcW w:w="398" w:type="dxa"/>
            <w:tcBorders/>
            <w:shd w:fill="auto" w:val="clear"/>
            <w:vAlign w:val="center"/>
          </w:tcPr>
          <w:p>
            <w:pPr>
              <w:pStyle w:val="TableContents"/>
              <w:spacing w:before="0" w:after="0"/>
              <w:ind w:left="0" w:right="0" w:firstLine="30"/>
              <w:jc w:val="left"/>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CCV Virginia, Inc.</w:t>
            </w:r>
          </w:p>
        </w:tc>
        <w:tc>
          <w:tcPr>
            <w:tcW w:w="398" w:type="dxa"/>
            <w:tcBorders/>
            <w:shd w:fill="auto" w:val="clear"/>
            <w:vAlign w:val="center"/>
          </w:tcPr>
          <w:p>
            <w:pPr>
              <w:pStyle w:val="TableContents"/>
              <w:spacing w:before="0" w:after="0"/>
              <w:ind w:left="0" w:right="0" w:firstLine="30"/>
              <w:jc w:val="left"/>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Capital International Holdings, B.V.</w:t>
            </w:r>
          </w:p>
        </w:tc>
        <w:tc>
          <w:tcPr>
            <w:tcW w:w="398" w:type="dxa"/>
            <w:tcBorders/>
            <w:shd w:fill="auto" w:val="clear"/>
            <w:vAlign w:val="center"/>
          </w:tcPr>
          <w:p>
            <w:pPr>
              <w:pStyle w:val="TableContents"/>
              <w:spacing w:before="0" w:after="0"/>
              <w:ind w:left="0" w:right="0" w:firstLine="30"/>
              <w:jc w:val="left"/>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Netherlands</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Capital Investments, LLC</w:t>
            </w:r>
          </w:p>
        </w:tc>
        <w:tc>
          <w:tcPr>
            <w:tcW w:w="398" w:type="dxa"/>
            <w:tcBorders/>
            <w:shd w:fill="auto" w:val="clear"/>
            <w:vAlign w:val="center"/>
          </w:tcPr>
          <w:p>
            <w:pPr>
              <w:pStyle w:val="TableContents"/>
              <w:spacing w:before="0" w:after="0"/>
              <w:ind w:left="0" w:right="0" w:firstLine="30"/>
              <w:jc w:val="left"/>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Capital Ventures, LLC</w:t>
            </w:r>
          </w:p>
        </w:tc>
        <w:tc>
          <w:tcPr>
            <w:tcW w:w="398" w:type="dxa"/>
            <w:tcBorders/>
            <w:shd w:fill="auto" w:val="clear"/>
            <w:vAlign w:val="center"/>
          </w:tcPr>
          <w:p>
            <w:pPr>
              <w:pStyle w:val="TableContents"/>
              <w:spacing w:before="0" w:after="0"/>
              <w:ind w:left="0" w:right="0" w:firstLine="30"/>
              <w:jc w:val="left"/>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Capital, Inc.</w:t>
            </w:r>
          </w:p>
        </w:tc>
        <w:tc>
          <w:tcPr>
            <w:tcW w:w="398" w:type="dxa"/>
            <w:tcBorders/>
            <w:shd w:fill="auto" w:val="clear"/>
            <w:vAlign w:val="center"/>
          </w:tcPr>
          <w:p>
            <w:pPr>
              <w:pStyle w:val="TableContents"/>
              <w:spacing w:before="0" w:after="0"/>
              <w:ind w:left="0" w:right="0" w:firstLine="30"/>
              <w:jc w:val="left"/>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C-N-P Northwest, Ltd.</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Minnesota</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ECS Online, Inc.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Nevada</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Alabama,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California,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Delaware,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Florida,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Hawaii,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Idaho,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Illinois,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Kansas,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Louisiana,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Michigan,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Mississippi,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Missouri,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Nevada,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Ohio,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Oklahoma,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Rhode Island,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South Dakota,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Tennessee,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Utah,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ONLINE Wisconsin, LLC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Talent S.A. de C.V</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Mexico</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 Transfers S.A. de C.V.</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Mexico</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Americas Cooperatief, U.A.</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Netherlands</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Global Cooperatief, U.A</w:t>
            </w:r>
          </w:p>
        </w:tc>
        <w:tc>
          <w:tcPr>
            <w:tcW w:w="398" w:type="dxa"/>
            <w:tcBorders/>
            <w:shd w:fill="auto" w:val="clear"/>
            <w:vAlign w:val="center"/>
          </w:tcPr>
          <w:p>
            <w:pPr>
              <w:pStyle w:val="TableContents"/>
              <w:spacing w:before="0" w:after="0"/>
              <w:ind w:left="0" w:right="0" w:firstLine="30"/>
              <w:jc w:val="left"/>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Netherlands</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Global Holdings, C.V.</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Netherlands</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Global, B.V.</w:t>
            </w:r>
          </w:p>
        </w:tc>
        <w:tc>
          <w:tcPr>
            <w:tcW w:w="398" w:type="dxa"/>
            <w:tcBorders/>
            <w:shd w:fill="auto" w:val="clear"/>
            <w:vAlign w:val="center"/>
          </w:tcPr>
          <w:p>
            <w:pPr>
              <w:pStyle w:val="TableContents"/>
              <w:spacing w:before="0" w:after="0"/>
              <w:ind w:left="0" w:right="0" w:firstLine="30"/>
              <w:jc w:val="left"/>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Netherlands</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International Holdings, LLC</w:t>
            </w:r>
          </w:p>
        </w:tc>
        <w:tc>
          <w:tcPr>
            <w:tcW w:w="398" w:type="dxa"/>
            <w:tcBorders/>
            <w:shd w:fill="auto" w:val="clear"/>
            <w:vAlign w:val="center"/>
          </w:tcPr>
          <w:p>
            <w:pPr>
              <w:pStyle w:val="TableContents"/>
              <w:spacing w:before="0" w:after="0"/>
              <w:ind w:left="0" w:right="0" w:firstLine="30"/>
              <w:jc w:val="left"/>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International, Inc.</w:t>
            </w:r>
          </w:p>
        </w:tc>
        <w:tc>
          <w:tcPr>
            <w:tcW w:w="398" w:type="dxa"/>
            <w:tcBorders/>
            <w:shd w:fill="auto" w:val="clear"/>
            <w:vAlign w:val="center"/>
          </w:tcPr>
          <w:p>
            <w:pPr>
              <w:pStyle w:val="TableContents"/>
              <w:spacing w:before="0" w:after="0"/>
              <w:ind w:left="0" w:right="0" w:firstLine="30"/>
              <w:jc w:val="left"/>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Online, Inc.</w:t>
            </w:r>
          </w:p>
        </w:tc>
        <w:tc>
          <w:tcPr>
            <w:tcW w:w="398" w:type="dxa"/>
            <w:tcBorders/>
            <w:shd w:fill="auto" w:val="clear"/>
            <w:vAlign w:val="center"/>
          </w:tcPr>
          <w:p>
            <w:pPr>
              <w:pStyle w:val="TableContents"/>
              <w:spacing w:before="0" w:after="0"/>
              <w:ind w:left="0" w:right="0" w:firstLine="30"/>
              <w:jc w:val="left"/>
              <w:rPr/>
            </w:pPr>
            <w:r>
              <w:rPr/>
              <w:t> </w:t>
            </w:r>
          </w:p>
        </w:tc>
        <w:tc>
          <w:tcPr>
            <w:tcW w:w="209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USA, Inc.</w:t>
            </w:r>
          </w:p>
        </w:tc>
        <w:tc>
          <w:tcPr>
            <w:tcW w:w="398" w:type="dxa"/>
            <w:tcBorders/>
            <w:shd w:fill="auto" w:val="clear"/>
            <w:vAlign w:val="center"/>
          </w:tcPr>
          <w:p>
            <w:pPr>
              <w:pStyle w:val="TableContents"/>
              <w:spacing w:before="0" w:after="0"/>
              <w:ind w:left="0" w:right="0" w:firstLine="30"/>
              <w:rPr/>
            </w:pPr>
            <w:r>
              <w:rPr/>
              <w:t> </w:t>
            </w:r>
          </w:p>
        </w:tc>
        <w:tc>
          <w:tcPr>
            <w:tcW w:w="2094" w:type="dxa"/>
            <w:tcBorders/>
            <w:shd w:fill="auto" w:val="clear"/>
            <w:vAlign w:val="center"/>
          </w:tcPr>
          <w:p>
            <w:pPr>
              <w:pStyle w:val="TableContents"/>
              <w:spacing w:before="0" w:after="0"/>
              <w:jc w:val="center"/>
              <w:rPr>
                <w:rFonts w:ascii="inherit" w:hAnsi="inherit"/>
                <w:sz w:val="17"/>
              </w:rPr>
            </w:pPr>
            <w:r>
              <w:rPr>
                <w:rFonts w:ascii="inherit" w:hAnsi="inherit"/>
                <w:sz w:val="17"/>
              </w:rPr>
              <w:t>Delaware</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33" w:name="s636618A1DCAD6495A79083E2DA3AA2BF1"/>
      <w:bookmarkStart w:id="134" w:name="s636618A1DCAD6495A79083E2DA3AA2BF1"/>
      <w:bookmarkEnd w:id="134"/>
    </w:p>
    <w:p>
      <w:pPr>
        <w:pStyle w:val="TextBody"/>
        <w:spacing w:before="0" w:after="0"/>
        <w:rPr/>
      </w:pPr>
      <w:r>
        <w:rPr/>
      </w:r>
    </w:p>
    <w:tbl>
      <w:tblPr>
        <w:tblW w:w="9855" w:type="dxa"/>
        <w:jc w:val="left"/>
        <w:tblInd w:w="0" w:type="dxa"/>
        <w:tblCellMar>
          <w:top w:w="0" w:type="dxa"/>
          <w:left w:w="0" w:type="dxa"/>
          <w:bottom w:w="0" w:type="dxa"/>
          <w:right w:w="0" w:type="dxa"/>
        </w:tblCellMar>
      </w:tblPr>
      <w:tblGrid>
        <w:gridCol w:w="7392"/>
        <w:gridCol w:w="394"/>
        <w:gridCol w:w="2069"/>
      </w:tblGrid>
      <w:tr>
        <w:trPr/>
        <w:tc>
          <w:tcPr>
            <w:tcW w:w="9855" w:type="dxa"/>
            <w:gridSpan w:val="3"/>
            <w:tcBorders/>
            <w:shd w:fill="auto" w:val="clear"/>
            <w:vAlign w:val="center"/>
          </w:tcPr>
          <w:p>
            <w:pPr>
              <w:pStyle w:val="TableContents"/>
              <w:spacing w:before="0" w:after="283"/>
              <w:rPr>
                <w:sz w:val="4"/>
                <w:szCs w:val="4"/>
              </w:rPr>
            </w:pPr>
            <w:r>
              <w:rPr>
                <w:sz w:val="4"/>
                <w:szCs w:val="4"/>
              </w:rPr>
            </w:r>
          </w:p>
        </w:tc>
      </w:tr>
      <w:tr>
        <w:trPr/>
        <w:tc>
          <w:tcPr>
            <w:tcW w:w="7392"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206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8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SUBSIDIARIES OF EZCORP, INC.</w:t>
            </w:r>
          </w:p>
        </w:tc>
      </w:tr>
      <w:tr>
        <w:trPr/>
        <w:tc>
          <w:tcPr>
            <w:tcW w:w="7392"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Entity</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Jurisdiction of Organization</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Alabama,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Canada Holdings,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British Columbia</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Canada,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Colorado,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Hawaii, Inc.</w:t>
            </w:r>
          </w:p>
        </w:tc>
        <w:tc>
          <w:tcPr>
            <w:tcW w:w="394" w:type="dxa"/>
            <w:tcBorders/>
            <w:shd w:fill="auto" w:val="clear"/>
            <w:vAlign w:val="center"/>
          </w:tcPr>
          <w:p>
            <w:pPr>
              <w:pStyle w:val="TableContents"/>
              <w:spacing w:before="0" w:after="0"/>
              <w:ind w:left="0" w:right="0" w:firstLine="30"/>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Holdings,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Idaho,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Kansas,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Management,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Missouri,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Nova,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British Columbia</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South Dakota,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Tario,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British Columbia</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Tennessee, Inc.</w:t>
            </w:r>
          </w:p>
        </w:tc>
        <w:tc>
          <w:tcPr>
            <w:tcW w:w="394" w:type="dxa"/>
            <w:tcBorders/>
            <w:shd w:fill="auto" w:val="clear"/>
            <w:vAlign w:val="center"/>
          </w:tcPr>
          <w:p>
            <w:pPr>
              <w:pStyle w:val="TableContents"/>
              <w:spacing w:before="0" w:after="0"/>
              <w:ind w:left="0" w:right="0" w:firstLine="30"/>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Toba,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British Columbia</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Utah,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Wisconsin,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Alabama,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Arizona, Inc.</w:t>
            </w:r>
          </w:p>
        </w:tc>
        <w:tc>
          <w:tcPr>
            <w:tcW w:w="394" w:type="dxa"/>
            <w:tcBorders/>
            <w:shd w:fill="auto" w:val="clear"/>
            <w:vAlign w:val="center"/>
          </w:tcPr>
          <w:p>
            <w:pPr>
              <w:pStyle w:val="TableContents"/>
              <w:spacing w:before="0" w:after="0"/>
              <w:ind w:left="0" w:right="0" w:firstLine="30"/>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Arkansas,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Colorado,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Florida,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Georgia,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Holdings,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Illinois,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Indiana,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Iowa,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Louisiana,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Management Mexico, SRL de CV (Ltd.,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Mexico</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Mexico Holdings, LLC.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Mexico Ltd., LLC.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Missouri, Inc.</w:t>
            </w:r>
          </w:p>
        </w:tc>
        <w:tc>
          <w:tcPr>
            <w:tcW w:w="394" w:type="dxa"/>
            <w:tcBorders/>
            <w:shd w:fill="auto" w:val="clear"/>
            <w:vAlign w:val="center"/>
          </w:tcPr>
          <w:p>
            <w:pPr>
              <w:pStyle w:val="TableContents"/>
              <w:spacing w:before="0" w:after="0"/>
              <w:ind w:left="0" w:right="0" w:firstLine="30"/>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Nevada,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Oklahoma,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Services Mexico, SRL de CV (Holdings)</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Mexico</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Tennessee,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Utah,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EZPAWN Wisconsin,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Fondo ACH, S.A. de C.V. SOFOM, E.N.R</w:t>
            </w:r>
          </w:p>
        </w:tc>
        <w:tc>
          <w:tcPr>
            <w:tcW w:w="394" w:type="dxa"/>
            <w:tcBorders/>
            <w:shd w:fill="auto" w:val="clear"/>
            <w:vAlign w:val="center"/>
          </w:tcPr>
          <w:p>
            <w:pPr>
              <w:pStyle w:val="TableContents"/>
              <w:spacing w:before="0" w:after="0"/>
              <w:ind w:left="0" w:right="0" w:firstLine="30"/>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Mexico</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Leadmount Limited</w:t>
            </w:r>
          </w:p>
        </w:tc>
        <w:tc>
          <w:tcPr>
            <w:tcW w:w="394" w:type="dxa"/>
            <w:tcBorders/>
            <w:shd w:fill="auto" w:val="clear"/>
            <w:vAlign w:val="center"/>
          </w:tcPr>
          <w:p>
            <w:pPr>
              <w:pStyle w:val="TableContents"/>
              <w:spacing w:before="0" w:after="0"/>
              <w:ind w:left="0" w:right="0" w:firstLine="30"/>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United Kingdom</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Mister Money Holdings, Inc.</w:t>
            </w:r>
          </w:p>
        </w:tc>
        <w:tc>
          <w:tcPr>
            <w:tcW w:w="394" w:type="dxa"/>
            <w:tcBorders/>
            <w:shd w:fill="auto" w:val="clear"/>
            <w:vAlign w:val="center"/>
          </w:tcPr>
          <w:p>
            <w:pPr>
              <w:pStyle w:val="TableContents"/>
              <w:spacing w:before="0" w:after="0"/>
              <w:ind w:left="0" w:right="0" w:firstLine="30"/>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Colorado</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Parkway Insurance, Inc.</w:t>
            </w:r>
          </w:p>
        </w:tc>
        <w:tc>
          <w:tcPr>
            <w:tcW w:w="394" w:type="dxa"/>
            <w:tcBorders/>
            <w:shd w:fill="auto" w:val="clear"/>
            <w:vAlign w:val="center"/>
          </w:tcPr>
          <w:p>
            <w:pPr>
              <w:pStyle w:val="TableContents"/>
              <w:spacing w:before="0" w:after="0"/>
              <w:ind w:left="0" w:right="0" w:firstLine="30"/>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Utah</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Management, Inc.</w:t>
            </w:r>
          </w:p>
        </w:tc>
        <w:tc>
          <w:tcPr>
            <w:tcW w:w="394" w:type="dxa"/>
            <w:tcBorders/>
            <w:shd w:fill="auto" w:val="clear"/>
            <w:vAlign w:val="center"/>
          </w:tcPr>
          <w:p>
            <w:pPr>
              <w:pStyle w:val="TableContents"/>
              <w:spacing w:before="0" w:after="0"/>
              <w:ind w:left="0" w:right="0" w:firstLine="30"/>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Texas</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Payday Loan Management, Inc.</w:t>
            </w:r>
          </w:p>
        </w:tc>
        <w:tc>
          <w:tcPr>
            <w:tcW w:w="394" w:type="dxa"/>
            <w:tcBorders/>
            <w:shd w:fill="auto" w:val="clear"/>
            <w:vAlign w:val="center"/>
          </w:tcPr>
          <w:p>
            <w:pPr>
              <w:pStyle w:val="TableContents"/>
              <w:spacing w:before="0" w:after="0"/>
              <w:ind w:left="0" w:right="0" w:firstLine="30"/>
              <w:jc w:val="left"/>
              <w:rPr/>
            </w:pPr>
            <w:r>
              <w:rPr/>
              <w:t> </w:t>
            </w:r>
          </w:p>
        </w:tc>
        <w:tc>
          <w:tcPr>
            <w:tcW w:w="2069"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Premier Management Company, Inc.</w:t>
            </w:r>
          </w:p>
        </w:tc>
        <w:tc>
          <w:tcPr>
            <w:tcW w:w="394" w:type="dxa"/>
            <w:tcBorders/>
            <w:shd w:fill="auto" w:val="clear"/>
            <w:vAlign w:val="center"/>
          </w:tcPr>
          <w:p>
            <w:pPr>
              <w:pStyle w:val="TableContents"/>
              <w:spacing w:before="0" w:after="0"/>
              <w:ind w:left="0" w:right="0" w:firstLine="30"/>
              <w:rPr/>
            </w:pPr>
            <w:r>
              <w:rPr/>
              <w:t> </w:t>
            </w:r>
          </w:p>
        </w:tc>
        <w:tc>
          <w:tcPr>
            <w:tcW w:w="2069" w:type="dxa"/>
            <w:tcBorders/>
            <w:shd w:fill="auto" w:val="clear"/>
            <w:vAlign w:val="center"/>
          </w:tcPr>
          <w:p>
            <w:pPr>
              <w:pStyle w:val="TableContents"/>
              <w:spacing w:before="0" w:after="0"/>
              <w:jc w:val="center"/>
              <w:rPr>
                <w:rFonts w:ascii="inherit" w:hAnsi="inherit"/>
                <w:sz w:val="17"/>
              </w:rPr>
            </w:pPr>
            <w:r>
              <w:rPr>
                <w:rFonts w:ascii="inherit" w:hAnsi="inherit"/>
                <w:sz w:val="17"/>
              </w:rPr>
              <w:t>Delaware</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35" w:name="s636618A1DCAD6495A79083E2DA3AA2BF2"/>
      <w:bookmarkStart w:id="136" w:name="s636618A1DCAD6495A79083E2DA3AA2BF2"/>
      <w:bookmarkEnd w:id="136"/>
    </w:p>
    <w:p>
      <w:pPr>
        <w:pStyle w:val="TextBody"/>
        <w:spacing w:before="0" w:after="0"/>
        <w:rPr/>
      </w:pPr>
      <w:r>
        <w:rPr/>
      </w:r>
    </w:p>
    <w:tbl>
      <w:tblPr>
        <w:tblW w:w="9895" w:type="dxa"/>
        <w:jc w:val="left"/>
        <w:tblInd w:w="0" w:type="dxa"/>
        <w:tblCellMar>
          <w:top w:w="0" w:type="dxa"/>
          <w:left w:w="0" w:type="dxa"/>
          <w:bottom w:w="0" w:type="dxa"/>
          <w:right w:w="0" w:type="dxa"/>
        </w:tblCellMar>
      </w:tblPr>
      <w:tblGrid>
        <w:gridCol w:w="7422"/>
        <w:gridCol w:w="395"/>
        <w:gridCol w:w="2078"/>
      </w:tblGrid>
      <w:tr>
        <w:trPr/>
        <w:tc>
          <w:tcPr>
            <w:tcW w:w="9895" w:type="dxa"/>
            <w:gridSpan w:val="3"/>
            <w:tcBorders/>
            <w:shd w:fill="auto" w:val="clear"/>
            <w:vAlign w:val="center"/>
          </w:tcPr>
          <w:p>
            <w:pPr>
              <w:pStyle w:val="TableContents"/>
              <w:spacing w:before="0" w:after="283"/>
              <w:rPr>
                <w:sz w:val="4"/>
                <w:szCs w:val="4"/>
              </w:rPr>
            </w:pPr>
            <w:r>
              <w:rPr>
                <w:sz w:val="4"/>
                <w:szCs w:val="4"/>
              </w:rPr>
            </w:r>
          </w:p>
        </w:tc>
      </w:tr>
      <w:tr>
        <w:trPr/>
        <w:tc>
          <w:tcPr>
            <w:tcW w:w="7422"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07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8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SUBSIDIARIES OF EZCORP, INC.</w:t>
            </w:r>
          </w:p>
        </w:tc>
      </w:tr>
      <w:tr>
        <w:trPr/>
        <w:tc>
          <w:tcPr>
            <w:tcW w:w="7422"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Entity</w:t>
            </w:r>
          </w:p>
        </w:tc>
        <w:tc>
          <w:tcPr>
            <w:tcW w:w="395" w:type="dxa"/>
            <w:tcBorders/>
            <w:shd w:fill="auto" w:val="clear"/>
            <w:vAlign w:val="center"/>
          </w:tcPr>
          <w:p>
            <w:pPr>
              <w:pStyle w:val="TableContents"/>
              <w:spacing w:before="0" w:after="0"/>
              <w:ind w:left="0" w:right="0" w:firstLine="30"/>
              <w:jc w:val="left"/>
              <w:rPr/>
            </w:pPr>
            <w:r>
              <w:rPr/>
              <w:t> </w:t>
            </w:r>
          </w:p>
        </w:tc>
        <w:tc>
          <w:tcPr>
            <w:tcW w:w="2078"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Jurisdiction of Organization</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Premier NY Operating Co, LLC</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Premier Pawn and Jewelry, LLC</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Prestaciones Finmart, S.A. de C.V. SOFOM, E.N.R.</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Mexico</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Red Dog Holdings, LLC</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Minnesota</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Renueva Comercial SAPI de CV</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Mexico</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Texas EZMONEY, L.P.</w:t>
            </w:r>
          </w:p>
        </w:tc>
        <w:tc>
          <w:tcPr>
            <w:tcW w:w="395" w:type="dxa"/>
            <w:tcBorders/>
            <w:shd w:fill="auto" w:val="clear"/>
            <w:vAlign w:val="center"/>
          </w:tcPr>
          <w:p>
            <w:pPr>
              <w:pStyle w:val="TableContents"/>
              <w:spacing w:before="0" w:after="0"/>
              <w:ind w:left="0" w:right="0" w:firstLine="30"/>
              <w:jc w:val="left"/>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Texas</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Texas EZPAWN Management, Inc.</w:t>
            </w:r>
          </w:p>
        </w:tc>
        <w:tc>
          <w:tcPr>
            <w:tcW w:w="395" w:type="dxa"/>
            <w:tcBorders/>
            <w:shd w:fill="auto" w:val="clear"/>
            <w:vAlign w:val="center"/>
          </w:tcPr>
          <w:p>
            <w:pPr>
              <w:pStyle w:val="TableContents"/>
              <w:spacing w:before="0" w:after="0"/>
              <w:ind w:left="0" w:right="0" w:firstLine="30"/>
              <w:jc w:val="left"/>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Texas EZPAWN, L.P.</w:t>
            </w:r>
          </w:p>
        </w:tc>
        <w:tc>
          <w:tcPr>
            <w:tcW w:w="395" w:type="dxa"/>
            <w:tcBorders/>
            <w:shd w:fill="auto" w:val="clear"/>
            <w:vAlign w:val="center"/>
          </w:tcPr>
          <w:p>
            <w:pPr>
              <w:pStyle w:val="TableContents"/>
              <w:spacing w:before="0" w:after="0"/>
              <w:ind w:left="0" w:right="0" w:firstLine="30"/>
              <w:jc w:val="left"/>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Texas</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Texas PRA Management, L.P.</w:t>
            </w:r>
          </w:p>
        </w:tc>
        <w:tc>
          <w:tcPr>
            <w:tcW w:w="395" w:type="dxa"/>
            <w:tcBorders/>
            <w:shd w:fill="auto" w:val="clear"/>
            <w:vAlign w:val="center"/>
          </w:tcPr>
          <w:p>
            <w:pPr>
              <w:pStyle w:val="TableContents"/>
              <w:spacing w:before="0" w:after="0"/>
              <w:ind w:left="0" w:right="0" w:firstLine="30"/>
              <w:jc w:val="left"/>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Texas</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Twyford Developments Limited</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United Kingdom</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USA Pawn &amp; Jewelry CO II, LLC</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Nevada</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USA Pawn &amp; Jewelry CO III, LLC</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Nevada</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USA Pawn &amp; Jewelry CO IV, LLC</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Nevada</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USA Pawn &amp; Jewelry CO V, LLC</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Nevada</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USA Pawn &amp; Jewelry CO VI, LLC</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Nevada</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USA Pawn &amp; Jewelry CO VII, LLC</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Nevada</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USA Pawn &amp; Jewelry CO VIII, LLC</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Nevada</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USA Pawn &amp; Jewelry CO X, LLC</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Nevada</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USA Pawn &amp; Jewelry CO XII, LLC</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Nevada</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USA Pawn &amp; Jewelry CO XIII, LLC</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Nevada</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USA Pawn &amp; Jewelry CO, LLC</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Nevada</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Value Financial Services, Inc.</w:t>
            </w:r>
          </w:p>
        </w:tc>
        <w:tc>
          <w:tcPr>
            <w:tcW w:w="395" w:type="dxa"/>
            <w:tcBorders/>
            <w:shd w:fill="auto" w:val="clear"/>
            <w:vAlign w:val="center"/>
          </w:tcPr>
          <w:p>
            <w:pPr>
              <w:pStyle w:val="TableContents"/>
              <w:spacing w:before="0" w:after="0"/>
              <w:ind w:left="0" w:right="0" w:firstLine="30"/>
              <w:jc w:val="left"/>
              <w:rPr/>
            </w:pPr>
            <w:r>
              <w:rPr/>
              <w:t> </w:t>
            </w:r>
          </w:p>
        </w:tc>
        <w:tc>
          <w:tcPr>
            <w:tcW w:w="207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Florida</w:t>
            </w:r>
          </w:p>
        </w:tc>
      </w:tr>
      <w:tr>
        <w:trPr/>
        <w:tc>
          <w:tcPr>
            <w:tcW w:w="74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Yellow Dog Holdings, LLC</w:t>
            </w:r>
          </w:p>
        </w:tc>
        <w:tc>
          <w:tcPr>
            <w:tcW w:w="395" w:type="dxa"/>
            <w:tcBorders/>
            <w:shd w:fill="auto" w:val="clear"/>
            <w:vAlign w:val="center"/>
          </w:tcPr>
          <w:p>
            <w:pPr>
              <w:pStyle w:val="TableContents"/>
              <w:spacing w:before="0" w:after="0"/>
              <w:ind w:left="0" w:right="0" w:firstLine="30"/>
              <w:rPr/>
            </w:pPr>
            <w:r>
              <w:rPr/>
              <w:t> </w:t>
            </w:r>
          </w:p>
        </w:tc>
        <w:tc>
          <w:tcPr>
            <w:tcW w:w="2078" w:type="dxa"/>
            <w:tcBorders/>
            <w:shd w:fill="auto" w:val="clear"/>
            <w:vAlign w:val="center"/>
          </w:tcPr>
          <w:p>
            <w:pPr>
              <w:pStyle w:val="TableContents"/>
              <w:spacing w:before="0" w:after="0"/>
              <w:jc w:val="center"/>
              <w:rPr>
                <w:rFonts w:ascii="inherit" w:hAnsi="inherit"/>
                <w:sz w:val="17"/>
              </w:rPr>
            </w:pPr>
            <w:r>
              <w:rPr>
                <w:rFonts w:ascii="inherit" w:hAnsi="inherit"/>
                <w:sz w:val="17"/>
              </w:rPr>
              <w:t>Minnesota</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37" w:name="s6CD600A963D90F05EA4D83E2DAE30955"/>
      <w:bookmarkStart w:id="138" w:name="ezpw_2013930-10kex231.htm"/>
      <w:bookmarkStart w:id="139" w:name="ksezpw_201393010kex231"/>
      <w:bookmarkStart w:id="140" w:name="s6CD600A963D90F05EA4D83E2DAE30955"/>
      <w:bookmarkStart w:id="141" w:name="ezpw_2013930-10kex231.htm"/>
      <w:bookmarkStart w:id="142" w:name="ksezpw_201393010kex231"/>
      <w:bookmarkEnd w:id="140"/>
      <w:bookmarkEnd w:id="141"/>
      <w:bookmarkEnd w:id="142"/>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23.1</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CONSENT OF INDEPENDENT REGISTERED PUBLIC ACCOUNTING FIRM</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EZCORP, Inc.</w:t>
      </w:r>
    </w:p>
    <w:p>
      <w:pPr>
        <w:pStyle w:val="TextBody"/>
        <w:spacing w:lineRule="auto" w:line="288" w:before="0" w:after="0"/>
        <w:jc w:val="both"/>
        <w:rPr>
          <w:rFonts w:ascii="inherit" w:hAnsi="inherit"/>
          <w:sz w:val="17"/>
        </w:rPr>
      </w:pPr>
      <w:r>
        <w:rPr>
          <w:rFonts w:ascii="inherit" w:hAnsi="inherit"/>
          <w:sz w:val="17"/>
        </w:rPr>
        <w:t>Austin, Texas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We hereby consent to the incorporation by reference in the Registration Statement (Form S-3 No. 333-191630), the Registration Statement (Form S-8 No. 333-191675) pertaining to the EZCORP, Inc. 2003 Incentive Plan, the Registration Statement (Form S-8 No. 333-191671) pertaining to the EZCORP, Inc. 2006 Incentive Plan and the Registration Statement (Form S-8 No. 333-191677) pertaining to the EZCORP, Inc. 2010 Long-Term Incentive Plan of our report dated November 20, 2012, except for Notes 1, 2, 4, 6, 7, 12, 14, 18, and 19, which are as of October 3, 2013 relating to the consolidated financial statements of EZCORP which appears in the Annual Report to Shareholders, which is incorporated by reference in this Annual Report on Form 10-K.</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i/>
          <w:sz w:val="17"/>
        </w:rPr>
        <w:t xml:space="preserve">/s/ </w:t>
      </w:r>
      <w:r>
        <w:rPr>
          <w:rFonts w:ascii="inherit" w:hAnsi="inherit"/>
          <w:sz w:val="17"/>
        </w:rPr>
        <w:t>BDO USA, LLP</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Dallas, Texas</w:t>
      </w:r>
    </w:p>
    <w:p>
      <w:pPr>
        <w:pStyle w:val="TextBody"/>
        <w:spacing w:lineRule="auto" w:line="288" w:before="0" w:after="0"/>
        <w:jc w:val="left"/>
        <w:rPr>
          <w:sz w:val="17"/>
        </w:rPr>
      </w:pPr>
      <w:r>
        <w:rPr>
          <w:rFonts w:ascii="inherit" w:hAnsi="inherit"/>
          <w:strike w:val="false"/>
          <w:dstrike w:val="false"/>
          <w:color w:val="000000"/>
          <w:sz w:val="17"/>
          <w:u w:val="none"/>
          <w:effect w:val="none"/>
        </w:rPr>
        <w:t>November 26, 2013</w:t>
      </w:r>
      <w:r>
        <w:rPr>
          <w:sz w:val="17"/>
        </w:rPr>
        <w:t xml:space="preserv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43" w:name="sb6f5f6c92eda4759b9ceeb97c8eac9a9"/>
      <w:bookmarkStart w:id="144" w:name="ezpw_2013930-10kex232.htm"/>
      <w:bookmarkStart w:id="145" w:name="ksezpw_201393010kex232"/>
      <w:bookmarkStart w:id="146" w:name="sb6f5f6c92eda4759b9ceeb97c8eac9a9"/>
      <w:bookmarkStart w:id="147" w:name="ezpw_2013930-10kex232.htm"/>
      <w:bookmarkStart w:id="148" w:name="ksezpw_201393010kex232"/>
      <w:bookmarkEnd w:id="146"/>
      <w:bookmarkEnd w:id="147"/>
      <w:bookmarkEnd w:id="148"/>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23.2</w:t>
      </w:r>
    </w:p>
    <w:p>
      <w:pPr>
        <w:pStyle w:val="TextBody"/>
        <w:spacing w:lineRule="auto" w:line="288" w:before="0" w:after="0"/>
        <w:jc w:val="righ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CONSENT OF INDEPENDENT REGISTERED PUBLIC ACCOUNTING FIRM</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We consent to the incorporation by reference in the Registration Statement on Form S-3 (Reg. No. 333-191630), Registration Statement on Form S-8 (Reg. No. 333-191671), Registration Statement on Form S-8 (Reg. No. 333-191675), and Registration Statement on Form S-8 (Reg. No. 333-191677) of our reports dated November 26, 2013, relating to the financial statements of EZCorp, Inc., and the effectiveness of EZCorp Inc.’s internal control over financial reporting, appearing in this Annual Report on Form 10-K of EZCorp, Inc. for the year ended September 30, 2013.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i/>
          <w:sz w:val="17"/>
        </w:rPr>
        <w:t>/s/ DELOITTE &amp; TOUCHE LLP</w:t>
      </w:r>
      <w:r>
        <w:rPr>
          <w:sz w:val="17"/>
        </w:rPr>
        <w:t xml:space="preserve">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Austin, Texas</w:t>
      </w:r>
    </w:p>
    <w:p>
      <w:pPr>
        <w:pStyle w:val="TextBody"/>
        <w:spacing w:lineRule="auto" w:line="288" w:before="0" w:after="0"/>
        <w:jc w:val="left"/>
        <w:rPr>
          <w:rFonts w:ascii="inherit" w:hAnsi="inherit"/>
          <w:sz w:val="17"/>
        </w:rPr>
      </w:pPr>
      <w:r>
        <w:rPr>
          <w:rFonts w:ascii="inherit" w:hAnsi="inherit"/>
          <w:sz w:val="17"/>
        </w:rPr>
        <w:t>November 26, 2013</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49" w:name="sCBCACE913454B235820983E2DB88CF08"/>
      <w:bookmarkStart w:id="150" w:name="ezpw_2013930-10kex311.htm"/>
      <w:bookmarkStart w:id="151" w:name="ksezpw_201393010kex311"/>
      <w:bookmarkStart w:id="152" w:name="sCBCACE913454B235820983E2DB88CF08"/>
      <w:bookmarkStart w:id="153" w:name="ezpw_2013930-10kex311.htm"/>
      <w:bookmarkStart w:id="154" w:name="ksezpw_201393010kex311"/>
      <w:bookmarkEnd w:id="152"/>
      <w:bookmarkEnd w:id="153"/>
      <w:bookmarkEnd w:id="154"/>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31.1</w:t>
      </w:r>
    </w:p>
    <w:p>
      <w:pPr>
        <w:pStyle w:val="TextBody"/>
        <w:spacing w:lineRule="auto" w:line="288" w:before="0" w:after="0"/>
        <w:jc w:val="righ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Certification of Paul E. Rothamel, Chief Executive Officer,</w:t>
      </w:r>
    </w:p>
    <w:p>
      <w:pPr>
        <w:pStyle w:val="TextBody"/>
        <w:spacing w:lineRule="auto" w:line="288" w:before="0" w:after="0"/>
        <w:jc w:val="center"/>
        <w:rPr>
          <w:rFonts w:ascii="inherit" w:hAnsi="inherit"/>
          <w:b/>
          <w:sz w:val="17"/>
        </w:rPr>
      </w:pPr>
      <w:r>
        <w:rPr>
          <w:rFonts w:ascii="inherit" w:hAnsi="inherit"/>
          <w:b/>
          <w:sz w:val="17"/>
        </w:rPr>
        <w:t>pursuant to Rule 13a-14(a) under the Securities Exchange Act of 1934,</w:t>
      </w:r>
    </w:p>
    <w:p>
      <w:pPr>
        <w:pStyle w:val="TextBody"/>
        <w:spacing w:lineRule="auto" w:line="288" w:before="0" w:after="0"/>
        <w:jc w:val="center"/>
        <w:rPr>
          <w:rFonts w:ascii="inherit" w:hAnsi="inherit"/>
          <w:b/>
          <w:sz w:val="17"/>
        </w:rPr>
      </w:pPr>
      <w:r>
        <w:rPr>
          <w:rFonts w:ascii="inherit" w:hAnsi="inherit"/>
          <w:b/>
          <w:sz w:val="17"/>
        </w:rPr>
        <w:t>as adopted pursuant to Section 302 of the Sarbanes-Oxley Act of 2002</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I, Paul E. Rothamel, certify that:</w:t>
      </w:r>
    </w:p>
    <w:tbl>
      <w:tblPr>
        <w:tblW w:w="6055" w:type="dxa"/>
        <w:jc w:val="left"/>
        <w:tblInd w:w="0" w:type="dxa"/>
        <w:tblCellMar>
          <w:top w:w="0" w:type="dxa"/>
          <w:left w:w="0" w:type="dxa"/>
          <w:bottom w:w="0" w:type="dxa"/>
          <w:right w:w="0" w:type="dxa"/>
        </w:tblCellMar>
      </w:tblPr>
      <w:tblGrid>
        <w:gridCol w:w="545"/>
        <w:gridCol w:w="5510"/>
      </w:tblGrid>
      <w:tr>
        <w:trPr/>
        <w:tc>
          <w:tcPr>
            <w:tcW w:w="545" w:type="dxa"/>
            <w:tcBorders/>
            <w:shd w:fill="auto" w:val="clear"/>
            <w:vAlign w:val="center"/>
          </w:tcPr>
          <w:p>
            <w:pPr>
              <w:pStyle w:val="TableContents"/>
              <w:spacing w:before="0" w:after="283"/>
              <w:rPr>
                <w:sz w:val="4"/>
                <w:szCs w:val="4"/>
              </w:rPr>
            </w:pPr>
            <w:r>
              <w:rPr>
                <w:sz w:val="4"/>
                <w:szCs w:val="4"/>
              </w:rPr>
            </w:r>
          </w:p>
        </w:tc>
        <w:tc>
          <w:tcPr>
            <w:tcW w:w="5510" w:type="dxa"/>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1.</w:t>
            </w:r>
          </w:p>
        </w:tc>
        <w:tc>
          <w:tcPr>
            <w:tcW w:w="55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 have reviewed this Annual Report on Form 10-K of EZCORP, Inc.;</w:t>
            </w:r>
          </w:p>
        </w:tc>
      </w:tr>
    </w:tbl>
    <w:tbl>
      <w:tblPr>
        <w:tblW w:w="10205" w:type="dxa"/>
        <w:jc w:val="left"/>
        <w:tblInd w:w="0" w:type="dxa"/>
        <w:tblCellMar>
          <w:top w:w="0" w:type="dxa"/>
          <w:left w:w="0" w:type="dxa"/>
          <w:bottom w:w="0" w:type="dxa"/>
          <w:right w:w="0" w:type="dxa"/>
        </w:tblCellMar>
      </w:tblPr>
      <w:tblGrid>
        <w:gridCol w:w="515"/>
        <w:gridCol w:w="9690"/>
      </w:tblGrid>
      <w:tr>
        <w:trPr/>
        <w:tc>
          <w:tcPr>
            <w:tcW w:w="515" w:type="dxa"/>
            <w:tcBorders/>
            <w:shd w:fill="auto" w:val="clear"/>
            <w:vAlign w:val="center"/>
          </w:tcPr>
          <w:p>
            <w:pPr>
              <w:pStyle w:val="TableContents"/>
              <w:spacing w:before="0" w:after="283"/>
              <w:rPr>
                <w:sz w:val="4"/>
                <w:szCs w:val="4"/>
              </w:rPr>
            </w:pPr>
            <w:r>
              <w:rPr>
                <w:sz w:val="4"/>
                <w:szCs w:val="4"/>
              </w:rPr>
            </w:r>
          </w:p>
        </w:tc>
        <w:tc>
          <w:tcPr>
            <w:tcW w:w="9690" w:type="dxa"/>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2.</w:t>
            </w:r>
          </w:p>
        </w:tc>
        <w:tc>
          <w:tcPr>
            <w:tcW w:w="96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518"/>
        <w:gridCol w:w="9687"/>
      </w:tblGrid>
      <w:tr>
        <w:trPr/>
        <w:tc>
          <w:tcPr>
            <w:tcW w:w="518" w:type="dxa"/>
            <w:tcBorders/>
            <w:shd w:fill="auto" w:val="clear"/>
            <w:vAlign w:val="center"/>
          </w:tcPr>
          <w:p>
            <w:pPr>
              <w:pStyle w:val="TableContents"/>
              <w:spacing w:before="0" w:after="283"/>
              <w:rPr>
                <w:sz w:val="4"/>
                <w:szCs w:val="4"/>
              </w:rPr>
            </w:pPr>
            <w:r>
              <w:rPr>
                <w:sz w:val="4"/>
                <w:szCs w:val="4"/>
              </w:rPr>
            </w:r>
          </w:p>
        </w:tc>
        <w:tc>
          <w:tcPr>
            <w:tcW w:w="9687" w:type="dxa"/>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3.</w:t>
            </w:r>
          </w:p>
        </w:tc>
        <w:tc>
          <w:tcPr>
            <w:tcW w:w="9687"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515"/>
        <w:gridCol w:w="9690"/>
      </w:tblGrid>
      <w:tr>
        <w:trPr/>
        <w:tc>
          <w:tcPr>
            <w:tcW w:w="515" w:type="dxa"/>
            <w:tcBorders/>
            <w:shd w:fill="auto" w:val="clear"/>
            <w:vAlign w:val="center"/>
          </w:tcPr>
          <w:p>
            <w:pPr>
              <w:pStyle w:val="TableContents"/>
              <w:spacing w:before="0" w:after="283"/>
              <w:rPr>
                <w:sz w:val="4"/>
                <w:szCs w:val="4"/>
              </w:rPr>
            </w:pPr>
            <w:r>
              <w:rPr>
                <w:sz w:val="4"/>
                <w:szCs w:val="4"/>
              </w:rPr>
            </w:r>
          </w:p>
        </w:tc>
        <w:tc>
          <w:tcPr>
            <w:tcW w:w="9690" w:type="dxa"/>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4.</w:t>
            </w:r>
          </w:p>
        </w:tc>
        <w:tc>
          <w:tcPr>
            <w:tcW w:w="96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265"/>
        <w:gridCol w:w="8940"/>
      </w:tblGrid>
      <w:tr>
        <w:trPr/>
        <w:tc>
          <w:tcPr>
            <w:tcW w:w="1265" w:type="dxa"/>
            <w:tcBorders/>
            <w:shd w:fill="auto" w:val="clear"/>
            <w:vAlign w:val="center"/>
          </w:tcPr>
          <w:p>
            <w:pPr>
              <w:pStyle w:val="TableContents"/>
              <w:spacing w:before="0" w:after="283"/>
              <w:rPr>
                <w:sz w:val="4"/>
                <w:szCs w:val="4"/>
              </w:rPr>
            </w:pPr>
            <w:r>
              <w:rPr>
                <w:sz w:val="4"/>
                <w:szCs w:val="4"/>
              </w:rPr>
            </w:r>
          </w:p>
        </w:tc>
        <w:tc>
          <w:tcPr>
            <w:tcW w:w="894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lineRule="auto" w:line="288" w:before="0" w:after="0"/>
              <w:ind w:left="0" w:right="0" w:firstLine="1080"/>
              <w:rPr>
                <w:rFonts w:ascii="inherit" w:hAnsi="inherit"/>
                <w:sz w:val="17"/>
              </w:rPr>
            </w:pPr>
            <w:r>
              <w:rPr>
                <w:rFonts w:ascii="inherit" w:hAnsi="inherit"/>
                <w:sz w:val="17"/>
              </w:rPr>
              <w:t>a.</w:t>
            </w:r>
          </w:p>
        </w:tc>
        <w:tc>
          <w:tcPr>
            <w:tcW w:w="89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265"/>
        <w:gridCol w:w="8940"/>
      </w:tblGrid>
      <w:tr>
        <w:trPr/>
        <w:tc>
          <w:tcPr>
            <w:tcW w:w="1265" w:type="dxa"/>
            <w:tcBorders/>
            <w:shd w:fill="auto" w:val="clear"/>
            <w:vAlign w:val="center"/>
          </w:tcPr>
          <w:p>
            <w:pPr>
              <w:pStyle w:val="TableContents"/>
              <w:spacing w:before="0" w:after="283"/>
              <w:rPr>
                <w:sz w:val="4"/>
                <w:szCs w:val="4"/>
              </w:rPr>
            </w:pPr>
            <w:r>
              <w:rPr>
                <w:sz w:val="4"/>
                <w:szCs w:val="4"/>
              </w:rPr>
            </w:r>
          </w:p>
        </w:tc>
        <w:tc>
          <w:tcPr>
            <w:tcW w:w="894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lineRule="auto" w:line="288" w:before="0" w:after="0"/>
              <w:ind w:left="0" w:right="0" w:firstLine="1080"/>
              <w:rPr>
                <w:rFonts w:ascii="inherit" w:hAnsi="inherit"/>
                <w:sz w:val="17"/>
              </w:rPr>
            </w:pPr>
            <w:r>
              <w:rPr>
                <w:rFonts w:ascii="inherit" w:hAnsi="inherit"/>
                <w:sz w:val="17"/>
              </w:rPr>
              <w:t>b.</w:t>
            </w:r>
          </w:p>
        </w:tc>
        <w:tc>
          <w:tcPr>
            <w:tcW w:w="89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250"/>
        <w:gridCol w:w="8955"/>
      </w:tblGrid>
      <w:tr>
        <w:trPr/>
        <w:tc>
          <w:tcPr>
            <w:tcW w:w="1250" w:type="dxa"/>
            <w:tcBorders/>
            <w:shd w:fill="auto" w:val="clear"/>
            <w:vAlign w:val="center"/>
          </w:tcPr>
          <w:p>
            <w:pPr>
              <w:pStyle w:val="TableContents"/>
              <w:spacing w:before="0" w:after="283"/>
              <w:rPr>
                <w:sz w:val="4"/>
                <w:szCs w:val="4"/>
              </w:rPr>
            </w:pPr>
            <w:r>
              <w:rPr>
                <w:sz w:val="4"/>
                <w:szCs w:val="4"/>
              </w:rPr>
            </w:r>
          </w:p>
        </w:tc>
        <w:tc>
          <w:tcPr>
            <w:tcW w:w="8955" w:type="dxa"/>
            <w:tcBorders/>
            <w:shd w:fill="auto" w:val="clear"/>
            <w:vAlign w:val="center"/>
          </w:tcPr>
          <w:p>
            <w:pPr>
              <w:pStyle w:val="TableContents"/>
              <w:spacing w:before="0" w:after="283"/>
              <w:rPr>
                <w:sz w:val="4"/>
                <w:szCs w:val="4"/>
              </w:rPr>
            </w:pPr>
            <w:r>
              <w:rPr>
                <w:sz w:val="4"/>
                <w:szCs w:val="4"/>
              </w:rPr>
            </w:r>
          </w:p>
        </w:tc>
      </w:tr>
      <w:tr>
        <w:trPr/>
        <w:tc>
          <w:tcPr>
            <w:tcW w:w="1250" w:type="dxa"/>
            <w:tcBorders/>
            <w:shd w:fill="auto" w:val="clear"/>
            <w:vAlign w:val="center"/>
          </w:tcPr>
          <w:p>
            <w:pPr>
              <w:pStyle w:val="TableContents"/>
              <w:spacing w:lineRule="auto" w:line="288" w:before="0" w:after="0"/>
              <w:ind w:left="0" w:right="0" w:firstLine="1080"/>
              <w:rPr>
                <w:rFonts w:ascii="inherit" w:hAnsi="inherit"/>
                <w:sz w:val="17"/>
              </w:rPr>
            </w:pPr>
            <w:r>
              <w:rPr>
                <w:rFonts w:ascii="inherit" w:hAnsi="inherit"/>
                <w:sz w:val="17"/>
              </w:rPr>
              <w:t>c.</w:t>
            </w:r>
          </w:p>
        </w:tc>
        <w:tc>
          <w:tcPr>
            <w:tcW w:w="8955" w:type="dxa"/>
            <w:tcBorders/>
            <w:shd w:fill="auto" w:val="clear"/>
            <w:vAlign w:val="center"/>
          </w:tcPr>
          <w:p>
            <w:pPr>
              <w:pStyle w:val="TableContents"/>
              <w:spacing w:lineRule="auto" w:line="288" w:before="0" w:after="0"/>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265"/>
        <w:gridCol w:w="8940"/>
      </w:tblGrid>
      <w:tr>
        <w:trPr/>
        <w:tc>
          <w:tcPr>
            <w:tcW w:w="1265" w:type="dxa"/>
            <w:tcBorders/>
            <w:shd w:fill="auto" w:val="clear"/>
            <w:vAlign w:val="center"/>
          </w:tcPr>
          <w:p>
            <w:pPr>
              <w:pStyle w:val="TableContents"/>
              <w:spacing w:before="0" w:after="283"/>
              <w:rPr>
                <w:sz w:val="4"/>
                <w:szCs w:val="4"/>
              </w:rPr>
            </w:pPr>
            <w:r>
              <w:rPr>
                <w:sz w:val="4"/>
                <w:szCs w:val="4"/>
              </w:rPr>
            </w:r>
          </w:p>
        </w:tc>
        <w:tc>
          <w:tcPr>
            <w:tcW w:w="894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lineRule="auto" w:line="288" w:before="0" w:after="0"/>
              <w:ind w:left="0" w:right="0" w:firstLine="1080"/>
              <w:rPr>
                <w:rFonts w:ascii="inherit" w:hAnsi="inherit"/>
                <w:sz w:val="17"/>
              </w:rPr>
            </w:pPr>
            <w:r>
              <w:rPr>
                <w:rFonts w:ascii="inherit" w:hAnsi="inherit"/>
                <w:sz w:val="17"/>
              </w:rPr>
              <w:t>d.</w:t>
            </w:r>
          </w:p>
        </w:tc>
        <w:tc>
          <w:tcPr>
            <w:tcW w:w="89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517"/>
        <w:gridCol w:w="9688"/>
      </w:tblGrid>
      <w:tr>
        <w:trPr/>
        <w:tc>
          <w:tcPr>
            <w:tcW w:w="517" w:type="dxa"/>
            <w:tcBorders/>
            <w:shd w:fill="auto" w:val="clear"/>
            <w:vAlign w:val="center"/>
          </w:tcPr>
          <w:p>
            <w:pPr>
              <w:pStyle w:val="TableContents"/>
              <w:spacing w:before="0" w:after="283"/>
              <w:rPr>
                <w:sz w:val="4"/>
                <w:szCs w:val="4"/>
              </w:rPr>
            </w:pPr>
            <w:r>
              <w:rPr>
                <w:sz w:val="4"/>
                <w:szCs w:val="4"/>
              </w:rPr>
            </w:r>
          </w:p>
        </w:tc>
        <w:tc>
          <w:tcPr>
            <w:tcW w:w="9688" w:type="dxa"/>
            <w:tcBorders/>
            <w:shd w:fill="auto" w:val="clear"/>
            <w:vAlign w:val="center"/>
          </w:tcPr>
          <w:p>
            <w:pPr>
              <w:pStyle w:val="TableContents"/>
              <w:spacing w:before="0" w:after="283"/>
              <w:rPr>
                <w:sz w:val="4"/>
                <w:szCs w:val="4"/>
              </w:rPr>
            </w:pPr>
            <w:r>
              <w:rPr>
                <w:sz w:val="4"/>
                <w:szCs w:val="4"/>
              </w:rPr>
            </w:r>
          </w:p>
        </w:tc>
      </w:tr>
      <w:tr>
        <w:trPr/>
        <w:tc>
          <w:tcPr>
            <w:tcW w:w="517"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5.</w:t>
            </w:r>
          </w:p>
        </w:tc>
        <w:tc>
          <w:tcPr>
            <w:tcW w:w="968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265"/>
        <w:gridCol w:w="8940"/>
      </w:tblGrid>
      <w:tr>
        <w:trPr/>
        <w:tc>
          <w:tcPr>
            <w:tcW w:w="1265" w:type="dxa"/>
            <w:tcBorders/>
            <w:shd w:fill="auto" w:val="clear"/>
            <w:vAlign w:val="center"/>
          </w:tcPr>
          <w:p>
            <w:pPr>
              <w:pStyle w:val="TableContents"/>
              <w:spacing w:before="0" w:after="283"/>
              <w:rPr>
                <w:sz w:val="4"/>
                <w:szCs w:val="4"/>
              </w:rPr>
            </w:pPr>
            <w:r>
              <w:rPr>
                <w:sz w:val="4"/>
                <w:szCs w:val="4"/>
              </w:rPr>
            </w:r>
          </w:p>
        </w:tc>
        <w:tc>
          <w:tcPr>
            <w:tcW w:w="894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lineRule="auto" w:line="288" w:before="0" w:after="0"/>
              <w:ind w:left="0" w:right="0" w:firstLine="1080"/>
              <w:rPr>
                <w:rFonts w:ascii="inherit" w:hAnsi="inherit"/>
                <w:sz w:val="17"/>
              </w:rPr>
            </w:pPr>
            <w:r>
              <w:rPr>
                <w:rFonts w:ascii="inherit" w:hAnsi="inherit"/>
                <w:sz w:val="17"/>
              </w:rPr>
              <w:t>a.</w:t>
            </w:r>
          </w:p>
        </w:tc>
        <w:tc>
          <w:tcPr>
            <w:tcW w:w="89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265"/>
        <w:gridCol w:w="8940"/>
      </w:tblGrid>
      <w:tr>
        <w:trPr/>
        <w:tc>
          <w:tcPr>
            <w:tcW w:w="1265" w:type="dxa"/>
            <w:tcBorders/>
            <w:shd w:fill="auto" w:val="clear"/>
            <w:vAlign w:val="center"/>
          </w:tcPr>
          <w:p>
            <w:pPr>
              <w:pStyle w:val="TableContents"/>
              <w:spacing w:before="0" w:after="283"/>
              <w:rPr>
                <w:sz w:val="4"/>
                <w:szCs w:val="4"/>
              </w:rPr>
            </w:pPr>
            <w:r>
              <w:rPr>
                <w:sz w:val="4"/>
                <w:szCs w:val="4"/>
              </w:rPr>
            </w:r>
          </w:p>
        </w:tc>
        <w:tc>
          <w:tcPr>
            <w:tcW w:w="894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lineRule="auto" w:line="288" w:before="0" w:after="0"/>
              <w:ind w:left="0" w:right="0" w:firstLine="1080"/>
              <w:rPr>
                <w:rFonts w:ascii="inherit" w:hAnsi="inherit"/>
                <w:sz w:val="17"/>
              </w:rPr>
            </w:pPr>
            <w:r>
              <w:rPr>
                <w:rFonts w:ascii="inherit" w:hAnsi="inherit"/>
                <w:sz w:val="17"/>
              </w:rPr>
              <w:t>b.</w:t>
            </w:r>
          </w:p>
        </w:tc>
        <w:tc>
          <w:tcPr>
            <w:tcW w:w="89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ind w:left="0" w:right="0" w:firstLine="60"/>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Date: </w:t>
      </w:r>
      <w:r>
        <w:rPr>
          <w:rFonts w:ascii="inherit" w:hAnsi="inherit"/>
          <w:strike w:val="false"/>
          <w:dstrike w:val="false"/>
          <w:color w:val="000000"/>
          <w:sz w:val="17"/>
          <w:u w:val="none"/>
          <w:effect w:val="none"/>
        </w:rPr>
        <w:t>November 26, 2013</w:t>
      </w:r>
      <w:r>
        <w:rPr>
          <w:sz w:val="17"/>
        </w:rPr>
        <w:t xml:space="preserve"> </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737"/>
        <w:gridCol w:w="478"/>
        <w:gridCol w:w="445"/>
        <w:gridCol w:w="3545"/>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5737"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5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37" w:type="dxa"/>
            <w:tcBorders/>
            <w:shd w:fill="auto" w:val="clear"/>
            <w:vAlign w:val="center"/>
          </w:tcPr>
          <w:p>
            <w:pPr>
              <w:pStyle w:val="TableContents"/>
              <w:spacing w:before="0" w:after="0"/>
              <w:ind w:left="0" w:right="0" w:firstLine="30"/>
              <w:jc w:val="left"/>
              <w:rPr/>
            </w:pPr>
            <w:r>
              <w:rPr/>
              <w:t> </w:t>
            </w:r>
          </w:p>
        </w:tc>
        <w:tc>
          <w:tcPr>
            <w:tcW w:w="4468" w:type="dxa"/>
            <w:gridSpan w:val="3"/>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r>
      <w:tr>
        <w:trPr/>
        <w:tc>
          <w:tcPr>
            <w:tcW w:w="5737" w:type="dxa"/>
            <w:tcBorders/>
            <w:shd w:fill="auto" w:val="clear"/>
            <w:vAlign w:val="center"/>
          </w:tcPr>
          <w:p>
            <w:pPr>
              <w:pStyle w:val="TableContents"/>
              <w:spacing w:before="0" w:after="0"/>
              <w:ind w:left="0" w:right="0" w:firstLine="30"/>
              <w:jc w:val="left"/>
              <w:rPr/>
            </w:pPr>
            <w:r>
              <w:rPr/>
              <w:t> </w:t>
            </w:r>
          </w:p>
        </w:tc>
        <w:tc>
          <w:tcPr>
            <w:tcW w:w="4468"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 </w:t>
            </w:r>
          </w:p>
        </w:tc>
      </w:tr>
      <w:tr>
        <w:trPr/>
        <w:tc>
          <w:tcPr>
            <w:tcW w:w="5737" w:type="dxa"/>
            <w:tcBorders/>
            <w:shd w:fill="auto" w:val="clear"/>
            <w:vAlign w:val="center"/>
          </w:tcPr>
          <w:p>
            <w:pPr>
              <w:pStyle w:val="TableContents"/>
              <w:spacing w:before="0" w:after="0"/>
              <w:ind w:left="0" w:right="0" w:firstLine="30"/>
              <w:jc w:val="left"/>
              <w:rPr/>
            </w:pPr>
            <w:r>
              <w:rPr/>
              <w:t> </w:t>
            </w:r>
          </w:p>
        </w:tc>
        <w:tc>
          <w:tcPr>
            <w:tcW w:w="4468" w:type="dxa"/>
            <w:gridSpan w:val="3"/>
            <w:tcBorders/>
            <w:shd w:fill="auto" w:val="clear"/>
            <w:vAlign w:val="center"/>
          </w:tcPr>
          <w:p>
            <w:pPr>
              <w:pStyle w:val="TableContents"/>
              <w:spacing w:before="0" w:after="0"/>
              <w:jc w:val="left"/>
              <w:rPr>
                <w:rFonts w:ascii="inherit" w:hAnsi="inherit"/>
                <w:sz w:val="17"/>
              </w:rPr>
            </w:pPr>
            <w:r>
              <w:rPr>
                <w:rFonts w:ascii="inherit" w:hAnsi="inherit"/>
                <w:sz w:val="17"/>
              </w:rPr>
              <w:t>President, Chief Executive Officer and Director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55" w:name="sAC45EA48DE40CFDAC4DE83E2DC2D4520"/>
      <w:bookmarkStart w:id="156" w:name="ezpw_2013930-10kex312.htm"/>
      <w:bookmarkStart w:id="157" w:name="ksezpw_201393010kex312"/>
      <w:bookmarkStart w:id="158" w:name="sAC45EA48DE40CFDAC4DE83E2DC2D4520"/>
      <w:bookmarkStart w:id="159" w:name="ezpw_2013930-10kex312.htm"/>
      <w:bookmarkStart w:id="160" w:name="ksezpw_201393010kex312"/>
      <w:bookmarkEnd w:id="158"/>
      <w:bookmarkEnd w:id="159"/>
      <w:bookmarkEnd w:id="160"/>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31.2</w:t>
      </w:r>
    </w:p>
    <w:p>
      <w:pPr>
        <w:pStyle w:val="TextBody"/>
        <w:spacing w:lineRule="auto" w:line="288" w:before="0" w:after="0"/>
        <w:jc w:val="righ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Certification of Mark E. Kuchenrither, Chief Financial Officer,</w:t>
      </w:r>
    </w:p>
    <w:p>
      <w:pPr>
        <w:pStyle w:val="TextBody"/>
        <w:spacing w:lineRule="auto" w:line="288" w:before="0" w:after="0"/>
        <w:jc w:val="center"/>
        <w:rPr>
          <w:rFonts w:ascii="inherit" w:hAnsi="inherit"/>
          <w:b/>
          <w:sz w:val="17"/>
        </w:rPr>
      </w:pPr>
      <w:r>
        <w:rPr>
          <w:rFonts w:ascii="inherit" w:hAnsi="inherit"/>
          <w:b/>
          <w:sz w:val="17"/>
        </w:rPr>
        <w:t>pursuant to Rule 13a-14(a) under the Securities Exchange Act of 1934,</w:t>
      </w:r>
    </w:p>
    <w:p>
      <w:pPr>
        <w:pStyle w:val="TextBody"/>
        <w:spacing w:lineRule="auto" w:line="288" w:before="0" w:after="0"/>
        <w:jc w:val="center"/>
        <w:rPr>
          <w:rFonts w:ascii="inherit" w:hAnsi="inherit"/>
          <w:b/>
          <w:sz w:val="17"/>
        </w:rPr>
      </w:pPr>
      <w:r>
        <w:rPr>
          <w:rFonts w:ascii="inherit" w:hAnsi="inherit"/>
          <w:b/>
          <w:sz w:val="17"/>
        </w:rPr>
        <w:t>as adopted pursuant to Section 302 of the Sarbanes-Oxley Act of 2002</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I, Mark E. Kuchenrither, certify that:</w:t>
      </w:r>
    </w:p>
    <w:tbl>
      <w:tblPr>
        <w:tblW w:w="6055" w:type="dxa"/>
        <w:jc w:val="left"/>
        <w:tblInd w:w="0" w:type="dxa"/>
        <w:tblCellMar>
          <w:top w:w="0" w:type="dxa"/>
          <w:left w:w="0" w:type="dxa"/>
          <w:bottom w:w="0" w:type="dxa"/>
          <w:right w:w="0" w:type="dxa"/>
        </w:tblCellMar>
      </w:tblPr>
      <w:tblGrid>
        <w:gridCol w:w="545"/>
        <w:gridCol w:w="5510"/>
      </w:tblGrid>
      <w:tr>
        <w:trPr/>
        <w:tc>
          <w:tcPr>
            <w:tcW w:w="545" w:type="dxa"/>
            <w:tcBorders/>
            <w:shd w:fill="auto" w:val="clear"/>
            <w:vAlign w:val="center"/>
          </w:tcPr>
          <w:p>
            <w:pPr>
              <w:pStyle w:val="TableContents"/>
              <w:spacing w:before="0" w:after="283"/>
              <w:rPr>
                <w:sz w:val="4"/>
                <w:szCs w:val="4"/>
              </w:rPr>
            </w:pPr>
            <w:r>
              <w:rPr>
                <w:sz w:val="4"/>
                <w:szCs w:val="4"/>
              </w:rPr>
            </w:r>
          </w:p>
        </w:tc>
        <w:tc>
          <w:tcPr>
            <w:tcW w:w="5510" w:type="dxa"/>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1.</w:t>
            </w:r>
          </w:p>
        </w:tc>
        <w:tc>
          <w:tcPr>
            <w:tcW w:w="55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 have reviewed this Annual Report on Form 10-K of EZCORP, Inc.;</w:t>
            </w:r>
          </w:p>
        </w:tc>
      </w:tr>
    </w:tbl>
    <w:tbl>
      <w:tblPr>
        <w:tblW w:w="10205" w:type="dxa"/>
        <w:jc w:val="left"/>
        <w:tblInd w:w="0" w:type="dxa"/>
        <w:tblCellMar>
          <w:top w:w="0" w:type="dxa"/>
          <w:left w:w="0" w:type="dxa"/>
          <w:bottom w:w="0" w:type="dxa"/>
          <w:right w:w="0" w:type="dxa"/>
        </w:tblCellMar>
      </w:tblPr>
      <w:tblGrid>
        <w:gridCol w:w="515"/>
        <w:gridCol w:w="9690"/>
      </w:tblGrid>
      <w:tr>
        <w:trPr/>
        <w:tc>
          <w:tcPr>
            <w:tcW w:w="515" w:type="dxa"/>
            <w:tcBorders/>
            <w:shd w:fill="auto" w:val="clear"/>
            <w:vAlign w:val="center"/>
          </w:tcPr>
          <w:p>
            <w:pPr>
              <w:pStyle w:val="TableContents"/>
              <w:spacing w:before="0" w:after="283"/>
              <w:rPr>
                <w:sz w:val="4"/>
                <w:szCs w:val="4"/>
              </w:rPr>
            </w:pPr>
            <w:r>
              <w:rPr>
                <w:sz w:val="4"/>
                <w:szCs w:val="4"/>
              </w:rPr>
            </w:r>
          </w:p>
        </w:tc>
        <w:tc>
          <w:tcPr>
            <w:tcW w:w="9690" w:type="dxa"/>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2.</w:t>
            </w:r>
          </w:p>
        </w:tc>
        <w:tc>
          <w:tcPr>
            <w:tcW w:w="96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518"/>
        <w:gridCol w:w="9687"/>
      </w:tblGrid>
      <w:tr>
        <w:trPr/>
        <w:tc>
          <w:tcPr>
            <w:tcW w:w="518" w:type="dxa"/>
            <w:tcBorders/>
            <w:shd w:fill="auto" w:val="clear"/>
            <w:vAlign w:val="center"/>
          </w:tcPr>
          <w:p>
            <w:pPr>
              <w:pStyle w:val="TableContents"/>
              <w:spacing w:before="0" w:after="283"/>
              <w:rPr>
                <w:sz w:val="4"/>
                <w:szCs w:val="4"/>
              </w:rPr>
            </w:pPr>
            <w:r>
              <w:rPr>
                <w:sz w:val="4"/>
                <w:szCs w:val="4"/>
              </w:rPr>
            </w:r>
          </w:p>
        </w:tc>
        <w:tc>
          <w:tcPr>
            <w:tcW w:w="9687" w:type="dxa"/>
            <w:tcBorders/>
            <w:shd w:fill="auto" w:val="clear"/>
            <w:vAlign w:val="center"/>
          </w:tcPr>
          <w:p>
            <w:pPr>
              <w:pStyle w:val="TableContents"/>
              <w:spacing w:before="0" w:after="283"/>
              <w:rPr>
                <w:sz w:val="4"/>
                <w:szCs w:val="4"/>
              </w:rPr>
            </w:pPr>
            <w:r>
              <w:rPr>
                <w:sz w:val="4"/>
                <w:szCs w:val="4"/>
              </w:rPr>
            </w:r>
          </w:p>
        </w:tc>
      </w:tr>
      <w:tr>
        <w:trPr/>
        <w:tc>
          <w:tcPr>
            <w:tcW w:w="518"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3.</w:t>
            </w:r>
          </w:p>
        </w:tc>
        <w:tc>
          <w:tcPr>
            <w:tcW w:w="9687"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515"/>
        <w:gridCol w:w="9690"/>
      </w:tblGrid>
      <w:tr>
        <w:trPr/>
        <w:tc>
          <w:tcPr>
            <w:tcW w:w="515" w:type="dxa"/>
            <w:tcBorders/>
            <w:shd w:fill="auto" w:val="clear"/>
            <w:vAlign w:val="center"/>
          </w:tcPr>
          <w:p>
            <w:pPr>
              <w:pStyle w:val="TableContents"/>
              <w:spacing w:before="0" w:after="283"/>
              <w:rPr>
                <w:sz w:val="4"/>
                <w:szCs w:val="4"/>
              </w:rPr>
            </w:pPr>
            <w:r>
              <w:rPr>
                <w:sz w:val="4"/>
                <w:szCs w:val="4"/>
              </w:rPr>
            </w:r>
          </w:p>
        </w:tc>
        <w:tc>
          <w:tcPr>
            <w:tcW w:w="9690" w:type="dxa"/>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4.</w:t>
            </w:r>
          </w:p>
        </w:tc>
        <w:tc>
          <w:tcPr>
            <w:tcW w:w="96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265"/>
        <w:gridCol w:w="8940"/>
      </w:tblGrid>
      <w:tr>
        <w:trPr/>
        <w:tc>
          <w:tcPr>
            <w:tcW w:w="1265" w:type="dxa"/>
            <w:tcBorders/>
            <w:shd w:fill="auto" w:val="clear"/>
            <w:vAlign w:val="center"/>
          </w:tcPr>
          <w:p>
            <w:pPr>
              <w:pStyle w:val="TableContents"/>
              <w:spacing w:before="0" w:after="283"/>
              <w:rPr>
                <w:sz w:val="4"/>
                <w:szCs w:val="4"/>
              </w:rPr>
            </w:pPr>
            <w:r>
              <w:rPr>
                <w:sz w:val="4"/>
                <w:szCs w:val="4"/>
              </w:rPr>
            </w:r>
          </w:p>
        </w:tc>
        <w:tc>
          <w:tcPr>
            <w:tcW w:w="894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lineRule="auto" w:line="288" w:before="0" w:after="0"/>
              <w:ind w:left="0" w:right="0" w:firstLine="1080"/>
              <w:rPr>
                <w:rFonts w:ascii="inherit" w:hAnsi="inherit"/>
                <w:sz w:val="17"/>
              </w:rPr>
            </w:pPr>
            <w:r>
              <w:rPr>
                <w:rFonts w:ascii="inherit" w:hAnsi="inherit"/>
                <w:sz w:val="17"/>
              </w:rPr>
              <w:t>a.</w:t>
            </w:r>
          </w:p>
        </w:tc>
        <w:tc>
          <w:tcPr>
            <w:tcW w:w="89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265"/>
        <w:gridCol w:w="8940"/>
      </w:tblGrid>
      <w:tr>
        <w:trPr/>
        <w:tc>
          <w:tcPr>
            <w:tcW w:w="1265" w:type="dxa"/>
            <w:tcBorders/>
            <w:shd w:fill="auto" w:val="clear"/>
            <w:vAlign w:val="center"/>
          </w:tcPr>
          <w:p>
            <w:pPr>
              <w:pStyle w:val="TableContents"/>
              <w:spacing w:before="0" w:after="283"/>
              <w:rPr>
                <w:sz w:val="4"/>
                <w:szCs w:val="4"/>
              </w:rPr>
            </w:pPr>
            <w:r>
              <w:rPr>
                <w:sz w:val="4"/>
                <w:szCs w:val="4"/>
              </w:rPr>
            </w:r>
          </w:p>
        </w:tc>
        <w:tc>
          <w:tcPr>
            <w:tcW w:w="894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lineRule="auto" w:line="288" w:before="0" w:after="0"/>
              <w:ind w:left="0" w:right="0" w:firstLine="1080"/>
              <w:rPr>
                <w:rFonts w:ascii="inherit" w:hAnsi="inherit"/>
                <w:sz w:val="17"/>
              </w:rPr>
            </w:pPr>
            <w:r>
              <w:rPr>
                <w:rFonts w:ascii="inherit" w:hAnsi="inherit"/>
                <w:sz w:val="17"/>
              </w:rPr>
              <w:t>b.</w:t>
            </w:r>
          </w:p>
        </w:tc>
        <w:tc>
          <w:tcPr>
            <w:tcW w:w="89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250"/>
        <w:gridCol w:w="8955"/>
      </w:tblGrid>
      <w:tr>
        <w:trPr/>
        <w:tc>
          <w:tcPr>
            <w:tcW w:w="1250" w:type="dxa"/>
            <w:tcBorders/>
            <w:shd w:fill="auto" w:val="clear"/>
            <w:vAlign w:val="center"/>
          </w:tcPr>
          <w:p>
            <w:pPr>
              <w:pStyle w:val="TableContents"/>
              <w:spacing w:before="0" w:after="283"/>
              <w:rPr>
                <w:sz w:val="4"/>
                <w:szCs w:val="4"/>
              </w:rPr>
            </w:pPr>
            <w:r>
              <w:rPr>
                <w:sz w:val="4"/>
                <w:szCs w:val="4"/>
              </w:rPr>
            </w:r>
          </w:p>
        </w:tc>
        <w:tc>
          <w:tcPr>
            <w:tcW w:w="8955" w:type="dxa"/>
            <w:tcBorders/>
            <w:shd w:fill="auto" w:val="clear"/>
            <w:vAlign w:val="center"/>
          </w:tcPr>
          <w:p>
            <w:pPr>
              <w:pStyle w:val="TableContents"/>
              <w:spacing w:before="0" w:after="283"/>
              <w:rPr>
                <w:sz w:val="4"/>
                <w:szCs w:val="4"/>
              </w:rPr>
            </w:pPr>
            <w:r>
              <w:rPr>
                <w:sz w:val="4"/>
                <w:szCs w:val="4"/>
              </w:rPr>
            </w:r>
          </w:p>
        </w:tc>
      </w:tr>
      <w:tr>
        <w:trPr/>
        <w:tc>
          <w:tcPr>
            <w:tcW w:w="1250" w:type="dxa"/>
            <w:tcBorders/>
            <w:shd w:fill="auto" w:val="clear"/>
            <w:vAlign w:val="center"/>
          </w:tcPr>
          <w:p>
            <w:pPr>
              <w:pStyle w:val="TableContents"/>
              <w:spacing w:lineRule="auto" w:line="288" w:before="0" w:after="0"/>
              <w:ind w:left="0" w:right="0" w:firstLine="1080"/>
              <w:rPr>
                <w:rFonts w:ascii="inherit" w:hAnsi="inherit"/>
                <w:sz w:val="17"/>
              </w:rPr>
            </w:pPr>
            <w:r>
              <w:rPr>
                <w:rFonts w:ascii="inherit" w:hAnsi="inherit"/>
                <w:sz w:val="17"/>
              </w:rPr>
              <w:t>c.</w:t>
            </w:r>
          </w:p>
        </w:tc>
        <w:tc>
          <w:tcPr>
            <w:tcW w:w="8955" w:type="dxa"/>
            <w:tcBorders/>
            <w:shd w:fill="auto" w:val="clear"/>
            <w:vAlign w:val="center"/>
          </w:tcPr>
          <w:p>
            <w:pPr>
              <w:pStyle w:val="TableContents"/>
              <w:spacing w:lineRule="auto" w:line="288" w:before="0" w:after="0"/>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265"/>
        <w:gridCol w:w="8940"/>
      </w:tblGrid>
      <w:tr>
        <w:trPr/>
        <w:tc>
          <w:tcPr>
            <w:tcW w:w="1265" w:type="dxa"/>
            <w:tcBorders/>
            <w:shd w:fill="auto" w:val="clear"/>
            <w:vAlign w:val="center"/>
          </w:tcPr>
          <w:p>
            <w:pPr>
              <w:pStyle w:val="TableContents"/>
              <w:spacing w:before="0" w:after="283"/>
              <w:rPr>
                <w:sz w:val="4"/>
                <w:szCs w:val="4"/>
              </w:rPr>
            </w:pPr>
            <w:r>
              <w:rPr>
                <w:sz w:val="4"/>
                <w:szCs w:val="4"/>
              </w:rPr>
            </w:r>
          </w:p>
        </w:tc>
        <w:tc>
          <w:tcPr>
            <w:tcW w:w="894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lineRule="auto" w:line="288" w:before="0" w:after="0"/>
              <w:ind w:left="0" w:right="0" w:firstLine="1080"/>
              <w:rPr>
                <w:rFonts w:ascii="inherit" w:hAnsi="inherit"/>
                <w:sz w:val="17"/>
              </w:rPr>
            </w:pPr>
            <w:r>
              <w:rPr>
                <w:rFonts w:ascii="inherit" w:hAnsi="inherit"/>
                <w:sz w:val="17"/>
              </w:rPr>
              <w:t>d.</w:t>
            </w:r>
          </w:p>
        </w:tc>
        <w:tc>
          <w:tcPr>
            <w:tcW w:w="89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517"/>
        <w:gridCol w:w="9688"/>
      </w:tblGrid>
      <w:tr>
        <w:trPr/>
        <w:tc>
          <w:tcPr>
            <w:tcW w:w="517" w:type="dxa"/>
            <w:tcBorders/>
            <w:shd w:fill="auto" w:val="clear"/>
            <w:vAlign w:val="center"/>
          </w:tcPr>
          <w:p>
            <w:pPr>
              <w:pStyle w:val="TableContents"/>
              <w:spacing w:before="0" w:after="283"/>
              <w:rPr>
                <w:sz w:val="4"/>
                <w:szCs w:val="4"/>
              </w:rPr>
            </w:pPr>
            <w:r>
              <w:rPr>
                <w:sz w:val="4"/>
                <w:szCs w:val="4"/>
              </w:rPr>
            </w:r>
          </w:p>
        </w:tc>
        <w:tc>
          <w:tcPr>
            <w:tcW w:w="9688" w:type="dxa"/>
            <w:tcBorders/>
            <w:shd w:fill="auto" w:val="clear"/>
            <w:vAlign w:val="center"/>
          </w:tcPr>
          <w:p>
            <w:pPr>
              <w:pStyle w:val="TableContents"/>
              <w:spacing w:before="0" w:after="283"/>
              <w:rPr>
                <w:sz w:val="4"/>
                <w:szCs w:val="4"/>
              </w:rPr>
            </w:pPr>
            <w:r>
              <w:rPr>
                <w:sz w:val="4"/>
                <w:szCs w:val="4"/>
              </w:rPr>
            </w:r>
          </w:p>
        </w:tc>
      </w:tr>
      <w:tr>
        <w:trPr/>
        <w:tc>
          <w:tcPr>
            <w:tcW w:w="517"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5.</w:t>
            </w:r>
          </w:p>
        </w:tc>
        <w:tc>
          <w:tcPr>
            <w:tcW w:w="9688"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265"/>
        <w:gridCol w:w="8940"/>
      </w:tblGrid>
      <w:tr>
        <w:trPr/>
        <w:tc>
          <w:tcPr>
            <w:tcW w:w="1265" w:type="dxa"/>
            <w:tcBorders/>
            <w:shd w:fill="auto" w:val="clear"/>
            <w:vAlign w:val="center"/>
          </w:tcPr>
          <w:p>
            <w:pPr>
              <w:pStyle w:val="TableContents"/>
              <w:spacing w:before="0" w:after="283"/>
              <w:rPr>
                <w:sz w:val="4"/>
                <w:szCs w:val="4"/>
              </w:rPr>
            </w:pPr>
            <w:r>
              <w:rPr>
                <w:sz w:val="4"/>
                <w:szCs w:val="4"/>
              </w:rPr>
            </w:r>
          </w:p>
        </w:tc>
        <w:tc>
          <w:tcPr>
            <w:tcW w:w="894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lineRule="auto" w:line="288" w:before="0" w:after="0"/>
              <w:ind w:left="0" w:right="0" w:firstLine="1080"/>
              <w:rPr>
                <w:rFonts w:ascii="inherit" w:hAnsi="inherit"/>
                <w:sz w:val="17"/>
              </w:rPr>
            </w:pPr>
            <w:r>
              <w:rPr>
                <w:rFonts w:ascii="inherit" w:hAnsi="inherit"/>
                <w:sz w:val="17"/>
              </w:rPr>
              <w:t>a.</w:t>
            </w:r>
          </w:p>
        </w:tc>
        <w:tc>
          <w:tcPr>
            <w:tcW w:w="89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265"/>
        <w:gridCol w:w="8940"/>
      </w:tblGrid>
      <w:tr>
        <w:trPr/>
        <w:tc>
          <w:tcPr>
            <w:tcW w:w="1265" w:type="dxa"/>
            <w:tcBorders/>
            <w:shd w:fill="auto" w:val="clear"/>
            <w:vAlign w:val="center"/>
          </w:tcPr>
          <w:p>
            <w:pPr>
              <w:pStyle w:val="TableContents"/>
              <w:spacing w:before="0" w:after="283"/>
              <w:rPr>
                <w:sz w:val="4"/>
                <w:szCs w:val="4"/>
              </w:rPr>
            </w:pPr>
            <w:r>
              <w:rPr>
                <w:sz w:val="4"/>
                <w:szCs w:val="4"/>
              </w:rPr>
            </w:r>
          </w:p>
        </w:tc>
        <w:tc>
          <w:tcPr>
            <w:tcW w:w="894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center"/>
          </w:tcPr>
          <w:p>
            <w:pPr>
              <w:pStyle w:val="TableContents"/>
              <w:spacing w:lineRule="auto" w:line="288" w:before="0" w:after="0"/>
              <w:ind w:left="0" w:right="0" w:firstLine="1080"/>
              <w:rPr>
                <w:rFonts w:ascii="inherit" w:hAnsi="inherit"/>
                <w:sz w:val="17"/>
              </w:rPr>
            </w:pPr>
            <w:r>
              <w:rPr>
                <w:rFonts w:ascii="inherit" w:hAnsi="inherit"/>
                <w:sz w:val="17"/>
              </w:rPr>
              <w:t>b.</w:t>
            </w:r>
          </w:p>
        </w:tc>
        <w:tc>
          <w:tcPr>
            <w:tcW w:w="89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Date: </w:t>
      </w:r>
      <w:r>
        <w:rPr>
          <w:rFonts w:ascii="inherit" w:hAnsi="inherit"/>
          <w:strike w:val="false"/>
          <w:dstrike w:val="false"/>
          <w:color w:val="000000"/>
          <w:sz w:val="17"/>
          <w:u w:val="none"/>
          <w:effect w:val="none"/>
        </w:rPr>
        <w:t>November 26, 2013</w:t>
      </w:r>
      <w:r>
        <w:rPr>
          <w:sz w:val="17"/>
        </w:rPr>
        <w:t xml:space="preserve"> </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764"/>
        <w:gridCol w:w="442"/>
        <w:gridCol w:w="442"/>
        <w:gridCol w:w="3557"/>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576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55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64" w:type="dxa"/>
            <w:tcBorders/>
            <w:shd w:fill="auto" w:val="clear"/>
            <w:vAlign w:val="center"/>
          </w:tcPr>
          <w:p>
            <w:pPr>
              <w:pStyle w:val="TableContents"/>
              <w:spacing w:before="0" w:after="0"/>
              <w:ind w:left="0" w:right="0" w:firstLine="30"/>
              <w:jc w:val="left"/>
              <w:rPr/>
            </w:pPr>
            <w:r>
              <w:rPr/>
              <w:t> </w:t>
            </w:r>
          </w:p>
        </w:tc>
        <w:tc>
          <w:tcPr>
            <w:tcW w:w="4441" w:type="dxa"/>
            <w:gridSpan w:val="3"/>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r>
      <w:tr>
        <w:trPr/>
        <w:tc>
          <w:tcPr>
            <w:tcW w:w="5764" w:type="dxa"/>
            <w:tcBorders/>
            <w:shd w:fill="auto" w:val="clear"/>
            <w:vAlign w:val="center"/>
          </w:tcPr>
          <w:p>
            <w:pPr>
              <w:pStyle w:val="TableContents"/>
              <w:spacing w:before="0" w:after="0"/>
              <w:ind w:left="0" w:right="0" w:firstLine="30"/>
              <w:jc w:val="left"/>
              <w:rPr/>
            </w:pPr>
            <w:r>
              <w:rPr/>
              <w:t> </w:t>
            </w:r>
          </w:p>
        </w:tc>
        <w:tc>
          <w:tcPr>
            <w:tcW w:w="4441"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Mark E. Kuchenrither</w:t>
            </w:r>
          </w:p>
        </w:tc>
      </w:tr>
      <w:tr>
        <w:trPr/>
        <w:tc>
          <w:tcPr>
            <w:tcW w:w="5764" w:type="dxa"/>
            <w:tcBorders/>
            <w:shd w:fill="auto" w:val="clear"/>
            <w:vAlign w:val="center"/>
          </w:tcPr>
          <w:p>
            <w:pPr>
              <w:pStyle w:val="TableContents"/>
              <w:spacing w:before="0" w:after="0"/>
              <w:ind w:left="0" w:right="0" w:firstLine="30"/>
              <w:jc w:val="left"/>
              <w:rPr/>
            </w:pPr>
            <w:r>
              <w:rPr/>
              <w:t> </w:t>
            </w:r>
          </w:p>
        </w:tc>
        <w:tc>
          <w:tcPr>
            <w:tcW w:w="4441" w:type="dxa"/>
            <w:gridSpan w:val="3"/>
            <w:tcBorders/>
            <w:shd w:fill="auto" w:val="clear"/>
            <w:vAlign w:val="center"/>
          </w:tcPr>
          <w:p>
            <w:pPr>
              <w:pStyle w:val="TableContents"/>
              <w:spacing w:before="0" w:after="0"/>
              <w:jc w:val="left"/>
              <w:rPr>
                <w:rFonts w:ascii="inherit" w:hAnsi="inherit"/>
                <w:sz w:val="17"/>
              </w:rPr>
            </w:pPr>
            <w:r>
              <w:rPr>
                <w:rFonts w:ascii="inherit" w:hAnsi="inherit"/>
                <w:sz w:val="17"/>
              </w:rPr>
              <w:t>Executive Vice President and</w:t>
              <w:br/>
              <w:t>Chief Financial Officer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61" w:name="sB368FD2819138E4F7ABB83E2DCD78AA3"/>
      <w:bookmarkStart w:id="162" w:name="ezpw_2013930-10kex321.htm"/>
      <w:bookmarkStart w:id="163" w:name="ksezpw_201393010kex321"/>
      <w:bookmarkStart w:id="164" w:name="sB368FD2819138E4F7ABB83E2DCD78AA3"/>
      <w:bookmarkStart w:id="165" w:name="ezpw_2013930-10kex321.htm"/>
      <w:bookmarkStart w:id="166" w:name="ksezpw_201393010kex321"/>
      <w:bookmarkEnd w:id="164"/>
      <w:bookmarkEnd w:id="165"/>
      <w:bookmarkEnd w:id="166"/>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32.1</w:t>
      </w:r>
    </w:p>
    <w:p>
      <w:pPr>
        <w:pStyle w:val="TextBody"/>
        <w:spacing w:lineRule="auto" w:line="288" w:before="0" w:after="0"/>
        <w:jc w:val="righ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Certifications of Paul E. Rothamel, Chief Executive Officer, and</w:t>
      </w:r>
    </w:p>
    <w:p>
      <w:pPr>
        <w:pStyle w:val="TextBody"/>
        <w:spacing w:lineRule="auto" w:line="288" w:before="0" w:after="0"/>
        <w:jc w:val="center"/>
        <w:rPr>
          <w:rFonts w:ascii="inherit" w:hAnsi="inherit"/>
          <w:b/>
          <w:sz w:val="17"/>
        </w:rPr>
      </w:pPr>
      <w:r>
        <w:rPr>
          <w:rFonts w:ascii="inherit" w:hAnsi="inherit"/>
          <w:b/>
          <w:sz w:val="17"/>
        </w:rPr>
        <w:t>Mark E. Kuchenrither, Executive Vice President and Chief Financial Officer, pursuant to 18 U.S.C. Section 1350, as adopted pursuant to Section 906 of the Sarbanes-Oxley Act of 2002</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The undersigned officers of EZCORP, Inc. hereby certify that (a) EZCORP’s Annual Report on Form 10-K for the year ended </w:t>
      </w:r>
      <w:r>
        <w:rPr>
          <w:rFonts w:ascii="inherit" w:hAnsi="inherit"/>
          <w:strike w:val="false"/>
          <w:dstrike w:val="false"/>
          <w:color w:val="000000"/>
          <w:sz w:val="17"/>
          <w:u w:val="none"/>
          <w:effect w:val="none"/>
        </w:rPr>
        <w:t>September 30, 2013</w:t>
      </w:r>
      <w:r>
        <w:rPr>
          <w:rFonts w:ascii="inherit" w:hAnsi="inherit"/>
          <w:sz w:val="17"/>
        </w:rPr>
        <w:t>,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Date: </w:t>
      </w:r>
      <w:r>
        <w:rPr>
          <w:rFonts w:ascii="inherit" w:hAnsi="inherit"/>
          <w:strike w:val="false"/>
          <w:dstrike w:val="false"/>
          <w:color w:val="000000"/>
          <w:sz w:val="17"/>
          <w:u w:val="none"/>
          <w:effect w:val="none"/>
        </w:rPr>
        <w:t>November 26, 2013</w:t>
      </w:r>
      <w:r>
        <w:rPr>
          <w:sz w:val="17"/>
        </w:rPr>
        <w:t xml:space="preserve"> </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757"/>
        <w:gridCol w:w="446"/>
        <w:gridCol w:w="446"/>
        <w:gridCol w:w="3556"/>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5757"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355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57" w:type="dxa"/>
            <w:tcBorders/>
            <w:shd w:fill="auto" w:val="clear"/>
            <w:vAlign w:val="center"/>
          </w:tcPr>
          <w:p>
            <w:pPr>
              <w:pStyle w:val="TableContents"/>
              <w:spacing w:before="0" w:after="0"/>
              <w:ind w:left="0" w:right="0" w:firstLine="30"/>
              <w:jc w:val="left"/>
              <w:rPr/>
            </w:pPr>
            <w:r>
              <w:rPr/>
              <w:t> </w:t>
            </w:r>
          </w:p>
        </w:tc>
        <w:tc>
          <w:tcPr>
            <w:tcW w:w="4448" w:type="dxa"/>
            <w:gridSpan w:val="3"/>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r>
      <w:tr>
        <w:trPr/>
        <w:tc>
          <w:tcPr>
            <w:tcW w:w="5757" w:type="dxa"/>
            <w:tcBorders/>
            <w:shd w:fill="auto" w:val="clear"/>
            <w:vAlign w:val="center"/>
          </w:tcPr>
          <w:p>
            <w:pPr>
              <w:pStyle w:val="TableContents"/>
              <w:spacing w:before="0" w:after="0"/>
              <w:ind w:left="0" w:right="0" w:firstLine="30"/>
              <w:jc w:val="left"/>
              <w:rPr/>
            </w:pPr>
            <w:r>
              <w:rPr/>
              <w:t> </w:t>
            </w:r>
          </w:p>
        </w:tc>
        <w:tc>
          <w:tcPr>
            <w:tcW w:w="4448"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 </w:t>
            </w:r>
          </w:p>
        </w:tc>
      </w:tr>
      <w:tr>
        <w:trPr/>
        <w:tc>
          <w:tcPr>
            <w:tcW w:w="5757" w:type="dxa"/>
            <w:tcBorders/>
            <w:shd w:fill="auto" w:val="clear"/>
            <w:vAlign w:val="center"/>
          </w:tcPr>
          <w:p>
            <w:pPr>
              <w:pStyle w:val="TableContents"/>
              <w:spacing w:before="0" w:after="0"/>
              <w:ind w:left="0" w:right="0" w:firstLine="30"/>
              <w:jc w:val="left"/>
              <w:rPr/>
            </w:pPr>
            <w:r>
              <w:rPr/>
              <w:t> </w:t>
            </w:r>
          </w:p>
        </w:tc>
        <w:tc>
          <w:tcPr>
            <w:tcW w:w="4448" w:type="dxa"/>
            <w:gridSpan w:val="3"/>
            <w:tcBorders/>
            <w:shd w:fill="auto" w:val="clear"/>
            <w:vAlign w:val="center"/>
          </w:tcPr>
          <w:p>
            <w:pPr>
              <w:pStyle w:val="TableContents"/>
              <w:spacing w:before="0" w:after="0"/>
              <w:jc w:val="left"/>
              <w:rPr>
                <w:rFonts w:ascii="inherit" w:hAnsi="inherit"/>
                <w:sz w:val="17"/>
              </w:rPr>
            </w:pPr>
            <w:r>
              <w:rPr>
                <w:rFonts w:ascii="inherit" w:hAnsi="inherit"/>
                <w:sz w:val="17"/>
              </w:rPr>
              <w:t>President, Chief Executive Officer and Director</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Date: </w:t>
      </w:r>
      <w:r>
        <w:rPr>
          <w:rFonts w:ascii="inherit" w:hAnsi="inherit"/>
          <w:strike w:val="false"/>
          <w:dstrike w:val="false"/>
          <w:color w:val="000000"/>
          <w:sz w:val="17"/>
          <w:u w:val="none"/>
          <w:effect w:val="none"/>
        </w:rPr>
        <w:t>November 26, 2013</w:t>
      </w:r>
      <w:r>
        <w:rPr>
          <w:sz w:val="17"/>
        </w:rPr>
        <w:t xml:space="preserve"> </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764"/>
        <w:gridCol w:w="442"/>
        <w:gridCol w:w="442"/>
        <w:gridCol w:w="3557"/>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576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55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64" w:type="dxa"/>
            <w:tcBorders/>
            <w:shd w:fill="auto" w:val="clear"/>
            <w:vAlign w:val="center"/>
          </w:tcPr>
          <w:p>
            <w:pPr>
              <w:pStyle w:val="TableContents"/>
              <w:spacing w:before="0" w:after="0"/>
              <w:ind w:left="0" w:right="0" w:firstLine="30"/>
              <w:jc w:val="left"/>
              <w:rPr/>
            </w:pPr>
            <w:r>
              <w:rPr/>
              <w:t> </w:t>
            </w:r>
          </w:p>
        </w:tc>
        <w:tc>
          <w:tcPr>
            <w:tcW w:w="4441" w:type="dxa"/>
            <w:gridSpan w:val="3"/>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r>
      <w:tr>
        <w:trPr/>
        <w:tc>
          <w:tcPr>
            <w:tcW w:w="5764" w:type="dxa"/>
            <w:tcBorders/>
            <w:shd w:fill="auto" w:val="clear"/>
            <w:vAlign w:val="center"/>
          </w:tcPr>
          <w:p>
            <w:pPr>
              <w:pStyle w:val="TableContents"/>
              <w:spacing w:before="0" w:after="0"/>
              <w:ind w:left="0" w:right="0" w:firstLine="30"/>
              <w:jc w:val="left"/>
              <w:rPr/>
            </w:pPr>
            <w:r>
              <w:rPr/>
              <w:t> </w:t>
            </w:r>
          </w:p>
        </w:tc>
        <w:tc>
          <w:tcPr>
            <w:tcW w:w="4441"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Mark Kuchenrither</w:t>
            </w:r>
          </w:p>
        </w:tc>
      </w:tr>
      <w:tr>
        <w:trPr/>
        <w:tc>
          <w:tcPr>
            <w:tcW w:w="5764" w:type="dxa"/>
            <w:tcBorders/>
            <w:shd w:fill="auto" w:val="clear"/>
            <w:vAlign w:val="center"/>
          </w:tcPr>
          <w:p>
            <w:pPr>
              <w:pStyle w:val="TableContents"/>
              <w:spacing w:before="0" w:after="0"/>
              <w:ind w:left="0" w:right="0" w:firstLine="30"/>
              <w:jc w:val="left"/>
              <w:rPr/>
            </w:pPr>
            <w:r>
              <w:rPr/>
              <w:t> </w:t>
            </w:r>
          </w:p>
        </w:tc>
        <w:tc>
          <w:tcPr>
            <w:tcW w:w="4441" w:type="dxa"/>
            <w:gridSpan w:val="3"/>
            <w:tcBorders/>
            <w:shd w:fill="auto" w:val="clear"/>
            <w:vAlign w:val="center"/>
          </w:tcPr>
          <w:p>
            <w:pPr>
              <w:pStyle w:val="TableContents"/>
              <w:spacing w:before="0" w:after="0"/>
              <w:rPr>
                <w:rFonts w:ascii="inherit" w:hAnsi="inherit"/>
                <w:sz w:val="17"/>
              </w:rPr>
            </w:pPr>
            <w:r>
              <w:rPr>
                <w:rFonts w:ascii="inherit" w:hAnsi="inherit"/>
                <w:sz w:val="17"/>
              </w:rPr>
              <w:t>Executive Vice President and</w:t>
            </w:r>
          </w:p>
          <w:p>
            <w:pPr>
              <w:pStyle w:val="TableContents"/>
              <w:spacing w:before="0" w:after="0"/>
              <w:rPr>
                <w:rFonts w:ascii="inherit" w:hAnsi="inherit"/>
                <w:sz w:val="17"/>
              </w:rPr>
            </w:pPr>
            <w:r>
              <w:rPr>
                <w:rFonts w:ascii="inherit" w:hAnsi="inherit"/>
                <w:sz w:val="17"/>
              </w:rPr>
              <w:t>Chief Financial Officer </w:t>
            </w:r>
          </w:p>
        </w:tc>
      </w:tr>
    </w:tbl>
    <w:p>
      <w:pPr>
        <w:pStyle w:val="TextBody"/>
        <w:spacing w:before="0" w:after="0"/>
        <w:rPr/>
      </w:pPr>
      <w:r>
        <w:rPr/>
      </w:r>
    </w:p>
    <w:p>
      <w:pPr>
        <w:pStyle w:val="TextBody"/>
        <w:spacing w:lineRule="auto" w:line="288" w:before="0" w:after="283"/>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152</Pages>
  <Words>79839</Words>
  <CharactersWithSpaces>513860</CharactersWithSpaces>
  <Paragraphs>15432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