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723265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32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34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August 13, 2015</w:t>
      </w:r>
    </w:p>
    <w:p>
      <w:pPr>
        <w:spacing w:after="0" w:line="32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318"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354"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460" w:type="dxa"/>
            <w:vAlign w:val="bottom"/>
          </w:tcPr>
          <w:p>
            <w:pPr>
              <w:spacing w:after="0"/>
              <w:rPr>
                <w:sz w:val="20"/>
                <w:szCs w:val="20"/>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r>
        <w:trPr>
          <w:trHeight w:val="702"/>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6"/>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552"/>
        </w:trPr>
        <w:tc>
          <w:tcPr>
            <w:tcW w:w="1880" w:type="dxa"/>
            <w:vAlign w:val="bottom"/>
          </w:tcPr>
          <w:p>
            <w:pPr>
              <w:spacing w:after="0"/>
              <w:rPr>
                <w:sz w:val="24"/>
                <w:szCs w:val="24"/>
                <w:color w:val="auto"/>
              </w:rPr>
            </w:pPr>
          </w:p>
        </w:tc>
        <w:tc>
          <w:tcPr>
            <w:tcW w:w="5740" w:type="dxa"/>
            <w:vAlign w:val="bottom"/>
          </w:tcPr>
          <w:p>
            <w:pPr>
              <w:jc w:val="center"/>
              <w:ind w:right="16"/>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488"/>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24"/>
                <w:szCs w:val="24"/>
                <w:color w:val="auto"/>
              </w:rPr>
            </w:pPr>
          </w:p>
        </w:tc>
      </w:tr>
      <w:tr>
        <w:trPr>
          <w:trHeight w:val="539"/>
        </w:trPr>
        <w:tc>
          <w:tcPr>
            <w:tcW w:w="1880" w:type="dxa"/>
            <w:vAlign w:val="bottom"/>
          </w:tcPr>
          <w:p>
            <w:pPr>
              <w:spacing w:after="0"/>
              <w:rPr>
                <w:sz w:val="24"/>
                <w:szCs w:val="24"/>
                <w:color w:val="auto"/>
              </w:rPr>
            </w:pPr>
          </w:p>
        </w:tc>
        <w:tc>
          <w:tcPr>
            <w:tcW w:w="5740" w:type="dxa"/>
            <w:vAlign w:val="bottom"/>
          </w:tcPr>
          <w:p>
            <w:pPr>
              <w:jc w:val="center"/>
              <w:ind w:right="36"/>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540"/>
        </w:trPr>
        <w:tc>
          <w:tcPr>
            <w:tcW w:w="1880" w:type="dxa"/>
            <w:vAlign w:val="bottom"/>
          </w:tcPr>
          <w:p>
            <w:pPr>
              <w:spacing w:after="0"/>
              <w:rPr>
                <w:sz w:val="24"/>
                <w:szCs w:val="24"/>
                <w:color w:val="auto"/>
              </w:rPr>
            </w:pPr>
          </w:p>
        </w:tc>
        <w:tc>
          <w:tcPr>
            <w:tcW w:w="5740" w:type="dxa"/>
            <w:vAlign w:val="bottom"/>
          </w:tcPr>
          <w:p>
            <w:pPr>
              <w:jc w:val="center"/>
              <w:ind w:right="76"/>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60"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ectPr>
          <w:pgSz w:w="11900" w:h="16838" w:orient="portrait"/>
          <w:cols w:equalWidth="0" w:num="1">
            <w:col w:w="11300"/>
          </w:cols>
          <w:pgMar w:left="240" w:top="1440" w:right="359" w:bottom="0" w:gutter="0" w:footer="0" w:header="0"/>
        </w:sectPr>
      </w:pPr>
    </w:p>
    <w:bookmarkStart w:id="1" w:name="page2"/>
    <w:bookmarkEnd w:id="1"/>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07" w:lineRule="exact"/>
        <w:rPr>
          <w:rFonts w:ascii="Arial" w:cs="Arial" w:eastAsia="Arial" w:hAnsi="Arial"/>
          <w:sz w:val="16"/>
          <w:szCs w:val="16"/>
          <w:color w:val="auto"/>
        </w:rPr>
      </w:pPr>
    </w:p>
    <w:p>
      <w:pPr>
        <w:ind w:left="585" w:hanging="585"/>
        <w:spacing w:after="0"/>
        <w:tabs>
          <w:tab w:leader="none" w:pos="585" w:val="left"/>
        </w:tabs>
        <w:numPr>
          <w:ilvl w:val="0"/>
          <w:numId w:val="2"/>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132080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4"/>
          </w:cols>
          <w:pgMar w:left="275" w:top="125" w:right="1440" w:bottom="1440" w:gutter="0" w:footer="0" w:header="0"/>
        </w:sectPr>
      </w:pPr>
    </w:p>
    <w:bookmarkStart w:id="2" w:name="page3"/>
    <w:bookmarkEnd w:id="2"/>
    <w:p>
      <w:pPr>
        <w:ind w:right="620"/>
        <w:spacing w:after="0" w:line="282" w:lineRule="auto"/>
        <w:rPr>
          <w:sz w:val="20"/>
          <w:szCs w:val="20"/>
          <w:color w:val="auto"/>
        </w:rPr>
      </w:pPr>
      <w:r>
        <w:rPr>
          <w:rFonts w:ascii="Arial" w:cs="Arial" w:eastAsia="Arial" w:hAnsi="Arial"/>
          <w:sz w:val="18"/>
          <w:szCs w:val="18"/>
          <w:b w:val="1"/>
          <w:bCs w:val="1"/>
          <w:color w:val="auto"/>
        </w:rPr>
        <w:t>ITEM 3.01 — NOTICE OF DELISTING OR FAILURE TO SATISFY A CONTINUED LISTING RULE OR STANDARD; TRANSFER OF LISTING</w:t>
      </w:r>
    </w:p>
    <w:p>
      <w:pPr>
        <w:spacing w:after="0" w:line="1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August 13, 2015, EZCORP, Inc. (“we” or the “company”) received a written notice from The Nasdaq Stock Market stating that, due to the failure to timely file our Quarterly Report on Form 10-Q for the third quarter of fiscal 2015, we do not comply with Nasdaq Listing Rule 5250(c)(1). This notice was expected and follows a similar notice that we received on May 14, 2015 relating to the failure to timely file our Quarterly Report on Form 10-Q for the second quarter of fiscal 2015.</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previously disclosed, on July 13, 2015, we submitted a plan to regain compliance and requested an exception to Rule 5250(c)(1) pending completion of that plan. On July 22, 2015, we received notification that the Nasdaq Staff has granted us an exception subject to the condition that, on or before November 9, 2015, we must have filed all delinquent filings with the Securities and Exchange Commission (the "SEC") as required by Rule 5250(c)(1). We currently believe that we will be able to regain compliance within the timeframe allowed by the exception.</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18, 2015, as required by Nasdaq, we issued a press release announcing the receipt of the additional deficiency notice. A copy of that press release is filed as Exhibit 99.1.</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Forward-Looking Statement — </w:t>
      </w:r>
      <w:r>
        <w:rPr>
          <w:rFonts w:ascii="Arial" w:cs="Arial" w:eastAsia="Arial" w:hAnsi="Arial"/>
          <w:sz w:val="18"/>
          <w:szCs w:val="18"/>
          <w:color w:val="auto"/>
        </w:rPr>
        <w:t>The statement above regarding our ability to regain compliance within the timeframe allowed by the exception granted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Nasdaq Staff is a forward-looking statement that is based on our current expectations. Actual results could differ materially from those expressed or implied by the forward-looking statement due to a number of uncertainties and other factors, including the timing of the completion of our review and analysis of accounting issues in our Grupo Finmart loan portfolio. For a discussion of this and other factors affecting our business and prospects, see our annual, quarterly and other reports filed with the SEC.</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24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18, 2015, announcing receipt of additional delinquency notice from The Nasdaq Stock Market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EZCORP, INC.</w:t>
      </w:r>
    </w:p>
    <w:p>
      <w:pPr>
        <w:spacing w:after="0" w:line="252" w:lineRule="exact"/>
        <w:rPr>
          <w:sz w:val="20"/>
          <w:szCs w:val="20"/>
          <w:color w:val="auto"/>
        </w:rPr>
      </w:pPr>
    </w:p>
    <w:p>
      <w:pPr>
        <w:ind w:left="40"/>
        <w:spacing w:after="0"/>
        <w:tabs>
          <w:tab w:leader="none" w:pos="6760" w:val="left"/>
          <w:tab w:leader="none" w:pos="7220" w:val="left"/>
        </w:tabs>
        <w:rPr>
          <w:sz w:val="20"/>
          <w:szCs w:val="20"/>
          <w:color w:val="auto"/>
        </w:rPr>
      </w:pPr>
      <w:r>
        <w:rPr>
          <w:rFonts w:ascii="Arial" w:cs="Arial" w:eastAsia="Arial" w:hAnsi="Arial"/>
          <w:sz w:val="18"/>
          <w:szCs w:val="18"/>
          <w:color w:val="auto"/>
        </w:rPr>
        <w:t>Date: August 18,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Senior Vice President,</w:t>
      </w:r>
    </w:p>
    <w:p>
      <w:pPr>
        <w:spacing w:after="0" w:line="6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General Counsel and Secretary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742"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80" w:type="dxa"/>
            <w:vAlign w:val="bottom"/>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Exhibit</w:t>
            </w:r>
          </w:p>
        </w:tc>
        <w:tc>
          <w:tcPr>
            <w:tcW w:w="10480" w:type="dxa"/>
            <w:vAlign w:val="bottom"/>
          </w:tcPr>
          <w:p>
            <w:pPr>
              <w:spacing w:after="0"/>
              <w:rPr>
                <w:sz w:val="24"/>
                <w:szCs w:val="24"/>
                <w:color w:val="auto"/>
              </w:rPr>
            </w:pPr>
          </w:p>
        </w:tc>
      </w:tr>
      <w:tr>
        <w:trPr>
          <w:trHeight w:val="234"/>
        </w:trPr>
        <w:tc>
          <w:tcPr>
            <w:tcW w:w="9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No.</w:t>
            </w:r>
          </w:p>
        </w:tc>
        <w:tc>
          <w:tcPr>
            <w:tcW w:w="1048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80" w:type="dxa"/>
            <w:vAlign w:val="bottom"/>
            <w:tcBorders>
              <w:bottom w:val="single" w:sz="8" w:color="auto"/>
            </w:tcBorders>
          </w:tcPr>
          <w:p>
            <w:pPr>
              <w:spacing w:after="0"/>
              <w:rPr>
                <w:sz w:val="2"/>
                <w:szCs w:val="2"/>
                <w:color w:val="auto"/>
              </w:rPr>
            </w:pPr>
          </w:p>
        </w:tc>
      </w:tr>
      <w:tr>
        <w:trPr>
          <w:trHeight w:val="561"/>
        </w:trPr>
        <w:tc>
          <w:tcPr>
            <w:tcW w:w="80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4"/>
                <w:szCs w:val="24"/>
                <w:color w:val="auto"/>
              </w:rPr>
            </w:pPr>
          </w:p>
        </w:tc>
        <w:tc>
          <w:tcPr>
            <w:tcW w:w="10480" w:type="dxa"/>
            <w:vAlign w:val="bottom"/>
          </w:tcPr>
          <w:p>
            <w:pPr>
              <w:ind w:left="20"/>
              <w:spacing w:after="0"/>
              <w:rPr>
                <w:sz w:val="20"/>
                <w:szCs w:val="20"/>
                <w:color w:val="auto"/>
              </w:rPr>
            </w:pPr>
            <w:r>
              <w:rPr>
                <w:rFonts w:ascii="Arial" w:cs="Arial" w:eastAsia="Arial" w:hAnsi="Arial"/>
                <w:sz w:val="18"/>
                <w:szCs w:val="18"/>
                <w:color w:val="auto"/>
              </w:rPr>
              <w:t>Press release, dated August 18, 2015, announcing receipt of additional delinquency notice from The Nasdaq Stock Market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51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51790"/>
                    </a:xfrm>
                    <a:prstGeom prst="rect">
                      <a:avLst/>
                    </a:prstGeom>
                    <a:noFill/>
                  </pic:spPr>
                </pic:pic>
              </a:graphicData>
            </a:graphic>
          </wp:anchor>
        </w:drawing>
        <w:t>EZCORP RECEIVES ADDITIONAL NASDAQ DEFICIENCY NOTICE</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b w:val="1"/>
          <w:bCs w:val="1"/>
          <w:color w:val="auto"/>
        </w:rPr>
        <w:t xml:space="preserve">AUSTIN, Texas </w:t>
      </w:r>
      <w:r>
        <w:rPr>
          <w:rFonts w:ascii="Arial" w:cs="Arial" w:eastAsia="Arial" w:hAnsi="Arial"/>
          <w:sz w:val="20"/>
          <w:szCs w:val="20"/>
          <w:color w:val="auto"/>
        </w:rPr>
        <w:t>(August 18, 2015) - On August 13, 2015, EZCORP, Inc. (NASDAQ: EZPW) received a written notice from The Nasdaq Stock</w:t>
      </w:r>
      <w:r>
        <w:rPr>
          <w:rFonts w:ascii="Arial" w:cs="Arial" w:eastAsia="Arial" w:hAnsi="Arial"/>
          <w:sz w:val="20"/>
          <w:szCs w:val="20"/>
          <w:b w:val="1"/>
          <w:bCs w:val="1"/>
          <w:color w:val="auto"/>
        </w:rPr>
        <w:t xml:space="preserve"> </w:t>
      </w:r>
      <w:r>
        <w:rPr>
          <w:rFonts w:ascii="Arial" w:cs="Arial" w:eastAsia="Arial" w:hAnsi="Arial"/>
          <w:sz w:val="20"/>
          <w:szCs w:val="20"/>
          <w:color w:val="auto"/>
        </w:rPr>
        <w:t>Market stating that, due to the failure to timely file its Quarterly Report on Form 10-Q for the third quarter of fiscal 2015, the company does not comply with Nasdaq Listing Rule 5250(c)(1). This notice was expected and follows a similar notice relating to the company’s Quarterly Report on Form 10-Q for the second quarter of fiscal 2015.</w:t>
      </w:r>
    </w:p>
    <w:p>
      <w:pPr>
        <w:spacing w:after="0" w:line="19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 previously disclosed, the Nasdaq Staff has granted the company an exception to the application of Rule 5250(c)(1) until November 9, 2015, subject to the condition that the company must file all delinquent SEC reports on or before that date. The company currently believes that it will be able to regain compliance within the timeframe allowed by the exception.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222"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EZCORP is a leading provider of pawn loans in the United States and Mexico and consumer loans in Mexico. At our pawn stores, we also sell merchandise, primarily collateral forfeited from pawn lending operations and used merchandise purchased from customers.</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This announcement contains a forward-looking statement regarding the company’s ability to regain compliance with the Nasdaq Listing Rules. This statement is based on the company’s current expectations as to the outcome and timing of future events. Actual results may differ materially from those expressed or implied by the forward-looking statement due to a number of uncertainties and other factors, including the timing of the completion of the company’s review and analysis of accounting issues in its Grupo Finmart loan portfolio. For a discussion of this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Mark Trinske</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Communications</w:t>
      </w:r>
    </w:p>
    <w:p>
      <w:pPr>
        <w:spacing w:after="0"/>
        <w:rPr>
          <w:sz w:val="20"/>
          <w:szCs w:val="20"/>
          <w:color w:val="auto"/>
        </w:rPr>
      </w:pPr>
      <w:r>
        <w:rPr>
          <w:rFonts w:ascii="Arial" w:cs="Arial" w:eastAsia="Arial" w:hAnsi="Arial"/>
          <w:sz w:val="20"/>
          <w:szCs w:val="20"/>
          <w:color w:val="auto"/>
        </w:rPr>
        <w:t>EZCORP, Inc.</w:t>
      </w:r>
    </w:p>
    <w:p>
      <w:pPr>
        <w:spacing w:after="0"/>
        <w:rPr>
          <w:sz w:val="20"/>
          <w:szCs w:val="20"/>
          <w:color w:val="auto"/>
        </w:rPr>
      </w:pPr>
      <w:r>
        <w:rPr>
          <w:rFonts w:ascii="Arial" w:cs="Arial" w:eastAsia="Arial" w:hAnsi="Arial"/>
          <w:sz w:val="20"/>
          <w:szCs w:val="20"/>
          <w:color w:val="auto"/>
        </w:rPr>
        <w:t>(512) 314-3400</w:t>
      </w:r>
    </w:p>
    <w:p>
      <w:pPr>
        <w:spacing w:after="0"/>
        <w:rPr>
          <w:sz w:val="20"/>
          <w:szCs w:val="20"/>
          <w:color w:val="auto"/>
        </w:rPr>
      </w:pPr>
      <w:r>
        <w:rPr>
          <w:rFonts w:ascii="Arial" w:cs="Arial" w:eastAsia="Arial" w:hAnsi="Arial"/>
          <w:sz w:val="20"/>
          <w:szCs w:val="20"/>
          <w:color w:val="auto"/>
        </w:rPr>
        <w:t>Investor_Relations@ezcorp.com</w:t>
      </w:r>
    </w:p>
    <w:sectPr>
      <w:pgSz w:w="11900" w:h="16838" w:orient="portrait"/>
      <w:cols w:equalWidth="0" w:num="1">
        <w:col w:w="11420"/>
      </w:cols>
      <w:pgMar w:left="240" w:top="13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2020-01-24T10:14:21Z</dcterms:created>
  <dcterms:modified xsi:type="dcterms:W3CDTF">2020-01-24T10:14:21Z</dcterms:modified>
</cp:coreProperties>
</file>