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EZCORP INC</w:t>
      </w: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7" w:lineRule="auto"/>
        <w:rPr>
          <w:sz w:val="20"/>
          <w:szCs w:val="20"/>
          <w:color w:val="auto"/>
        </w:rPr>
      </w:pPr>
      <w:r>
        <w:rPr>
          <w:rFonts w:ascii="Courier New" w:cs="Courier New" w:eastAsia="Courier New" w:hAnsi="Courier New"/>
          <w:sz w:val="18"/>
          <w:szCs w:val="18"/>
          <w:color w:val="auto"/>
        </w:rPr>
        <w:t>Cusip #302301106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#302301106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828,421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15.781%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Edward C. Johnson 3d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15.781%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#302301106</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7,987,456</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15.781%</w:t>
            </w:r>
          </w:p>
        </w:tc>
        <w:tc>
          <w:tcPr>
            <w:tcW w:w="558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EZCORP INC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Courier New" w:cs="Courier New" w:eastAsia="Courier New" w:hAnsi="Courier New"/>
                <w:sz w:val="18"/>
                <w:szCs w:val="18"/>
                <w:color w:val="auto"/>
              </w:rPr>
              <w:t>1901 Capital Pkwy</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Austin, TX 78746</w:t>
            </w:r>
          </w:p>
        </w:tc>
      </w:tr>
      <w:tr>
        <w:trPr>
          <w:trHeight w:val="203"/>
        </w:trPr>
        <w:tc>
          <w:tcPr>
            <w:tcW w:w="2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USA</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FMR LLC</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Not applicable</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CLASS A COMMON STOCK</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CUSIP Number: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ind w:left="100"/>
              <w:spacing w:after="0"/>
              <w:rPr>
                <w:sz w:val="20"/>
                <w:szCs w:val="20"/>
                <w:color w:val="auto"/>
              </w:rPr>
            </w:pPr>
            <w:r>
              <w:rPr>
                <w:rFonts w:ascii="Courier New" w:cs="Courier New" w:eastAsia="Courier New" w:hAnsi="Courier New"/>
                <w:sz w:val="18"/>
                <w:szCs w:val="18"/>
                <w:color w:val="auto"/>
              </w:rPr>
              <w:t>302301106</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1100" w:type="dxa"/>
            <w:vAlign w:val="bottom"/>
          </w:tcPr>
          <w:p>
            <w:pPr>
              <w:spacing w:after="0"/>
              <w:rPr>
                <w:sz w:val="17"/>
                <w:szCs w:val="17"/>
                <w:color w:val="auto"/>
              </w:rPr>
            </w:pPr>
          </w:p>
        </w:tc>
        <w:tc>
          <w:tcPr>
            <w:tcW w:w="5580" w:type="dxa"/>
            <w:vAlign w:val="bottom"/>
          </w:tcPr>
          <w:p>
            <w:pPr>
              <w:spacing w:after="0"/>
              <w:rPr>
                <w:sz w:val="17"/>
                <w:szCs w:val="17"/>
                <w:color w:val="auto"/>
              </w:rPr>
            </w:pPr>
          </w:p>
        </w:tc>
      </w:tr>
    </w:tbl>
    <w:p>
      <w:pPr>
        <w:sectPr>
          <w:pgSz w:w="11900" w:h="16855" w:orient="portrait"/>
          <w:cols w:equalWidth="0" w:num="1">
            <w:col w:w="10219"/>
          </w:cols>
          <w:pgMar w:left="240" w:top="244" w:right="1440" w:bottom="0" w:gutter="0" w:footer="0" w:header="0"/>
        </w:sectPr>
      </w:pPr>
    </w:p>
    <w:bookmarkStart w:id="1" w:name="page2"/>
    <w:bookmarkEnd w:id="1"/>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7,987,456</w:t>
            </w: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15.781%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828,421</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7,987,456</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2015</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Scott C. Goebel</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Scott C. Goebel</w:t>
      </w:r>
    </w:p>
    <w:p>
      <w:pPr>
        <w:spacing w:after="0" w:line="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547"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PYRAMIS GLOBAL ADVISORS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0" w:lineRule="exact"/>
        <w:rPr>
          <w:sz w:val="20"/>
          <w:szCs w:val="20"/>
          <w:color w:val="auto"/>
        </w:rPr>
      </w:pPr>
    </w:p>
    <w:p>
      <w:pPr>
        <w:sectPr>
          <w:pgSz w:w="11900" w:h="16838" w:orient="portrait"/>
          <w:cols w:equalWidth="0" w:num="2">
            <w:col w:w="3900" w:space="320"/>
            <w:col w:w="5999"/>
          </w:cols>
          <w:pgMar w:left="240" w:top="547" w:right="1440" w:bottom="0" w:gutter="0" w:footer="0" w:header="0"/>
          <w:type w:val="continuous"/>
        </w:sectPr>
      </w:pPr>
    </w:p>
    <w:p>
      <w:pPr>
        <w:spacing w:after="0" w:line="209" w:lineRule="exact"/>
        <w:rPr>
          <w:sz w:val="20"/>
          <w:szCs w:val="20"/>
          <w:color w:val="auto"/>
        </w:rPr>
      </w:pPr>
    </w:p>
    <w:p>
      <w:pPr>
        <w:ind w:right="2519" w:firstLine="8"/>
        <w:spacing w:after="0" w:line="235"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419" w:firstLine="1685"/>
        <w:spacing w:after="0" w:line="236" w:lineRule="auto"/>
        <w:rPr>
          <w:sz w:val="20"/>
          <w:szCs w:val="20"/>
          <w:color w:val="auto"/>
        </w:rPr>
      </w:pPr>
      <w:r>
        <w:rPr>
          <w:rFonts w:ascii="Courier New" w:cs="Courier New" w:eastAsia="Courier New" w:hAnsi="Courier New"/>
          <w:sz w:val="18"/>
          <w:szCs w:val="18"/>
          <w:color w:val="auto"/>
        </w:rPr>
        <w:t>Edward C. Johnson 3d is a Director and the Chairman of FMR LLC and Abigail P. Johnson is a Director, the Vice Chairman, the Chief Executive Officer and the President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68" w:lineRule="auto"/>
        <w:rPr>
          <w:sz w:val="20"/>
          <w:szCs w:val="20"/>
          <w:color w:val="auto"/>
        </w:rPr>
      </w:pPr>
      <w:r>
        <w:rPr>
          <w:rFonts w:ascii="Courier New" w:cs="Courier New" w:eastAsia="Courier New" w:hAnsi="Courier New"/>
          <w:sz w:val="16"/>
          <w:szCs w:val="16"/>
          <w:color w:val="auto"/>
        </w:rPr>
        <w:t>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235" w:lineRule="auto"/>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Edward C. Johnson 3d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2015, agree and consent to the joint filing on their behalf of this Schedule 13G in connection with their beneficial ownership of the CLASS A COMMON STOCK of EZCORP INC at December 31, 2014.</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Edward C. Johnson 3d*</w:t>
      </w:r>
    </w:p>
    <w:p>
      <w:pPr>
        <w:sectPr>
          <w:pgSz w:w="11900" w:h="16838" w:orient="portrait"/>
          <w:cols w:equalWidth="0" w:num="1">
            <w:col w:w="10219"/>
          </w:cols>
          <w:pgMar w:left="240" w:top="547" w:right="1440" w:bottom="0" w:gutter="0" w:footer="0" w:header="0"/>
          <w:type w:val="continuous"/>
        </w:sectPr>
      </w:pPr>
    </w:p>
    <w:bookmarkStart w:id="3" w:name="page4"/>
    <w:bookmarkEnd w:id="3"/>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April 24, 2014,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51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B to the Schedule 13G filed by FMR LLC on June 10, 2014, accession number: 0000315066-14-003512.</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10"/>
    </w:lvl>
  </w:abstractNum>
  <w:abstractNum w:abstractNumId="1">
    <w:nsid w:val="2AE8944A"/>
    <w:multiLevelType w:val="hybridMultilevel"/>
    <w:lvl w:ilvl="0">
      <w:lvlJc w:val="left"/>
      <w:lvlText w:val="(%1)"/>
      <w:numFmt w:val="lowerLetter"/>
      <w:start w:val="3"/>
    </w:lvl>
    <w:lvl w:ilvl="1">
      <w:lvlJc w:val="left"/>
      <w:lvlText w:val="(%2)"/>
      <w:numFmt w:val="lowerLetter"/>
      <w:start w:val="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2020-01-22T13:56:33Z</dcterms:created>
  <dcterms:modified xsi:type="dcterms:W3CDTF">2020-01-22T13:56:33Z</dcterms:modified>
</cp:coreProperties>
</file>