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31, 2015</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December 31, 2015, EZCORP, Inc. issued a press release announcing its results of operations and financial condition for the fourth fiscal quarter and the fiscal year ended September 30, 2015. A copy of that press release is attached as Exhibit 99.1.</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Mexico Pawn and Grupo Finmart operations, which are denominated in Mexican pesos. Management believes that these non-GAAP financial measures reflect an additional way of viewing aspects of our business that, when viewed with our GAAP results, provides a more complete understanding of factors and trends affecting our business. Management provides non-GAAP financial information for informational purposes and to enhance understanding of our GAAP consolidated financial statements.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1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33" w:lineRule="exact"/>
        <w:rPr>
          <w:sz w:val="20"/>
          <w:szCs w:val="20"/>
          <w:color w:val="auto"/>
        </w:rPr>
      </w:pPr>
    </w:p>
    <w:p>
      <w:pPr>
        <w:ind w:left="1120" w:right="60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December 31, 2015, announcing EZCORP, Inc.’s results of operations and financial condition for the fourth fiscal quarter and fiscal year ended September 30, 2015.</w:t>
      </w:r>
    </w:p>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December 31,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S. Ashby</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S. Ashby</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74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Press Release, dated December 31, 2015, announcing EZCORP, Inc.’s results of operations and financial condition for the fourth fiscal</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 and fiscal year ended September 30, 2015.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173990</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ANNOUNCES FISCAL 2015 FINANCIAL RESULTS</w:t>
      </w:r>
    </w:p>
    <w:p>
      <w:pPr>
        <w:spacing w:after="0" w:line="22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Austin, Texas (December 31, 2015) — </w:t>
      </w:r>
      <w:r>
        <w:rPr>
          <w:rFonts w:ascii="Arial" w:cs="Arial" w:eastAsia="Arial" w:hAnsi="Arial"/>
          <w:sz w:val="18"/>
          <w:szCs w:val="18"/>
          <w:color w:val="auto"/>
        </w:rPr>
        <w:t>Supplementing its Annual Report on Form 10-K filed with the Securities and Exchange Commission on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24, 2015, EZCORP, Inc. (NASDAQ: EZPW) has today released commentary on its financial results for the year ended September 30, 2015, together with fiscal fourth quarter financial results.</w:t>
      </w:r>
    </w:p>
    <w:p>
      <w:pPr>
        <w:spacing w:after="0" w:line="18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EZCORP has adopted a new business segment reporting approach to improve the transparency and quality of financial reporting, and to reflect the way in which the businesses are currently managed internally. This includes three core businesses - U.S. Pawn, Mexico Pawn and Grupo Finmart - as well as an Other International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Consolidated Results</w:t>
      </w:r>
    </w:p>
    <w:p>
      <w:pPr>
        <w:spacing w:after="0" w:line="225" w:lineRule="exact"/>
        <w:rPr>
          <w:sz w:val="20"/>
          <w:szCs w:val="20"/>
          <w:color w:val="auto"/>
        </w:rPr>
      </w:pPr>
    </w:p>
    <w:p>
      <w:pPr>
        <w:ind w:left="660" w:right="1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Fiscal 2015 was a year of repositioning the business, resulting in a net loss attributable to EZCORP of $86.4 million, compared with a $64.7 million loss in fiscal 2014.</w:t>
      </w:r>
    </w:p>
    <w:p>
      <w:pPr>
        <w:spacing w:after="0" w:line="170" w:lineRule="exact"/>
        <w:rPr>
          <w:rFonts w:ascii="Arial" w:cs="Arial" w:eastAsia="Arial" w:hAnsi="Arial"/>
          <w:sz w:val="18"/>
          <w:szCs w:val="18"/>
          <w:color w:val="auto"/>
        </w:rPr>
      </w:pPr>
    </w:p>
    <w:p>
      <w:pPr>
        <w:jc w:val="both"/>
        <w:ind w:left="660" w:right="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fiscal 2015 net loss includes total restructuring and one-time, pre-tax expenses of $88.7 million comprised of the following: Closure of the U.S. Financial Services business ($27.9 million); restructure of head office and other structural and operating changes ($17.1 million); regulatory charges of $14.5 million; and a $29.2 million impairment of investment in Cash Converters International Limited.</w:t>
      </w:r>
    </w:p>
    <w:p>
      <w:pPr>
        <w:spacing w:after="0" w:line="165"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revenues from continuing operations for fiscal 2015 were $788.4 million, down 1.5% from fiscal 2014, while net revenues were down 3% to $444.9 million.</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Aged inventory at the end of fiscal 2015 was 11% of total inventory, down from 20% one year prior, which provides a platform for potential gross margin expansion in future periods.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Solid progress has been made in building foundations to drive improved performance and position the business for growth over the next three years, but it is early in the transformation and there is still more work to do.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Consolidated Results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fourth quarter of fiscal 2015 saw a net loss attributable to EZCORP of $89.6 million, compared to a $93.5 million loss in fiscal 2014.</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fourth quarter net loss includes $73.8 million of the total restructuring and one-time expenses discussed above.</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from continuing operations for the fourth quarter were $188.8 million, down 4% from the fourth quarter of fiscal 2014, while net revenues for the same period were down 1% to $106.3 million.</w:t>
      </w:r>
    </w:p>
    <w:p>
      <w:pPr>
        <w:spacing w:after="0" w:line="170"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Core pawn businesses in the U.S. and Mexico showed signs of stabilization with pawn loans outstanding at $159.9 million, down 2% to prior year, while pawn service charges for the quarter were $65.2 million, flat versus the prior year. Merchandise sales grew 2% to $91.5 million versus the prior year.</w:t>
      </w:r>
    </w:p>
    <w:p>
      <w:pPr>
        <w:spacing w:after="0" w:line="18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Chief Executive Officer Stuart Grimshaw said: “Fiscal 2015 was a year of repositioning for EZCORP as we executed a new strategy to focus on fewer businesses, simplify our structure, reduce operating costs, strengthen our balance sheet and optimize the returns we make from our investments.</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decisions, coupled with the restatement of previously issued financial statements as a result of issues in our Grupo Finmart portfolio, significantly impacted our fiscal 2015 financial results and returns to shareholders.</w:t>
      </w:r>
    </w:p>
    <w:p>
      <w:pPr>
        <w:sectPr>
          <w:pgSz w:w="11900" w:h="16838" w:orient="portrait"/>
          <w:cols w:equalWidth="0" w:num="1">
            <w:col w:w="11420"/>
          </w:cols>
          <w:pgMar w:left="240" w:top="585" w:right="239" w:bottom="1440" w:gutter="0" w:footer="0" w:header="0"/>
        </w:sectPr>
      </w:pPr>
    </w:p>
    <w:bookmarkStart w:id="5" w:name="page6"/>
    <w:bookmarkEnd w:id="5"/>
    <w:p>
      <w:pPr>
        <w:ind w:right="320"/>
        <w:spacing w:after="0" w:line="342" w:lineRule="auto"/>
        <w:rPr>
          <w:sz w:val="20"/>
          <w:szCs w:val="20"/>
          <w:color w:val="auto"/>
        </w:rPr>
      </w:pPr>
      <w:r>
        <w:rPr>
          <w:rFonts w:ascii="Arial" w:cs="Arial" w:eastAsia="Arial" w:hAnsi="Arial"/>
          <w:sz w:val="16"/>
          <w:szCs w:val="16"/>
          <w:color w:val="auto"/>
        </w:rPr>
        <w:t>"Although the results are disappointing, these decisions were the right ones to best meet the needs of our customers, employees and shareholders and will ultimately create a less complex, more nimble company that can better respond to competitive pressures and generate consistent EPS growth."</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of Fiscal 2015</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Pawn loans outstanding at quarter-end were $143.5 million, down 1% in total and 6% on a same store basis compared to the prior-year quarter.</w:t>
      </w:r>
    </w:p>
    <w:p>
      <w:pPr>
        <w:spacing w:after="0" w:line="248"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U.S. Pawn started to see stabilization and growth in the fourth quarter, with loan balances up 12% versus the third quarter of fiscal 2015. The equivalent periods in fiscal 2014 saw growth of 3%. Core pawn revenue, which is defined as merchandise sales plus pawn service charges, increased 2% to $132.8 million versus the fourth quarter of fiscal 2014. Same store core pawn revenue decreased 1%.</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Pawn service charges for the fourth quarter grew 1% from the prior year quarter to $57.3 million. Same store pawn service charges decreased 2%.</w:t>
      </w:r>
    </w:p>
    <w:p>
      <w:pPr>
        <w:spacing w:after="0" w:line="248"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Merchandise sales increased 3% over last year’s quarter to $75.6 million and were down 1% on a same store basis. Gross margin on merchandise sales was 35.5% in the quarter, a 500 basis point improvement from the prior year quarter.</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Profit from jewelry scrapping was $1.9 million in the fourth quarter. Jewelry scrapping activity accounted for 2% of total U.S. Pawn net revenue, compared with 5% in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pawn revenue grew 1.4% from fiscal 2014 to $550.8 million and was down 0.5% on a same store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Pawn service charges in fiscal 2015 compared to fiscal 2014 decreased 1% in total and 2% in same stores.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in fiscal 2015 compared to fiscal 2014 increased 3% in total and were flat on a same store basis. Gross margin on merchandise sales was 34.6% compared to 36.9% in fiscal 2014.</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Scrap profit for the year was $11.5 million. In fiscal 2015 jewelry scrap profit comprised 3% of total U.S. Pawn net revenue.</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 key focus throughout the fiscal year was reducing high levels of aged inventory. At year-end, 10.3% of U.S. Pawn inventories were over 360 days old, comparing favorably to 18.8% of inventory one year prior. This improvement corresponds to a 50% reduction in aged inventory on hand.</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 enhanced U.S. Pawn management structure created focus and support for store managers and their teams. The key change has been to reduce the span of control for Regional Directors, giving them almost twice as much time to spend with their district and store managers.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rigorous review of store profitability and growth metrics resulted in the closure of 12 stores and the opening of five stores during the year. In addition, 25 stores were acquired throughout the year, including 13 USA Pawn &amp; Jewelry Company stores, giving EZCORP its first presence in the Phoenix (Arizona) and Oregon markets.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PAWN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comparisons are based on constant currency as discussed under “Non-GAAP Financial Information”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of Fiscal 2015</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Pawn loan balances grew 20% compared to the year-ago quarter in both total and same stores (a 5% decrease on a GAAP basis).</w:t>
      </w:r>
    </w:p>
    <w:p>
      <w:pPr>
        <w:sectPr>
          <w:pgSz w:w="11900" w:h="16838" w:orient="portrait"/>
          <w:cols w:equalWidth="0" w:num="1">
            <w:col w:w="11380"/>
          </w:cols>
          <w:pgMar w:left="240" w:top="584" w:right="279" w:bottom="1440" w:gutter="0" w:footer="0" w:header="0"/>
        </w:sectPr>
      </w:pPr>
    </w:p>
    <w:bookmarkStart w:id="6" w:name="page7"/>
    <w:bookmarkEnd w:id="6"/>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Core pawn revenue grew 23% from the fourth quarter of fiscal 2014 (a 2% decrease on a GAAP basis).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same store sales increased 24% from the prior year quarter (a 1% decrease on a GAAP basis). Gross margin on merchandise sales was 21% compared to 19% in the prior year quarter.</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decreased 9% from the fourth quarter of fiscal 2014 (a 28% decrease on a GAAP basis). Inventory over 360 days old reduced to 4% of total inventory at quarter-end compared with 23% at the end of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Core pawn revenue increased 22% compared to fiscal 2014 in total and in same stores (a 6% increase on a GAAP basis). This was the result of a</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25% increase in merchandise sales (an 8% increase on a GAAP basis) and a 17% increase in pawn service charges (a 2% increase on a GAAP basis).</w:t>
      </w:r>
    </w:p>
    <w:p>
      <w:pPr>
        <w:spacing w:after="0" w:line="23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margin on merchandise sales was 28% versus 30% in fiscal 2014.</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Mexico Pawn business delivered improved performance reflecting a number of factors, including operational synergies between the U.S. and Mexico Pawn teams, with development of training programs and operational best practices focused on meeting the customers’ needs contributing to the robust growth in pawn loan balances and revenues on a constant currency basis.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GRUPO FINMART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comparisons are based on constant currency as discussed under “Non-GAAP Financial Information”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of Fiscal 2015</w:t>
      </w:r>
    </w:p>
    <w:p>
      <w:pPr>
        <w:spacing w:after="0" w:line="225" w:lineRule="exact"/>
        <w:rPr>
          <w:sz w:val="20"/>
          <w:szCs w:val="20"/>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New loan originations in the fourth quarter of fiscal 2015 were $27 million, a 13% increase over the fourth quarter of fiscal 2014 (an 11% decrease on a GAAP basis).</w:t>
      </w:r>
    </w:p>
    <w:p>
      <w:pPr>
        <w:spacing w:after="0" w:line="170"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revenue grew 44% (16% on a GAAP basis) from the prior-year quarter to $23 million.</w:t>
      </w:r>
    </w:p>
    <w:p>
      <w:pPr>
        <w:spacing w:after="0" w:line="225"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Bad debt expense grew from $6.5 million in the fourth quarter of fiscal 2014 to $14.6 million in the fourth quarter of fiscal 2015, an increase of 124% (81% on a GAAP basis). The fiscal 2015 increase is based in part on an increase in the bad debt reserve from 23% to 32% due to delays in receipt of payments from convenios attributable to regional economic conditions.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 decreased 14% (31% on a GAAP basis) from the fourth quarter of fiscal 2014 to $8.4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loan originations continued to be strong for the year, increasing 24% from fiscal 2014 (6% on a GAAP basis) to $100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revenue grew 47% (28% on a GAAP basis) compared to fiscal 2014 to $79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Bad debt expense grew from $19.6 million in fiscal 2014 to $30.5 million in fiscal 2015, an increase of 55% (35% on a GAAP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 increased by 38% (20% on a GAAP basis) from the prior year to $48.3 million.</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Operations expenses increased 17% year-over-year (1% on a GAAP basis) to $37.7 million, reflecting increased commissions and other expenses supporting originations.</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expense grew 45% (26% on a GAAP basis), driven by increased debt and the resulting incremental interest on that debt, as well as an increased interest rate.</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Overall, the segment loss for Grupo Finmart was $20.5 million ($22.2 million on a GAAP basis) for fiscal 2015, compared to a loss of $19.1 million in fiscal 2014.</w:t>
      </w:r>
    </w:p>
    <w:p>
      <w:pPr>
        <w:sectPr>
          <w:pgSz w:w="11900" w:h="16838" w:orient="portrait"/>
          <w:cols w:equalWidth="0" w:num="1">
            <w:col w:w="11400"/>
          </w:cols>
          <w:pgMar w:left="240" w:top="584" w:right="259" w:bottom="1440" w:gutter="0" w:footer="0" w:header="0"/>
        </w:sectPr>
      </w:pPr>
    </w:p>
    <w:bookmarkStart w:id="7" w:name="page8"/>
    <w:bookmarkEnd w:id="7"/>
    <w:p>
      <w:pPr>
        <w:jc w:val="both"/>
        <w:ind w:right="120"/>
        <w:spacing w:after="0" w:line="312" w:lineRule="auto"/>
        <w:rPr>
          <w:sz w:val="20"/>
          <w:szCs w:val="20"/>
          <w:color w:val="auto"/>
        </w:rPr>
      </w:pPr>
      <w:r>
        <w:rPr>
          <w:rFonts w:ascii="Arial" w:cs="Arial" w:eastAsia="Arial" w:hAnsi="Arial"/>
          <w:sz w:val="16"/>
          <w:szCs w:val="16"/>
          <w:color w:val="auto"/>
        </w:rPr>
        <w:t>Following a thorough, management-initiated review of the loan portfolio, which resulted in the restatement of previously issued financial statements, Grupo Finmart is being strengthened to ensure long term sustainability and growth. A new management team including CEO, CFO and Chief Risk Officer are now in place and are focused on improving operational efficiencies, such as automated process flow and collections, and enhancing compliance.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FINANCIAL SERVICES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most significant strategic change in fiscal 2015, announced in July, was the decision to close the U.S. Financial Services (USFS) business, including all payday, installment and auto title lending in the U.S. During the fourth quarter, the plan to close 480 stores and collect outstanding loan balances owed was a significant undertaking that was successfully executed and ahead of plan on all metrics.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settlement with the U.S. Consumer Financial Protection Bureau (CFPB) in relation to past practices in this business was announced on December 16,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$10.5 million charge associated with this settlement was recorded in the fourth quarter of fiscal 2015.</w:t>
      </w:r>
    </w:p>
    <w:p>
      <w:pPr>
        <w:spacing w:after="0" w:line="211" w:lineRule="exact"/>
        <w:rPr>
          <w:sz w:val="20"/>
          <w:szCs w:val="20"/>
          <w:color w:val="auto"/>
        </w:rPr>
      </w:pPr>
    </w:p>
    <w:p>
      <w:pPr>
        <w:ind w:right="1180"/>
        <w:spacing w:after="0" w:line="465" w:lineRule="auto"/>
        <w:rPr>
          <w:sz w:val="20"/>
          <w:szCs w:val="20"/>
          <w:color w:val="auto"/>
        </w:rPr>
      </w:pPr>
      <w:r>
        <w:rPr>
          <w:rFonts w:ascii="Arial" w:cs="Arial" w:eastAsia="Arial" w:hAnsi="Arial"/>
          <w:sz w:val="18"/>
          <w:szCs w:val="18"/>
          <w:color w:val="auto"/>
        </w:rPr>
        <w:t xml:space="preserve">The company expects to incur further costs of approximately $2 million related to the final closure of USFS in the first quarter of fiscal 2016. </w:t>
      </w:r>
      <w:r>
        <w:rPr>
          <w:rFonts w:ascii="Arial" w:cs="Arial" w:eastAsia="Arial" w:hAnsi="Arial"/>
          <w:sz w:val="18"/>
          <w:szCs w:val="18"/>
          <w:b w:val="1"/>
          <w:bCs w:val="1"/>
          <w:color w:val="auto"/>
        </w:rPr>
        <w:t>OTHER INTERNATIONAL</w:t>
      </w:r>
    </w:p>
    <w:p>
      <w:pPr>
        <w:spacing w:after="0" w:line="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This segment includes EZCORP’s investment in Cash Converters International Limited (CCV). During the fourth quarter of fiscal 2015 EZCORP recorded an impairment charge of $29.2 million attributable to the decline in the market value of CCV’s shares as well as currency movements.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AND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Grimshaw said that while FY15 had delivered disappointing results for shareholders, steps had been taken to reposition the business.</w:t>
      </w:r>
    </w:p>
    <w:p>
      <w:pPr>
        <w:spacing w:after="0" w:line="225"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“While it is early days, the transformation is substantially behind us and we are encouraged by the trends we have seen in the first quarter of the 2016 financial year. In U.S. Pawn, growth is returning and we are in line with broader market trends, while the Mexico Pawn business continues its growth trajectory.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Fiscal 2016, our key focus will remain on execution of our three-year strategy to position us for future growth and profitability.”</w:t>
      </w:r>
    </w:p>
    <w:p>
      <w:pPr>
        <w:sectPr>
          <w:pgSz w:w="11900" w:h="16838" w:orient="portrait"/>
          <w:cols w:equalWidth="0" w:num="1">
            <w:col w:w="11380"/>
          </w:cols>
          <w:pgMar w:left="240" w:top="80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EARNINGS CONFERENCE CALL</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Given the holiday season, EZCORP will hold its earnings and strategic review conference call </w:t>
      </w:r>
      <w:r>
        <w:rPr>
          <w:rFonts w:ascii="Arial" w:cs="Arial" w:eastAsia="Arial" w:hAnsi="Arial"/>
          <w:sz w:val="18"/>
          <w:szCs w:val="18"/>
          <w:b w:val="1"/>
          <w:bCs w:val="1"/>
          <w:color w:val="auto"/>
        </w:rPr>
        <w:t>Tuesday January 5, 2016</w:t>
      </w:r>
      <w:r>
        <w:rPr>
          <w:rFonts w:ascii="Arial" w:cs="Arial" w:eastAsia="Arial" w:hAnsi="Arial"/>
          <w:sz w:val="18"/>
          <w:szCs w:val="18"/>
          <w:color w:val="auto"/>
        </w:rPr>
        <w:t xml:space="preserve"> at </w:t>
      </w:r>
      <w:r>
        <w:rPr>
          <w:rFonts w:ascii="Arial" w:cs="Arial" w:eastAsia="Arial" w:hAnsi="Arial"/>
          <w:sz w:val="18"/>
          <w:szCs w:val="18"/>
          <w:b w:val="1"/>
          <w:bCs w:val="1"/>
          <w:color w:val="auto"/>
        </w:rPr>
        <w:t>3:30 pm Central Time</w:t>
      </w:r>
      <w:r>
        <w:rPr>
          <w:rFonts w:ascii="Arial" w:cs="Arial" w:eastAsia="Arial" w:hAnsi="Arial"/>
          <w:sz w:val="18"/>
          <w:szCs w:val="18"/>
          <w:color w:val="auto"/>
        </w:rPr>
        <w:t>. Full call details will be provided ahead of time.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left="60"/>
        <w:spacing w:after="0" w:line="270" w:lineRule="auto"/>
        <w:rPr>
          <w:sz w:val="20"/>
          <w:szCs w:val="20"/>
          <w:color w:val="auto"/>
        </w:rPr>
      </w:pPr>
      <w:r>
        <w:rPr>
          <w:rFonts w:ascii="Arial" w:cs="Arial" w:eastAsia="Arial" w:hAnsi="Arial"/>
          <w:sz w:val="17"/>
          <w:szCs w:val="17"/>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to evaluate results of our Mexico Pawn and Grupo Finmart segment operations, which are denominated in Mexican pesos, and believe that presentation of constant currency results is meaningful and useful in understanding the activities and business metrics of our Mexico Pawn and Grupo Finmart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comparable period, in order to exclude the effects of foreign currency rate fluctuations. We used the end-of-period rate for balance sheet items and the average closing daily exchange rate during the appropriate period for statement of operations items. The end-of-period exchange rate as of September 30, 2015 and 2014 was 17.1 to 1 and 13.5 to 1, respectively. The average exchange rate for the years ended September 30, 2015 and 2014 was 15.1 to 1 and 13.1 to 1, respectively. The average exchange rate for the prior-year quarter ended September 30, 2014 was 13.1 to 1 compared to the current quarter rate of 16.4 to 1. Constant currency results, where presented, also exclude the foreign currency gain or loss and the related foreign currency derivative gain or loss impact.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EZCORP, Inc.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 314-2220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p>
      <w:pPr>
        <w:sectPr>
          <w:pgSz w:w="11900" w:h="16838" w:orient="portrait"/>
          <w:cols w:equalWidth="0" w:num="1">
            <w:col w:w="11420"/>
          </w:cols>
          <w:pgMar w:left="240" w:top="74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Three Months Ended September</w:t>
            </w:r>
          </w:p>
        </w:tc>
        <w:tc>
          <w:tcPr>
            <w:tcW w:w="21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4"/>
              </w:rPr>
              <w:t>Fiscal Year Ended September 30,</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79"/>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center"/>
              <w:ind w:left="548"/>
              <w:spacing w:after="0"/>
              <w:rPr>
                <w:sz w:val="20"/>
                <w:szCs w:val="20"/>
                <w:color w:val="auto"/>
              </w:rPr>
            </w:pPr>
            <w:r>
              <w:rPr>
                <w:rFonts w:ascii="Arial" w:cs="Arial" w:eastAsia="Arial" w:hAnsi="Arial"/>
                <w:sz w:val="14"/>
                <w:szCs w:val="14"/>
                <w:i w:val="1"/>
                <w:iCs w:val="1"/>
                <w:color w:val="auto"/>
                <w:w w:val="95"/>
              </w:rPr>
              <w:t>(Unaudited)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gridSpan w:val="8"/>
          </w:tcPr>
          <w:p>
            <w:pPr>
              <w:ind w:left="40"/>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91,490</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89,811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402,118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388,022</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10,452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96,241</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65,208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65,166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247,204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248,378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Consumer loan fees and interest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20,915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63,702</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revenues</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3,949</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revenues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188,834</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196,651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788,369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800,292</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61,359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64,259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267,789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248,637</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8,457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72,830</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Consumer loan bad debt</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12,689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29,571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22,051</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revenues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106,329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444,943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456,774</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Operating expenses (income):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Operations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90,666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327,603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325,921</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Administrative</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28,774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16,395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72,986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79,944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9,386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31,762</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Loss (gain) on sale or disposal of assets</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1,934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(5,841)</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w:t>
            </w: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16,317</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6,664</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147,077</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115,652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453,871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438,450</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(loss) income</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(40,748)</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18,324</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9,213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9,786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42,202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28,389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Equity in net loss (income) of unconsolidated affiliates</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5,811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(5,948)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investments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29,237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expense (income)</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3,241</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taxes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(88,028)</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(11,239)</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benefit expense</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(26,774)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(26,695)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(7,246)</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net of tax</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(61,254)</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(89,902)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(68,093)</w:t>
            </w: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(91,342)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(91,464)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(72,086)</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from continuing operations attributable to redeemable noncontrolling interest</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(7,387)</w:t>
            </w: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EZCORP, Inc.</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(89,557)</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(64,699)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(loss) earnings per share attributable to EZCORP, Inc.:</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(1.08)</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83"/>
        </w:trPr>
        <w:tc>
          <w:tcPr>
            <w:tcW w:w="6980" w:type="dxa"/>
            <w:vAlign w:val="bottom"/>
          </w:tcPr>
          <w:p>
            <w:pPr>
              <w:ind w:left="500"/>
              <w:spacing w:after="0"/>
              <w:rPr>
                <w:sz w:val="20"/>
                <w:szCs w:val="20"/>
                <w:color w:val="auto"/>
              </w:rPr>
            </w:pPr>
            <w:r>
              <w:rPr>
                <w:rFonts w:ascii="Arial" w:cs="Arial" w:eastAsia="Arial" w:hAnsi="Arial"/>
                <w:sz w:val="14"/>
                <w:szCs w:val="14"/>
                <w:color w:val="auto"/>
              </w:rPr>
              <w:t>Diluted loss per share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(1.63)</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64"/>
        </w:trPr>
        <w:tc>
          <w:tcPr>
            <w:tcW w:w="69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Weighted average shares outstanding diluted</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54,821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53,657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54,369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54,292</w:t>
            </w:r>
          </w:p>
        </w:tc>
        <w:tc>
          <w:tcPr>
            <w:tcW w:w="0" w:type="dxa"/>
            <w:vAlign w:val="bottom"/>
          </w:tcPr>
          <w:p>
            <w:pPr>
              <w:spacing w:after="0"/>
              <w:rPr>
                <w:sz w:val="1"/>
                <w:szCs w:val="1"/>
                <w:color w:val="auto"/>
              </w:rPr>
            </w:pPr>
          </w:p>
        </w:tc>
      </w:tr>
      <w:tr>
        <w:trPr>
          <w:trHeight w:val="290"/>
        </w:trPr>
        <w:tc>
          <w:tcPr>
            <w:tcW w:w="6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Net (loss) income from continuing operations attributable to EZCORP, Inc.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(59,469)</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(3,599)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(59,133)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3,394</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attributable to EZCORP, Inc.</w:t>
            </w: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(30,088)</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(68,093)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4"/>
                <w:szCs w:val="14"/>
                <w:color w:val="auto"/>
              </w:rPr>
              <w:t>Net loss attributable to EZCORP, Inc.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(89,557)</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(93,501)</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(86,449)</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(64,699)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4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2014</w:t>
            </w:r>
          </w:p>
        </w:tc>
      </w:tr>
      <w:tr>
        <w:trPr>
          <w:trHeight w:val="121"/>
        </w:trPr>
        <w:tc>
          <w:tcPr>
            <w:tcW w:w="9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55,325</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15,137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63,495</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loans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159,964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162,444</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Consumer loans,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36,533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63,995</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30,852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31,044</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Consumer loan fees and interest receivable,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19,802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12,647</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Inventory,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124,084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138,175</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Deferred tax asset,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44,134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17,572</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Prepaid income taxes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18,852</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37,230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38,217</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21,076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33,097</w:t>
            </w: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555,881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634,863</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 in unconsolidated affiliate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91,781</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75,594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105,900</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Restricted cash, non-current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5,070</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327,460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346,577</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66,086</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Non-current consumer loans,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75,824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85,004</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24,987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12,142</w:t>
            </w: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net</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42,985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63,121</w:t>
            </w:r>
          </w:p>
        </w:tc>
      </w:tr>
      <w:tr>
        <w:trPr>
          <w:trHeight w:val="243"/>
        </w:trPr>
        <w:tc>
          <w:tcPr>
            <w:tcW w:w="9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1,212,230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1,410,544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6"/>
        </w:trPr>
        <w:tc>
          <w:tcPr>
            <w:tcW w:w="9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temporary equity and stockholders’ equity:</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maturities of long-term debt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74,345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36,111</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Current capital lease obligations</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418</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other accrued expenses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107,871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94,993</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Other current liabilities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15,384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8,595</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Customer layaway deposits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10,470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8,097</w:t>
            </w: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208,070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148,214</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less current maturities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306,337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392,054</w:t>
            </w: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gains and other long-term liabilities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6,157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15,172</w:t>
            </w:r>
          </w:p>
        </w:tc>
      </w:tr>
      <w:tr>
        <w:trPr>
          <w:trHeight w:val="256"/>
        </w:trPr>
        <w:tc>
          <w:tcPr>
            <w:tcW w:w="90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520,564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555,440</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Commitments and contingencies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Temporary equity:</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Class A Non-voting Common Stock, subject to possible redemption at $10.06 per share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11,696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Redeemable noncontrolling interest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22,800</w:t>
            </w:r>
          </w:p>
        </w:tc>
      </w:tr>
      <w:tr>
        <w:trPr>
          <w:trHeight w:val="250"/>
        </w:trPr>
        <w:tc>
          <w:tcPr>
            <w:tcW w:w="9020" w:type="dxa"/>
            <w:vAlign w:val="bottom"/>
          </w:tcPr>
          <w:p>
            <w:pPr>
              <w:ind w:left="920"/>
              <w:spacing w:after="0"/>
              <w:rPr>
                <w:sz w:val="20"/>
                <w:szCs w:val="20"/>
                <w:color w:val="auto"/>
              </w:rPr>
            </w:pPr>
            <w:r>
              <w:rPr>
                <w:rFonts w:ascii="Arial" w:cs="Arial" w:eastAsia="Arial" w:hAnsi="Arial"/>
                <w:sz w:val="14"/>
                <w:szCs w:val="14"/>
                <w:color w:val="auto"/>
              </w:rPr>
              <w:t>Total temporary equity</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14,931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22,800</w:t>
            </w: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EZCORP, Inc. stockholders’ equity</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676,735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832,304</w:t>
            </w:r>
          </w:p>
        </w:tc>
      </w:tr>
      <w:tr>
        <w:trPr>
          <w:trHeight w:val="243"/>
        </w:trPr>
        <w:tc>
          <w:tcPr>
            <w:tcW w:w="9020" w:type="dxa"/>
            <w:vAlign w:val="bottom"/>
          </w:tcPr>
          <w:p>
            <w:pPr>
              <w:ind w:left="920"/>
              <w:spacing w:after="0"/>
              <w:rPr>
                <w:sz w:val="20"/>
                <w:szCs w:val="20"/>
                <w:color w:val="auto"/>
              </w:rPr>
            </w:pPr>
            <w:r>
              <w:rPr>
                <w:rFonts w:ascii="Arial" w:cs="Arial" w:eastAsia="Arial" w:hAnsi="Arial"/>
                <w:sz w:val="14"/>
                <w:szCs w:val="14"/>
                <w:color w:val="auto"/>
              </w:rPr>
              <w:t>Total liabilities, temporary equity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1,212,230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1,410,544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09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Three Months Ended September 30, 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Mexico Pawn</w:t>
            </w:r>
          </w:p>
        </w:tc>
        <w:tc>
          <w:tcPr>
            <w:tcW w:w="120" w:type="dxa"/>
            <w:vAlign w:val="bottom"/>
            <w:vMerge w:val="restart"/>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Grupo Finmart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780" w:type="dxa"/>
            <w:vAlign w:val="bottom"/>
          </w:tcPr>
          <w:p>
            <w:pPr>
              <w:jc w:val="right"/>
              <w:ind w:right="22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Segments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75,595</w:t>
            </w:r>
          </w:p>
        </w:tc>
        <w:tc>
          <w:tcPr>
            <w:tcW w:w="12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15,498</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91,490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91,490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10,452</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57,250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7,958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65,208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65,208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20,915</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143,551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188,834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188,834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48,763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12,180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61,359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61,359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11,761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12,689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12,689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86,387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106,329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106,329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90,666</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28,774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28,774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9,386</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Impairment of investments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29,237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29,237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29,237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16,317</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(loss)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w w:val="95"/>
              </w:rPr>
              <w:t>Loss from continuing operations before income taxes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(42,172)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(45,856)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(88,028)</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September 30, 2014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Mexico</w:t>
            </w:r>
          </w:p>
        </w:tc>
        <w:tc>
          <w:tcPr>
            <w:tcW w:w="160" w:type="dxa"/>
            <w:vAlign w:val="bottom"/>
          </w:tcPr>
          <w:p>
            <w:pPr>
              <w:spacing w:after="0"/>
              <w:rPr>
                <w:sz w:val="13"/>
                <w:szCs w:val="13"/>
                <w:color w:val="auto"/>
              </w:rPr>
            </w:pPr>
          </w:p>
        </w:tc>
        <w:tc>
          <w:tcPr>
            <w:tcW w:w="8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Grupo</w:t>
            </w:r>
          </w:p>
        </w:tc>
        <w:tc>
          <w:tcPr>
            <w:tcW w:w="14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760" w:type="dxa"/>
            <w:vAlign w:val="bottom"/>
          </w:tcPr>
          <w:p>
            <w:pPr>
              <w:jc w:val="right"/>
              <w:ind w:right="200"/>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Finmart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6"/>
              </w:rPr>
              <w:t>Segments</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i w:val="1"/>
                <w:iCs w:val="1"/>
                <w:color w:val="auto"/>
                <w:w w:val="96"/>
              </w:rPr>
              <w:t>(in thousands)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73,568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15,592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89,811</w:t>
            </w:r>
          </w:p>
        </w:tc>
        <w:tc>
          <w:tcPr>
            <w:tcW w:w="4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89,811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22,074</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56,774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8,392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65,166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65,166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18,648</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150,826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196,651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196,651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51,124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12,712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64,259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64,259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6,512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7,203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7,203</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107,615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107,615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84,103</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16,395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9,786</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6,664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6,664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contribution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21,882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(6,793)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2,328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14,908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Loss from continuing operations before income taxes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14,908</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(15,126)</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rPr>
              <w:t>Fiscal Year Ended September 30, 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Mexico Pawn</w:t>
            </w:r>
          </w:p>
        </w:tc>
        <w:tc>
          <w:tcPr>
            <w:tcW w:w="120" w:type="dxa"/>
            <w:vAlign w:val="bottom"/>
            <w:vMerge w:val="restart"/>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Grupo Finmart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780" w:type="dxa"/>
            <w:vAlign w:val="bottom"/>
          </w:tcPr>
          <w:p>
            <w:pPr>
              <w:jc w:val="right"/>
              <w:ind w:right="22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Segments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334,635</w:t>
            </w:r>
          </w:p>
        </w:tc>
        <w:tc>
          <w:tcPr>
            <w:tcW w:w="12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65,408</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402,118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402,118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57,973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216,211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30,993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247,204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247,204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78,066</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606,134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100,689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788,369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788,369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218,953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47,371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267,789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267,789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46,066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26,446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29,571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29,571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344,336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444,943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444,943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327,603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72,986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72,986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33,543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1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42,202</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Impairment of investments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29,237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29,237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29,237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17,080</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6,419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6,611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w w:val="95"/>
              </w:rPr>
              <w:t>Loss from continuing operations before income taxes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20,272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(111,115)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(90,843)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Fiscal Year Ended September 30, 2014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Mexico</w:t>
            </w:r>
          </w:p>
        </w:tc>
        <w:tc>
          <w:tcPr>
            <w:tcW w:w="160" w:type="dxa"/>
            <w:vAlign w:val="bottom"/>
          </w:tcPr>
          <w:p>
            <w:pPr>
              <w:spacing w:after="0"/>
              <w:rPr>
                <w:sz w:val="13"/>
                <w:szCs w:val="13"/>
                <w:color w:val="auto"/>
              </w:rPr>
            </w:pPr>
          </w:p>
        </w:tc>
        <w:tc>
          <w:tcPr>
            <w:tcW w:w="8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Grupo</w:t>
            </w:r>
          </w:p>
        </w:tc>
        <w:tc>
          <w:tcPr>
            <w:tcW w:w="14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760" w:type="dxa"/>
            <w:vAlign w:val="bottom"/>
          </w:tcPr>
          <w:p>
            <w:pPr>
              <w:jc w:val="right"/>
              <w:ind w:right="200"/>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Finmart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6"/>
              </w:rPr>
              <w:t>Segments</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i w:val="1"/>
                <w:iCs w:val="1"/>
                <w:color w:val="auto"/>
                <w:w w:val="96"/>
              </w:rPr>
              <w:t>(in thousands)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325,337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60,302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2,383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388,022</w:t>
            </w:r>
          </w:p>
        </w:tc>
        <w:tc>
          <w:tcPr>
            <w:tcW w:w="38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388,022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96,241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96,241</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217,891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30,487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248,378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248,378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63,702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63,702</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3,949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634,076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98,107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800,292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800,292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205,144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42,044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248,637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248,637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72,830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72,830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19,605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2,441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22,051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22,051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362,214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456,774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456,774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325,921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325,921</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79,944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79,944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31,762</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(Gain) loss on sale or disposal of assets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(5,841)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28,389</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Impairment of investments</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7,940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7,940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7,940</w:t>
            </w: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6,664</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Other expense (income)</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contribution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w w:val="99"/>
              </w:rPr>
              <w:t>Loss from continuing operations before income taxes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94,048</w:t>
            </w:r>
          </w:p>
        </w:tc>
        <w:tc>
          <w:tcPr>
            <w:tcW w:w="38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(105,287)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(11,239)</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5" w:name="page16"/>
    <w:bookmarkEnd w:id="15"/>
    <w:p>
      <w:pPr>
        <w:jc w:val="center"/>
        <w:ind w:right="-171"/>
        <w:spacing w:after="0"/>
        <w:rPr>
          <w:sz w:val="20"/>
          <w:szCs w:val="20"/>
          <w:color w:val="auto"/>
        </w:rPr>
      </w:pPr>
      <w:r>
        <w:rPr>
          <w:rFonts w:ascii="Arial" w:cs="Arial" w:eastAsia="Arial" w:hAnsi="Arial"/>
          <w:sz w:val="20"/>
          <w:szCs w:val="20"/>
          <w:b w:val="1"/>
          <w:bCs w:val="1"/>
          <w:color w:val="auto"/>
        </w:rPr>
        <w:t>EZCORP, Inc.</w:t>
      </w:r>
    </w:p>
    <w:p>
      <w:pPr>
        <w:spacing w:after="0" w:line="22" w:lineRule="exact"/>
        <w:rPr>
          <w:sz w:val="20"/>
          <w:szCs w:val="20"/>
          <w:color w:val="auto"/>
        </w:rPr>
      </w:pPr>
    </w:p>
    <w:p>
      <w:pPr>
        <w:jc w:val="center"/>
        <w:ind w:right="-171"/>
        <w:spacing w:after="0"/>
        <w:rPr>
          <w:sz w:val="20"/>
          <w:szCs w:val="20"/>
          <w:color w:val="auto"/>
        </w:rPr>
      </w:pPr>
      <w:r>
        <w:rPr>
          <w:rFonts w:ascii="Arial" w:cs="Arial" w:eastAsia="Arial" w:hAnsi="Arial"/>
          <w:sz w:val="20"/>
          <w:szCs w:val="20"/>
          <w:b w:val="1"/>
          <w:bCs w:val="1"/>
          <w:color w:val="auto"/>
        </w:rPr>
        <w:t>Store Count Activity</w:t>
      </w:r>
    </w:p>
    <w:p>
      <w:pPr>
        <w:spacing w:after="0" w:line="207" w:lineRule="exact"/>
        <w:rPr>
          <w:sz w:val="20"/>
          <w:szCs w:val="20"/>
          <w:color w:val="auto"/>
        </w:rPr>
      </w:pPr>
    </w:p>
    <w:tbl>
      <w:tblPr>
        <w:tblLayout w:type="fixed"/>
        <w:tblInd w:w="172"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0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Pawn</w:t>
            </w:r>
          </w:p>
        </w:tc>
        <w:tc>
          <w:tcPr>
            <w:tcW w:w="10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Mexico Pawn</w:t>
            </w:r>
          </w:p>
        </w:tc>
        <w:tc>
          <w:tcPr>
            <w:tcW w:w="120" w:type="dxa"/>
            <w:vAlign w:val="bottom"/>
          </w:tcPr>
          <w:p>
            <w:pPr>
              <w:spacing w:after="0"/>
              <w:rPr>
                <w:sz w:val="13"/>
                <w:szCs w:val="13"/>
                <w:color w:val="auto"/>
              </w:rPr>
            </w:pPr>
          </w:p>
        </w:tc>
        <w:tc>
          <w:tcPr>
            <w:tcW w:w="8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Grupo</w:t>
            </w: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Finmart</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International</w:t>
            </w:r>
          </w:p>
        </w:tc>
        <w:tc>
          <w:tcPr>
            <w:tcW w:w="13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2012</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9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900" w:type="dxa"/>
            <w:vAlign w:val="bottom"/>
            <w:gridSpan w:val="2"/>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Locations acquired</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9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Discontinued operations**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As of September 30, 2013</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New locations opened</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2014</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9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60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Locations acquired</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September 30, 2015</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90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92" w:hanging="492"/>
        <w:spacing w:after="0"/>
        <w:tabs>
          <w:tab w:leader="none" w:pos="4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USFS stores are excluded from presentation.</w:t>
      </w:r>
    </w:p>
    <w:p>
      <w:pPr>
        <w:spacing w:after="0" w:line="163" w:lineRule="exact"/>
        <w:rPr>
          <w:sz w:val="20"/>
          <w:szCs w:val="20"/>
          <w:color w:val="auto"/>
        </w:rPr>
      </w:pPr>
    </w:p>
    <w:p>
      <w:pPr>
        <w:ind w:left="492" w:right="140" w:hanging="492"/>
        <w:spacing w:after="0" w:line="273" w:lineRule="auto"/>
        <w:tabs>
          <w:tab w:leader="none" w:pos="4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During the third quarter of fiscal 2013, we implemented a plan to close 87 legacy stores in a variety of locations. These stores were generally older, smaller stores that did not fit our future growth profile.</w:t>
      </w:r>
    </w:p>
    <w:sectPr>
      <w:pgSz w:w="11900" w:h="16838" w:orient="portrait"/>
      <w:cols w:equalWidth="0" w:num="1">
        <w:col w:w="11412"/>
      </w:cols>
      <w:pgMar w:left="248"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2020-01-25T15:20:31Z</dcterms:created>
  <dcterms:modified xsi:type="dcterms:W3CDTF">2020-01-25T15:20:31Z</dcterms:modified>
</cp:coreProperties>
</file>