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SCHEDULE 13G</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Under the Securities Exchange Act of 1934</w:t>
      </w:r>
    </w:p>
    <w:p>
      <w:pPr>
        <w:sectPr>
          <w:pgSz w:w="11900" w:h="16910" w:orient="portrait"/>
          <w:cols w:equalWidth="0" w:num="1">
            <w:col w:w="10239"/>
          </w:cols>
          <w:pgMar w:left="220" w:top="225" w:right="1440" w:bottom="0" w:gutter="0" w:footer="0" w:header="0"/>
        </w:sectPr>
      </w:pP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ISSUER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EZCORP INC-CL A</w:t>
      </w:r>
    </w:p>
    <w:p>
      <w:pPr>
        <w:spacing w:after="0" w:line="171" w:lineRule="exact"/>
        <w:rPr>
          <w:sz w:val="24"/>
          <w:szCs w:val="24"/>
          <w:color w:val="auto"/>
        </w:rPr>
      </w:pPr>
    </w:p>
    <w:p>
      <w:pPr>
        <w:sectPr>
          <w:pgSz w:w="11900" w:h="16910" w:orient="portrait"/>
          <w:cols w:equalWidth="0" w:num="2">
            <w:col w:w="2780" w:space="720"/>
            <w:col w:w="6739"/>
          </w:cols>
          <w:pgMar w:left="220" w:top="225"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TITLE OF CLASS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Common</w:t>
      </w:r>
    </w:p>
    <w:p>
      <w:pPr>
        <w:spacing w:after="0" w:line="173" w:lineRule="exact"/>
        <w:rPr>
          <w:sz w:val="24"/>
          <w:szCs w:val="24"/>
          <w:color w:val="auto"/>
        </w:rPr>
      </w:pPr>
    </w:p>
    <w:p>
      <w:pPr>
        <w:sectPr>
          <w:pgSz w:w="11900" w:h="16910" w:orient="portrait"/>
          <w:cols w:equalWidth="0" w:num="2">
            <w:col w:w="2780" w:space="720"/>
            <w:col w:w="6739"/>
          </w:cols>
          <w:pgMar w:left="220" w:top="22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CUSIP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302301106</w:t>
      </w:r>
    </w:p>
    <w:p>
      <w:pPr>
        <w:spacing w:after="0" w:line="200" w:lineRule="exact"/>
        <w:rPr>
          <w:sz w:val="24"/>
          <w:szCs w:val="24"/>
          <w:color w:val="auto"/>
        </w:rPr>
      </w:pPr>
    </w:p>
    <w:p>
      <w:pPr>
        <w:sectPr>
          <w:pgSz w:w="11900" w:h="16910" w:orient="portrait"/>
          <w:cols w:equalWidth="0" w:num="2">
            <w:col w:w="2780" w:space="720"/>
            <w:col w:w="6739"/>
          </w:cols>
          <w:pgMar w:left="220" w:top="225" w:right="1440" w:bottom="0" w:gutter="0" w:footer="0" w:header="0"/>
          <w:type w:val="continuous"/>
        </w:sectPr>
      </w:pPr>
    </w:p>
    <w:p>
      <w:pPr>
        <w:spacing w:after="0" w:line="146" w:lineRule="exact"/>
        <w:rPr>
          <w:sz w:val="24"/>
          <w:szCs w:val="24"/>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Page 1 of 10 Pages</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13G</w:t>
      </w:r>
    </w:p>
    <w:p>
      <w:pPr>
        <w:sectPr>
          <w:pgSz w:w="11900" w:h="16910" w:orient="portrait"/>
          <w:cols w:equalWidth="0" w:num="1">
            <w:col w:w="10239"/>
          </w:cols>
          <w:pgMar w:left="220" w:top="225" w:right="1440" w:bottom="0" w:gutter="0" w:footer="0" w:header="0"/>
          <w:type w:val="continuous"/>
        </w:sectPr>
      </w:pPr>
    </w:p>
    <w:p>
      <w:pPr>
        <w:spacing w:after="0" w:line="166" w:lineRule="exact"/>
        <w:rPr>
          <w:sz w:val="24"/>
          <w:szCs w:val="24"/>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CUSIP No.</w:t>
      </w:r>
      <w:r>
        <w:rPr>
          <w:sz w:val="20"/>
          <w:szCs w:val="20"/>
          <w:color w:val="auto"/>
        </w:rPr>
        <w:tab/>
      </w:r>
      <w:r>
        <w:rPr>
          <w:rFonts w:ascii="Courier New" w:cs="Courier New" w:eastAsia="Courier New" w:hAnsi="Courier New"/>
          <w:sz w:val="14"/>
          <w:szCs w:val="14"/>
          <w:color w:val="auto"/>
        </w:rPr>
        <w:t>302301106</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Page 2 of 10 Pages</w:t>
      </w:r>
    </w:p>
    <w:p>
      <w:pPr>
        <w:spacing w:after="0" w:line="9" w:lineRule="exact"/>
        <w:rPr>
          <w:sz w:val="24"/>
          <w:szCs w:val="24"/>
          <w:color w:val="auto"/>
        </w:rPr>
      </w:pPr>
    </w:p>
    <w:p>
      <w:pPr>
        <w:sectPr>
          <w:pgSz w:w="11900" w:h="16910" w:orient="portrait"/>
          <w:cols w:equalWidth="0" w:num="2">
            <w:col w:w="6280" w:space="720"/>
            <w:col w:w="3239"/>
          </w:cols>
          <w:pgMar w:left="220" w:top="22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spacing w:after="0" w:line="237" w:lineRule="auto"/>
        <w:rPr>
          <w:sz w:val="20"/>
          <w:szCs w:val="20"/>
          <w:color w:val="auto"/>
        </w:rPr>
      </w:pPr>
      <w:r>
        <w:rPr>
          <w:rFonts w:ascii="Courier New" w:cs="Courier New" w:eastAsia="Courier New" w:hAnsi="Courier New"/>
          <w:sz w:val="15"/>
          <w:szCs w:val="15"/>
          <w:color w:val="auto"/>
        </w:rPr>
        <w:t>S.S. or I.R.S. identification no. of above person</w:t>
      </w:r>
    </w:p>
    <w:p>
      <w:pPr>
        <w:spacing w:after="0" w:line="16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Marsh &amp; McLennan Companies, Inc.</w:t>
      </w:r>
    </w:p>
    <w:p>
      <w:pPr>
        <w:ind w:left="700"/>
        <w:spacing w:after="0" w:line="237" w:lineRule="auto"/>
        <w:rPr>
          <w:sz w:val="20"/>
          <w:szCs w:val="20"/>
          <w:color w:val="auto"/>
        </w:rPr>
      </w:pPr>
      <w:r>
        <w:rPr>
          <w:rFonts w:ascii="Courier New" w:cs="Courier New" w:eastAsia="Courier New" w:hAnsi="Courier New"/>
          <w:sz w:val="15"/>
          <w:szCs w:val="15"/>
          <w:color w:val="auto"/>
        </w:rPr>
        <w:t>36-2668272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700"/>
        <w:spacing w:after="0"/>
        <w:tabs>
          <w:tab w:leader="none" w:pos="1300" w:val="left"/>
          <w:tab w:leader="none" w:pos="2780" w:val="left"/>
          <w:tab w:leader="none" w:pos="34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6"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0" w:hanging="691"/>
        <w:spacing w:after="0" w:line="237" w:lineRule="auto"/>
        <w:tabs>
          <w:tab w:leader="none" w:pos="35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910" w:orient="portrait"/>
          <w:cols w:equalWidth="0" w:num="1">
            <w:col w:w="10239"/>
          </w:cols>
          <w:pgMar w:left="220" w:top="225" w:right="1440" w:bottom="0" w:gutter="0" w:footer="0" w:header="0"/>
          <w:type w:val="continuous"/>
        </w:sectPr>
      </w:pP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 w:lineRule="exact"/>
        <w:rPr>
          <w:sz w:val="24"/>
          <w:szCs w:val="24"/>
          <w:color w:val="auto"/>
        </w:rPr>
      </w:pPr>
    </w:p>
    <w:p>
      <w:pPr>
        <w:sectPr>
          <w:pgSz w:w="11900" w:h="16910" w:orient="portrait"/>
          <w:cols w:equalWidth="0" w:num="4">
            <w:col w:w="1400" w:space="700"/>
            <w:col w:w="100" w:space="600"/>
            <w:col w:w="180" w:space="520"/>
            <w:col w:w="6739"/>
          </w:cols>
          <w:pgMar w:left="220" w:top="225" w:right="1440" w:bottom="0" w:gutter="0" w:footer="0" w:header="0"/>
          <w:type w:val="continuous"/>
        </w:sectPr>
      </w:pPr>
    </w:p>
    <w:p>
      <w:pPr>
        <w:spacing w:after="0" w:line="4" w:lineRule="exact"/>
        <w:rPr>
          <w:sz w:val="24"/>
          <w:szCs w:val="24"/>
          <w:color w:val="auto"/>
        </w:rPr>
      </w:pPr>
    </w:p>
    <w:p>
      <w:pPr>
        <w:spacing w:after="0" w:line="254" w:lineRule="auto"/>
        <w:rPr>
          <w:sz w:val="20"/>
          <w:szCs w:val="20"/>
          <w:color w:val="auto"/>
        </w:rPr>
      </w:pPr>
      <w:r>
        <w:rPr>
          <w:rFonts w:ascii="Courier New" w:cs="Courier New" w:eastAsia="Courier New" w:hAnsi="Courier New"/>
          <w:sz w:val="14"/>
          <w:szCs w:val="14"/>
          <w:color w:val="auto"/>
        </w:rPr>
        <w:t>Beneficially Owned by each</w:t>
      </w:r>
    </w:p>
    <w:p>
      <w:pPr>
        <w:spacing w:after="0" w:line="20" w:lineRule="exact"/>
        <w:rPr>
          <w:sz w:val="24"/>
          <w:szCs w:val="24"/>
          <w:color w:val="auto"/>
        </w:rPr>
      </w:pPr>
      <w:r>
        <w:rPr>
          <w:sz w:val="24"/>
          <w:szCs w:val="24"/>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ectPr>
          <w:pgSz w:w="11900" w:h="16910" w:orient="portrait"/>
          <w:cols w:equalWidth="0" w:num="3">
            <w:col w:w="1140" w:space="260"/>
            <w:col w:w="1380" w:space="720"/>
            <w:col w:w="6739"/>
          </w:cols>
          <w:pgMar w:left="220" w:top="225" w:right="1440" w:bottom="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Reporting Person with:</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31"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7.</w:t>
      </w:r>
    </w:p>
    <w:p>
      <w:pPr>
        <w:spacing w:after="0" w:line="20" w:lineRule="exact"/>
        <w:rPr>
          <w:sz w:val="24"/>
          <w:szCs w:val="24"/>
          <w:color w:val="auto"/>
        </w:rPr>
      </w:pPr>
      <w:r>
        <w:rPr>
          <w:sz w:val="24"/>
          <w:szCs w:val="24"/>
          <w:color w:val="auto"/>
        </w:rPr>
        <w:br w:type="column"/>
      </w: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4"/>
          <w:szCs w:val="24"/>
          <w:color w:val="auto"/>
        </w:rPr>
      </w:pPr>
    </w:p>
    <w:p>
      <w:pPr>
        <w:sectPr>
          <w:pgSz w:w="11900" w:h="16910" w:orient="portrait"/>
          <w:cols w:equalWidth="0" w:num="4">
            <w:col w:w="1060" w:space="340"/>
            <w:col w:w="100" w:space="600"/>
            <w:col w:w="180" w:space="520"/>
            <w:col w:w="7439"/>
          </w:cols>
          <w:pgMar w:left="220" w:top="225"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hanging="691"/>
        <w:spacing w:after="0" w:line="238" w:lineRule="auto"/>
        <w:tabs>
          <w:tab w:leader="none" w:pos="35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7" w:lineRule="exact"/>
        <w:rPr>
          <w:sz w:val="24"/>
          <w:szCs w:val="24"/>
          <w:color w:val="auto"/>
        </w:rPr>
      </w:pPr>
    </w:p>
    <w:p>
      <w:pPr>
        <w:ind w:left="42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w:t>
      </w:r>
    </w:p>
    <w:p>
      <w:pPr>
        <w:spacing w:after="0" w:line="166"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class represented by amount in row 9</w:t>
      </w:r>
    </w:p>
    <w:p>
      <w:pPr>
        <w:spacing w:after="0" w:line="166"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ectPr>
          <w:pgSz w:w="11900" w:h="16910" w:orient="portrait"/>
          <w:cols w:equalWidth="0" w:num="1">
            <w:col w:w="10239"/>
          </w:cols>
          <w:pgMar w:left="220" w:top="225"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 ------------------------------------------------------------------------------</w:t>
      </w:r>
    </w:p>
    <w:p>
      <w:pPr>
        <w:spacing w:after="0" w:line="237" w:lineRule="auto"/>
        <w:tabs>
          <w:tab w:leader="none" w:pos="6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Type of Reporting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HC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13G</w:t>
      </w:r>
    </w:p>
    <w:p>
      <w:pPr>
        <w:spacing w:after="0" w:line="166"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CUSIP No. 302301106</w:t>
      </w:r>
      <w:r>
        <w:rPr>
          <w:sz w:val="20"/>
          <w:szCs w:val="20"/>
          <w:color w:val="auto"/>
        </w:rPr>
        <w:tab/>
      </w:r>
      <w:r>
        <w:rPr>
          <w:rFonts w:ascii="Courier New" w:cs="Courier New" w:eastAsia="Courier New" w:hAnsi="Courier New"/>
          <w:sz w:val="14"/>
          <w:szCs w:val="14"/>
          <w:color w:val="auto"/>
        </w:rPr>
        <w:t>Page 3 of 10 Pages</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 of above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Putnam, LLC. d/b/a/ Putnam Investments</w:t>
      </w:r>
    </w:p>
    <w:p>
      <w:pPr>
        <w:ind w:left="700"/>
        <w:spacing w:after="0" w:line="237" w:lineRule="auto"/>
        <w:rPr>
          <w:sz w:val="20"/>
          <w:szCs w:val="20"/>
          <w:color w:val="auto"/>
        </w:rPr>
      </w:pPr>
      <w:r>
        <w:rPr>
          <w:rFonts w:ascii="Courier New" w:cs="Courier New" w:eastAsia="Courier New" w:hAnsi="Courier New"/>
          <w:sz w:val="15"/>
          <w:szCs w:val="15"/>
          <w:color w:val="auto"/>
        </w:rPr>
        <w:t>36-4488942</w:t>
      </w:r>
    </w:p>
    <w:p>
      <w:pPr>
        <w:spacing w:after="0" w:line="238" w:lineRule="auto"/>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1400"/>
        <w:spacing w:after="0"/>
        <w:tabs>
          <w:tab w:leader="none" w:pos="2000" w:val="left"/>
          <w:tab w:leader="none" w:pos="3480" w:val="left"/>
          <w:tab w:leader="none" w:pos="41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Delaware</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0" w:hanging="691"/>
        <w:spacing w:after="0" w:line="237" w:lineRule="auto"/>
        <w:tabs>
          <w:tab w:leader="none" w:pos="350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838" w:orient="portrait"/>
          <w:cols w:equalWidth="0" w:num="1">
            <w:col w:w="10239"/>
          </w:cols>
          <w:pgMar w:left="220" w:top="135" w:right="1440" w:bottom="0" w:gutter="0" w:footer="0" w:header="0"/>
        </w:sectPr>
      </w:pPr>
    </w:p>
    <w:p>
      <w:pPr>
        <w:spacing w:after="0" w:line="342"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Number of Beneficially owned by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w:t>
      </w:r>
    </w:p>
    <w:p>
      <w:pPr>
        <w:ind w:left="600"/>
        <w:spacing w:after="0" w:line="237" w:lineRule="auto"/>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72" w:lineRule="exact"/>
        <w:rPr>
          <w:sz w:val="20"/>
          <w:szCs w:val="20"/>
          <w:color w:val="auto"/>
        </w:rPr>
      </w:pPr>
    </w:p>
    <w:p>
      <w:pPr>
        <w:sectPr>
          <w:pgSz w:w="11900" w:h="16838" w:orient="portrait"/>
          <w:cols w:equalWidth="0" w:num="4">
            <w:col w:w="1140" w:space="260"/>
            <w:col w:w="100" w:space="0"/>
            <w:col w:w="780" w:space="520"/>
            <w:col w:w="7439"/>
          </w:cols>
          <w:pgMar w:left="220" w:top="135" w:right="1440" w:bottom="0" w:gutter="0" w:footer="0" w:header="0"/>
          <w:type w:val="continuous"/>
        </w:sectPr>
      </w:pPr>
    </w:p>
    <w:p>
      <w:pPr>
        <w:ind w:left="4200"/>
        <w:spacing w:after="0" w:line="232" w:lineRule="auto"/>
        <w:rPr>
          <w:sz w:val="20"/>
          <w:szCs w:val="20"/>
          <w:color w:val="auto"/>
        </w:rPr>
      </w:pPr>
      <w:r>
        <w:rPr>
          <w:rFonts w:ascii="Courier New" w:cs="Courier New" w:eastAsia="Courier New" w:hAnsi="Courier New"/>
          <w:sz w:val="15"/>
          <w:szCs w:val="15"/>
          <w:color w:val="auto"/>
        </w:rPr>
        <w:t>131110</w:t>
      </w:r>
    </w:p>
    <w:p>
      <w:pPr>
        <w:sectPr>
          <w:pgSz w:w="11900" w:h="16838" w:orient="portrait"/>
          <w:cols w:equalWidth="0" w:num="1">
            <w:col w:w="10239"/>
          </w:cols>
          <w:pgMar w:left="220" w:top="135"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Reporting</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2">
            <w:col w:w="1380" w:space="720"/>
            <w:col w:w="8139"/>
          </w:cols>
          <w:pgMar w:left="220" w:top="135"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 with:</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0"/>
          <w:szCs w:val="20"/>
          <w:color w:val="auto"/>
        </w:rPr>
      </w:pPr>
    </w:p>
    <w:p>
      <w:pPr>
        <w:sectPr>
          <w:pgSz w:w="11900" w:h="16838" w:orient="portrait"/>
          <w:cols w:equalWidth="0" w:num="4">
            <w:col w:w="1060" w:space="340"/>
            <w:col w:w="680" w:space="720"/>
            <w:col w:w="180" w:space="520"/>
            <w:col w:w="6739"/>
          </w:cols>
          <w:pgMar w:left="220" w:top="135"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hanging="691"/>
        <w:spacing w:after="0" w:line="238" w:lineRule="auto"/>
        <w:tabs>
          <w:tab w:leader="none" w:pos="35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1846199</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400" w:right="4279" w:hanging="1390"/>
        <w:spacing w:after="0" w:line="465"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 1846199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tabs>
          <w:tab w:leader="none" w:pos="6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Percent of class represented by amount in row 9</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tabs>
          <w:tab w:leader="none" w:pos="6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Type of Reporting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HC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13G</w:t>
      </w:r>
    </w:p>
    <w:p>
      <w:pPr>
        <w:spacing w:after="0" w:line="166"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CUSIP No. 302301106</w:t>
      </w:r>
      <w:r>
        <w:rPr>
          <w:sz w:val="20"/>
          <w:szCs w:val="20"/>
          <w:color w:val="auto"/>
        </w:rPr>
        <w:tab/>
      </w:r>
      <w:r>
        <w:rPr>
          <w:rFonts w:ascii="Courier New" w:cs="Courier New" w:eastAsia="Courier New" w:hAnsi="Courier New"/>
          <w:sz w:val="14"/>
          <w:szCs w:val="14"/>
          <w:color w:val="auto"/>
        </w:rPr>
        <w:t>Page 4 of 10 Pages</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 of above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Putnam Investment Management, LLC.</w:t>
      </w:r>
    </w:p>
    <w:p>
      <w:pPr>
        <w:ind w:left="700"/>
        <w:spacing w:after="0" w:line="237" w:lineRule="auto"/>
        <w:rPr>
          <w:sz w:val="20"/>
          <w:szCs w:val="20"/>
          <w:color w:val="auto"/>
        </w:rPr>
      </w:pPr>
      <w:r>
        <w:rPr>
          <w:rFonts w:ascii="Courier New" w:cs="Courier New" w:eastAsia="Courier New" w:hAnsi="Courier New"/>
          <w:sz w:val="15"/>
          <w:szCs w:val="15"/>
          <w:color w:val="auto"/>
        </w:rPr>
        <w:t>04-2471937</w:t>
      </w:r>
    </w:p>
    <w:p>
      <w:pPr>
        <w:spacing w:after="0" w:line="238" w:lineRule="auto"/>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1400"/>
        <w:spacing w:after="0"/>
        <w:tabs>
          <w:tab w:leader="none" w:pos="2000" w:val="left"/>
          <w:tab w:leader="none" w:pos="3480" w:val="left"/>
          <w:tab w:leader="none" w:pos="41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Delaware</w:t>
      </w:r>
    </w:p>
    <w:p>
      <w:pPr>
        <w:ind w:left="180" w:hanging="170"/>
        <w:spacing w:after="0" w:line="237" w:lineRule="auto"/>
        <w:tabs>
          <w:tab w:leader="none" w:pos="1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0" w:hanging="691"/>
        <w:spacing w:after="0" w:line="237" w:lineRule="auto"/>
        <w:tabs>
          <w:tab w:leader="none" w:pos="350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838" w:orient="portrait"/>
          <w:cols w:equalWidth="0" w:num="1">
            <w:col w:w="10239"/>
          </w:cols>
          <w:pgMar w:left="220" w:top="135" w:right="1440" w:bottom="0" w:gutter="0" w:footer="0" w:header="0"/>
          <w:type w:val="continuous"/>
        </w:sectPr>
      </w:pPr>
    </w:p>
    <w:p>
      <w:pPr>
        <w:spacing w:after="0" w:line="342"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Number of Beneficially Owned by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w:t>
      </w:r>
    </w:p>
    <w:p>
      <w:pPr>
        <w:ind w:left="600"/>
        <w:spacing w:after="0" w:line="237" w:lineRule="auto"/>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72" w:lineRule="exact"/>
        <w:rPr>
          <w:sz w:val="20"/>
          <w:szCs w:val="20"/>
          <w:color w:val="auto"/>
        </w:rPr>
      </w:pPr>
    </w:p>
    <w:p>
      <w:pPr>
        <w:sectPr>
          <w:pgSz w:w="11900" w:h="16838" w:orient="portrait"/>
          <w:cols w:equalWidth="0" w:num="4">
            <w:col w:w="1140" w:space="260"/>
            <w:col w:w="100" w:space="0"/>
            <w:col w:w="780" w:space="520"/>
            <w:col w:w="7439"/>
          </w:cols>
          <w:pgMar w:left="220" w:top="135" w:right="1440" w:bottom="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Reporting Person with: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ind w:left="700"/>
        <w:spacing w:after="0" w:line="232" w:lineRule="auto"/>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0"/>
          <w:szCs w:val="20"/>
          <w:color w:val="auto"/>
        </w:rPr>
      </w:pPr>
    </w:p>
    <w:p>
      <w:pPr>
        <w:sectPr>
          <w:pgSz w:w="11900" w:h="16838" w:orient="portrait"/>
          <w:cols w:equalWidth="0" w:num="5">
            <w:col w:w="1060" w:space="340"/>
            <w:col w:w="100" w:space="600"/>
            <w:col w:w="100" w:space="600"/>
            <w:col w:w="180" w:space="520"/>
            <w:col w:w="6739"/>
          </w:cols>
          <w:pgMar w:left="220" w:top="135"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2800" w:hanging="691"/>
        <w:spacing w:after="0" w:line="238" w:lineRule="auto"/>
        <w:tabs>
          <w:tab w:leader="none" w:pos="28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678292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35" w:right="1440" w:bottom="0" w:gutter="0" w:footer="0" w:header="0"/>
          <w:type w:val="continuous"/>
        </w:sectPr>
      </w:pPr>
    </w:p>
    <w:bookmarkStart w:id="2" w:name="page3"/>
    <w:bookmarkEnd w:id="2"/>
    <w:p>
      <w:pPr>
        <w:ind w:left="700" w:hanging="690"/>
        <w:spacing w:after="0"/>
        <w:tabs>
          <w:tab w:leader="none" w:pos="7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678292</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tabs>
          <w:tab w:leader="none" w:pos="6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Percent of class represented by amount in row 9</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1.8%</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tabs>
          <w:tab w:leader="none" w:pos="6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Type of Reporting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13G</w:t>
      </w:r>
    </w:p>
    <w:p>
      <w:pPr>
        <w:spacing w:after="0" w:line="166"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CUSIP No. 302301106</w:t>
      </w:r>
      <w:r>
        <w:rPr>
          <w:sz w:val="20"/>
          <w:szCs w:val="20"/>
          <w:color w:val="auto"/>
        </w:rPr>
        <w:tab/>
      </w:r>
      <w:r>
        <w:rPr>
          <w:rFonts w:ascii="Courier New" w:cs="Courier New" w:eastAsia="Courier New" w:hAnsi="Courier New"/>
          <w:sz w:val="14"/>
          <w:szCs w:val="14"/>
          <w:color w:val="auto"/>
        </w:rPr>
        <w:t>Page 5 of 10 Pages</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 of above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Putnam Advisory Company, LLC.</w:t>
      </w:r>
    </w:p>
    <w:p>
      <w:pPr>
        <w:ind w:left="700"/>
        <w:spacing w:after="0" w:line="237" w:lineRule="auto"/>
        <w:rPr>
          <w:sz w:val="20"/>
          <w:szCs w:val="20"/>
          <w:color w:val="auto"/>
        </w:rPr>
      </w:pPr>
      <w:r>
        <w:rPr>
          <w:rFonts w:ascii="Courier New" w:cs="Courier New" w:eastAsia="Courier New" w:hAnsi="Courier New"/>
          <w:sz w:val="15"/>
          <w:szCs w:val="15"/>
          <w:color w:val="auto"/>
        </w:rPr>
        <w:t>04-6187127</w:t>
      </w:r>
    </w:p>
    <w:p>
      <w:pPr>
        <w:spacing w:after="0" w:line="238" w:lineRule="auto"/>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1400"/>
        <w:spacing w:after="0"/>
        <w:tabs>
          <w:tab w:leader="none" w:pos="2000" w:val="left"/>
          <w:tab w:leader="none" w:pos="3480" w:val="left"/>
          <w:tab w:leader="none" w:pos="41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Delaware</w:t>
      </w:r>
    </w:p>
    <w:p>
      <w:pPr>
        <w:ind w:left="180" w:hanging="170"/>
        <w:spacing w:after="0" w:line="237" w:lineRule="auto"/>
        <w:tabs>
          <w:tab w:leader="none" w:pos="1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0" w:hanging="691"/>
        <w:spacing w:after="0" w:line="237" w:lineRule="auto"/>
        <w:tabs>
          <w:tab w:leader="none" w:pos="350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838" w:orient="portrait"/>
          <w:cols w:equalWidth="0" w:num="1">
            <w:col w:w="10239"/>
          </w:cols>
          <w:pgMar w:left="220" w:top="135" w:right="1440" w:bottom="0" w:gutter="0" w:footer="0" w:header="0"/>
        </w:sectPr>
      </w:pPr>
    </w:p>
    <w:p>
      <w:pPr>
        <w:spacing w:after="0" w:line="342"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Number of Beneficially Owned by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w:t>
      </w:r>
    </w:p>
    <w:p>
      <w:pPr>
        <w:ind w:left="600"/>
        <w:spacing w:after="0" w:line="237" w:lineRule="auto"/>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72" w:lineRule="exact"/>
        <w:rPr>
          <w:sz w:val="20"/>
          <w:szCs w:val="20"/>
          <w:color w:val="auto"/>
        </w:rPr>
      </w:pPr>
    </w:p>
    <w:p>
      <w:pPr>
        <w:sectPr>
          <w:pgSz w:w="11900" w:h="16838" w:orient="portrait"/>
          <w:cols w:equalWidth="0" w:num="4">
            <w:col w:w="1140" w:space="260"/>
            <w:col w:w="100" w:space="0"/>
            <w:col w:w="780" w:space="520"/>
            <w:col w:w="7439"/>
          </w:cols>
          <w:pgMar w:left="220" w:top="135" w:right="1440" w:bottom="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Reporting Person with: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ind w:left="700"/>
        <w:spacing w:after="0" w:line="232" w:lineRule="auto"/>
        <w:rPr>
          <w:sz w:val="20"/>
          <w:szCs w:val="20"/>
          <w:color w:val="auto"/>
        </w:rPr>
      </w:pPr>
      <w:r>
        <w:rPr>
          <w:rFonts w:ascii="Courier New" w:cs="Courier New" w:eastAsia="Courier New" w:hAnsi="Courier New"/>
          <w:sz w:val="15"/>
          <w:szCs w:val="15"/>
          <w:color w:val="auto"/>
        </w:rPr>
        <w:t>131110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0"/>
          <w:szCs w:val="20"/>
          <w:color w:val="auto"/>
        </w:rPr>
      </w:pPr>
    </w:p>
    <w:p>
      <w:pPr>
        <w:sectPr>
          <w:pgSz w:w="11900" w:h="16838" w:orient="portrait"/>
          <w:cols w:equalWidth="0" w:num="5">
            <w:col w:w="1060" w:space="340"/>
            <w:col w:w="100" w:space="600"/>
            <w:col w:w="100" w:space="600"/>
            <w:col w:w="180" w:space="520"/>
            <w:col w:w="6739"/>
          </w:cols>
          <w:pgMar w:left="220" w:top="135"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hanging="691"/>
        <w:spacing w:after="0" w:line="238" w:lineRule="auto"/>
        <w:tabs>
          <w:tab w:leader="none" w:pos="35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1167907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1167907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class represented by amount in row 9</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tabs>
          <w:tab w:leader="none" w:pos="1660" w:val="left"/>
        </w:tabs>
        <w:rPr>
          <w:sz w:val="20"/>
          <w:szCs w:val="20"/>
          <w:color w:val="auto"/>
        </w:rPr>
      </w:pPr>
      <w:r>
        <w:rPr>
          <w:rFonts w:ascii="Courier New" w:cs="Courier New" w:eastAsia="Courier New" w:hAnsi="Courier New"/>
          <w:sz w:val="15"/>
          <w:szCs w:val="15"/>
          <w:color w:val="auto"/>
        </w:rPr>
        <w:t>Washington, D. C.</w:t>
      </w:r>
      <w:r>
        <w:rPr>
          <w:sz w:val="20"/>
          <w:szCs w:val="20"/>
          <w:color w:val="auto"/>
        </w:rPr>
        <w:tab/>
      </w:r>
      <w:r>
        <w:rPr>
          <w:rFonts w:ascii="Courier New" w:cs="Courier New" w:eastAsia="Courier New" w:hAnsi="Courier New"/>
          <w:sz w:val="14"/>
          <w:szCs w:val="14"/>
          <w:color w:val="auto"/>
        </w:rPr>
        <w:t>20549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13G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Securities Exchange Act of 1934</w:t>
      </w:r>
    </w:p>
    <w:p>
      <w:pPr>
        <w:spacing w:after="0" w:line="237" w:lineRule="auto"/>
        <w:rPr>
          <w:sz w:val="20"/>
          <w:szCs w:val="20"/>
          <w:color w:val="auto"/>
        </w:rPr>
      </w:pPr>
      <w:r>
        <w:rPr>
          <w:rFonts w:ascii="Courier New" w:cs="Courier New" w:eastAsia="Courier New" w:hAnsi="Courier New"/>
          <w:sz w:val="15"/>
          <w:szCs w:val="15"/>
          <w:color w:val="auto"/>
        </w:rPr>
        <w:t>(Amendment No. 1)</w:t>
      </w:r>
    </w:p>
    <w:p>
      <w:pPr>
        <w:sectPr>
          <w:pgSz w:w="11900" w:h="16838" w:orient="portrait"/>
          <w:cols w:equalWidth="0" w:num="1">
            <w:col w:w="10239"/>
          </w:cols>
          <w:pgMar w:left="220" w:top="135" w:right="1440" w:bottom="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EZCORP INC-CL A</w:t>
      </w:r>
    </w:p>
    <w:p>
      <w:pPr>
        <w:spacing w:after="0" w:line="178" w:lineRule="exact"/>
        <w:rPr>
          <w:sz w:val="20"/>
          <w:szCs w:val="20"/>
          <w:color w:val="auto"/>
        </w:rPr>
      </w:pPr>
    </w:p>
    <w:p>
      <w:pPr>
        <w:sectPr>
          <w:pgSz w:w="11900" w:h="16838" w:orient="portrait"/>
          <w:cols w:equalWidth="0" w:num="3">
            <w:col w:w="800" w:space="600"/>
            <w:col w:w="1380" w:space="720"/>
            <w:col w:w="6739"/>
          </w:cols>
          <w:pgMar w:left="220" w:top="13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1(b)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 of Issuer's Principal Executive Offices:</w:t>
      </w:r>
    </w:p>
    <w:p>
      <w:pPr>
        <w:spacing w:after="0" w:line="178" w:lineRule="exact"/>
        <w:rPr>
          <w:sz w:val="20"/>
          <w:szCs w:val="20"/>
          <w:color w:val="auto"/>
        </w:rPr>
      </w:pPr>
    </w:p>
    <w:p>
      <w:pPr>
        <w:sectPr>
          <w:pgSz w:w="11900" w:h="16838" w:orient="portrait"/>
          <w:cols w:equalWidth="0" w:num="2">
            <w:col w:w="800" w:space="600"/>
            <w:col w:w="8839"/>
          </w:cols>
          <w:pgMar w:left="220" w:top="13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1901 CAPITAL PKWY, AUSTIN, TX 78746,</w:t>
      </w:r>
    </w:p>
    <w:p>
      <w:pPr>
        <w:sectPr>
          <w:pgSz w:w="11900" w:h="16838" w:orient="portrait"/>
          <w:cols w:equalWidth="0" w:num="1">
            <w:col w:w="10239"/>
          </w:cols>
          <w:pgMar w:left="220" w:top="135" w:right="1440" w:bottom="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2(a)</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Item 2(b)</w:t>
      </w:r>
    </w:p>
    <w:p>
      <w:pPr>
        <w:spacing w:after="0" w:line="178" w:lineRule="exact"/>
        <w:rPr>
          <w:sz w:val="20"/>
          <w:szCs w:val="20"/>
          <w:color w:val="auto"/>
        </w:rPr>
      </w:pPr>
    </w:p>
    <w:p>
      <w:pPr>
        <w:sectPr>
          <w:pgSz w:w="11900" w:h="16838" w:orient="portrait"/>
          <w:cols w:equalWidth="0" w:num="2">
            <w:col w:w="4180" w:space="720"/>
            <w:col w:w="5339"/>
          </w:cols>
          <w:pgMar w:left="220" w:top="13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 of Person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 or Principal Office or, if</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 Residence:</w:t>
      </w:r>
    </w:p>
    <w:p>
      <w:pPr>
        <w:spacing w:after="0" w:line="166" w:lineRule="exact"/>
        <w:rPr>
          <w:sz w:val="20"/>
          <w:szCs w:val="20"/>
          <w:color w:val="auto"/>
        </w:rPr>
      </w:pPr>
    </w:p>
    <w:p>
      <w:pPr>
        <w:sectPr>
          <w:pgSz w:w="11900" w:h="16838" w:orient="portrait"/>
          <w:cols w:equalWidth="0" w:num="2">
            <w:col w:w="3480" w:space="720"/>
            <w:col w:w="6039"/>
          </w:cols>
          <w:pgMar w:left="220" w:top="135"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Putnam, LLC d/b/a Putnam Investments</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("PI")</w:t>
      </w:r>
    </w:p>
    <w:p>
      <w:pPr>
        <w:spacing w:after="0" w:line="237" w:lineRule="auto"/>
        <w:rPr>
          <w:sz w:val="20"/>
          <w:szCs w:val="20"/>
          <w:color w:val="auto"/>
        </w:rPr>
      </w:pPr>
      <w:r>
        <w:rPr>
          <w:rFonts w:ascii="Courier New" w:cs="Courier New" w:eastAsia="Courier New" w:hAnsi="Courier New"/>
          <w:sz w:val="15"/>
          <w:szCs w:val="15"/>
          <w:color w:val="auto"/>
        </w:rPr>
        <w:t>on behalf of itself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 Post Office Square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Boston, Massachusetts 02109</w:t>
      </w:r>
    </w:p>
    <w:p>
      <w:pPr>
        <w:spacing w:after="0" w:line="345" w:lineRule="exact"/>
        <w:rPr>
          <w:sz w:val="20"/>
          <w:szCs w:val="20"/>
          <w:color w:val="auto"/>
        </w:rPr>
      </w:pPr>
    </w:p>
    <w:p>
      <w:pPr>
        <w:sectPr>
          <w:pgSz w:w="11900" w:h="16838" w:orient="portrait"/>
          <w:cols w:equalWidth="0" w:num="2">
            <w:col w:w="3160" w:space="340"/>
            <w:col w:w="6739"/>
          </w:cols>
          <w:pgMar w:left="220" w:top="13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*Marsh &amp; McLennan Companies, Inc.</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("MMC")</w:t>
      </w:r>
    </w:p>
    <w:p>
      <w:pPr>
        <w:spacing w:after="0" w:line="20" w:lineRule="exact"/>
        <w:rPr>
          <w:sz w:val="20"/>
          <w:szCs w:val="20"/>
          <w:color w:val="auto"/>
        </w:rPr>
      </w:pPr>
      <w:r>
        <w:rPr>
          <w:sz w:val="20"/>
          <w:szCs w:val="20"/>
          <w:color w:val="auto"/>
        </w:rPr>
        <w:br w:type="column"/>
      </w:r>
    </w:p>
    <w:p>
      <w:pPr>
        <w:jc w:val="right"/>
        <w:ind w:right="3659"/>
        <w:spacing w:after="0"/>
        <w:rPr>
          <w:sz w:val="20"/>
          <w:szCs w:val="20"/>
          <w:color w:val="auto"/>
        </w:rPr>
      </w:pPr>
      <w:r>
        <w:rPr>
          <w:rFonts w:ascii="Courier New" w:cs="Courier New" w:eastAsia="Courier New" w:hAnsi="Courier New"/>
          <w:sz w:val="14"/>
          <w:szCs w:val="14"/>
          <w:color w:val="auto"/>
        </w:rPr>
        <w:t>1166 Avenue of the Americas</w:t>
      </w:r>
    </w:p>
    <w:p>
      <w:pPr>
        <w:spacing w:after="0" w:line="3" w:lineRule="exact"/>
        <w:rPr>
          <w:sz w:val="20"/>
          <w:szCs w:val="20"/>
          <w:color w:val="auto"/>
        </w:rPr>
      </w:pPr>
    </w:p>
    <w:p>
      <w:pPr>
        <w:jc w:val="right"/>
        <w:ind w:right="3659"/>
        <w:spacing w:after="0"/>
        <w:tabs>
          <w:tab w:leader="none" w:pos="4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10036</w:t>
      </w:r>
    </w:p>
    <w:p>
      <w:pPr>
        <w:sectPr>
          <w:pgSz w:w="11900" w:h="16838" w:orient="portrait"/>
          <w:cols w:equalWidth="0" w:num="2">
            <w:col w:w="3480" w:space="720"/>
            <w:col w:w="6039"/>
          </w:cols>
          <w:pgMar w:left="220" w:top="135"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Putnam Investment Management, LLC.</w:t>
            </w:r>
          </w:p>
        </w:tc>
        <w:tc>
          <w:tcPr>
            <w:tcW w:w="1300" w:type="dxa"/>
            <w:vAlign w:val="bottom"/>
          </w:tcPr>
          <w:p>
            <w:pPr>
              <w:ind w:left="600"/>
              <w:spacing w:after="0"/>
              <w:rPr>
                <w:sz w:val="20"/>
                <w:szCs w:val="20"/>
                <w:color w:val="auto"/>
              </w:rPr>
            </w:pPr>
            <w:r>
              <w:rPr>
                <w:rFonts w:ascii="Courier New" w:cs="Courier New" w:eastAsia="Courier New" w:hAnsi="Courier New"/>
                <w:sz w:val="15"/>
                <w:szCs w:val="15"/>
                <w:color w:val="auto"/>
                <w:w w:val="94"/>
              </w:rPr>
              <w:t>One Post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Office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Square</w:t>
            </w:r>
          </w:p>
        </w:tc>
      </w:tr>
      <w:tr>
        <w:trPr>
          <w:trHeight w:val="168"/>
        </w:trPr>
        <w:tc>
          <w:tcPr>
            <w:tcW w:w="3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("PIM")</w:t>
            </w:r>
          </w:p>
        </w:tc>
        <w:tc>
          <w:tcPr>
            <w:tcW w:w="1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Boston,</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Massachusetts 02109</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The Putnam Advisory Company, LLC.</w:t>
            </w:r>
          </w:p>
        </w:tc>
        <w:tc>
          <w:tcPr>
            <w:tcW w:w="1300" w:type="dxa"/>
            <w:vAlign w:val="bottom"/>
          </w:tcPr>
          <w:p>
            <w:pPr>
              <w:ind w:left="600"/>
              <w:spacing w:after="0"/>
              <w:rPr>
                <w:sz w:val="20"/>
                <w:szCs w:val="20"/>
                <w:color w:val="auto"/>
              </w:rPr>
            </w:pPr>
            <w:r>
              <w:rPr>
                <w:rFonts w:ascii="Courier New" w:cs="Courier New" w:eastAsia="Courier New" w:hAnsi="Courier New"/>
                <w:sz w:val="15"/>
                <w:szCs w:val="15"/>
                <w:color w:val="auto"/>
                <w:w w:val="94"/>
              </w:rPr>
              <w:t>One Post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Office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Square</w:t>
            </w:r>
          </w:p>
        </w:tc>
      </w:tr>
    </w:tbl>
    <w:p>
      <w:pPr>
        <w:spacing w:after="0" w:line="5" w:lineRule="exact"/>
        <w:rPr>
          <w:sz w:val="20"/>
          <w:szCs w:val="20"/>
          <w:color w:val="auto"/>
        </w:rPr>
      </w:pPr>
    </w:p>
    <w:p>
      <w:pPr>
        <w:sectPr>
          <w:pgSz w:w="11900" w:h="16838" w:orient="portrait"/>
          <w:cols w:equalWidth="0" w:num="1">
            <w:col w:w="11540"/>
          </w:cols>
          <w:pgMar w:left="220" w:top="135" w:right="139" w:bottom="0" w:gutter="0" w:footer="0" w:header="0"/>
        </w:sectPr>
      </w:pPr>
    </w:p>
    <w:p>
      <w:pPr>
        <w:ind w:left="700"/>
        <w:spacing w:after="0"/>
        <w:rPr>
          <w:sz w:val="20"/>
          <w:szCs w:val="20"/>
          <w:color w:val="auto"/>
        </w:rPr>
      </w:pPr>
      <w:r>
        <w:rPr>
          <w:rFonts w:ascii="Courier New" w:cs="Courier New" w:eastAsia="Courier New" w:hAnsi="Courier New"/>
          <w:sz w:val="14"/>
          <w:szCs w:val="14"/>
          <w:color w:val="auto"/>
        </w:rPr>
        <w:t>("PAC")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Boston, Massachusetts 02109</w:t>
      </w:r>
    </w:p>
    <w:p>
      <w:pPr>
        <w:spacing w:after="0" w:line="200" w:lineRule="exact"/>
        <w:rPr>
          <w:sz w:val="20"/>
          <w:szCs w:val="20"/>
          <w:color w:val="auto"/>
        </w:rPr>
      </w:pPr>
    </w:p>
    <w:p>
      <w:pPr>
        <w:sectPr>
          <w:pgSz w:w="11900" w:h="16838" w:orient="portrait"/>
          <w:cols w:equalWidth="0" w:num="2">
            <w:col w:w="4180" w:space="720"/>
            <w:col w:w="6640"/>
          </w:cols>
          <w:pgMar w:left="220" w:top="135" w:right="139" w:bottom="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4"/>
          <w:szCs w:val="14"/>
          <w:color w:val="auto"/>
        </w:rPr>
        <w:t>Citizenship:</w:t>
        <w:tab/>
        <w:t>PI, PIM and PAC are limited liability companies</w:t>
      </w:r>
    </w:p>
    <w:p>
      <w:pPr>
        <w:spacing w:after="0" w:line="3"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5"/>
          <w:szCs w:val="15"/>
          <w:color w:val="auto"/>
        </w:rPr>
        <w:t>organized under Delaware law.</w:t>
      </w:r>
      <w:r>
        <w:rPr>
          <w:sz w:val="20"/>
          <w:szCs w:val="20"/>
          <w:color w:val="auto"/>
        </w:rPr>
        <w:tab/>
      </w:r>
      <w:r>
        <w:rPr>
          <w:rFonts w:ascii="Courier New" w:cs="Courier New" w:eastAsia="Courier New" w:hAnsi="Courier New"/>
          <w:sz w:val="14"/>
          <w:szCs w:val="14"/>
          <w:color w:val="auto"/>
        </w:rPr>
        <w:t>The citizenship of other</w:t>
      </w:r>
    </w:p>
    <w:p>
      <w:pPr>
        <w:spacing w:after="0" w:line="237" w:lineRule="auto"/>
        <w:rPr>
          <w:sz w:val="20"/>
          <w:szCs w:val="20"/>
          <w:color w:val="auto"/>
        </w:rPr>
      </w:pPr>
      <w:r>
        <w:rPr>
          <w:rFonts w:ascii="Courier New" w:cs="Courier New" w:eastAsia="Courier New" w:hAnsi="Courier New"/>
          <w:sz w:val="15"/>
          <w:szCs w:val="15"/>
          <w:color w:val="auto"/>
        </w:rPr>
        <w:t>persons identified in Item 2(a) is designated as follows:</w:t>
      </w:r>
    </w:p>
    <w:p>
      <w:pPr>
        <w:spacing w:after="0" w:line="167" w:lineRule="exact"/>
        <w:rPr>
          <w:sz w:val="20"/>
          <w:szCs w:val="20"/>
          <w:color w:val="auto"/>
        </w:rPr>
      </w:pPr>
    </w:p>
    <w:p>
      <w:pPr>
        <w:sectPr>
          <w:pgSz w:w="11900" w:h="16838" w:orient="portrait"/>
          <w:cols w:equalWidth="0" w:num="2">
            <w:col w:w="1380" w:space="720"/>
            <w:col w:w="9440"/>
          </w:cols>
          <w:pgMar w:left="220" w:top="135" w:right="139" w:bottom="0" w:gutter="0" w:footer="0" w:header="0"/>
          <w:type w:val="continuous"/>
        </w:sectPr>
      </w:pPr>
    </w:p>
    <w:p>
      <w:pPr>
        <w:ind w:left="2800" w:hanging="691"/>
        <w:spacing w:after="0"/>
        <w:tabs>
          <w:tab w:leader="none" w:pos="28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 Delaware law</w:t>
      </w:r>
    </w:p>
    <w:p>
      <w:pPr>
        <w:spacing w:after="0" w:line="5" w:lineRule="exact"/>
        <w:rPr>
          <w:sz w:val="20"/>
          <w:szCs w:val="20"/>
          <w:color w:val="auto"/>
        </w:rPr>
      </w:pPr>
    </w:p>
    <w:p>
      <w:pPr>
        <w:ind w:left="2800" w:right="3400" w:hanging="691"/>
        <w:spacing w:after="0" w:line="234" w:lineRule="auto"/>
        <w:tabs>
          <w:tab w:leader="none" w:pos="28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association known as Massachusetts business trust - Massachusetts law</w:t>
      </w:r>
    </w:p>
    <w:p>
      <w:pPr>
        <w:sectPr>
          <w:pgSz w:w="11900" w:h="16838" w:orient="portrait"/>
          <w:cols w:equalWidth="0" w:num="1">
            <w:col w:w="11540"/>
          </w:cols>
          <w:pgMar w:left="220" w:top="135" w:right="139" w:bottom="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2(d)</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of Class of Securities: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w:t>
      </w:r>
    </w:p>
    <w:p>
      <w:pPr>
        <w:spacing w:after="0" w:line="173" w:lineRule="exact"/>
        <w:rPr>
          <w:sz w:val="20"/>
          <w:szCs w:val="20"/>
          <w:color w:val="auto"/>
        </w:rPr>
      </w:pPr>
    </w:p>
    <w:p>
      <w:pPr>
        <w:sectPr>
          <w:pgSz w:w="11900" w:h="16838" w:orient="portrait"/>
          <w:cols w:equalWidth="0" w:num="3">
            <w:col w:w="1380" w:space="720"/>
            <w:col w:w="2540" w:space="260"/>
            <w:col w:w="6640"/>
          </w:cols>
          <w:pgMar w:left="220" w:top="135"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302301106</w:t>
      </w:r>
    </w:p>
    <w:p>
      <w:pPr>
        <w:spacing w:after="0" w:line="178" w:lineRule="exact"/>
        <w:rPr>
          <w:sz w:val="20"/>
          <w:szCs w:val="20"/>
          <w:color w:val="auto"/>
        </w:rPr>
      </w:pPr>
    </w:p>
    <w:p>
      <w:pPr>
        <w:sectPr>
          <w:pgSz w:w="11900" w:h="16838" w:orient="portrait"/>
          <w:cols w:equalWidth="0" w:num="3">
            <w:col w:w="1380" w:space="720"/>
            <w:col w:w="1140" w:space="260"/>
            <w:col w:w="8040"/>
          </w:cols>
          <w:pgMar w:left="220" w:top="135"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Page 6 of 10 Pages</w:t>
      </w:r>
    </w:p>
    <w:p>
      <w:pPr>
        <w:sectPr>
          <w:pgSz w:w="11900" w:h="16838" w:orient="portrait"/>
          <w:cols w:equalWidth="0" w:num="1">
            <w:col w:w="11540"/>
          </w:cols>
          <w:pgMar w:left="220" w:top="135" w:right="139" w:bottom="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1400" w:right="4980" w:hanging="1399"/>
        <w:spacing w:after="0" w:line="234" w:lineRule="auto"/>
        <w:rPr>
          <w:sz w:val="20"/>
          <w:szCs w:val="20"/>
          <w:color w:val="auto"/>
        </w:rPr>
      </w:pPr>
      <w:r>
        <w:rPr>
          <w:rFonts w:ascii="Courier New" w:cs="Courier New" w:eastAsia="Courier New" w:hAnsi="Courier New"/>
          <w:sz w:val="15"/>
          <w:szCs w:val="15"/>
          <w:color w:val="auto"/>
        </w:rPr>
        <w:t>Item 3. If this statement is filed pursuant to Rules 13d-1(b), or 13d-2(b), check whether the person filing is 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Broker or Dealer registered under Section 15 of the Act</w:t>
            </w:r>
          </w:p>
        </w:tc>
      </w:tr>
      <w:tr>
        <w:trPr>
          <w:trHeight w:val="505"/>
        </w:trPr>
        <w:tc>
          <w:tcPr>
            <w:tcW w:w="5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Bank as defined in Section 3(a)(6) of the Act</w:t>
            </w:r>
          </w:p>
        </w:tc>
      </w:tr>
      <w:tr>
        <w:trPr>
          <w:trHeight w:val="505"/>
        </w:trPr>
        <w:tc>
          <w:tcPr>
            <w:tcW w:w="50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Insurance Company as defined in Section 3(a)(19) of the Act</w:t>
            </w:r>
          </w:p>
        </w:tc>
      </w:tr>
      <w:tr>
        <w:trPr>
          <w:trHeight w:val="505"/>
        </w:trPr>
        <w:tc>
          <w:tcPr>
            <w:tcW w:w="50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Investment Company registered under Section 8 of the Investment</w:t>
            </w:r>
          </w:p>
        </w:tc>
      </w:tr>
      <w:tr>
        <w:trPr>
          <w:trHeight w:val="168"/>
        </w:trPr>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Company Act</w:t>
            </w:r>
          </w:p>
        </w:tc>
      </w:tr>
      <w:tr>
        <w:trPr>
          <w:trHeight w:val="505"/>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(e)( X )</w:t>
            </w:r>
          </w:p>
        </w:tc>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Investment Adviser registered under Section 203 of the Investment</w:t>
            </w:r>
          </w:p>
        </w:tc>
      </w:tr>
      <w:tr>
        <w:trPr>
          <w:trHeight w:val="168"/>
        </w:trPr>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Advisers Act of 1940</w:t>
            </w:r>
          </w:p>
        </w:tc>
      </w:tr>
      <w:tr>
        <w:trPr>
          <w:trHeight w:val="505"/>
        </w:trPr>
        <w:tc>
          <w:tcPr>
            <w:tcW w:w="500" w:type="dxa"/>
            <w:vAlign w:val="bottom"/>
          </w:tcPr>
          <w:p>
            <w:pPr>
              <w:spacing w:after="0"/>
              <w:rPr>
                <w:sz w:val="20"/>
                <w:szCs w:val="20"/>
                <w:color w:val="auto"/>
              </w:rPr>
            </w:pPr>
            <w:r>
              <w:rPr>
                <w:rFonts w:ascii="Courier New" w:cs="Courier New" w:eastAsia="Courier New" w:hAnsi="Courier New"/>
                <w:sz w:val="15"/>
                <w:szCs w:val="15"/>
                <w:color w:val="auto"/>
              </w:rPr>
              <w:t>(f)(</w:t>
            </w:r>
          </w:p>
        </w:tc>
        <w:tc>
          <w:tcPr>
            <w:tcW w:w="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Employee Benefit Plan, Pension Fund which is subject to the</w:t>
            </w:r>
          </w:p>
        </w:tc>
      </w:tr>
      <w:tr>
        <w:trPr>
          <w:trHeight w:val="168"/>
        </w:trPr>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7"/>
              </w:rPr>
              <w:t>provisions of the Employee Retirement Income Security Act of 1974 or</w:t>
            </w:r>
          </w:p>
        </w:tc>
      </w:tr>
      <w:tr>
        <w:trPr>
          <w:trHeight w:val="168"/>
        </w:trPr>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Endowment Fund; see (Section 240.13d-1(b)(1)(ii)(F)</w:t>
            </w:r>
          </w:p>
        </w:tc>
      </w:tr>
      <w:tr>
        <w:trPr>
          <w:trHeight w:val="505"/>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(g)( X )</w:t>
            </w:r>
          </w:p>
        </w:tc>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Parent Holding Company, in accordance with Section</w:t>
            </w:r>
          </w:p>
        </w:tc>
      </w:tr>
      <w:tr>
        <w:trPr>
          <w:trHeight w:val="168"/>
        </w:trPr>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240.13d-1(b)(ii)(G)</w:t>
            </w:r>
          </w:p>
        </w:tc>
      </w:tr>
      <w:tr>
        <w:trPr>
          <w:trHeight w:val="505"/>
        </w:trPr>
        <w:tc>
          <w:tcPr>
            <w:tcW w:w="500" w:type="dxa"/>
            <w:vAlign w:val="bottom"/>
          </w:tcPr>
          <w:p>
            <w:pPr>
              <w:spacing w:after="0"/>
              <w:rPr>
                <w:sz w:val="20"/>
                <w:szCs w:val="20"/>
                <w:color w:val="auto"/>
              </w:rPr>
            </w:pPr>
            <w:r>
              <w:rPr>
                <w:rFonts w:ascii="Courier New" w:cs="Courier New" w:eastAsia="Courier New" w:hAnsi="Courier New"/>
                <w:sz w:val="15"/>
                <w:szCs w:val="15"/>
                <w:color w:val="auto"/>
              </w:rPr>
              <w:t>(h)(</w:t>
            </w:r>
          </w:p>
        </w:tc>
        <w:tc>
          <w:tcPr>
            <w:tcW w:w="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Group, in accordance with Section 240.13d-1(b)(1)(ii)(H)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Page 7 of 10 Pages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w:t>
      </w:r>
    </w:p>
    <w:p>
      <w:pPr>
        <w:spacing w:after="0" w:line="237" w:lineRule="auto"/>
        <w:rPr>
          <w:sz w:val="20"/>
          <w:szCs w:val="20"/>
          <w:color w:val="auto"/>
        </w:rPr>
      </w:pPr>
      <w:r>
        <w:rPr>
          <w:rFonts w:ascii="Courier New" w:cs="Courier New" w:eastAsia="Courier New" w:hAnsi="Courier New"/>
          <w:sz w:val="15"/>
          <w:szCs w:val="15"/>
          <w:color w:val="auto"/>
        </w:rPr>
        <w:t>Ownership.</w:t>
      </w:r>
    </w:p>
    <w:p>
      <w:pPr>
        <w:sectPr>
          <w:pgSz w:w="11900" w:h="16838" w:orient="portrait"/>
          <w:cols w:equalWidth="0" w:num="1">
            <w:col w:w="11540"/>
          </w:cols>
          <w:pgMar w:left="220" w:top="135" w:right="139" w:bottom="0" w:gutter="0" w:footer="0" w:header="0"/>
          <w:type w:val="continuous"/>
        </w:sectPr>
      </w:pP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M&amp;MC</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(Parent holding</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company to PI)</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PIM*</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(Investment advisers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&amp; subsidiaries of PI)</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PAC</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(Parent company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PIM and PAC)</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14" w:lineRule="exact"/>
        <w:rPr>
          <w:sz w:val="20"/>
          <w:szCs w:val="20"/>
          <w:color w:val="auto"/>
        </w:rPr>
      </w:pPr>
    </w:p>
    <w:p>
      <w:pPr>
        <w:sectPr>
          <w:pgSz w:w="11900" w:h="16838" w:orient="portrait"/>
          <w:cols w:equalWidth="0" w:num="4">
            <w:col w:w="5580" w:space="720"/>
            <w:col w:w="2080" w:space="720"/>
            <w:col w:w="1380" w:space="720"/>
            <w:col w:w="340"/>
          </w:cols>
          <w:pgMar w:left="220" w:top="135" w:right="139" w:bottom="0" w:gutter="0" w:footer="0" w:header="0"/>
          <w:type w:val="continuous"/>
        </w:sectPr>
      </w:pPr>
    </w:p>
    <w:p>
      <w:pPr>
        <w:spacing w:after="0"/>
        <w:tabs>
          <w:tab w:leader="none" w:pos="68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Amount Beneficially</w:t>
      </w:r>
    </w:p>
    <w:p>
      <w:pPr>
        <w:sectPr>
          <w:pgSz w:w="11900" w:h="16838" w:orient="portrait"/>
          <w:cols w:equalWidth="0" w:num="1">
            <w:col w:w="11540"/>
          </w:cols>
          <w:pgMar w:left="220" w:top="135" w:right="139" w:bottom="0" w:gutter="0" w:footer="0" w:header="0"/>
          <w:type w:val="continuous"/>
        </w:sectPr>
      </w:pP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Owned:</w:t>
      </w:r>
    </w:p>
    <w:p>
      <w:pPr>
        <w:spacing w:after="0" w:line="20" w:lineRule="exact"/>
        <w:rPr>
          <w:sz w:val="20"/>
          <w:szCs w:val="20"/>
          <w:color w:val="auto"/>
        </w:rPr>
      </w:pPr>
      <w:r>
        <w:rPr>
          <w:sz w:val="20"/>
          <w:szCs w:val="20"/>
          <w:color w:val="auto"/>
        </w:rPr>
        <w:br w:type="column"/>
      </w:r>
    </w:p>
    <w:p>
      <w:pPr>
        <w:jc w:val="center"/>
        <w:ind w:right="1720"/>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678292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1167907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1846199</w:t>
      </w:r>
    </w:p>
    <w:p>
      <w:pPr>
        <w:spacing w:after="0" w:line="170" w:lineRule="exact"/>
        <w:rPr>
          <w:sz w:val="20"/>
          <w:szCs w:val="20"/>
          <w:color w:val="auto"/>
        </w:rPr>
      </w:pPr>
    </w:p>
    <w:p>
      <w:pPr>
        <w:sectPr>
          <w:pgSz w:w="11900" w:h="16838" w:orient="portrait"/>
          <w:cols w:equalWidth="0" w:num="6">
            <w:col w:w="2780" w:space="720"/>
            <w:col w:w="2080" w:space="720"/>
            <w:col w:w="540" w:space="160"/>
            <w:col w:w="100" w:space="600"/>
            <w:col w:w="800" w:space="600"/>
            <w:col w:w="2440"/>
          </w:cols>
          <w:pgMar w:left="220" w:top="135" w:right="139" w:bottom="0" w:gutter="0" w:footer="0" w:header="0"/>
          <w:type w:val="continuous"/>
        </w:sectPr>
      </w:pPr>
    </w:p>
    <w:p>
      <w:pPr>
        <w:spacing w:after="0" w:line="7"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Percent of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ectPr>
          <w:pgSz w:w="11900" w:h="16838" w:orient="portrait"/>
          <w:cols w:equalWidth="0" w:num="7">
            <w:col w:w="3480" w:space="720"/>
            <w:col w:w="2080" w:space="720"/>
            <w:col w:w="680" w:space="720"/>
            <w:col w:w="100" w:space="600"/>
            <w:col w:w="680" w:space="720"/>
            <w:col w:w="100" w:space="600"/>
            <w:col w:w="340"/>
          </w:cols>
          <w:pgMar w:left="220" w:top="135" w:right="139" w:bottom="0" w:gutter="0" w:footer="0" w:header="0"/>
          <w:type w:val="continuous"/>
        </w:sectPr>
      </w:pPr>
    </w:p>
    <w:p>
      <w:pPr>
        <w:ind w:left="700" w:hanging="690"/>
        <w:spacing w:after="0"/>
        <w:tabs>
          <w:tab w:leader="none" w:pos="7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as</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which such person has:</w:t>
      </w:r>
    </w:p>
    <w:p>
      <w:pPr>
        <w:spacing w:after="0" w:line="167" w:lineRule="exact"/>
        <w:rPr>
          <w:sz w:val="20"/>
          <w:szCs w:val="20"/>
          <w:color w:val="auto"/>
        </w:rPr>
      </w:pPr>
    </w:p>
    <w:p>
      <w:pPr>
        <w:ind w:left="700" w:hanging="690"/>
        <w:spacing w:after="0"/>
        <w:tabs>
          <w:tab w:leader="none" w:pos="7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power to vote</w:t>
      </w:r>
    </w:p>
    <w:tbl>
      <w:tblPr>
        <w:tblLayout w:type="fixed"/>
        <w:tblInd w:w="0" w:type="dxa"/>
        <w:tblCellMar>
          <w:top w:w="0" w:type="dxa"/>
          <w:left w:w="0" w:type="dxa"/>
          <w:bottom w:w="0" w:type="dxa"/>
          <w:right w:w="0" w:type="dxa"/>
        </w:tblCellMar>
      </w:tblPr>
      <w:tr>
        <w:trPr>
          <w:trHeight w:val="168"/>
        </w:trPr>
        <w:tc>
          <w:tcPr>
            <w:tcW w:w="500" w:type="dxa"/>
            <w:vAlign w:val="bottom"/>
          </w:tcPr>
          <w:p>
            <w:pPr>
              <w:spacing w:after="0"/>
              <w:rPr>
                <w:sz w:val="14"/>
                <w:szCs w:val="14"/>
                <w:color w:val="auto"/>
              </w:rPr>
            </w:pPr>
          </w:p>
        </w:tc>
        <w:tc>
          <w:tcPr>
            <w:tcW w:w="4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or</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to direct</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vote;</w:t>
            </w:r>
          </w:p>
        </w:tc>
        <w:tc>
          <w:tcPr>
            <w:tcW w:w="2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2920" w:type="dxa"/>
            <w:vAlign w:val="bottom"/>
            <w:gridSpan w:val="3"/>
          </w:tcPr>
          <w:p>
            <w:pPr>
              <w:ind w:left="200"/>
              <w:spacing w:after="0" w:line="168" w:lineRule="exact"/>
              <w:rPr>
                <w:sz w:val="20"/>
                <w:szCs w:val="20"/>
                <w:color w:val="auto"/>
              </w:rPr>
            </w:pPr>
            <w:r>
              <w:rPr>
                <w:rFonts w:ascii="Courier New" w:cs="Courier New" w:eastAsia="Courier New" w:hAnsi="Courier New"/>
                <w:sz w:val="15"/>
                <w:szCs w:val="15"/>
                <w:color w:val="auto"/>
              </w:rPr>
              <w:t>(but see Item 7)</w:t>
            </w:r>
          </w:p>
        </w:tc>
        <w:tc>
          <w:tcPr>
            <w:tcW w:w="23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NONE</w:t>
            </w:r>
          </w:p>
        </w:tc>
        <w:tc>
          <w:tcPr>
            <w:tcW w:w="21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NONE</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NONE</w:t>
            </w:r>
          </w:p>
        </w:tc>
        <w:tc>
          <w:tcPr>
            <w:tcW w:w="1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NONE</w:t>
            </w:r>
          </w:p>
        </w:tc>
      </w:tr>
      <w:tr>
        <w:trPr>
          <w:trHeight w:val="336"/>
        </w:trPr>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(2)</w:t>
            </w:r>
          </w:p>
        </w:tc>
        <w:tc>
          <w:tcPr>
            <w:tcW w:w="130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99"/>
              </w:rPr>
              <w:t>shared power</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to vote</w:t>
            </w:r>
          </w:p>
        </w:tc>
        <w:tc>
          <w:tcPr>
            <w:tcW w:w="2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68"/>
        </w:trPr>
        <w:tc>
          <w:tcPr>
            <w:tcW w:w="500" w:type="dxa"/>
            <w:vAlign w:val="bottom"/>
          </w:tcPr>
          <w:p>
            <w:pPr>
              <w:spacing w:after="0"/>
              <w:rPr>
                <w:sz w:val="14"/>
                <w:szCs w:val="14"/>
                <w:color w:val="auto"/>
              </w:rPr>
            </w:pPr>
          </w:p>
        </w:tc>
        <w:tc>
          <w:tcPr>
            <w:tcW w:w="4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or</w:t>
            </w:r>
          </w:p>
        </w:tc>
        <w:tc>
          <w:tcPr>
            <w:tcW w:w="8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to direct</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vote;</w:t>
            </w:r>
          </w:p>
        </w:tc>
        <w:tc>
          <w:tcPr>
            <w:tcW w:w="2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2920" w:type="dxa"/>
            <w:vAlign w:val="bottom"/>
            <w:gridSpan w:val="3"/>
          </w:tcPr>
          <w:p>
            <w:pPr>
              <w:ind w:left="200"/>
              <w:spacing w:after="0" w:line="168" w:lineRule="exact"/>
              <w:rPr>
                <w:sz w:val="20"/>
                <w:szCs w:val="20"/>
                <w:color w:val="auto"/>
              </w:rPr>
            </w:pPr>
            <w:r>
              <w:rPr>
                <w:rFonts w:ascii="Courier New" w:cs="Courier New" w:eastAsia="Courier New" w:hAnsi="Courier New"/>
                <w:sz w:val="15"/>
                <w:szCs w:val="15"/>
                <w:color w:val="auto"/>
              </w:rPr>
              <w:t>(but see Item 7)</w:t>
            </w:r>
          </w:p>
        </w:tc>
        <w:tc>
          <w:tcPr>
            <w:tcW w:w="23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NONE</w:t>
            </w:r>
          </w:p>
        </w:tc>
        <w:tc>
          <w:tcPr>
            <w:tcW w:w="210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NONE</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131110</w:t>
            </w:r>
          </w:p>
        </w:tc>
        <w:tc>
          <w:tcPr>
            <w:tcW w:w="1900" w:type="dxa"/>
            <w:vAlign w:val="bottom"/>
          </w:tcPr>
          <w:p>
            <w:pPr>
              <w:jc w:val="right"/>
              <w:ind w:right="1127"/>
              <w:spacing w:after="0" w:line="168" w:lineRule="exact"/>
              <w:rPr>
                <w:sz w:val="20"/>
                <w:szCs w:val="20"/>
                <w:color w:val="auto"/>
              </w:rPr>
            </w:pPr>
            <w:r>
              <w:rPr>
                <w:rFonts w:ascii="Courier New" w:cs="Courier New" w:eastAsia="Courier New" w:hAnsi="Courier New"/>
                <w:sz w:val="15"/>
                <w:szCs w:val="15"/>
                <w:color w:val="auto"/>
              </w:rPr>
              <w:t>131110</w:t>
            </w:r>
          </w:p>
        </w:tc>
      </w:tr>
    </w:tbl>
    <w:p>
      <w:pPr>
        <w:spacing w:after="0" w:line="166" w:lineRule="exact"/>
        <w:rPr>
          <w:sz w:val="20"/>
          <w:szCs w:val="20"/>
          <w:color w:val="auto"/>
        </w:rPr>
      </w:pPr>
    </w:p>
    <w:p>
      <w:pPr>
        <w:ind w:left="700" w:hanging="690"/>
        <w:spacing w:after="0"/>
        <w:tabs>
          <w:tab w:leader="none" w:pos="7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power to dispose</w:t>
      </w:r>
    </w:p>
    <w:p>
      <w:pPr>
        <w:ind w:left="700"/>
        <w:spacing w:after="0" w:line="237" w:lineRule="auto"/>
        <w:rPr>
          <w:sz w:val="20"/>
          <w:szCs w:val="20"/>
          <w:color w:val="auto"/>
        </w:rPr>
      </w:pPr>
      <w:r>
        <w:rPr>
          <w:rFonts w:ascii="Courier New" w:cs="Courier New" w:eastAsia="Courier New" w:hAnsi="Courier New"/>
          <w:sz w:val="15"/>
          <w:szCs w:val="15"/>
          <w:color w:val="auto"/>
        </w:rPr>
        <w:t>or to direct the</w:t>
      </w:r>
    </w:p>
    <w:p>
      <w:pPr>
        <w:ind w:left="700"/>
        <w:spacing w:after="0" w:line="238" w:lineRule="auto"/>
        <w:rPr>
          <w:sz w:val="20"/>
          <w:szCs w:val="20"/>
          <w:color w:val="auto"/>
        </w:rPr>
      </w:pPr>
      <w:r>
        <w:rPr>
          <w:rFonts w:ascii="Courier New" w:cs="Courier New" w:eastAsia="Courier New" w:hAnsi="Courier New"/>
          <w:sz w:val="15"/>
          <w:szCs w:val="15"/>
          <w:color w:val="auto"/>
        </w:rPr>
        <w:t>disposition of;</w:t>
      </w:r>
    </w:p>
    <w:p>
      <w:pPr>
        <w:sectPr>
          <w:pgSz w:w="11900" w:h="16838" w:orient="portrait"/>
          <w:cols w:equalWidth="0" w:num="1">
            <w:col w:w="11540"/>
          </w:cols>
          <w:pgMar w:left="220" w:top="135" w:right="139" w:bottom="0" w:gutter="0" w:footer="0" w:header="0"/>
          <w:type w:val="continuous"/>
        </w:sectPr>
      </w:pP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(but see Item 7)</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NONE</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NONE</w:t>
      </w:r>
    </w:p>
    <w:p>
      <w:pPr>
        <w:spacing w:after="0" w:line="20" w:lineRule="exact"/>
        <w:rPr>
          <w:sz w:val="20"/>
          <w:szCs w:val="20"/>
          <w:color w:val="auto"/>
        </w:rPr>
      </w:pPr>
      <w:r>
        <w:rPr>
          <w:sz w:val="20"/>
          <w:szCs w:val="20"/>
          <w:color w:val="auto"/>
        </w:rPr>
        <w:br w:type="column"/>
      </w:r>
    </w:p>
    <w:p>
      <w:pPr>
        <w:jc w:val="center"/>
        <w:ind w:right="1020"/>
        <w:spacing w:after="0" w:line="237" w:lineRule="auto"/>
        <w:rPr>
          <w:sz w:val="20"/>
          <w:szCs w:val="20"/>
          <w:color w:val="auto"/>
        </w:rPr>
      </w:pPr>
      <w:r>
        <w:rPr>
          <w:rFonts w:ascii="Courier New" w:cs="Courier New" w:eastAsia="Courier New" w:hAnsi="Courier New"/>
          <w:sz w:val="15"/>
          <w:szCs w:val="15"/>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NONE</w:t>
      </w:r>
    </w:p>
    <w:p>
      <w:pPr>
        <w:spacing w:after="0" w:line="177" w:lineRule="exact"/>
        <w:rPr>
          <w:sz w:val="20"/>
          <w:szCs w:val="20"/>
          <w:color w:val="auto"/>
        </w:rPr>
      </w:pPr>
    </w:p>
    <w:p>
      <w:pPr>
        <w:sectPr>
          <w:pgSz w:w="11900" w:h="16838" w:orient="portrait"/>
          <w:cols w:equalWidth="0" w:num="5">
            <w:col w:w="3480" w:space="720"/>
            <w:col w:w="2080" w:space="720"/>
            <w:col w:w="1380" w:space="720"/>
            <w:col w:w="1380" w:space="720"/>
            <w:col w:w="340"/>
          </w:cols>
          <w:pgMar w:left="220" w:top="135" w:right="139" w:bottom="0" w:gutter="0" w:footer="0" w:header="0"/>
          <w:type w:val="continuous"/>
        </w:sectPr>
      </w:pPr>
    </w:p>
    <w:p>
      <w:pPr>
        <w:ind w:left="700" w:right="9080" w:hanging="690"/>
        <w:spacing w:after="0" w:line="258" w:lineRule="auto"/>
        <w:tabs>
          <w:tab w:leader="none" w:pos="7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power to dispose or to direct the disposition of;</w:t>
      </w:r>
    </w:p>
    <w:p>
      <w:pPr>
        <w:sectPr>
          <w:pgSz w:w="11900" w:h="16838" w:orient="portrait"/>
          <w:cols w:equalWidth="0" w:num="1">
            <w:col w:w="11540"/>
          </w:cols>
          <w:pgMar w:left="220" w:top="135" w:right="139" w:bottom="0" w:gutter="0" w:footer="0" w:header="0"/>
          <w:type w:val="continuous"/>
        </w:sectPr>
      </w:pPr>
    </w:p>
    <w:bookmarkStart w:id="4" w:name="page5"/>
    <w:bookmarkEnd w:id="4"/>
    <w:p>
      <w:pPr>
        <w:ind w:left="700"/>
        <w:spacing w:after="0"/>
        <w:tabs>
          <w:tab w:leader="none" w:pos="4180" w:val="left"/>
          <w:tab w:leader="none" w:pos="6980" w:val="left"/>
          <w:tab w:leader="none" w:pos="9080" w:val="left"/>
          <w:tab w:leader="none" w:pos="11180" w:val="left"/>
        </w:tabs>
        <w:rPr>
          <w:sz w:val="20"/>
          <w:szCs w:val="20"/>
          <w:color w:val="auto"/>
        </w:rPr>
      </w:pPr>
      <w:r>
        <w:rPr>
          <w:rFonts w:ascii="Courier New" w:cs="Courier New" w:eastAsia="Courier New" w:hAnsi="Courier New"/>
          <w:sz w:val="15"/>
          <w:szCs w:val="15"/>
          <w:color w:val="auto"/>
        </w:rPr>
        <w:t>(but see Item 7)</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ALL</w:t>
      </w:r>
      <w:r>
        <w:rPr>
          <w:sz w:val="20"/>
          <w:szCs w:val="20"/>
          <w:color w:val="auto"/>
        </w:rPr>
        <w:tab/>
      </w:r>
      <w:r>
        <w:rPr>
          <w:rFonts w:ascii="Courier New" w:cs="Courier New" w:eastAsia="Courier New" w:hAnsi="Courier New"/>
          <w:sz w:val="15"/>
          <w:szCs w:val="15"/>
          <w:color w:val="auto"/>
        </w:rPr>
        <w:t>ALL</w:t>
      </w:r>
      <w:r>
        <w:rPr>
          <w:sz w:val="20"/>
          <w:szCs w:val="20"/>
          <w:color w:val="auto"/>
        </w:rPr>
        <w:tab/>
      </w:r>
      <w:r>
        <w:rPr>
          <w:rFonts w:ascii="Courier New" w:cs="Courier New" w:eastAsia="Courier New" w:hAnsi="Courier New"/>
          <w:sz w:val="14"/>
          <w:szCs w:val="14"/>
          <w:color w:val="auto"/>
        </w:rPr>
        <w:t>ALL</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8 of 10 Pages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Ownership of Five Percent or Less of a Class</w:t>
      </w:r>
    </w:p>
    <w:p>
      <w:pPr>
        <w:spacing w:after="0" w:line="173" w:lineRule="exact"/>
        <w:rPr>
          <w:sz w:val="20"/>
          <w:szCs w:val="20"/>
          <w:color w:val="auto"/>
        </w:rPr>
      </w:pPr>
    </w:p>
    <w:p>
      <w:pPr>
        <w:ind w:right="4980"/>
        <w:spacing w:after="0" w:line="258" w:lineRule="auto"/>
        <w:rPr>
          <w:sz w:val="20"/>
          <w:szCs w:val="20"/>
          <w:color w:val="auto"/>
        </w:rPr>
      </w:pPr>
      <w:r>
        <w:rPr>
          <w:rFonts w:ascii="Courier New" w:cs="Courier New" w:eastAsia="Courier New" w:hAnsi="Courier New"/>
          <w:sz w:val="14"/>
          <w:szCs w:val="14"/>
          <w:color w:val="auto"/>
        </w:rPr>
        <w:t>If this statement is being filed to report the fact that as of the date thereof the reporting person has ceased to be the beneficial owner of more than five percent of the class of securities, check the following ( )</w:t>
      </w:r>
    </w:p>
    <w:p>
      <w:pPr>
        <w:spacing w:after="0" w:line="161" w:lineRule="exact"/>
        <w:rPr>
          <w:sz w:val="20"/>
          <w:szCs w:val="20"/>
          <w:color w:val="auto"/>
        </w:rPr>
      </w:pPr>
    </w:p>
    <w:p>
      <w:pPr>
        <w:ind w:right="5500"/>
        <w:spacing w:after="0" w:line="234" w:lineRule="auto"/>
        <w:rPr>
          <w:sz w:val="20"/>
          <w:szCs w:val="20"/>
          <w:color w:val="auto"/>
        </w:rPr>
      </w:pPr>
      <w:r>
        <w:rPr>
          <w:rFonts w:ascii="Courier New" w:cs="Courier New" w:eastAsia="Courier New" w:hAnsi="Courier New"/>
          <w:sz w:val="15"/>
          <w:szCs w:val="15"/>
          <w:color w:val="auto"/>
        </w:rPr>
        <w:t>Item 6. Ownership of More than Five/Ten Percent on Behalf of Another Person:</w:t>
      </w:r>
    </w:p>
    <w:p>
      <w:pPr>
        <w:spacing w:after="0" w:line="5" w:lineRule="exact"/>
        <w:rPr>
          <w:sz w:val="20"/>
          <w:szCs w:val="20"/>
          <w:color w:val="auto"/>
        </w:rPr>
      </w:pPr>
    </w:p>
    <w:p>
      <w:pPr>
        <w:ind w:right="4720"/>
        <w:spacing w:after="0" w:line="255" w:lineRule="auto"/>
        <w:rPr>
          <w:sz w:val="20"/>
          <w:szCs w:val="20"/>
          <w:color w:val="auto"/>
        </w:rPr>
      </w:pPr>
      <w:r>
        <w:rPr>
          <w:rFonts w:ascii="Courier New" w:cs="Courier New" w:eastAsia="Courier New" w:hAnsi="Courier New"/>
          <w:sz w:val="14"/>
          <w:szCs w:val="14"/>
          <w:color w:val="auto"/>
        </w:rPr>
        <w:t>No persons other than the persons filing this Schedule 13G have an economic interest in the securities reported on which relates to more than five percent of the class of securities. Securities reported on this Schedule 13G as being beneficially owned by M&amp;MC and PI consist of securities beneficially owned by subsidiaries of PI which are registered investment advisers, which in turn include securities beneficially owned by clients of such investment advisers, which clients may include investment companies registered under the Investment Company Act and/or employee benefit plans, pension funds, endowment funds or other institutional clients.</w:t>
      </w:r>
    </w:p>
    <w:p>
      <w:pPr>
        <w:spacing w:after="0" w:line="165" w:lineRule="exact"/>
        <w:rPr>
          <w:sz w:val="20"/>
          <w:szCs w:val="20"/>
          <w:color w:val="auto"/>
        </w:rPr>
      </w:pPr>
    </w:p>
    <w:p>
      <w:pPr>
        <w:ind w:right="5420"/>
        <w:spacing w:after="0" w:line="261" w:lineRule="auto"/>
        <w:rPr>
          <w:sz w:val="20"/>
          <w:szCs w:val="20"/>
          <w:color w:val="auto"/>
        </w:rPr>
      </w:pPr>
      <w:r>
        <w:rPr>
          <w:rFonts w:ascii="Courier New" w:cs="Courier New" w:eastAsia="Courier New" w:hAnsi="Courier New"/>
          <w:sz w:val="14"/>
          <w:szCs w:val="14"/>
          <w:color w:val="auto"/>
        </w:rPr>
        <w:t>Item 7. Identification and Classification of the Subsidiary Which Acquired the Security Being Reported on By the Parent Holding Company</w:t>
      </w:r>
    </w:p>
    <w:p>
      <w:pPr>
        <w:spacing w:after="0" w:line="160" w:lineRule="exact"/>
        <w:rPr>
          <w:sz w:val="20"/>
          <w:szCs w:val="20"/>
          <w:color w:val="auto"/>
        </w:rPr>
      </w:pPr>
    </w:p>
    <w:p>
      <w:pPr>
        <w:ind w:right="4800"/>
        <w:spacing w:after="0" w:line="237" w:lineRule="auto"/>
        <w:rPr>
          <w:sz w:val="20"/>
          <w:szCs w:val="20"/>
          <w:color w:val="auto"/>
        </w:rPr>
      </w:pPr>
      <w:r>
        <w:rPr>
          <w:rFonts w:ascii="Courier New" w:cs="Courier New" w:eastAsia="Courier New" w:hAnsi="Courier New"/>
          <w:sz w:val="15"/>
          <w:szCs w:val="15"/>
          <w:color w:val="auto"/>
        </w:rPr>
        <w:t>PI, which is a wholly-owned subsidiary of M&amp;MC, wholly owns two registered investment advisers: Putnam Investment Management, LLC., which is the investment adviser to the Putnam family of mutual funds and The Putnam Advisory Company, LLC., which is the investment adviser to Putnam's institutional clients. Both subsidiaries have dispository power over the shares as investment managers, but each of the mutual fund's trustees have voting power over the shares held by each fund, and The Putnam Advisory Company, LLC. has shared voting power over the shares held by the institutional clients. Pursuant to Rule 13d-4, M&amp;MC and PI declare that the filing of this Schedule 13G shall not be deemed an admission by either or both of them that they are, for the purposes of Section 13(d) or 13(g) the beneficial owner of any securities covered by this Section 13G, and further state that neither of them have any power to vote or dispose of, or direct the voting or disposition of, any of the securities covered by this Schedule 13G.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Identification and Classification of Members of the Group:</w:t>
      </w:r>
    </w:p>
    <w:p>
      <w:pPr>
        <w:ind w:left="1400"/>
        <w:spacing w:after="0" w:line="237" w:lineRule="auto"/>
        <w:rPr>
          <w:sz w:val="20"/>
          <w:szCs w:val="20"/>
          <w:color w:val="auto"/>
        </w:rPr>
      </w:pPr>
      <w:r>
        <w:rPr>
          <w:rFonts w:ascii="Courier New" w:cs="Courier New" w:eastAsia="Courier New" w:hAnsi="Courier New"/>
          <w:sz w:val="15"/>
          <w:szCs w:val="15"/>
          <w:color w:val="auto"/>
        </w:rPr>
        <w:t>Not applicable.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Notice of Dissolution of Group:</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Certification.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9 of 10 Pages</w:t>
      </w:r>
    </w:p>
    <w:p>
      <w:pPr>
        <w:spacing w:after="0" w:line="200" w:lineRule="exact"/>
        <w:rPr>
          <w:sz w:val="20"/>
          <w:szCs w:val="20"/>
          <w:color w:val="auto"/>
        </w:rPr>
      </w:pPr>
    </w:p>
    <w:p>
      <w:pPr>
        <w:spacing w:after="0" w:line="309" w:lineRule="exact"/>
        <w:rPr>
          <w:sz w:val="20"/>
          <w:szCs w:val="20"/>
          <w:color w:val="auto"/>
        </w:rPr>
      </w:pPr>
    </w:p>
    <w:p>
      <w:pPr>
        <w:ind w:right="4720"/>
        <w:spacing w:after="0" w:line="236" w:lineRule="auto"/>
        <w:rPr>
          <w:sz w:val="20"/>
          <w:szCs w:val="20"/>
          <w:color w:val="auto"/>
        </w:rPr>
      </w:pPr>
      <w:r>
        <w:rPr>
          <w:rFonts w:ascii="Courier New" w:cs="Courier New" w:eastAsia="Courier New" w:hAnsi="Courier New"/>
          <w:sz w:val="15"/>
          <w:szCs w:val="15"/>
          <w:color w:val="auto"/>
        </w:rPr>
        <w:t>By signing below I certify that, to the best of my knowledge and belief, the securities referred to above were acquired in the ordinary course of business,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43" w:lineRule="exact"/>
        <w:rPr>
          <w:sz w:val="20"/>
          <w:szCs w:val="20"/>
          <w:color w:val="auto"/>
        </w:rPr>
      </w:pPr>
    </w:p>
    <w:p>
      <w:pPr>
        <w:ind w:right="4980"/>
        <w:spacing w:after="0" w:line="235" w:lineRule="auto"/>
        <w:rPr>
          <w:sz w:val="20"/>
          <w:szCs w:val="20"/>
          <w:color w:val="auto"/>
        </w:rPr>
      </w:pPr>
      <w:r>
        <w:rPr>
          <w:rFonts w:ascii="Courier New" w:cs="Courier New" w:eastAsia="Courier New" w:hAnsi="Courier New"/>
          <w:sz w:val="15"/>
          <w:szCs w:val="15"/>
          <w:color w:val="auto"/>
        </w:rPr>
        <w:t>After reasonable inquiry and to the best of my knowledge and belief, I certify that the information set forth in this statement is true, complete and correct.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PUTNAM, LLC.</w:t>
      </w:r>
    </w:p>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 Harold P. Short Jr.</w:t>
      </w:r>
    </w:p>
    <w:p>
      <w:pPr>
        <w:spacing w:after="0" w:line="237" w:lineRule="auto"/>
        <w:tabs>
          <w:tab w:leader="none" w:pos="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w:t>
      </w:r>
    </w:p>
    <w:p>
      <w:pPr>
        <w:ind w:left="700"/>
        <w:spacing w:after="0" w:line="238"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ind w:left="700"/>
        <w:spacing w:after="0"/>
        <w:tabs>
          <w:tab w:leader="none" w:pos="2080" w:val="left"/>
        </w:tabs>
        <w:rPr>
          <w:sz w:val="20"/>
          <w:szCs w:val="20"/>
          <w:color w:val="auto"/>
        </w:rPr>
      </w:pPr>
      <w:r>
        <w:rPr>
          <w:rFonts w:ascii="Courier New" w:cs="Courier New" w:eastAsia="Courier New" w:hAnsi="Courier New"/>
          <w:sz w:val="15"/>
          <w:szCs w:val="15"/>
          <w:color w:val="auto"/>
        </w:rPr>
        <w:t>Name/Title:</w:t>
      </w:r>
      <w:r>
        <w:rPr>
          <w:sz w:val="20"/>
          <w:szCs w:val="20"/>
          <w:color w:val="auto"/>
        </w:rPr>
        <w:tab/>
      </w:r>
      <w:r>
        <w:rPr>
          <w:rFonts w:ascii="Courier New" w:cs="Courier New" w:eastAsia="Courier New" w:hAnsi="Courier New"/>
          <w:sz w:val="15"/>
          <w:szCs w:val="15"/>
          <w:color w:val="auto"/>
        </w:rPr>
        <w:t>Harold P. Short Jr.</w:t>
      </w:r>
    </w:p>
    <w:p>
      <w:pPr>
        <w:ind w:left="700"/>
        <w:spacing w:after="0" w:line="237" w:lineRule="auto"/>
        <w:rPr>
          <w:sz w:val="20"/>
          <w:szCs w:val="20"/>
          <w:color w:val="auto"/>
        </w:rPr>
      </w:pPr>
      <w:r>
        <w:rPr>
          <w:rFonts w:ascii="Courier New" w:cs="Courier New" w:eastAsia="Courier New" w:hAnsi="Courier New"/>
          <w:sz w:val="15"/>
          <w:szCs w:val="15"/>
          <w:color w:val="auto"/>
        </w:rPr>
        <w:t>Managing Director and Director of Investment Compliance</w:t>
      </w:r>
    </w:p>
    <w:p>
      <w:pPr>
        <w:spacing w:after="0" w:line="16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Date:</w:t>
        <w:tab/>
        <w:t>January 25, 2007</w:t>
      </w:r>
    </w:p>
    <w:p>
      <w:pPr>
        <w:spacing w:after="0" w:line="341" w:lineRule="exact"/>
        <w:rPr>
          <w:sz w:val="20"/>
          <w:szCs w:val="20"/>
          <w:color w:val="auto"/>
        </w:rPr>
      </w:pPr>
    </w:p>
    <w:p>
      <w:pPr>
        <w:ind w:right="4720"/>
        <w:spacing w:after="0" w:line="254" w:lineRule="auto"/>
        <w:rPr>
          <w:sz w:val="20"/>
          <w:szCs w:val="20"/>
          <w:color w:val="auto"/>
        </w:rPr>
      </w:pPr>
      <w:r>
        <w:rPr>
          <w:rFonts w:ascii="Courier New" w:cs="Courier New" w:eastAsia="Courier New" w:hAnsi="Courier New"/>
          <w:sz w:val="14"/>
          <w:szCs w:val="14"/>
          <w:color w:val="auto"/>
        </w:rPr>
        <w:t>For this and all future filings, reference is made to Power of Attorney dated May 27, 2004, with respect to duly authorized signatures on behalf of Marsh</w:t>
      </w:r>
    </w:p>
    <w:p>
      <w:pPr>
        <w:spacing w:after="0" w:line="1" w:lineRule="exact"/>
        <w:rPr>
          <w:sz w:val="20"/>
          <w:szCs w:val="20"/>
          <w:color w:val="auto"/>
        </w:rPr>
      </w:pPr>
    </w:p>
    <w:p>
      <w:pPr>
        <w:jc w:val="both"/>
        <w:ind w:right="5240" w:firstLine="10"/>
        <w:spacing w:after="0" w:line="235" w:lineRule="auto"/>
        <w:tabs>
          <w:tab w:leader="none" w:pos="17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McLennan Companies, Inc., Putnam Investments, LLC., Putnam Investment Management, LLC., The Putnam Advisory Company, LLC. and any Putnam Fund wherever applicable.</w:t>
      </w:r>
    </w:p>
    <w:p>
      <w:pPr>
        <w:spacing w:after="0" w:line="174" w:lineRule="exact"/>
        <w:rPr>
          <w:sz w:val="20"/>
          <w:szCs w:val="20"/>
          <w:color w:val="auto"/>
        </w:rPr>
      </w:pPr>
    </w:p>
    <w:p>
      <w:pPr>
        <w:ind w:right="4720"/>
        <w:spacing w:after="0" w:line="235" w:lineRule="auto"/>
        <w:rPr>
          <w:sz w:val="20"/>
          <w:szCs w:val="20"/>
          <w:color w:val="auto"/>
        </w:rPr>
      </w:pPr>
      <w:r>
        <w:rPr>
          <w:rFonts w:ascii="Courier New" w:cs="Courier New" w:eastAsia="Courier New" w:hAnsi="Courier New"/>
          <w:sz w:val="15"/>
          <w:szCs w:val="15"/>
          <w:color w:val="auto"/>
        </w:rPr>
        <w:t>For this and all future filings, reference is made to an Agreement dated June 28, 1990, with respect to one filing of Schedule 13G on behalf of said entities, pursuant to Rule 13d-1(f)(1).</w:t>
      </w:r>
    </w:p>
    <w:p>
      <w:pPr>
        <w:sectPr>
          <w:pgSz w:w="11900" w:h="16838" w:orient="portrait"/>
          <w:cols w:equalWidth="0" w:num="1">
            <w:col w:w="11460"/>
          </w:cols>
          <w:pgMar w:left="220" w:top="135" w:right="219" w:bottom="327"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Page 10 of 10 Pages</w:t>
      </w:r>
    </w:p>
    <w:sectPr>
      <w:pgSz w:w="11900" w:h="16838" w:orient="portrait"/>
      <w:cols w:equalWidth="0" w:num="1">
        <w:col w:w="10239"/>
      </w:cols>
      <w:pgMar w:left="220" w:top="4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1."/>
      <w:numFmt w:val="decimal"/>
      <w:start w:val="2"/>
    </w:lvl>
  </w:abstractNum>
  <w:abstractNum w:abstractNumId="2">
    <w:nsid w:val="2443A858"/>
    <w:multiLevelType w:val="hybridMultilevel"/>
    <w:lvl w:ilvl="0">
      <w:lvlJc w:val="left"/>
      <w:lvlText w:val="%1."/>
      <w:numFmt w:val="decimal"/>
      <w:start w:val="3"/>
    </w:lvl>
  </w:abstractNum>
  <w:abstractNum w:abstractNumId="3">
    <w:nsid w:val="2D1D5AE9"/>
    <w:multiLevelType w:val="hybridMultilevel"/>
    <w:lvl w:ilvl="0">
      <w:lvlJc w:val="left"/>
      <w:lvlText w:val="%1."/>
      <w:numFmt w:val="decimal"/>
      <w:start w:val="4"/>
    </w:lvl>
  </w:abstractNum>
  <w:abstractNum w:abstractNumId="4">
    <w:nsid w:val="6763845E"/>
    <w:multiLevelType w:val="hybridMultilevel"/>
    <w:lvl w:ilvl="0">
      <w:lvlJc w:val="left"/>
      <w:lvlText w:val="-"/>
      <w:numFmt w:val="bullet"/>
      <w:start w:val="1"/>
    </w:lvl>
    <w:lvl w:ilvl="1">
      <w:lvlJc w:val="left"/>
      <w:lvlText w:val="%2."/>
      <w:numFmt w:val="decimal"/>
      <w:start w:val="5"/>
    </w:lvl>
  </w:abstractNum>
  <w:abstractNum w:abstractNumId="5">
    <w:nsid w:val="75A2A8D4"/>
    <w:multiLevelType w:val="hybridMultilevel"/>
    <w:lvl w:ilvl="0">
      <w:lvlJc w:val="left"/>
      <w:lvlText w:val="%1."/>
      <w:numFmt w:val="decimal"/>
      <w:start w:val="8"/>
    </w:lvl>
  </w:abstractNum>
  <w:abstractNum w:abstractNumId="6">
    <w:nsid w:val="8EDBDAB"/>
    <w:multiLevelType w:val="hybridMultilevel"/>
    <w:lvl w:ilvl="0">
      <w:lvlJc w:val="left"/>
      <w:lvlText w:val="%1."/>
      <w:numFmt w:val="decimal"/>
      <w:start w:val="9"/>
    </w:lvl>
  </w:abstractNum>
  <w:abstractNum w:abstractNumId="7">
    <w:nsid w:val="79838CB2"/>
    <w:multiLevelType w:val="hybridMultilevel"/>
    <w:lvl w:ilvl="0">
      <w:lvlJc w:val="left"/>
      <w:lvlText w:val="%1."/>
      <w:numFmt w:val="decimal"/>
      <w:start w:val="10"/>
    </w:lvl>
  </w:abstractNum>
  <w:abstractNum w:abstractNumId="8">
    <w:nsid w:val="4353D0CD"/>
    <w:multiLevelType w:val="hybridMultilevel"/>
    <w:lvl w:ilvl="0">
      <w:lvlJc w:val="left"/>
      <w:lvlText w:val="%1."/>
      <w:numFmt w:val="decimal"/>
      <w:start w:val="1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2"/>
    </w:lvl>
  </w:abstractNum>
  <w:abstractNum w:abstractNumId="11">
    <w:nsid w:val="54E49EB4"/>
    <w:multiLevelType w:val="hybridMultilevel"/>
    <w:lvl w:ilvl="0">
      <w:lvlJc w:val="left"/>
      <w:lvlText w:val="%1."/>
      <w:numFmt w:val="decimal"/>
      <w:start w:val="3"/>
    </w:lvl>
  </w:abstractNum>
  <w:abstractNum w:abstractNumId="12">
    <w:nsid w:val="71F32454"/>
    <w:multiLevelType w:val="hybridMultilevel"/>
    <w:lvl w:ilvl="0">
      <w:lvlJc w:val="left"/>
      <w:lvlText w:val="%1."/>
      <w:numFmt w:val="decimal"/>
      <w:start w:val="4"/>
    </w:lvl>
  </w:abstractNum>
  <w:abstractNum w:abstractNumId="13">
    <w:nsid w:val="2CA88611"/>
    <w:multiLevelType w:val="hybridMultilevel"/>
    <w:lvl w:ilvl="0">
      <w:lvlJc w:val="left"/>
      <w:lvlText w:val="-"/>
      <w:numFmt w:val="bullet"/>
      <w:start w:val="1"/>
    </w:lvl>
    <w:lvl w:ilvl="1">
      <w:lvlJc w:val="left"/>
      <w:lvlText w:val="%2."/>
      <w:numFmt w:val="decimal"/>
      <w:start w:val="5"/>
    </w:lvl>
  </w:abstractNum>
  <w:abstractNum w:abstractNumId="14">
    <w:nsid w:val="836C40E"/>
    <w:multiLevelType w:val="hybridMultilevel"/>
    <w:lvl w:ilvl="0">
      <w:lvlJc w:val="left"/>
      <w:lvlText w:val="%1."/>
      <w:numFmt w:val="decimal"/>
      <w:start w:val="8"/>
    </w:lvl>
  </w:abstractNum>
  <w:abstractNum w:abstractNumId="15">
    <w:nsid w:val="2901D82"/>
    <w:multiLevelType w:val="hybridMultilevel"/>
    <w:lvl w:ilvl="0">
      <w:lvlJc w:val="left"/>
      <w:lvlText w:val="%1."/>
      <w:numFmt w:val="decimal"/>
      <w:start w:val="9"/>
    </w:lvl>
  </w:abstractNum>
  <w:abstractNum w:abstractNumId="16">
    <w:nsid w:val="3A95F874"/>
    <w:multiLevelType w:val="hybridMultilevel"/>
    <w:lvl w:ilvl="0">
      <w:lvlJc w:val="left"/>
      <w:lvlText w:val="%1."/>
      <w:numFmt w:val="decimal"/>
      <w:start w:val="10"/>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2"/>
    </w:lvl>
  </w:abstractNum>
  <w:abstractNum w:abstractNumId="19">
    <w:nsid w:val="7C3DBD3D"/>
    <w:multiLevelType w:val="hybridMultilevel"/>
    <w:lvl w:ilvl="0">
      <w:lvlJc w:val="left"/>
      <w:lvlText w:val="%1."/>
      <w:numFmt w:val="decimal"/>
      <w:start w:val="3"/>
    </w:lvl>
  </w:abstractNum>
  <w:abstractNum w:abstractNumId="20">
    <w:nsid w:val="737B8DDC"/>
    <w:multiLevelType w:val="hybridMultilevel"/>
    <w:lvl w:ilvl="0">
      <w:lvlJc w:val="left"/>
      <w:lvlText w:val="%1."/>
      <w:numFmt w:val="decimal"/>
      <w:start w:val="4"/>
    </w:lvl>
  </w:abstractNum>
  <w:abstractNum w:abstractNumId="21">
    <w:nsid w:val="6CEAF087"/>
    <w:multiLevelType w:val="hybridMultilevel"/>
    <w:lvl w:ilvl="0">
      <w:lvlJc w:val="left"/>
      <w:lvlText w:val="-"/>
      <w:numFmt w:val="bullet"/>
      <w:start w:val="1"/>
    </w:lvl>
    <w:lvl w:ilvl="1">
      <w:lvlJc w:val="left"/>
      <w:lvlText w:val="%2."/>
      <w:numFmt w:val="decimal"/>
      <w:start w:val="5"/>
    </w:lvl>
  </w:abstractNum>
  <w:abstractNum w:abstractNumId="22">
    <w:nsid w:val="22221A70"/>
    <w:multiLevelType w:val="hybridMultilevel"/>
    <w:lvl w:ilvl="0">
      <w:lvlJc w:val="left"/>
      <w:lvlText w:val="%1."/>
      <w:numFmt w:val="decimal"/>
      <w:start w:val="8"/>
    </w:lvl>
  </w:abstractNum>
  <w:abstractNum w:abstractNumId="23">
    <w:nsid w:val="4516DDE9"/>
    <w:multiLevelType w:val="hybridMultilevel"/>
    <w:lvl w:ilvl="0">
      <w:lvlJc w:val="left"/>
      <w:lvlText w:val="%1."/>
      <w:numFmt w:val="decimal"/>
      <w:start w:val="9"/>
    </w:lvl>
  </w:abstractNum>
  <w:abstractNum w:abstractNumId="24">
    <w:nsid w:val="3006C83E"/>
    <w:multiLevelType w:val="hybridMultilevel"/>
    <w:lvl w:ilvl="0">
      <w:lvlJc w:val="left"/>
      <w:lvlText w:val="%1."/>
      <w:numFmt w:val="decimal"/>
      <w:start w:val="10"/>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2"/>
    </w:lvl>
  </w:abstractNum>
  <w:abstractNum w:abstractNumId="27">
    <w:nsid w:val="5577F8E1"/>
    <w:multiLevelType w:val="hybridMultilevel"/>
    <w:lvl w:ilvl="0">
      <w:lvlJc w:val="left"/>
      <w:lvlText w:val="%1."/>
      <w:numFmt w:val="decimal"/>
      <w:start w:val="3"/>
    </w:lvl>
  </w:abstractNum>
  <w:abstractNum w:abstractNumId="28">
    <w:nsid w:val="440BADFC"/>
    <w:multiLevelType w:val="hybridMultilevel"/>
    <w:lvl w:ilvl="0">
      <w:lvlJc w:val="left"/>
      <w:lvlText w:val="%1."/>
      <w:numFmt w:val="decimal"/>
      <w:start w:val="4"/>
    </w:lvl>
  </w:abstractNum>
  <w:abstractNum w:abstractNumId="29">
    <w:nsid w:val="5072367"/>
    <w:multiLevelType w:val="hybridMultilevel"/>
    <w:lvl w:ilvl="0">
      <w:lvlJc w:val="left"/>
      <w:lvlText w:val="-"/>
      <w:numFmt w:val="bullet"/>
      <w:start w:val="1"/>
    </w:lvl>
    <w:lvl w:ilvl="1">
      <w:lvlJc w:val="left"/>
      <w:lvlText w:val="%2."/>
      <w:numFmt w:val="decimal"/>
      <w:start w:val="5"/>
    </w:lvl>
  </w:abstractNum>
  <w:abstractNum w:abstractNumId="30">
    <w:nsid w:val="3804823E"/>
    <w:multiLevelType w:val="hybridMultilevel"/>
    <w:lvl w:ilvl="0">
      <w:lvlJc w:val="left"/>
      <w:lvlText w:val="%1."/>
      <w:numFmt w:val="decimal"/>
      <w:start w:val="8"/>
    </w:lvl>
  </w:abstractNum>
  <w:abstractNum w:abstractNumId="31">
    <w:nsid w:val="77465F01"/>
    <w:multiLevelType w:val="hybridMultilevel"/>
    <w:lvl w:ilvl="0">
      <w:lvlJc w:val="left"/>
      <w:lvlText w:val="%1."/>
      <w:numFmt w:val="decimal"/>
      <w:start w:val="9"/>
    </w:lvl>
  </w:abstractNum>
  <w:abstractNum w:abstractNumId="32">
    <w:nsid w:val="7724C67E"/>
    <w:multiLevelType w:val="hybridMultilevel"/>
    <w:lvl w:ilvl="0">
      <w:lvlJc w:val="left"/>
      <w:lvlText w:val="%1."/>
      <w:numFmt w:val="decimal"/>
      <w:start w:val="10"/>
    </w:lvl>
  </w:abstractNum>
  <w:abstractNum w:abstractNumId="33">
    <w:nsid w:val="5C482A97"/>
    <w:multiLevelType w:val="hybridMultilevel"/>
    <w:lvl w:ilvl="0">
      <w:lvlJc w:val="left"/>
      <w:lvlText w:val="%1."/>
      <w:numFmt w:val="decimal"/>
      <w:start w:val="11"/>
    </w:lvl>
  </w:abstractNum>
  <w:abstractNum w:abstractNumId="34">
    <w:nsid w:val="2463B9EA"/>
    <w:multiLevelType w:val="hybridMultilevel"/>
    <w:lvl w:ilvl="0">
      <w:lvlJc w:val="left"/>
      <w:lvlText w:val="%1."/>
      <w:numFmt w:val="decimal"/>
      <w:start w:val="12"/>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lowerLetter"/>
      <w:start w:val="3"/>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3"/>
    </w:lvl>
  </w:abstractNum>
  <w:abstractNum w:abstractNumId="40">
    <w:nsid w:val="3855585C"/>
    <w:multiLevelType w:val="hybridMultilevel"/>
    <w:lvl w:ilvl="0">
      <w:lvlJc w:val="left"/>
      <w:lvlText w:val="(%1)"/>
      <w:numFmt w:val="decimal"/>
      <w:start w:val="4"/>
    </w:lvl>
  </w:abstractNum>
  <w:abstractNum w:abstractNumId="41">
    <w:nsid w:val="70A64E2A"/>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2020-02-04T06:51:19Z</dcterms:created>
  <dcterms:modified xsi:type="dcterms:W3CDTF">2020-02-04T06:51:19Z</dcterms:modified>
</cp:coreProperties>
</file>