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May 1, 2024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EZCORP,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2500 Bee Cave Road, Bldg One, Suite 200, Rollingwood, Texas 78746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(512) 314-3400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EZCORP, Inc. (“EZCORP”) issued a press release announcing its results of operations and financial condition for the quarter ended March 31, 2024. A copy of that press release is attached as Exhibit 99.1.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presentation materials that management will review during the Company’s earnings conference call (to be held on May 2, 2024) will be posted in the Investor Relations section of the company’s website at www.ezcorp.com.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48"/>
        <w:gridCol w:w="2838"/>
        <w:gridCol w:w="403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2pressreleaseex991.htm">
              <w:r>
                <w:rPr>
                  <w:rStyle w:val="InternetLink"/>
                  <w:rFonts w:ascii="Times New Roman;sans-serif" w:hAnsi="Times New Roman;sans-serif"/>
                  <w:b w:val="false"/>
                  <w:color w:val="0000FF"/>
                  <w:sz w:val="20"/>
                  <w:u w:val="single"/>
                </w:rPr>
                <w:t>Press Release, dated May 1, 2024, announcing EZCORP, Inc.’s results of operations and financial condition for the quarter ended March 31,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61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Second Quarter Fiscal 2024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Record Q2 Revenues Driving Strong Earnings Growth</w:t>
      </w:r>
    </w:p>
    <w:p>
      <w:pPr>
        <w:pStyle w:val="TextBody"/>
        <w:bidi w:val="0"/>
        <w:spacing w:lineRule="auto" w:line="288" w:before="240" w:after="283"/>
        <w:jc w:val="left"/>
        <w:rPr/>
      </w:pPr>
      <w:r>
        <w:rPr>
          <w:rFonts w:ascii="Arial Narrow;sans-serif" w:hAnsi="Arial Narrow;sans-serif"/>
          <w:b/>
          <w:color w:val="000000"/>
          <w:sz w:val="20"/>
        </w:rPr>
        <w:t xml:space="preserve">Austin, Texas (May 1, 2024) — </w:t>
      </w:r>
      <w:r>
        <w:rPr>
          <w:rFonts w:ascii="Arial Narrow;sans-serif" w:hAnsi="Arial Narrow;sans-serif"/>
          <w:b w:val="false"/>
          <w:color w:val="000000"/>
          <w:sz w:val="20"/>
        </w:rPr>
        <w:t>EZCORP, Inc. (NASDAQ: EZPW), a leading provider of pawn transactions in the United States and Latin America, today announced results for its second quarter ended March 31, 2024.</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SECOND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of $21.5 million, up from a net loss of $6.8 million. In the prior-year we recorded our share of the one-time, non-cash goodwill impairment and discrete adjustments recognized by Cash Converters International of $25.6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$3.6 million or 21%.</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of $0.29, up from diluted loss per share of $0.12. On an adjusted basis, diluted earnings per share of $0.28, compared to $0.23.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11%, and gross profit increased 12%.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remains within our targeted range at 35%.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Pawn loans outstanding (PLO) up 14% to $235.8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 on earning assets (ROEA) remains strong at 165%.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CEO COMMENTARY AND OUTLOOK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Lachie Given, Chief Executive Officer, stated, “We achieved record second quarter revenue and PLO, driven by strong consumer demand and excellent customer service. The challenging macro-economic environment continues to fuel robust customer demand for short-term cash and pre-owned and recycled goods.</w:t>
      </w:r>
    </w:p>
    <w:p>
      <w:pPr>
        <w:pStyle w:val="TextBody"/>
        <w:bidi w:val="0"/>
        <w:spacing w:lineRule="auto" w:line="288" w:before="180" w:after="283"/>
        <w:jc w:val="left"/>
        <w:rPr>
          <w:color w:val="000000"/>
        </w:rPr>
      </w:pPr>
      <w:r>
        <w:rPr>
          <w:color w:val="000000"/>
        </w:rPr>
        <w:t>“</w:t>
      </w:r>
      <w:r>
        <w:rPr>
          <w:rFonts w:ascii="Arial Narrow;sans-serif" w:hAnsi="Arial Narrow;sans-serif"/>
          <w:b w:val="false"/>
          <w:color w:val="000000"/>
          <w:sz w:val="20"/>
        </w:rPr>
        <w:t>During the second quarter, we opened nine de novo stores in Latin America and acquired six stores in the U.S. We also consolidated six stores, five in Latin America and one in the U.S., which netted an additional nine stores. We now have a total of 1,246 stores across the organization and over 7,800 team members. Our strong balance sheet allows us to continue to build scale, both organically and by acquiring new stores. In addition, we continue to return capital to our shareholders, having repurchased $3.0 million worth of EZCORP shares during the quarter.</w:t>
      </w:r>
    </w:p>
    <w:p>
      <w:pPr>
        <w:pStyle w:val="TextBody"/>
        <w:bidi w:val="0"/>
        <w:spacing w:lineRule="auto" w:line="288" w:before="180" w:after="283"/>
        <w:jc w:val="left"/>
        <w:rPr/>
      </w:pPr>
      <w:r>
        <w:rPr>
          <w:color w:val="000000"/>
        </w:rPr>
        <w:t>“</w:t>
      </w:r>
      <w:r>
        <w:rPr>
          <w:rFonts w:ascii="Arial Narrow;sans-serif" w:hAnsi="Arial Narrow;sans-serif"/>
          <w:b w:val="false"/>
          <w:color w:val="000000"/>
          <w:sz w:val="20"/>
        </w:rPr>
        <w:t>We have 4.6 million</w:t>
      </w:r>
      <w:r>
        <w:rPr>
          <w:color w:val="000000"/>
        </w:rPr>
        <w:t xml:space="preserve"> </w:t>
      </w:r>
      <w:r>
        <w:rPr>
          <w:rFonts w:ascii="Arial Narrow;sans-serif" w:hAnsi="Arial Narrow;sans-serif"/>
          <w:b w:val="false"/>
          <w:color w:val="000000"/>
          <w:sz w:val="20"/>
        </w:rPr>
        <w:t>EZ+ Rewards members, an increase of 61% over the second quarter of 2023 and 10% over last quarter. Online payments continue to gain traction with customers, and we collected $21.8 million in the U.S., up 72%, and have expanded online payments to our stores in Mexico. These initiatives to increase customer loyalty and engagement and provide a more convenient customer experience are an integral part of our growth in the local neighborhoods in which we operate.</w:t>
      </w:r>
    </w:p>
    <w:p>
      <w:pPr>
        <w:pStyle w:val="TextBody"/>
        <w:bidi w:val="0"/>
        <w:spacing w:lineRule="auto" w:line="288" w:before="180" w:after="283"/>
        <w:jc w:val="left"/>
        <w:rPr>
          <w:color w:val="000000"/>
        </w:rPr>
      </w:pPr>
      <w:r>
        <w:rPr>
          <w:color w:val="000000"/>
        </w:rPr>
        <w:t>“</w:t>
      </w:r>
      <w:r>
        <w:rPr>
          <w:rFonts w:ascii="Arial Narrow;sans-serif" w:hAnsi="Arial Narrow;sans-serif"/>
          <w:b w:val="false"/>
          <w:color w:val="000000"/>
          <w:sz w:val="20"/>
        </w:rPr>
        <w:t>Thank you to our exceptional EZCORP team members for delivering another outstanding quarter of excellent operating and financial results for our shareholders. We will continue to invest in our team and our stores, focusing on recruitment and retention, while also investing in technology and other initiatives to enhance the customer experience. This focus and investment continues to enhance value for all of our shareholders,” concluded Given.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7014" w:type="dxa"/>
        <w:jc w:val="left"/>
        <w:tblInd w:w="0" w:type="dxa"/>
        <w:tblLayout w:type="fixed"/>
        <w:tblCellMar>
          <w:top w:w="28" w:type="dxa"/>
          <w:left w:w="28" w:type="dxa"/>
          <w:bottom w:w="28" w:type="dxa"/>
          <w:right w:w="28" w:type="dxa"/>
        </w:tblCellMar>
      </w:tblPr>
      <w:tblGrid>
        <w:gridCol w:w="889"/>
        <w:gridCol w:w="783"/>
        <w:gridCol w:w="788"/>
        <w:gridCol w:w="181"/>
        <w:gridCol w:w="496"/>
        <w:gridCol w:w="109"/>
        <w:gridCol w:w="181"/>
        <w:gridCol w:w="421"/>
        <w:gridCol w:w="109"/>
        <w:gridCol w:w="181"/>
        <w:gridCol w:w="496"/>
        <w:gridCol w:w="109"/>
        <w:gridCol w:w="109"/>
        <w:gridCol w:w="109"/>
        <w:gridCol w:w="109"/>
        <w:gridCol w:w="181"/>
        <w:gridCol w:w="496"/>
        <w:gridCol w:w="109"/>
        <w:gridCol w:w="109"/>
        <w:gridCol w:w="109"/>
        <w:gridCol w:w="109"/>
        <w:gridCol w:w="181"/>
        <w:gridCol w:w="49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(loss)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(loss)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pPr>
      <w:r>
        <w:rPr>
          <w:color w:val="000000"/>
        </w:rPr>
        <w:t>•</w:t>
      </w:r>
      <w:r>
        <w:rPr>
          <w:rFonts w:ascii="Arial Narrow;sans-serif" w:hAnsi="Arial Narrow;sans-serif"/>
          <w:b w:val="false"/>
          <w:color w:val="000000"/>
          <w:sz w:val="20"/>
        </w:rPr>
        <w:t>Diluted earnings per share of $0.29, up from diluted loss per share of $0.12. On an adjusted basis, diluted earnings per share of $0.28, up from $0.23. The primary difference between GAAP and Adjusted financial results is attributable to our share of the previously announced prior year one-time, non-cash goodwill impairment recognized by Cash Converters International.</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Income before taxes was $28.7 million, up from loss before taxes of $7.3 million, and adjusted EBITDA increased 7% to $36.2     million.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increased 14% to $235.8 million, up $29.7 million. On a same-store basis</w:t>
      </w:r>
      <w:r>
        <w:rPr>
          <w:rFonts w:ascii="Arial Narrow;sans-serif" w:hAnsi="Arial Narrow;sans-serif"/>
          <w:b w:val="false"/>
          <w:color w:val="000000"/>
          <w:sz w:val="13"/>
        </w:rPr>
        <w:t>2</w:t>
      </w:r>
      <w:r>
        <w:rPr>
          <w:rFonts w:ascii="Arial Narrow;sans-serif" w:hAnsi="Arial Narrow;sans-serif"/>
          <w:b w:val="false"/>
          <w:color w:val="000000"/>
          <w:sz w:val="20"/>
        </w:rPr>
        <w:t>, PLO increased 12% due to improved operational performance and continued strong pawn demand.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Total revenues increased 11%, and gross profit increased 12%, reflecting improved pawn service charge (PSC) revenues, merchandise sales and merchandise sales gross profit.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15%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remains within our target range at 35%. Aged general merchandise was 2.3% of total general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9%, as expected with the growth in PLO. Inventory turnover increased to 2.9x, from 2.8x.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13%, primarily due to increased labor, in-line with store activity, higher store count and, to a lesser extent, expenses related to our loyalty program. On a same-store basis, store expenses increased 11%.</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 and administrative expenses increased 17%, primarily due to labor driven by incentive compensation related to an increase in share price and, to a lesser extent, costs related to the implementation of Workday.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Cash and cash equivalents at the end of the quarter was $229.1 million, down 6% year-over-year. The decrease was due to the increase in PLO and inventory, strategic investments, share repurchases, and the acquisition of new stores, partially offset by cash inflows provided by operating activities.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ended the quarter at $173.7 million, up 11% or 9% on a same 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Total revenue and gross profit was up 10%, reflecting increased PSC and higher merchandise sales.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14%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Merchandise sales increased 6%, and gross margin decreased to 37% from 38%. Aged general merchandise increased to 3.0% of total general merchandise inventory, primarily driven by luxury handbags in our Max Pawn stores.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Net inventory increased 9%, as expected with the growth in PLO. Inventory turnover remained flat at 2.6x.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Store expenses increased 12%, primarily due to salaries and benefits as we continue to support our team members as a part of People, Pawn and Passion focus, higher store count and, to a lesser extent, expenses related to our loyalty program.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8% to $40.7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During the quarter, net store count increased by five due to the acquisition of six stores and the consolidation of one store.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improved to $62.0 million, up 26% (19% on constant currency basis). On a same store basis, PLO increased 22% (15% on a constant currency basis) due to improved operational performance and continued strong pawn demand.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Total revenues was up 12% (4% on constant currency basis), and gross profit increased 18% (10% on a constant currency basis), reflecting increased PSC, higher merchandise sales and improved merchandise sales gross profit.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PSC increased 18% (10% on a constant currency basis) as a result of higher average PLO.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increased to 33% from 32%. Aged general merchandise was 1.4% of total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9% (2% on a constant currency basis). Inventory turnover increased to 3.6x from 3.5x.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Store expenses increased 15% (7% on a constant currency basis), primarily due to higher store count. Same-store expenses increased 10% (2% on a constant currency basis). </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rPr>
        <w:t>Segment contribution increased 2% (decreased 3% on a constant currency basis). On an adjusted basis, segment contribution was up 38% to $7.7 million, with the primary adjustment being the prior year reversal of contingent consideration liability of $2.5 million in connection with a previously completed acquisition.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During the quarter, net store count increased by four due to the opening of nine de novo stores and the consolidation of five stores.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10-Q</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Quarterly Report on Form 10-Q for the quarter ended March 31, 2024 has been filed with the Securities and Exchange Commission. The report is available in the Investor Relations section of the Company’s website at http://investors.ezcorp.com.</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52"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will host a conference call on Thursday, May 2, 2024, at 8:00 am Central Time to discuss Second Quarter Fiscal 2024 results. Analysts and institutional investors may participate on the conference call by registering online at: https://register.vevent.com/register/BIc16d26b733bc44b7aecc33d2d530fef4. Once registered you will receive the dial-in details with a unique PIN to join the call. The conference call will be webcast simultaneously to the public through this link: http://investors.ezcorp.com. A replay of the conference call will be available online at http://investors.ezcorp.com 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Instagram Official https://www.instagram.com/ezcorp_official/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LinkedIn https://www.linkedin.com/company/ezcorp/</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9560"/>
                <wp:effectExtent l="0" t="0" r="0" b="0"/>
                <wp:wrapNone/>
                <wp:docPr id="6" name="Frame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38250"/>
                <wp:effectExtent l="0" t="0" r="0" b="0"/>
                <wp:wrapNone/>
                <wp:docPr id="7" name="Frame6"/>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288" w:before="180" w:after="283"/>
                              <w:jc w:val="left"/>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r>
                              <w:br w:type="page"/>
                            </w:r>
                          </w:p>
                          <w:p>
                            <w:pPr>
                              <w:pStyle w:val="TextBody"/>
                              <w:bidi w:val="0"/>
                              <w:spacing w:lineRule="auto" w:line="276" w:before="0" w:after="0"/>
                              <w:jc w:val="left"/>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left"/>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716" w:type="dxa"/>
        <w:jc w:val="left"/>
        <w:tblInd w:w="0" w:type="dxa"/>
        <w:tblLayout w:type="fixed"/>
        <w:tblCellMar>
          <w:top w:w="28" w:type="dxa"/>
          <w:left w:w="28" w:type="dxa"/>
          <w:bottom w:w="28" w:type="dxa"/>
          <w:right w:w="28" w:type="dxa"/>
        </w:tblCellMar>
      </w:tblPr>
      <w:tblGrid>
        <w:gridCol w:w="1273"/>
        <w:gridCol w:w="1116"/>
        <w:gridCol w:w="1121"/>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140,305 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122,449 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275,796 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246,700 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27,287 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26,733 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54,979 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Income (loss) before income taxes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(7,340)</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Income tax expense (benefit)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(loss)</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(loss)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(loss)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93"/>
        <w:gridCol w:w="1961"/>
        <w:gridCol w:w="1968"/>
        <w:gridCol w:w="181"/>
        <w:gridCol w:w="766"/>
        <w:gridCol w:w="109"/>
        <w:gridCol w:w="109"/>
        <w:gridCol w:w="109"/>
        <w:gridCol w:w="109"/>
        <w:gridCol w:w="181"/>
        <w:gridCol w:w="766"/>
        <w:gridCol w:w="109"/>
        <w:gridCol w:w="109"/>
        <w:gridCol w:w="109"/>
        <w:gridCol w:w="109"/>
        <w:gridCol w:w="183"/>
        <w:gridCol w:w="776"/>
        <w:gridCol w:w="158"/>
      </w:tblGrid>
      <w:tr>
        <w:trPr/>
        <w:tc>
          <w:tcPr>
            <w:tcW w:w="239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6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44" w:type="dxa"/>
            <w:gridSpan w:val="6"/>
            <w:tcBorders/>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722,304 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686,652 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719,719 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36,220 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234,388 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1,508,142 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1,420,532 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Current maturities of long-term debt, net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81,605 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18,920 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145,377 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191,972 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325,847 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193,187 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707,746 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707,944 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721,943 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9)</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Class A Non-voting Common Stock, par value $0.01 per share; shares authorized: 100 million; issued and outstanding : 52,057,309 as of March 31, 2024; 52,561,071 as of March 31, 2023; and 51,869,569 as of September 30, 2023 </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346,181 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431,140 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(32,102)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712,588 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745,768 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2"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1,508,142 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1,420,532 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58"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786" w:type="dxa"/>
        <w:jc w:val="left"/>
        <w:tblInd w:w="0" w:type="dxa"/>
        <w:tblLayout w:type="fixed"/>
        <w:tblCellMar>
          <w:top w:w="28" w:type="dxa"/>
          <w:left w:w="28" w:type="dxa"/>
          <w:bottom w:w="28" w:type="dxa"/>
          <w:right w:w="28" w:type="dxa"/>
        </w:tblCellMar>
      </w:tblPr>
      <w:tblGrid>
        <w:gridCol w:w="1926"/>
        <w:gridCol w:w="1697"/>
        <w:gridCol w:w="1701"/>
        <w:gridCol w:w="181"/>
        <w:gridCol w:w="646"/>
        <w:gridCol w:w="109"/>
        <w:gridCol w:w="109"/>
        <w:gridCol w:w="109"/>
        <w:gridCol w:w="109"/>
        <w:gridCol w:w="181"/>
        <w:gridCol w:w="646"/>
        <w:gridCol w:w="109"/>
        <w:gridCol w:w="109"/>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from investment in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36,548 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46,827 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(378,717)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(18,242)</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(40,649)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(used in) provided by financing activities </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29,976 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37,210 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237,692 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251,579 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8"/>
        <w:gridCol w:w="671"/>
        <w:gridCol w:w="642"/>
        <w:gridCol w:w="181"/>
        <w:gridCol w:w="646"/>
        <w:gridCol w:w="109"/>
        <w:gridCol w:w="109"/>
        <w:gridCol w:w="109"/>
        <w:gridCol w:w="109"/>
        <w:gridCol w:w="247"/>
        <w:gridCol w:w="780"/>
        <w:gridCol w:w="148"/>
        <w:gridCol w:w="109"/>
        <w:gridCol w:w="109"/>
        <w:gridCol w:w="109"/>
        <w:gridCol w:w="262"/>
        <w:gridCol w:w="722"/>
        <w:gridCol w:w="159"/>
        <w:gridCol w:w="109"/>
        <w:gridCol w:w="109"/>
        <w:gridCol w:w="109"/>
        <w:gridCol w:w="204"/>
        <w:gridCol w:w="730"/>
        <w:gridCol w:w="123"/>
        <w:gridCol w:w="109"/>
        <w:gridCol w:w="109"/>
        <w:gridCol w:w="109"/>
        <w:gridCol w:w="211"/>
        <w:gridCol w:w="696"/>
        <w:gridCol w:w="127"/>
        <w:gridCol w:w="109"/>
        <w:gridCol w:w="109"/>
        <w:gridCol w:w="109"/>
        <w:gridCol w:w="196"/>
        <w:gridCol w:w="701"/>
        <w:gridCol w:w="177"/>
      </w:tblGrid>
      <w:tr>
        <w:trPr/>
        <w:tc>
          <w:tcPr>
            <w:tcW w:w="83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49,838 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164,687 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27,153 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207,574 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78,034 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285,639 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33,461 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106,259 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43,579 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167,592 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33,742 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114,582 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8,118 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51,143 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51,143 </w:t>
            </w:r>
          </w:p>
        </w:tc>
        <w:tc>
          <w:tcPr>
            <w:tcW w:w="12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(22,492)</w:t>
            </w:r>
          </w:p>
        </w:tc>
        <w:tc>
          <w:tcPr>
            <w:tcW w:w="12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28,651 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02"/>
        <w:gridCol w:w="645"/>
        <w:gridCol w:w="619"/>
        <w:gridCol w:w="181"/>
        <w:gridCol w:w="646"/>
        <w:gridCol w:w="109"/>
        <w:gridCol w:w="109"/>
        <w:gridCol w:w="109"/>
        <w:gridCol w:w="109"/>
        <w:gridCol w:w="253"/>
        <w:gridCol w:w="801"/>
        <w:gridCol w:w="153"/>
        <w:gridCol w:w="109"/>
        <w:gridCol w:w="109"/>
        <w:gridCol w:w="109"/>
        <w:gridCol w:w="244"/>
        <w:gridCol w:w="773"/>
        <w:gridCol w:w="148"/>
        <w:gridCol w:w="109"/>
        <w:gridCol w:w="109"/>
        <w:gridCol w:w="109"/>
        <w:gridCol w:w="207"/>
        <w:gridCol w:w="739"/>
        <w:gridCol w:w="124"/>
        <w:gridCol w:w="109"/>
        <w:gridCol w:w="109"/>
        <w:gridCol w:w="109"/>
        <w:gridCol w:w="214"/>
        <w:gridCol w:w="709"/>
        <w:gridCol w:w="129"/>
        <w:gridCol w:w="109"/>
        <w:gridCol w:w="109"/>
        <w:gridCol w:w="109"/>
        <w:gridCol w:w="196"/>
        <w:gridCol w:w="701"/>
        <w:gridCol w:w="177"/>
      </w:tblGrid>
      <w:tr>
        <w:trPr/>
        <w:tc>
          <w:tcPr>
            <w:tcW w:w="8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9"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43,767 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188,531 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69,882 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29,696 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112,338 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36,834 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37,752 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7,996 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(32,497)</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13,251 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13,251 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(20,591)</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(7,340)</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2"/>
        <w:gridCol w:w="664"/>
        <w:gridCol w:w="634"/>
        <w:gridCol w:w="181"/>
        <w:gridCol w:w="646"/>
        <w:gridCol w:w="109"/>
        <w:gridCol w:w="109"/>
        <w:gridCol w:w="109"/>
        <w:gridCol w:w="109"/>
        <w:gridCol w:w="233"/>
        <w:gridCol w:w="834"/>
        <w:gridCol w:w="140"/>
        <w:gridCol w:w="109"/>
        <w:gridCol w:w="109"/>
        <w:gridCol w:w="109"/>
        <w:gridCol w:w="261"/>
        <w:gridCol w:w="719"/>
        <w:gridCol w:w="159"/>
        <w:gridCol w:w="109"/>
        <w:gridCol w:w="109"/>
        <w:gridCol w:w="109"/>
        <w:gridCol w:w="204"/>
        <w:gridCol w:w="729"/>
        <w:gridCol w:w="123"/>
        <w:gridCol w:w="109"/>
        <w:gridCol w:w="109"/>
        <w:gridCol w:w="109"/>
        <w:gridCol w:w="210"/>
        <w:gridCol w:w="694"/>
        <w:gridCol w:w="126"/>
        <w:gridCol w:w="109"/>
        <w:gridCol w:w="109"/>
        <w:gridCol w:w="109"/>
        <w:gridCol w:w="196"/>
        <w:gridCol w:w="701"/>
        <w:gridCol w:w="175"/>
      </w:tblGrid>
      <w:tr>
        <w:trPr/>
        <w:tc>
          <w:tcPr>
            <w:tcW w:w="83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103,728 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344,090 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213,612 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425,012 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160,583 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585,630 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69,962 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221,469 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251,427 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88,703 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340,165 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67,042 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225,137 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82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88,196 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18,267 </w:t>
            </w:r>
          </w:p>
        </w:tc>
        <w:tc>
          <w:tcPr>
            <w:tcW w:w="140"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4,098 </w:t>
            </w:r>
          </w:p>
        </w:tc>
        <w:tc>
          <w:tcPr>
            <w:tcW w:w="15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110,561 </w:t>
            </w:r>
          </w:p>
        </w:tc>
        <w:tc>
          <w:tcPr>
            <w:tcW w:w="123"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110,561 </w:t>
            </w:r>
          </w:p>
        </w:tc>
        <w:tc>
          <w:tcPr>
            <w:tcW w:w="123"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(44,205)</w:t>
            </w:r>
          </w:p>
        </w:tc>
        <w:tc>
          <w:tcPr>
            <w:tcW w:w="126"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66,356 </w:t>
            </w:r>
          </w:p>
        </w:tc>
        <w:tc>
          <w:tcPr>
            <w:tcW w:w="175"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02"/>
        <w:gridCol w:w="645"/>
        <w:gridCol w:w="619"/>
        <w:gridCol w:w="181"/>
        <w:gridCol w:w="646"/>
        <w:gridCol w:w="109"/>
        <w:gridCol w:w="109"/>
        <w:gridCol w:w="109"/>
        <w:gridCol w:w="109"/>
        <w:gridCol w:w="253"/>
        <w:gridCol w:w="801"/>
        <w:gridCol w:w="153"/>
        <w:gridCol w:w="109"/>
        <w:gridCol w:w="109"/>
        <w:gridCol w:w="109"/>
        <w:gridCol w:w="244"/>
        <w:gridCol w:w="773"/>
        <w:gridCol w:w="148"/>
        <w:gridCol w:w="109"/>
        <w:gridCol w:w="109"/>
        <w:gridCol w:w="109"/>
        <w:gridCol w:w="207"/>
        <w:gridCol w:w="739"/>
        <w:gridCol w:w="124"/>
        <w:gridCol w:w="109"/>
        <w:gridCol w:w="109"/>
        <w:gridCol w:w="109"/>
        <w:gridCol w:w="214"/>
        <w:gridCol w:w="709"/>
        <w:gridCol w:w="129"/>
        <w:gridCol w:w="109"/>
        <w:gridCol w:w="109"/>
        <w:gridCol w:w="109"/>
        <w:gridCol w:w="196"/>
        <w:gridCol w:w="701"/>
        <w:gridCol w:w="177"/>
      </w:tblGrid>
      <w:tr>
        <w:trPr/>
        <w:tc>
          <w:tcPr>
            <w:tcW w:w="8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9"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89,240 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46,368 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383,356 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139,362 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61,317 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4,089 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227,691 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73,956 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56,822 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9,862 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(2,094)</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77,043 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15,525 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(30,895)</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61,673 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61,673 </w:t>
            </w:r>
          </w:p>
        </w:tc>
        <w:tc>
          <w:tcPr>
            <w:tcW w:w="12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(44,475)</w:t>
            </w:r>
          </w:p>
        </w:tc>
        <w:tc>
          <w:tcPr>
            <w:tcW w:w="12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17,198 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640" w:type="dxa"/>
        <w:jc w:val="center"/>
        <w:tblInd w:w="0" w:type="dxa"/>
        <w:tblLayout w:type="fixed"/>
        <w:tblCellMar>
          <w:top w:w="28" w:type="dxa"/>
          <w:left w:w="28" w:type="dxa"/>
          <w:bottom w:w="28" w:type="dxa"/>
          <w:right w:w="28" w:type="dxa"/>
        </w:tblCellMar>
      </w:tblPr>
      <w:tblGrid>
        <w:gridCol w:w="716"/>
        <w:gridCol w:w="629"/>
        <w:gridCol w:w="634"/>
        <w:gridCol w:w="280"/>
        <w:gridCol w:w="280"/>
        <w:gridCol w:w="280"/>
        <w:gridCol w:w="173"/>
        <w:gridCol w:w="173"/>
        <w:gridCol w:w="173"/>
        <w:gridCol w:w="499"/>
        <w:gridCol w:w="499"/>
        <w:gridCol w:w="501"/>
        <w:gridCol w:w="173"/>
        <w:gridCol w:w="173"/>
        <w:gridCol w:w="173"/>
        <w:gridCol w:w="340"/>
        <w:gridCol w:w="340"/>
        <w:gridCol w:w="341"/>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34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170" w:type="dxa"/>
        <w:jc w:val="left"/>
        <w:tblInd w:w="0" w:type="dxa"/>
        <w:tblLayout w:type="fixed"/>
        <w:tblCellMar>
          <w:top w:w="28" w:type="dxa"/>
          <w:left w:w="28" w:type="dxa"/>
          <w:bottom w:w="28" w:type="dxa"/>
          <w:right w:w="28" w:type="dxa"/>
        </w:tblCellMar>
      </w:tblPr>
      <w:tblGrid>
        <w:gridCol w:w="629"/>
        <w:gridCol w:w="553"/>
        <w:gridCol w:w="557"/>
        <w:gridCol w:w="280"/>
        <w:gridCol w:w="280"/>
        <w:gridCol w:w="280"/>
        <w:gridCol w:w="171"/>
        <w:gridCol w:w="171"/>
        <w:gridCol w:w="171"/>
        <w:gridCol w:w="499"/>
        <w:gridCol w:w="499"/>
        <w:gridCol w:w="501"/>
        <w:gridCol w:w="171"/>
        <w:gridCol w:w="171"/>
        <w:gridCol w:w="171"/>
        <w:gridCol w:w="312"/>
        <w:gridCol w:w="312"/>
        <w:gridCol w:w="44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2023</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2022</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1,186 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03"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2024</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center"/>
        <w:tblInd w:w="0" w:type="dxa"/>
        <w:tblLayout w:type="fixed"/>
        <w:tblCellMar>
          <w:top w:w="28" w:type="dxa"/>
          <w:left w:w="28" w:type="dxa"/>
          <w:bottom w:w="28" w:type="dxa"/>
          <w:right w:w="28" w:type="dxa"/>
        </w:tblCellMar>
      </w:tblPr>
      <w:tblGrid>
        <w:gridCol w:w="718"/>
        <w:gridCol w:w="630"/>
        <w:gridCol w:w="632"/>
        <w:gridCol w:w="279"/>
        <w:gridCol w:w="279"/>
        <w:gridCol w:w="281"/>
        <w:gridCol w:w="160"/>
        <w:gridCol w:w="160"/>
        <w:gridCol w:w="160"/>
        <w:gridCol w:w="499"/>
        <w:gridCol w:w="499"/>
        <w:gridCol w:w="501"/>
        <w:gridCol w:w="160"/>
        <w:gridCol w:w="160"/>
        <w:gridCol w:w="160"/>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2023</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six months ended March 31, 2024 and 2023 were as follows:</w:t>
      </w:r>
    </w:p>
    <w:tbl>
      <w:tblPr>
        <w:tblW w:w="7158"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14"/>
        <w:gridCol w:w="207"/>
        <w:gridCol w:w="151"/>
        <w:gridCol w:w="151"/>
        <w:gridCol w:w="151"/>
        <w:gridCol w:w="151"/>
        <w:gridCol w:w="214"/>
        <w:gridCol w:w="207"/>
        <w:gridCol w:w="21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4180" w:type="dxa"/>
        <w:jc w:val="left"/>
        <w:tblInd w:w="0" w:type="dxa"/>
        <w:tblLayout w:type="fixed"/>
        <w:tblCellMar>
          <w:top w:w="28" w:type="dxa"/>
          <w:left w:w="28" w:type="dxa"/>
          <w:bottom w:w="28" w:type="dxa"/>
          <w:right w:w="28" w:type="dxa"/>
        </w:tblCellMar>
      </w:tblPr>
      <w:tblGrid>
        <w:gridCol w:w="716"/>
        <w:gridCol w:w="630"/>
        <w:gridCol w:w="634"/>
        <w:gridCol w:w="181"/>
        <w:gridCol w:w="421"/>
        <w:gridCol w:w="109"/>
        <w:gridCol w:w="109"/>
        <w:gridCol w:w="109"/>
        <w:gridCol w:w="109"/>
        <w:gridCol w:w="181"/>
        <w:gridCol w:w="391"/>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(loss)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 (benefit)</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0"/>
        <w:gridCol w:w="211"/>
        <w:gridCol w:w="211"/>
        <w:gridCol w:w="211"/>
        <w:gridCol w:w="211"/>
        <w:gridCol w:w="211"/>
        <w:gridCol w:w="211"/>
        <w:gridCol w:w="211"/>
        <w:gridCol w:w="211"/>
        <w:gridCol w:w="238"/>
        <w:gridCol w:w="652"/>
        <w:gridCol w:w="143"/>
        <w:gridCol w:w="109"/>
        <w:gridCol w:w="109"/>
        <w:gridCol w:w="109"/>
        <w:gridCol w:w="207"/>
        <w:gridCol w:w="569"/>
        <w:gridCol w:w="125"/>
        <w:gridCol w:w="109"/>
        <w:gridCol w:w="109"/>
        <w:gridCol w:w="109"/>
        <w:gridCol w:w="297"/>
        <w:gridCol w:w="692"/>
        <w:gridCol w:w="179"/>
        <w:gridCol w:w="109"/>
        <w:gridCol w:w="109"/>
        <w:gridCol w:w="109"/>
        <w:gridCol w:w="208"/>
        <w:gridCol w:w="398"/>
        <w:gridCol w:w="125"/>
        <w:gridCol w:w="109"/>
        <w:gridCol w:w="109"/>
        <w:gridCol w:w="109"/>
        <w:gridCol w:w="210"/>
        <w:gridCol w:w="490"/>
        <w:gridCol w:w="126"/>
        <w:gridCol w:w="109"/>
        <w:gridCol w:w="109"/>
        <w:gridCol w:w="109"/>
        <w:gridCol w:w="223"/>
        <w:gridCol w:w="520"/>
        <w:gridCol w:w="134"/>
        <w:gridCol w:w="109"/>
        <w:gridCol w:w="109"/>
        <w:gridCol w:w="109"/>
        <w:gridCol w:w="183"/>
        <w:gridCol w:w="426"/>
        <w:gridCol w:w="170"/>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9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2024 Q2 Reported</w:t>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lease termination</w:t>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and other impact</w:t>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192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2024 Q2 Adjusted</w:t>
            </w:r>
          </w:p>
        </w:tc>
        <w:tc>
          <w:tcPr>
            <w:tcW w:w="2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280.2 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20.7 </w:t>
            </w:r>
          </w:p>
        </w:tc>
        <w:tc>
          <w:tcPr>
            <w:tcW w:w="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0.28 </w:t>
            </w:r>
          </w:p>
        </w:tc>
        <w:tc>
          <w:tcPr>
            <w:tcW w:w="1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36.2 </w:t>
            </w:r>
          </w:p>
        </w:tc>
        <w:tc>
          <w:tcPr>
            <w:tcW w:w="1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7"/>
        <w:gridCol w:w="226"/>
        <w:gridCol w:w="226"/>
        <w:gridCol w:w="226"/>
        <w:gridCol w:w="226"/>
        <w:gridCol w:w="226"/>
        <w:gridCol w:w="226"/>
        <w:gridCol w:w="226"/>
        <w:gridCol w:w="226"/>
        <w:gridCol w:w="231"/>
        <w:gridCol w:w="634"/>
        <w:gridCol w:w="139"/>
        <w:gridCol w:w="109"/>
        <w:gridCol w:w="109"/>
        <w:gridCol w:w="109"/>
        <w:gridCol w:w="204"/>
        <w:gridCol w:w="561"/>
        <w:gridCol w:w="123"/>
        <w:gridCol w:w="109"/>
        <w:gridCol w:w="109"/>
        <w:gridCol w:w="109"/>
        <w:gridCol w:w="284"/>
        <w:gridCol w:w="661"/>
        <w:gridCol w:w="171"/>
        <w:gridCol w:w="109"/>
        <w:gridCol w:w="109"/>
        <w:gridCol w:w="109"/>
        <w:gridCol w:w="196"/>
        <w:gridCol w:w="406"/>
        <w:gridCol w:w="118"/>
        <w:gridCol w:w="109"/>
        <w:gridCol w:w="109"/>
        <w:gridCol w:w="109"/>
        <w:gridCol w:w="207"/>
        <w:gridCol w:w="482"/>
        <w:gridCol w:w="124"/>
        <w:gridCol w:w="109"/>
        <w:gridCol w:w="109"/>
        <w:gridCol w:w="109"/>
        <w:gridCol w:w="210"/>
        <w:gridCol w:w="522"/>
        <w:gridCol w:w="126"/>
        <w:gridCol w:w="109"/>
        <w:gridCol w:w="109"/>
        <w:gridCol w:w="109"/>
        <w:gridCol w:w="183"/>
        <w:gridCol w:w="426"/>
        <w:gridCol w:w="170"/>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20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2023 Q2 Reported</w:t>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Impairment and discrete adjustments</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liability</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Impact of dilutive instruments*</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709"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106" w:type="dxa"/>
            <w:gridSpan w:val="6"/>
            <w:tcBorders/>
          </w:tcPr>
          <w:p>
            <w:pPr>
              <w:pStyle w:val="TableContents"/>
              <w:bidi w:val="0"/>
              <w:spacing w:before="0" w:after="283"/>
              <w:jc w:val="left"/>
              <w:rPr>
                <w:sz w:val="4"/>
                <w:szCs w:val="4"/>
              </w:rPr>
            </w:pPr>
            <w:r>
              <w:rPr>
                <w:sz w:val="4"/>
                <w:szCs w:val="4"/>
              </w:rPr>
            </w:r>
          </w:p>
        </w:tc>
      </w:tr>
      <w:tr>
        <w:trPr/>
        <w:tc>
          <w:tcPr>
            <w:tcW w:w="206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2023 Q2 Adjusted</w:t>
            </w:r>
          </w:p>
        </w:tc>
        <w:tc>
          <w:tcPr>
            <w:tcW w:w="2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258.4 </w:t>
            </w:r>
          </w:p>
        </w:tc>
        <w:tc>
          <w:tcPr>
            <w:tcW w:w="1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17.1 </w:t>
            </w:r>
          </w:p>
        </w:tc>
        <w:tc>
          <w:tcPr>
            <w:tcW w:w="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0.23 </w:t>
            </w:r>
          </w:p>
        </w:tc>
        <w:tc>
          <w:tcPr>
            <w:tcW w:w="1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33.8 </w:t>
            </w:r>
          </w:p>
        </w:tc>
        <w:tc>
          <w:tcPr>
            <w:tcW w:w="1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0"/>
        <w:gridCol w:w="1079"/>
        <w:gridCol w:w="1097"/>
        <w:gridCol w:w="300"/>
        <w:gridCol w:w="821"/>
        <w:gridCol w:w="179"/>
        <w:gridCol w:w="109"/>
        <w:gridCol w:w="109"/>
        <w:gridCol w:w="109"/>
        <w:gridCol w:w="374"/>
        <w:gridCol w:w="374"/>
        <w:gridCol w:w="833"/>
        <w:gridCol w:w="109"/>
        <w:gridCol w:w="109"/>
        <w:gridCol w:w="109"/>
        <w:gridCol w:w="299"/>
        <w:gridCol w:w="821"/>
        <w:gridCol w:w="179"/>
        <w:gridCol w:w="109"/>
        <w:gridCol w:w="109"/>
        <w:gridCol w:w="109"/>
        <w:gridCol w:w="351"/>
        <w:gridCol w:w="351"/>
        <w:gridCol w:w="936"/>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Three Months Ended </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 2024</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revenues</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8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9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3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83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93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00" w:after="283"/>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5268</Words>
  <Characters>29599</Characters>
  <CharactersWithSpaces>34286</CharactersWithSpaces>
  <Paragraphs>1752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