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60" w:after="60"/>
        <w:jc w:val="center"/>
        <w:rPr>
          <w:rFonts w:ascii="Arial Narrow;sans-serif" w:hAnsi="Arial Narrow;sans-serif"/>
          <w:b/>
          <w:color w:val="000000"/>
          <w:sz w:val="20"/>
        </w:rPr>
      </w:pPr>
      <w:r>
        <w:rPr>
          <w:rFonts w:ascii="Arial Narrow;sans-serif" w:hAnsi="Arial Narrow;sans-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2"/>
        <w:gridCol w:w="2402"/>
        <w:gridCol w:w="3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ANNUAL REPORT PURSUANT TO SECTION 13 OR 15(d) OF THE SECURITIES EXCHANGE ACT OF 1934</w:t>
            </w:r>
          </w:p>
        </w:tc>
      </w:tr>
    </w:tbl>
    <w:p>
      <w:pPr>
        <w:pStyle w:val="TextBody"/>
        <w:bidi w:val="0"/>
        <w:spacing w:lineRule="auto" w:line="288" w:before="0" w:after="0"/>
        <w:ind w:left="0" w:right="0" w:firstLine="720"/>
        <w:jc w:val="center"/>
        <w:rPr>
          <w:rFonts w:ascii="Arial Narrow;sans-serif" w:hAnsi="Arial Narrow;sans-serif"/>
          <w:b/>
          <w:color w:val="000000"/>
          <w:sz w:val="20"/>
        </w:rPr>
      </w:pPr>
      <w:r>
        <w:rPr>
          <w:rFonts w:ascii="Arial Narrow;sans-serif" w:hAnsi="Arial Narrow;sans-serif"/>
          <w:b/>
          <w:color w:val="000000"/>
          <w:sz w:val="20"/>
        </w:rPr>
        <w:t>For the Fiscal Year Ended September 30, 2023 or</w:t>
      </w:r>
    </w:p>
    <w:tbl>
      <w:tblPr>
        <w:tblW w:w="91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180" w:after="180"/>
        <w:jc w:val="center"/>
        <w:rPr>
          <w:rFonts w:ascii="Arial Narrow;sans-serif" w:hAnsi="Arial Narrow;sans-serif"/>
          <w:b/>
          <w:color w:val="000000"/>
          <w:sz w:val="20"/>
        </w:rPr>
      </w:pPr>
      <w:r>
        <w:rPr>
          <w:rFonts w:ascii="Arial Narrow;sans-serif" w:hAnsi="Arial Narrow;sans-serif"/>
          <w:b/>
          <w:color w:val="000000"/>
          <w:sz w:val="20"/>
        </w:rPr>
        <w:t>Commission File No. 0-19424</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EZCORP, INC.</w:t>
      </w:r>
    </w:p>
    <w:p>
      <w:pPr>
        <w:pStyle w:val="TextBody"/>
        <w:bidi w:val="0"/>
        <w:spacing w:lineRule="auto" w:line="288" w:before="6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Registrant’s telephone number, including area code:</w:t>
      </w:r>
      <w:r>
        <w:rPr>
          <w:color w:val="000000"/>
        </w:rPr>
        <w:t xml:space="preserve"> </w:t>
      </w:r>
      <w:r>
        <w:rPr>
          <w:rFonts w:ascii="Arial Narrow;sans-serif" w:hAnsi="Arial Narrow;sans-serif"/>
          <w:b/>
          <w:color w:val="000000"/>
          <w:sz w:val="16"/>
        </w:rPr>
        <w:t>(512) 314-3400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537"/>
        <w:gridCol w:w="1357"/>
        <w:gridCol w:w="1366"/>
        <w:gridCol w:w="109"/>
        <w:gridCol w:w="109"/>
        <w:gridCol w:w="109"/>
        <w:gridCol w:w="454"/>
        <w:gridCol w:w="454"/>
        <w:gridCol w:w="456"/>
        <w:gridCol w:w="109"/>
        <w:gridCol w:w="109"/>
        <w:gridCol w:w="109"/>
        <w:gridCol w:w="956"/>
        <w:gridCol w:w="956"/>
        <w:gridCol w:w="1358"/>
      </w:tblGrid>
      <w:tr>
        <w:trPr/>
        <w:tc>
          <w:tcPr>
            <w:tcW w:w="153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A Non-voting Common Stock, $.01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The NASDAQ Stock Market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0" w:after="0"/>
        <w:jc w:val="left"/>
        <w:rPr/>
      </w:pPr>
      <w:r>
        <w:rPr>
          <w:rFonts w:ascii="Arial Narrow;sans-serif" w:hAnsi="Arial Narrow;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60" w:after="283"/>
        <w:jc w:val="left"/>
        <w:rPr/>
      </w:pPr>
      <w:r>
        <w:rPr>
          <w:rFonts w:ascii="Arial Narrow;sans-serif" w:hAnsi="Arial Narrow;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is a shell company (as defined in Rule 12b-2 of the Exchange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$440 million, based on the closing price on the NASDAQ Stock Market on March 31, 2023.</w:t>
      </w:r>
    </w:p>
    <w:p>
      <w:pPr>
        <w:pStyle w:val="TextBody"/>
        <w:bidi w:val="0"/>
        <w:spacing w:lineRule="auto" w:line="288" w:before="60" w:after="283"/>
        <w:jc w:val="left"/>
        <w:rPr/>
      </w:pPr>
      <w:r>
        <w:rPr>
          <w:rFonts w:ascii="Arial Narrow;sans-serif" w:hAnsi="Arial Narrow;sans-serif"/>
          <w:b w:val="false"/>
          <w:color w:val="000000"/>
          <w:sz w:val="16"/>
        </w:rPr>
        <w:t>As of November 8, 2023, 51,746,892 shares of the registrant’s Class A Non-Voting Common Stock, par value $.01 per share, and 2,970,171 shares of the registrant’s Class B Voting Common Stock, par value $.01 pe</w:t>
      </w:r>
      <w:r>
        <w:rPr>
          <w:rFonts w:ascii="Arial Narrow;sans-serif" w:hAnsi="Arial Narrow;sans-serif"/>
          <w:b w:val="false"/>
          <w:color w:val="000000"/>
          <w:sz w:val="16"/>
          <w:shd w:fill="FFFFFF" w:val="clear"/>
        </w:rPr>
        <w:t>r share, were outstanding.</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Documents incorporated by reference: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 xml:space="preserve">FISCAL YEAR ENDED SEPTEMBER 30, 2023 </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INDEX TO FORM 10-K</w:t>
      </w:r>
    </w:p>
    <w:tbl>
      <w:tblPr>
        <w:tblW w:w="8730" w:type="dxa"/>
        <w:jc w:val="center"/>
        <w:tblInd w:w="0" w:type="dxa"/>
        <w:tblLayout w:type="fixed"/>
        <w:tblCellMar>
          <w:top w:w="28" w:type="dxa"/>
          <w:left w:w="28" w:type="dxa"/>
          <w:bottom w:w="28" w:type="dxa"/>
          <w:right w:w="28" w:type="dxa"/>
        </w:tblCellMar>
      </w:tblPr>
      <w:tblGrid>
        <w:gridCol w:w="2952"/>
        <w:gridCol w:w="2575"/>
        <w:gridCol w:w="2677"/>
        <w:gridCol w:w="154"/>
        <w:gridCol w:w="154"/>
        <w:gridCol w:w="218"/>
      </w:tblGrid>
      <w:tr>
        <w:trPr/>
        <w:tc>
          <w:tcPr>
            <w:tcW w:w="295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0">
              <w:r>
                <w:rPr>
                  <w:rStyle w:val="InternetLink"/>
                  <w:rFonts w:ascii="Arial Narrow;sans-serif" w:hAnsi="Arial Narrow;sans-serif"/>
                  <w:b/>
                  <w:color w:val="0000FF"/>
                  <w:sz w:val="20"/>
                  <w:u w:val="single"/>
                </w:rPr>
                <w:t>PART 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3">
              <w:r>
                <w:rPr>
                  <w:rStyle w:val="InternetLink"/>
                  <w:rFonts w:ascii="Arial Narrow;sans-serif" w:hAnsi="Arial Narrow;sans-serif"/>
                  <w:b w:val="false"/>
                  <w:color w:val="0000FF"/>
                  <w:sz w:val="20"/>
                  <w:u w:val="single"/>
                </w:rPr>
                <w:t>1. 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13">
              <w:r>
                <w:rPr>
                  <w:rStyle w:val="InternetLink"/>
                  <w:rFonts w:ascii="Arial Narrow;sans-serif" w:hAnsi="Arial Narrow;sans-serif"/>
                  <w:b w:val="false"/>
                  <w:color w:val="0000FF"/>
                  <w:sz w:val="20"/>
                  <w:u w:val="single"/>
                </w:rPr>
                <w:t>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52">
              <w:r>
                <w:rPr>
                  <w:rStyle w:val="InternetLink"/>
                  <w:rFonts w:ascii="Arial Narrow;sans-serif" w:hAnsi="Arial Narrow;sans-serif"/>
                  <w:b w:val="false"/>
                  <w:color w:val="0000FF"/>
                  <w:sz w:val="20"/>
                  <w:u w:val="single"/>
                </w:rPr>
                <w:t>1A. 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52">
              <w:r>
                <w:rPr>
                  <w:rStyle w:val="InternetLink"/>
                  <w:rFonts w:ascii="Arial Narrow;sans-serif" w:hAnsi="Arial Narrow;sans-serif"/>
                  <w:b w:val="false"/>
                  <w:color w:val="0000FF"/>
                  <w:sz w:val="20"/>
                  <w:u w:val="single"/>
                </w:rPr>
                <w:t>15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55">
              <w:r>
                <w:rPr>
                  <w:rStyle w:val="InternetLink"/>
                  <w:rFonts w:ascii="Arial Narrow;sans-serif" w:hAnsi="Arial Narrow;sans-serif"/>
                  <w:b w:val="false"/>
                  <w:color w:val="0000FF"/>
                  <w:sz w:val="20"/>
                  <w:u w:val="single"/>
                </w:rPr>
                <w:t>1B. 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55">
              <w:r>
                <w:rPr>
                  <w:rStyle w:val="InternetLink"/>
                  <w:rFonts w:ascii="Arial Narrow;sans-serif" w:hAnsi="Arial Narrow;sans-serif"/>
                  <w:b w:val="false"/>
                  <w:color w:val="0000FF"/>
                  <w:sz w:val="20"/>
                  <w:u w:val="single"/>
                </w:rPr>
                <w:t>21</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58">
              <w:r>
                <w:rPr>
                  <w:rStyle w:val="InternetLink"/>
                  <w:rFonts w:ascii="Arial Narrow;sans-serif" w:hAnsi="Arial Narrow;sans-serif"/>
                  <w:b w:val="false"/>
                  <w:color w:val="0000FF"/>
                  <w:sz w:val="20"/>
                  <w:u w:val="single"/>
                </w:rPr>
                <w:t>2. 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58">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61">
              <w:r>
                <w:rPr>
                  <w:rStyle w:val="InternetLink"/>
                  <w:rFonts w:ascii="Arial Narrow;sans-serif" w:hAnsi="Arial Narrow;sans-serif"/>
                  <w:b w:val="false"/>
                  <w:color w:val="0000FF"/>
                  <w:sz w:val="20"/>
                  <w:u w:val="single"/>
                </w:rPr>
                <w:t>3. 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61">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64">
              <w:r>
                <w:rPr>
                  <w:rStyle w:val="InternetLink"/>
                  <w:rFonts w:ascii="Arial Narrow;sans-serif" w:hAnsi="Arial Narrow;sans-serif"/>
                  <w:b w:val="false"/>
                  <w:color w:val="0033FF"/>
                  <w:sz w:val="20"/>
                  <w:u w:val="single"/>
                </w:rPr>
                <w:t>4. 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64">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67">
              <w:r>
                <w:rPr>
                  <w:rStyle w:val="InternetLink"/>
                  <w:rFonts w:ascii="Arial Narrow;sans-serif" w:hAnsi="Arial Narrow;sans-serif"/>
                  <w:b/>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70">
              <w:r>
                <w:rPr>
                  <w:rStyle w:val="InternetLink"/>
                  <w:rFonts w:ascii="Arial Narrow;sans-serif" w:hAnsi="Arial Narrow;sans-serif"/>
                  <w:b w:val="false"/>
                  <w:color w:val="0000FF"/>
                  <w:sz w:val="20"/>
                  <w:u w:val="single"/>
                </w:rPr>
                <w:t>5. 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70">
              <w:r>
                <w:rPr>
                  <w:rStyle w:val="InternetLink"/>
                  <w:rFonts w:ascii="Arial Narrow;sans-serif" w:hAnsi="Arial Narrow;sans-serif"/>
                  <w:b w:val="false"/>
                  <w:color w:val="0000FF"/>
                  <w:sz w:val="20"/>
                  <w:u w:val="single"/>
                </w:rPr>
                <w:t>23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73">
              <w:r>
                <w:rPr>
                  <w:rStyle w:val="InternetLink"/>
                  <w:rFonts w:ascii="Arial Narrow;sans-serif" w:hAnsi="Arial Narrow;sans-serif"/>
                  <w:b w:val="false"/>
                  <w:color w:val="0000FF"/>
                  <w:sz w:val="20"/>
                  <w:u w:val="single"/>
                </w:rPr>
                <w:t>6. [Reserved]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73">
              <w:r>
                <w:rPr>
                  <w:rStyle w:val="InternetLink"/>
                  <w:rFonts w:ascii="Arial Narrow;sans-serif" w:hAnsi="Arial Narrow;sans-serif"/>
                  <w:b w:val="false"/>
                  <w:color w:val="0000FF"/>
                  <w:sz w:val="20"/>
                  <w:u w:val="single"/>
                </w:rPr>
                <w:t>24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79">
              <w:r>
                <w:rPr>
                  <w:rStyle w:val="InternetLink"/>
                  <w:rFonts w:ascii="Arial Narrow;sans-serif" w:hAnsi="Arial Narrow;sans-serif"/>
                  <w:b w:val="false"/>
                  <w:color w:val="0000FF"/>
                  <w:sz w:val="20"/>
                  <w:u w:val="single"/>
                </w:rPr>
                <w:t>7. 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79">
              <w:r>
                <w:rPr>
                  <w:rStyle w:val="InternetLink"/>
                  <w:rFonts w:ascii="Arial Narrow;sans-serif" w:hAnsi="Arial Narrow;sans-serif"/>
                  <w:b w:val="false"/>
                  <w:color w:val="0000FF"/>
                  <w:sz w:val="20"/>
                  <w:u w:val="single"/>
                </w:rPr>
                <w:t>25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12">
              <w:r>
                <w:rPr>
                  <w:rStyle w:val="InternetLink"/>
                  <w:rFonts w:ascii="Arial Narrow;sans-serif" w:hAnsi="Arial Narrow;sans-serif"/>
                  <w:b w:val="false"/>
                  <w:color w:val="0000FF"/>
                  <w:sz w:val="20"/>
                  <w:u w:val="single"/>
                </w:rPr>
                <w:t>7A. 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112">
              <w:r>
                <w:rPr>
                  <w:rStyle w:val="InternetLink"/>
                  <w:rFonts w:ascii="Arial Narrow;sans-serif" w:hAnsi="Arial Narrow;sans-serif"/>
                  <w:b w:val="false"/>
                  <w:color w:val="0000FF"/>
                  <w:sz w:val="20"/>
                  <w:u w:val="single"/>
                </w:rPr>
                <w:t>36</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15">
              <w:r>
                <w:rPr>
                  <w:rStyle w:val="InternetLink"/>
                  <w:rFonts w:ascii="Arial Narrow;sans-serif" w:hAnsi="Arial Narrow;sans-serif"/>
                  <w:b w:val="false"/>
                  <w:color w:val="0000FF"/>
                  <w:sz w:val="20"/>
                  <w:u w:val="single"/>
                </w:rPr>
                <w:t>8. 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115">
              <w:r>
                <w:rPr>
                  <w:rStyle w:val="InternetLink"/>
                  <w:rFonts w:ascii="Arial Narrow;sans-serif" w:hAnsi="Arial Narrow;sans-serif"/>
                  <w:b w:val="false"/>
                  <w:color w:val="0000FF"/>
                  <w:sz w:val="20"/>
                  <w:u w:val="single"/>
                </w:rPr>
                <w:t>37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99">
              <w:r>
                <w:rPr>
                  <w:rStyle w:val="InternetLink"/>
                  <w:rFonts w:ascii="Arial Narrow;sans-serif" w:hAnsi="Arial Narrow;sans-serif"/>
                  <w:b w:val="false"/>
                  <w:color w:val="0000FF"/>
                  <w:sz w:val="20"/>
                  <w:u w:val="single"/>
                </w:rPr>
                <w:t>9. 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199">
              <w:r>
                <w:rPr>
                  <w:rStyle w:val="InternetLink"/>
                  <w:rFonts w:ascii="Arial Narrow;sans-serif" w:hAnsi="Arial Narrow;sans-serif"/>
                  <w:b w:val="false"/>
                  <w:color w:val="0000FF"/>
                  <w:sz w:val="20"/>
                  <w:u w:val="single"/>
                </w:rPr>
                <w:t>76</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02">
              <w:r>
                <w:rPr>
                  <w:rStyle w:val="InternetLink"/>
                  <w:rFonts w:ascii="Arial Narrow;sans-serif" w:hAnsi="Arial Narrow;sans-serif"/>
                  <w:b w:val="false"/>
                  <w:color w:val="0000FF"/>
                  <w:sz w:val="20"/>
                  <w:u w:val="single"/>
                </w:rPr>
                <w:t>9A. 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02">
              <w:r>
                <w:rPr>
                  <w:rStyle w:val="InternetLink"/>
                  <w:rFonts w:ascii="Arial Narrow;sans-serif" w:hAnsi="Arial Narrow;sans-serif"/>
                  <w:b w:val="false"/>
                  <w:color w:val="0000FF"/>
                  <w:sz w:val="20"/>
                  <w:u w:val="single"/>
                </w:rPr>
                <w:t>76</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11">
              <w:r>
                <w:rPr>
                  <w:rStyle w:val="InternetLink"/>
                  <w:rFonts w:ascii="Arial Narrow;sans-serif" w:hAnsi="Arial Narrow;sans-serif"/>
                  <w:b w:val="false"/>
                  <w:color w:val="0000FF"/>
                  <w:sz w:val="20"/>
                  <w:u w:val="single"/>
                </w:rPr>
                <w:t>9B. 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11">
              <w:r>
                <w:rPr>
                  <w:rStyle w:val="InternetLink"/>
                  <w:rFonts w:ascii="Arial Narrow;sans-serif" w:hAnsi="Arial Narrow;sans-serif"/>
                  <w:b w:val="false"/>
                  <w:color w:val="0000FF"/>
                  <w:sz w:val="20"/>
                  <w:u w:val="single"/>
                </w:rPr>
                <w:t>79</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11">
              <w:r>
                <w:rPr>
                  <w:rStyle w:val="InternetLink"/>
                  <w:rFonts w:ascii="Arial Narrow;sans-serif" w:hAnsi="Arial Narrow;sans-serif"/>
                  <w:b w:val="false"/>
                  <w:color w:val="0000FF"/>
                  <w:sz w:val="20"/>
                  <w:u w:val="single"/>
                </w:rPr>
                <w:t xml:space="preserve">9C. Disclosure Regarding Foreign Jurisdictions that Prevent Inspections </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11">
              <w:r>
                <w:rPr>
                  <w:rStyle w:val="InternetLink"/>
                  <w:rFonts w:ascii="Arial Narrow;sans-serif" w:hAnsi="Arial Narrow;sans-serif"/>
                  <w:b w:val="false"/>
                  <w:color w:val="0000FF"/>
                  <w:sz w:val="20"/>
                  <w:u w:val="single"/>
                </w:rPr>
                <w:t>79</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214">
              <w:r>
                <w:rPr>
                  <w:rStyle w:val="InternetLink"/>
                  <w:rFonts w:ascii="Arial Narrow;sans-serif" w:hAnsi="Arial Narrow;sans-serif"/>
                  <w:b/>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17">
              <w:r>
                <w:rPr>
                  <w:rStyle w:val="InternetLink"/>
                  <w:rFonts w:ascii="Arial Narrow;sans-serif" w:hAnsi="Arial Narrow;sans-serif"/>
                  <w:b w:val="false"/>
                  <w:color w:val="0000FF"/>
                  <w:sz w:val="20"/>
                  <w:u w:val="single"/>
                </w:rPr>
                <w:t>10. 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17">
              <w:r>
                <w:rPr>
                  <w:rStyle w:val="InternetLink"/>
                  <w:rFonts w:ascii="Arial Narrow;sans-serif" w:hAnsi="Arial Narrow;sans-serif"/>
                  <w:b w:val="false"/>
                  <w:color w:val="0000FF"/>
                  <w:sz w:val="20"/>
                  <w:u w:val="single"/>
                </w:rPr>
                <w:t>79</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20">
              <w:r>
                <w:rPr>
                  <w:rStyle w:val="InternetLink"/>
                  <w:rFonts w:ascii="Arial Narrow;sans-serif" w:hAnsi="Arial Narrow;sans-serif"/>
                  <w:b w:val="false"/>
                  <w:color w:val="0000FF"/>
                  <w:sz w:val="20"/>
                  <w:u w:val="single"/>
                </w:rPr>
                <w:t>11. 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20">
              <w:r>
                <w:rPr>
                  <w:rStyle w:val="InternetLink"/>
                  <w:rFonts w:ascii="Arial Narrow;sans-serif" w:hAnsi="Arial Narrow;sans-serif"/>
                  <w:b w:val="false"/>
                  <w:color w:val="0000FF"/>
                  <w:sz w:val="20"/>
                  <w:u w:val="single"/>
                </w:rPr>
                <w:t>86</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47">
              <w:r>
                <w:rPr>
                  <w:rStyle w:val="InternetLink"/>
                  <w:rFonts w:ascii="Arial Narrow;sans-serif" w:hAnsi="Arial Narrow;sans-serif"/>
                  <w:b w:val="false"/>
                  <w:color w:val="0000FF"/>
                  <w:sz w:val="20"/>
                  <w:u w:val="single"/>
                </w:rPr>
                <w:t>12. 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47">
              <w:r>
                <w:rPr>
                  <w:rStyle w:val="InternetLink"/>
                  <w:rFonts w:ascii="Arial Narrow;sans-serif" w:hAnsi="Arial Narrow;sans-serif"/>
                  <w:b w:val="false"/>
                  <w:color w:val="0000FF"/>
                  <w:sz w:val="20"/>
                  <w:u w:val="single"/>
                </w:rPr>
                <w:t>105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50">
              <w:r>
                <w:rPr>
                  <w:rStyle w:val="InternetLink"/>
                  <w:rFonts w:ascii="Arial Narrow;sans-serif" w:hAnsi="Arial Narrow;sans-serif"/>
                  <w:b w:val="false"/>
                  <w:color w:val="0000FF"/>
                  <w:sz w:val="20"/>
                  <w:u w:val="single"/>
                </w:rPr>
                <w:t>13. 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50">
              <w:r>
                <w:rPr>
                  <w:rStyle w:val="InternetLink"/>
                  <w:rFonts w:ascii="Arial Narrow;sans-serif" w:hAnsi="Arial Narrow;sans-serif"/>
                  <w:b w:val="false"/>
                  <w:color w:val="0000FF"/>
                  <w:sz w:val="20"/>
                  <w:u w:val="single"/>
                </w:rPr>
                <w:t>107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53">
              <w:r>
                <w:rPr>
                  <w:rStyle w:val="InternetLink"/>
                  <w:rFonts w:ascii="Arial Narrow;sans-serif" w:hAnsi="Arial Narrow;sans-serif"/>
                  <w:b w:val="false"/>
                  <w:color w:val="0000FF"/>
                  <w:sz w:val="20"/>
                  <w:u w:val="single"/>
                </w:rPr>
                <w:t>14. Principal Accountant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53">
              <w:r>
                <w:rPr>
                  <w:rStyle w:val="InternetLink"/>
                  <w:rFonts w:ascii="Arial Narrow;sans-serif" w:hAnsi="Arial Narrow;sans-serif"/>
                  <w:b w:val="false"/>
                  <w:color w:val="0000FF"/>
                  <w:sz w:val="20"/>
                  <w:u w:val="single"/>
                </w:rPr>
                <w:t>108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256">
              <w:r>
                <w:rPr>
                  <w:rStyle w:val="InternetLink"/>
                  <w:rFonts w:ascii="Arial Narrow;sans-serif" w:hAnsi="Arial Narrow;sans-serif"/>
                  <w:b/>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59">
              <w:r>
                <w:rPr>
                  <w:rStyle w:val="InternetLink"/>
                  <w:rFonts w:ascii="Arial Narrow;sans-serif" w:hAnsi="Arial Narrow;sans-serif"/>
                  <w:b w:val="false"/>
                  <w:color w:val="0000FF"/>
                  <w:sz w:val="20"/>
                  <w:u w:val="single"/>
                </w:rPr>
                <w:t>15. 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59">
              <w:r>
                <w:rPr>
                  <w:rStyle w:val="InternetLink"/>
                  <w:rFonts w:ascii="Arial Narrow;sans-serif" w:hAnsi="Arial Narrow;sans-serif"/>
                  <w:b w:val="false"/>
                  <w:color w:val="0000FF"/>
                  <w:sz w:val="20"/>
                  <w:u w:val="single"/>
                </w:rPr>
                <w:t>109</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62">
              <w:r>
                <w:rPr>
                  <w:rStyle w:val="InternetLink"/>
                  <w:rFonts w:ascii="Arial Narrow;sans-serif" w:hAnsi="Arial Narrow;sans-serif"/>
                  <w:b w:val="false"/>
                  <w:color w:val="0000FF"/>
                  <w:sz w:val="20"/>
                  <w:u w:val="single"/>
                </w:rPr>
                <w:t>16. 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62">
              <w:r>
                <w:rPr>
                  <w:rStyle w:val="InternetLink"/>
                  <w:rFonts w:ascii="Arial Narrow;sans-serif" w:hAnsi="Arial Narrow;sans-serif"/>
                  <w:b w:val="false"/>
                  <w:color w:val="0000FF"/>
                  <w:sz w:val="20"/>
                  <w:u w:val="single"/>
                </w:rPr>
                <w:t>109</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268">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4145f0e3ac4919ba563ac29ddc2b36_268">
              <w:r>
                <w:rPr>
                  <w:rStyle w:val="InternetLink"/>
                  <w:rFonts w:ascii="Arial Narrow;sans-serif" w:hAnsi="Arial Narrow;sans-serif"/>
                  <w:b w:val="false"/>
                  <w:color w:val="0000FF"/>
                  <w:sz w:val="20"/>
                  <w:u w:val="singl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Unless otherwise specified, references to the “Company,” “we,” “our,” “us” and “EZCORP” refer to EZCORP, Inc. and its consolidated subsidiaries, collectively. References to a “fiscal” year refer to our fiscal year ended September 30 of the specified year. For example, “fiscal 2023” refers to the fiscal year ended September 30, 2023. All currency amounts preceded with “$” are stated in U.S. dollars, except as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Purpose, Vision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is a leading provider of pawn services in the United States (“U.S.”) and Latin America with 1,231 locations and more than 7,500 Team Members. We are a Delaware corporation headquartered in Austin, Texas.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purpose statement:</w:t>
      </w:r>
    </w:p>
    <w:p>
      <w:pPr>
        <w:pStyle w:val="TextBody"/>
        <w:bidi w:val="0"/>
        <w:spacing w:lineRule="auto" w:line="288" w:before="180" w:after="283"/>
        <w:jc w:val="center"/>
        <w:rPr>
          <w:color w:val="000000"/>
        </w:rPr>
      </w:pPr>
      <w:r>
        <w:rPr>
          <w:color w:val="000000"/>
        </w:rPr>
        <w:t>“</w:t>
      </w:r>
      <w:r>
        <w:rPr>
          <w:rFonts w:ascii="Arial Narrow;sans-serif" w:hAnsi="Arial Narrow;sans-serif"/>
          <w:b/>
          <w:color w:val="000000"/>
          <w:sz w:val="20"/>
        </w:rPr>
        <w:t>We exist to serve our customers’ short-term cash and pre-owned retail needs, helping them to live and enjoy their lives.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We are driven by a diverse team with a passion for pawn who are motivated to be their best — because our customers, families, stakeholders, and the communities and environment in which we live deserve 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purpose is supported by a customer-centric strategy that includes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Providing fast, easy and simple access to cash;</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Serving our customers in a friendly and respectful way;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Always being competitive and fair;</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Passionately serving customer needs;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Building enduring relationships;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Recognizing and rewarding customer loyalty.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That strategy consists of three fundamental pillars:</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Strengthen the Core</w:t>
      </w:r>
      <w:r>
        <w:rPr>
          <w:color w:val="000000"/>
        </w:rPr>
        <w:t xml:space="preserve"> — </w:t>
      </w:r>
      <w:r>
        <w:rPr>
          <w:rFonts w:ascii="Arial Narrow;sans-serif" w:hAnsi="Arial Narrow;sans-serif"/>
          <w:b w:val="false"/>
          <w:color w:val="000000"/>
          <w:sz w:val="20"/>
        </w:rPr>
        <w:t xml:space="preserve">Relentless focus on superior execution and operational excellence in our pawn business. </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Cost Efficiency and Simplification</w:t>
      </w:r>
      <w:r>
        <w:rPr>
          <w:color w:val="000000"/>
        </w:rPr>
        <w:t xml:space="preserve"> — </w:t>
      </w:r>
      <w:r>
        <w:rPr>
          <w:rFonts w:ascii="Arial Narrow;sans-serif" w:hAnsi="Arial Narrow;sans-serif"/>
          <w:b w:val="false"/>
          <w:color w:val="000000"/>
          <w:sz w:val="20"/>
        </w:rPr>
        <w:t>Shape a culture of cost efficiency through ongoing focus on simplification and optimization.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Innovate and Grow</w:t>
      </w:r>
      <w:r>
        <w:rPr>
          <w:color w:val="000000"/>
        </w:rPr>
        <w:t xml:space="preserve"> — </w:t>
      </w:r>
      <w:r>
        <w:rPr>
          <w:rFonts w:ascii="Arial Narrow;sans-serif" w:hAnsi="Arial Narrow;sans-serif"/>
          <w:b w:val="false"/>
          <w:color w:val="000000"/>
          <w:sz w:val="20"/>
        </w:rPr>
        <w:t>Broaden customer engagement to serve more customers more frequently in more locations.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we rely on four foundational capabilities to execute our strategy and achieve our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Team Members</w:t>
      </w:r>
      <w:r>
        <w:rPr>
          <w:color w:val="000000"/>
        </w:rPr>
        <w:t xml:space="preserve"> — </w:t>
      </w:r>
      <w:r>
        <w:rPr>
          <w:rFonts w:ascii="Arial Narrow;sans-serif" w:hAnsi="Arial Narrow;sans-serif"/>
          <w:b w:val="false"/>
          <w:color w:val="000000"/>
          <w:sz w:val="20"/>
        </w:rPr>
        <w:t>We enable diverse, engaged and tenured teams with a true passion for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IT and Data Modernization</w:t>
      </w:r>
      <w:r>
        <w:rPr>
          <w:color w:val="000000"/>
        </w:rPr>
        <w:t xml:space="preserve"> — </w:t>
      </w:r>
      <w:r>
        <w:rPr>
          <w:rFonts w:ascii="Arial Narrow;sans-serif" w:hAnsi="Arial Narrow;sans-serif"/>
          <w:b w:val="false"/>
          <w:color w:val="000000"/>
          <w:sz w:val="20"/>
        </w:rPr>
        <w:t>We modernize our IT and data assets to capitalize on growth opportunities and create greater value at every customer interaction.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Risk Management and Building a Culture of Compliance</w:t>
      </w:r>
      <w:r>
        <w:rPr>
          <w:color w:val="000000"/>
        </w:rPr>
        <w:t xml:space="preserve"> — </w:t>
      </w:r>
      <w:r>
        <w:rPr>
          <w:rFonts w:ascii="Arial Narrow;sans-serif" w:hAnsi="Arial Narrow;sans-serif"/>
          <w:b w:val="false"/>
          <w:color w:val="000000"/>
          <w:sz w:val="20"/>
        </w:rPr>
        <w:t>We are continually focused on strengthening our capabilities to manage operational, financial, regulatory, compliance, information security and reputational risk.</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Environment, Social and Governance (ESG)</w:t>
      </w:r>
      <w:r>
        <w:rPr>
          <w:color w:val="000000"/>
        </w:rPr>
        <w:t xml:space="preserve"> — </w:t>
      </w:r>
      <w:r>
        <w:rPr>
          <w:rFonts w:ascii="Arial Narrow;sans-serif" w:hAnsi="Arial Narrow;sans-serif"/>
          <w:b w:val="false"/>
          <w:color w:val="000000"/>
          <w:sz w:val="20"/>
        </w:rPr>
        <w:t xml:space="preserve">We prioritize developing the foundational elements of a comprehensive and integrated sustainability program.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Overview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2023, we operated a total of 1,231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529 U.S. pawn stores (operating primarily as EZPAWN or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549 Mexico pawn stores (operating primarily as Empeño Fácil and Cash Apoyo Efectivo);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153 pawn stores in Guatemala, El Salvador and Honduras (operating as GuatePrenda and MaxiEfectivo).</w:t>
      </w:r>
    </w:p>
    <w:p>
      <w:pPr>
        <w:pStyle w:val="TextBody"/>
        <w:bidi w:val="0"/>
        <w:spacing w:lineRule="auto" w:line="288" w:before="180" w:after="283"/>
        <w:jc w:val="left"/>
        <w:rPr/>
      </w:pPr>
      <w:r>
        <w:rPr>
          <w:rFonts w:ascii="Arial Narrow;sans-serif" w:hAnsi="Arial Narrow;sans-serif"/>
          <w:b w:val="false"/>
          <w:color w:val="000000"/>
          <w:sz w:val="20"/>
        </w:rPr>
        <w:t>At our pawn stores, we advance cash against the value of collateralized tangible personal property and sell merchandise to customers looking for good value. The merchandise we sell primarily consists of pre-owned collateral forfeited from our pawn activities or merchandise purchased from customers. By store count, we ar</w:t>
      </w:r>
      <w:r>
        <w:rPr>
          <w:rFonts w:ascii="Arial Narrow;sans-serif" w:hAnsi="Arial Narrow;sans-serif"/>
          <w:b w:val="false"/>
          <w:color w:val="000000"/>
          <w:sz w:val="20"/>
          <w:shd w:fill="FFFFFF" w:val="clear"/>
        </w:rPr>
        <w:t>e the second la</w:t>
      </w:r>
      <w:r>
        <w:rPr>
          <w:rFonts w:ascii="Arial Narrow;sans-serif" w:hAnsi="Arial Narrow;sans-serif"/>
          <w:b w:val="false"/>
          <w:color w:val="000000"/>
          <w:sz w:val="20"/>
        </w:rPr>
        <w:t>rgest pawn store owner and operator in the U.S. and one of the largest in Latin America. We also offer web-based applications named EZ+ that allow customers to manage their pawn transactions, layaways and loyalty rewards online.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core pawn business in the U.S. and Latin America, we have made the following strategic investments: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own 43.7% of Cash Converters International Limited (“Cash Converters”), a publicly traded company (ASX: CCV) headquartered in Perth, Western Australia. Cash Converters and its controlled companies comprise a diverse group generating revenues from franchising, store operations, personal finance (including pawn transactions) and vehicle finance in over 600 stores across 14 countries.</w:t>
      </w:r>
    </w:p>
    <w:p>
      <w:pPr>
        <w:pStyle w:val="TextBody"/>
        <w:bidi w:val="0"/>
        <w:spacing w:lineRule="auto" w:line="288" w:before="180" w:after="283"/>
        <w:ind w:left="0" w:right="0" w:hanging="360"/>
        <w:jc w:val="left"/>
        <w:rPr/>
      </w:pPr>
      <w:r>
        <w:rPr>
          <w:color w:val="212529"/>
        </w:rPr>
        <w:t>•</w:t>
      </w:r>
      <w:r>
        <w:rPr>
          <w:rFonts w:ascii="Arial Narrow;sans-serif" w:hAnsi="Arial Narrow;sans-serif"/>
          <w:b w:val="false"/>
          <w:color w:val="000000"/>
          <w:sz w:val="20"/>
        </w:rPr>
        <w:t>We own a preferred interest in Founders One, LLC (“Founders”) that has majority ownership in Simple Management Group, Inc. (“SMG”), which owns and operates 95 pawn stores in the U.S., Caribbean and Central America, with plans to build and acquire more stores in that region.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revenues primarily from pawn service charges (“PSC”) on pawn loans outstanding (“PLO”), merchandise sales and jewelry scrapping. We remain focused on optimizing our balance of PLO and the resulting higher PSC. The following chart presents sources of gross profit, including PSC, merchandise sales gross profit (“Merchandise sales GP”) and jewelry scrapping gross profit (“Jewelry scrapping GP”) for fiscal 2023, fiscal 2022 and fiscal 2021:</w:t>
      </w:r>
    </w:p>
    <w:p>
      <w:pPr>
        <w:pStyle w:val="TextBody"/>
        <w:bidi w:val="0"/>
        <w:spacing w:before="120" w:after="283"/>
        <w:jc w:val="center"/>
        <w:rPr/>
      </w:pPr>
      <w:r>
        <w:rPr/>
        <w:drawing>
          <wp:inline distT="0" distB="0" distL="0" distR="0">
            <wp:extent cx="6381750" cy="3095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381750" cy="3095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charts present sources of gross profit by geography for fiscal 2023, fiscal 2022 and fiscal 2021:</w:t>
      </w:r>
    </w:p>
    <w:p>
      <w:pPr>
        <w:pStyle w:val="TextBody"/>
        <w:bidi w:val="0"/>
        <w:spacing w:before="120" w:after="283"/>
        <w:jc w:val="center"/>
        <w:rPr/>
      </w:pPr>
      <w:r>
        <w:rPr/>
        <w:drawing>
          <wp:inline distT="0" distB="0" distL="0" distR="0">
            <wp:extent cx="6381750" cy="3095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Segment and Geographic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conduct our business globally and manage our business by geography. Our business is organized into the following reportable segments: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which includes our EZPAWN, Value Pawn &amp; Jewelry and other branded pawn operations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which includes our Empeño Fácil, Cash Apoyo Efectivo (“CAE”) and other branded pawn operations in Mexico, as well as our GuatePrenda and MaxiEfectivo pawn operations in Guatemala, El Salvador and Honduras (referred to as “GPMX”);</w:t>
      </w:r>
    </w:p>
    <w:p>
      <w:pPr>
        <w:pStyle w:val="TextBody"/>
        <w:bidi w:val="0"/>
        <w:spacing w:lineRule="auto" w:line="268" w:before="180" w:after="283"/>
        <w:ind w:left="0" w:right="0" w:hanging="360"/>
        <w:jc w:val="left"/>
        <w:rPr/>
      </w:pPr>
      <w:r>
        <w:rPr>
          <w:color w:val="000000"/>
        </w:rPr>
        <w:t>•</w:t>
      </w:r>
      <w:r>
        <w:rPr>
          <w:rFonts w:ascii="Arial Narrow;sans-serif" w:hAnsi="Arial Narrow;sans-serif"/>
          <w:b w:val="false"/>
          <w:color w:val="000000"/>
          <w:sz w:val="20"/>
        </w:rPr>
        <w:t>Cash Converters, which includes our equity interest in the net loss (income) of Cash Converters; and</w:t>
      </w:r>
    </w:p>
    <w:p>
      <w:pPr>
        <w:pStyle w:val="TextBody"/>
        <w:bidi w:val="0"/>
        <w:spacing w:lineRule="auto" w:line="288" w:before="180" w:after="283"/>
        <w:ind w:left="0" w:right="0" w:hanging="360"/>
        <w:jc w:val="left"/>
        <w:rPr/>
      </w:pPr>
      <w:r>
        <w:rPr>
          <w:color w:val="212529"/>
        </w:rPr>
        <w:t>•</w:t>
      </w:r>
      <w:r>
        <w:rPr>
          <w:rFonts w:ascii="Arial Narrow;sans-serif" w:hAnsi="Arial Narrow;sans-serif"/>
          <w:b w:val="false"/>
          <w:color w:val="000000"/>
          <w:sz w:val="20"/>
        </w:rPr>
        <w:t>Other Investments, which includes our investments in Rich Data Corporation (“RDC”) and our investment in and notes receivable from Founders.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store data by segment:</w:t>
      </w:r>
    </w:p>
    <w:tbl>
      <w:tblPr>
        <w:tblW w:w="7954" w:type="dxa"/>
        <w:jc w:val="left"/>
        <w:tblInd w:w="0" w:type="dxa"/>
        <w:tblLayout w:type="fixed"/>
        <w:tblCellMar>
          <w:top w:w="28" w:type="dxa"/>
          <w:left w:w="28" w:type="dxa"/>
          <w:bottom w:w="28" w:type="dxa"/>
          <w:right w:w="28" w:type="dxa"/>
        </w:tblCellMar>
      </w:tblPr>
      <w:tblGrid>
        <w:gridCol w:w="843"/>
        <w:gridCol w:w="739"/>
        <w:gridCol w:w="743"/>
        <w:gridCol w:w="264"/>
        <w:gridCol w:w="264"/>
        <w:gridCol w:w="266"/>
        <w:gridCol w:w="109"/>
        <w:gridCol w:w="109"/>
        <w:gridCol w:w="109"/>
        <w:gridCol w:w="484"/>
        <w:gridCol w:w="484"/>
        <w:gridCol w:w="486"/>
        <w:gridCol w:w="109"/>
        <w:gridCol w:w="109"/>
        <w:gridCol w:w="109"/>
        <w:gridCol w:w="444"/>
        <w:gridCol w:w="444"/>
        <w:gridCol w:w="446"/>
        <w:gridCol w:w="109"/>
        <w:gridCol w:w="109"/>
        <w:gridCol w:w="109"/>
        <w:gridCol w:w="312"/>
        <w:gridCol w:w="312"/>
        <w:gridCol w:w="442"/>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Company-owned Stores</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U.S. Pawn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Latin America Pawn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Other Investments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Consolidated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2020</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48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our segments and geographic areas, see Note 14: Segment Information of Notes to Consolidated Financial Statements included in “Part II, Item 8 — Financial Statements and Supplemental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of September 30, 2023, we had a closing PLO balance of $245.8 million. In fiscal 2023, PSC accounted for approximately 37% of our total revenues and 63% of our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rates generally vary between 13% and 25% per month as permitted by applicable law, and the pawn term generally ranges between 30 and 90 days. Individual pawn transactions typically average between $160 and $180.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Mexico, PSC rates generally vary between 15% and 21% per month as permitted by applicable law, and the pawn primary term is 30 days. Individual pawn transactions typically average between 1,100 and 1,500 Mexican pesos, or approximately $60 to $80 on average using the average exchange rate for fiscal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GPMX, PSC rates generally vary between 12% and 18% per month as permitted by applicable law, and the pawn primary term is 30 days. Individual pawn transactions are made in the local currency of the country and typically average between $110 and $130 using the average exchange rates for fiscal 2023. The average transaction amounts tend to be higher in the GPMX countries than in Mexico due to the higher concentration of jewelry used as pawn collateral.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a customer chooses not to redeem, renew or extend their pawn, the pawn collateral is forfeited and becomes inventory available for sale. We do not record losses or charge-offs when the pawned collateral is forfeited because the amount advanced for the unpaid pawn becomes the inventory carrying cost of the forfeited collateral. The difference between the subsequent sale of the forfeited collateral and the amount of the pawn (offset by any inventory reserve) is reflected in merchandise sales gross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ability to offer quality pre-owned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 </w:t>
      </w:r>
    </w:p>
    <w:p>
      <w:pPr>
        <w:pStyle w:val="TextBody"/>
        <w:bidi w:val="0"/>
        <w:spacing w:lineRule="auto" w:line="288" w:before="180" w:after="283"/>
        <w:jc w:val="left"/>
        <w:rPr/>
      </w:pPr>
      <w:r>
        <w:rPr>
          <w:rFonts w:ascii="Arial Narrow;sans-serif" w:hAnsi="Arial Narrow;sans-serif"/>
          <w:b w:val="false"/>
          <w:color w:val="000000"/>
          <w:sz w:val="20"/>
        </w:rPr>
        <w:t xml:space="preserve">Customers in the U.S. and the majority of our Latin America stores may purchase a product protection plan that allows them to exchange certain general merchandise (non-jewelry) sold through our retail pawn operations within six months of purchase. In the U.S., we also offer a jewelry VIP package, which guarantees customers a minimum future pawn advance amount on the item </w:t>
      </w:r>
      <w:r>
        <w:rPr>
          <w:rFonts w:ascii="Arial Narrow;sans-serif" w:hAnsi="Arial Narrow;sans-serif"/>
          <w:b w:val="false"/>
          <w:color w:val="000000"/>
          <w:sz w:val="20"/>
          <w:shd w:fill="FFFFFF" w:val="clear"/>
        </w:rPr>
        <w:t>sold, allows them full credit if they trade in the item to purchase a more expensive piece of jewelry and provides m</w:t>
      </w:r>
      <w:r>
        <w:rPr>
          <w:rFonts w:ascii="Arial Narrow;sans-serif" w:hAnsi="Arial Narrow;sans-serif"/>
          <w:b w:val="false"/>
          <w:color w:val="000000"/>
          <w:sz w:val="20"/>
        </w:rPr>
        <w:t>inor repair service on the item sold. Customers may also purchase an item on layaway by paying a minimum layaway deposit of typically 10% of the item’s sale price, in addition to an upfront fee. We hold items on layaway for a 90-to-180-day period, during which the customer is required to pay the balance of the sales price through a series of installment payments. If a payment is missed, we hold the item for up to 30 days, after which it is returned to active inventory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Operations and Risk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operations are designed to provide the optimum level of support to the store teams, providing coaching, mentoring and problem solving to identify opportunities to better serve our customers and position us to be the leader in customer service and satisfaction.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risk management structure consists of asset protection, compliance and internal audit departments, which monitor the inventory system, lending practices, regulatory compliance and compliance with our policies and procedures. We perform full physical audits of inventory at 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Human Capital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Engagement Survey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performed a Global Employee Engagement Survey, administered by Glint, in April 2023, and had a 91% participation rate with an overall engagement score of 84. Our engagement score is nine points higher than the global benchmark, which contains data from over 900 companies of varying size across a variety of industries (Finance, Healthcare, Manufacturing, Professional Services, Retail, Technology and Utilities) and includes results from over eight million respondents located in over 150 countries.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top strengths were Career, Customer Focus and Continuous Improvement. Our focus areas for improvement included Team, Valued Teammate and Work-Life Balance. Team Members provided over 11,500 comments with mixed sentiment, 29% positive, 38% neutral and 33% negative. To ensure we address issues raised in the survey, all people leaders at the District Manager and above level will have Engagement Objectives for fiscal 2024 guided by actions that will yield the greatest business and Team Member impact.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Talent Management and Development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employ more than 7,500 Team Members across all our geographies, including over 3,400 in United States, approximately 3,300 in Mexico and 800 in Central America. We seek to hire and promote Team Members to lead the way today and to step into greater roles in the future. We achieve this goal through Training and Development programs that Team Members can use to plan their careers and identify future growth opportunities. We engage Team Members at all levels so we can understand their professional and personal goals, identify high potential future leaders to strengthen our internal bench, support them in their journey and retain our talent.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pawn stores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An onboarding program that blends online and hands-on training in the art and science of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Career path programs aligned with our talent and succession strategy, emphasizing career progression and individual development programs;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 learning experience that unlocks and accelerates Team Member potential as well as business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investment in store-level Team Members produced tangible results during fiscal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High scoring questions in our 2023 Global Employee Engagement Survey included “I know the career path(s) available to me at EZCORP” (with an 89% favorability rating) and “I have good opportunities to learn and develop at EZCORP” (with an 86% favorability rating).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Over 70% of managerial positions were filled via internal promotion.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our Corporate Support Center, we reinforced the utilization of our career and competency framework to build individual development plans to guide the career paths of corporate Team Members and to prepare them for future roles.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Culture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Culture is critical to our long-term success and to our ability to attract, develop and retain the top talent needed to accomplish our Purpose, Vision and Strategy.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values — People, Pawn, Passion — define our priorities as a business, and our Guiding Principles — Leadership, Customer Service, Accountability, Respect, Diversity and Sustainability — characterize the expectations for how we interact with Team Members, customers and communities. Various tools are used globally to demonstrate commitment to our principles, values and positive culture, including a plain-language Code of Conduct and supporting policies, annual training on expectations and clear communications from executive management reinforcing ethical behavior and a positive culture.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support our ethical business practices, we maintain an Ethics Hotline available to all Team Members and external stakeholders to report (anonymously if desired) any matter of concern. Communications to the hotline (which is managed by an independent third party) are routed to appropriate functions (whether Human Resources, Legal or Compliance), and in some cases directly to the Board of Directors, for investigation and resolution. In addition, any shareholder or other interested party may send communications to the Board of Directors, either individually or as a group, through a process that is outlined in the Investor Relations section of our website.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Diversity and Inclusion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EZCORP, we foster an environment that values diversity, inclusion and development for all. In our 2023 Global Employee Engagement Survey, 83% of participants responded positively to the question, “I feel a sense of belonging at EZCORP.” In fiscal 2023, we continued to further our Diversity and Inclusion strategy by focusing on the following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Commitment and Accountability — </w:t>
      </w:r>
      <w:r>
        <w:rPr>
          <w:rFonts w:ascii="Arial Narrow;sans-serif" w:hAnsi="Arial Narrow;sans-serif"/>
          <w:b w:val="false"/>
          <w:color w:val="000000"/>
          <w:sz w:val="20"/>
        </w:rPr>
        <w:t>Demonstrate commitment and accountability through corporate policy, communications and actions.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Workplace Inclusion</w:t>
      </w:r>
      <w:r>
        <w:rPr>
          <w:color w:val="000000"/>
        </w:rPr>
        <w:t xml:space="preserve"> — </w:t>
      </w:r>
      <w:r>
        <w:rPr>
          <w:rFonts w:ascii="Arial Narrow;sans-serif" w:hAnsi="Arial Narrow;sans-serif"/>
          <w:b w:val="false"/>
          <w:color w:val="000000"/>
          <w:sz w:val="20"/>
        </w:rPr>
        <w:t>Foster work environments that value diversity and inclusion and encourage collaboration, flexibility and fairness.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Diverse Workforce</w:t>
      </w:r>
      <w:r>
        <w:rPr>
          <w:color w:val="000000"/>
        </w:rPr>
        <w:t xml:space="preserve"> — </w:t>
      </w:r>
      <w:r>
        <w:rPr>
          <w:rFonts w:ascii="Arial Narrow;sans-serif" w:hAnsi="Arial Narrow;sans-serif"/>
          <w:b w:val="false"/>
          <w:color w:val="000000"/>
          <w:sz w:val="20"/>
        </w:rPr>
        <w:t>Recruit and promote from diverse, qualified candidate pools to increase diversity of perspectives and experiences.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Sponsor affinity groups to foster an inclusive and supportive environment, where Team Members with shared characteristics, experiences or interests can connect, collaborate and contribute effectively. The Women’s Empowerment, Black Empowerment and Hispanic Organization for Leadership Advocacy (HOLA) affinity groups in the U.S. and the Women’s Empowerment and Working Parents affinity groups in Latin America all aim to enhance diversity, equity and inclusion efforts by providing a platform for open dialogue, resource-sharing, professional development and cultural enrichment.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Sustainability — </w:t>
      </w:r>
      <w:r>
        <w:rPr>
          <w:rFonts w:ascii="Arial Narrow;sans-serif" w:hAnsi="Arial Narrow;sans-serif"/>
          <w:b w:val="false"/>
          <w:color w:val="000000"/>
          <w:sz w:val="20"/>
        </w:rPr>
        <w:t>Identify and eliminate systemic barriers by embedding diversity and inclusion in all human capital life cycle policies and practices.</w:t>
      </w:r>
    </w:p>
    <w:p>
      <w:pPr>
        <w:pStyle w:val="TextBody"/>
        <w:bidi w:val="0"/>
        <w:spacing w:before="0" w:after="0"/>
        <w:jc w:val="left"/>
        <w:rPr/>
      </w:pPr>
      <w:r>
        <w:rPr/>
      </w:r>
    </w:p>
    <w:p>
      <w:pPr>
        <w:pStyle w:val="TextBody"/>
        <w:bidi w:val="0"/>
        <w:spacing w:lineRule="auto" w:line="256" w:before="0" w:after="0"/>
        <w:jc w:val="center"/>
        <w:rPr/>
      </w:pPr>
      <w:r>
        <w:rPr>
          <w:rFonts w:ascii="Arial Narrow;sans-serif" w:hAnsi="Arial Narrow;sans-serif"/>
          <w:b/>
          <w:color w:val="000000"/>
          <w:sz w:val="20"/>
        </w:rPr>
        <w:t xml:space="preserve">Fiscal 2023 U.S. Race and Ethnicity Demographics </w:t>
      </w:r>
      <w:r>
        <w:rPr>
          <w:rFonts w:ascii="Arial Narrow;sans-serif" w:hAnsi="Arial Narrow;sans-serif"/>
          <w:b/>
          <w:color w:val="000000"/>
          <w:sz w:val="13"/>
        </w:rPr>
        <w:t>(1) (2)</w:t>
      </w:r>
    </w:p>
    <w:p>
      <w:pPr>
        <w:pStyle w:val="TextBody"/>
        <w:bidi w:val="0"/>
        <w:spacing w:before="0" w:after="0"/>
        <w:jc w:val="center"/>
        <w:rPr/>
      </w:pPr>
      <w:r>
        <w:rPr/>
      </w:r>
    </w:p>
    <w:p>
      <w:pPr>
        <w:pStyle w:val="TextBody"/>
        <w:bidi w:val="0"/>
        <w:spacing w:before="0" w:after="0"/>
        <w:jc w:val="center"/>
        <w:rPr/>
      </w:pPr>
      <w:r>
        <w:rPr/>
        <w:drawing>
          <wp:inline distT="0" distB="0" distL="0" distR="0">
            <wp:extent cx="3143250" cy="23717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143250" cy="2371725"/>
                    </a:xfrm>
                    <a:prstGeom prst="rect">
                      <a:avLst/>
                    </a:prstGeom>
                  </pic:spPr>
                </pic:pic>
              </a:graphicData>
            </a:graphic>
          </wp:inline>
        </w:drawing>
      </w:r>
      <w:r>
        <w:rPr/>
        <w:drawing>
          <wp:inline distT="0" distB="0" distL="0" distR="0">
            <wp:extent cx="3143250" cy="23717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143250" cy="2371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56" w:before="180" w:after="283"/>
        <w:jc w:val="center"/>
        <w:rPr/>
      </w:pPr>
      <w:r>
        <w:rPr>
          <w:rFonts w:ascii="Arial Narrow;sans-serif" w:hAnsi="Arial Narrow;sans-serif"/>
          <w:b/>
          <w:color w:val="000000"/>
          <w:sz w:val="20"/>
        </w:rPr>
        <w:t xml:space="preserve">Fiscal 2023 Global Gender Demographics </w:t>
      </w:r>
      <w:r>
        <w:rPr>
          <w:rFonts w:ascii="Arial Narrow;sans-serif" w:hAnsi="Arial Narrow;sans-serif"/>
          <w:b/>
          <w:color w:val="000000"/>
          <w:sz w:val="13"/>
        </w:rPr>
        <w:t>(2)</w:t>
      </w:r>
    </w:p>
    <w:p>
      <w:pPr>
        <w:pStyle w:val="TextBody"/>
        <w:bidi w:val="0"/>
        <w:spacing w:before="180" w:after="283"/>
        <w:jc w:val="center"/>
        <w:rPr/>
      </w:pPr>
      <w:r>
        <w:rPr/>
        <w:drawing>
          <wp:inline distT="0" distB="0" distL="0" distR="0">
            <wp:extent cx="3143250" cy="23717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143250" cy="2371725"/>
                    </a:xfrm>
                    <a:prstGeom prst="rect">
                      <a:avLst/>
                    </a:prstGeom>
                  </pic:spPr>
                </pic:pic>
              </a:graphicData>
            </a:graphic>
          </wp:inline>
        </w:drawing>
      </w:r>
      <w:r>
        <w:rPr/>
        <w:drawing>
          <wp:inline distT="0" distB="0" distL="0" distR="0">
            <wp:extent cx="3143250" cy="23717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143250" cy="2371725"/>
                    </a:xfrm>
                    <a:prstGeom prst="rect">
                      <a:avLst/>
                    </a:prstGeom>
                  </pic:spPr>
                </pic:pic>
              </a:graphicData>
            </a:graphic>
          </wp:inline>
        </w:drawing>
      </w:r>
    </w:p>
    <w:p>
      <w:pPr>
        <w:pStyle w:val="TextBody"/>
        <w:bidi w:val="0"/>
        <w:spacing w:lineRule="auto" w:line="256"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(1)    The term underrepresented minority is used to describe diverse populations, including African American, Hispanic, Asian and Native American Team Members who self-identified their race and ethnicity at hire. </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    The term Management is used to describe Team Members with one or more direct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compensation programs are designed to align the compensation of Team Members with individual and Company performance and to provide the proper incentives to attract, retain and motivate Team Members to achieve results.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structure of our compensation programs balances incentive earnings for both short-term and long-term performance. Specifically: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provide wages and incentive plans that are competitive and consistent with positions, skill levels, experience, knowledge and geographic location. Additionally, on an annual basis (U.S.) gender and racial/ethnic analysis is performed to ensure pay equity.</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We engage a nationally recognized outside compensation and benefits consulting firm to independently evaluate the effectiveness of our executive compensation and to provide benchmarking against our selected peer group, which includes direct competitors in the pawn industry and</w:t>
      </w:r>
      <w:r>
        <w:rPr>
          <w:color w:val="000000"/>
          <w:shd w:fill="FFFFFF" w:val="clear"/>
        </w:rPr>
        <w:t xml:space="preserve"> </w:t>
      </w:r>
      <w:r>
        <w:rPr>
          <w:rFonts w:ascii="Arial Narrow;sans-serif" w:hAnsi="Arial Narrow;sans-serif"/>
          <w:b w:val="false"/>
          <w:color w:val="000000"/>
          <w:sz w:val="20"/>
          <w:shd w:fill="FFFFFF" w:val="clear"/>
        </w:rPr>
        <w:t xml:space="preserve">similarly-sized companies from relevant industries that serve similar customer bases, </w:t>
      </w:r>
      <w:r>
        <w:rPr>
          <w:rFonts w:ascii="Arial Narrow;sans-serif" w:hAnsi="Arial Narrow;sans-serif"/>
          <w:b w:val="false"/>
          <w:color w:val="000000"/>
          <w:sz w:val="20"/>
        </w:rPr>
        <w:t xml:space="preserve">operate in the retail or consumer finance industries and typically have similar operating dynamics.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align our executives’ long-term equity compensation with our shareholders’ interests by linking realizable pay with stock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All employees are eligible for paid time off, retirement savings plan and Company-paid life insurance.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Health and Safety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commitment to our Team Members is to provide a safe and injury-free workplace. We continue to invest in programs designed to improve physical, mental and social well-being.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 and Oversight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People and Compensation Committee of the Board of Directors has primary responsibility for analyzing, advising and (as appropriate) approving executive compensation. The committee is also responsible for organizational development matters and otherwise assisting the Board of Directors in its overall responsibility to enable EZCORP to attract, retain, develop and motivate qualified executives who will contribute to the long-term success of the Company.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actively participates in the executive recruitment and selection process. Committee members are instrumental in the executive talent management and succession processes, including the review and attainment of annual objectives for our executive officers. All Executive Officers have a minimum of one objective related to People, generally broken into the areas of Employee Engagement Scores, Voluntary Attrition and Inclusion.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Environmental, Social and Governance (ESG)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EZCORP is committed to meeting our customers’ needs in a responsible manner, and in that regard, we have aligned purpose, vision, values, guiding principles and business strategy with environmental, social and governance sustainability factors.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pawnbroking and related retail sales activities inherently contribute to the “circular economy” and promote environmental sustainability. We provide unique options for our customers to satisfy their needs for cash — options that are not offered by traditional lenders such as banks and credit unions, credit card providers, or installment and short-term lenders. For many of our customers, pawn transactions provide an essential and financially responsible lifeline for meeting their unexpected expenses. Our retail activities rely primarily on local sourcing of pre-owned merchandise and the recirculation of those items back into the neighborhoods we serve. In short, our business is unique, essential and sustainable.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Environmental Sustainability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contributes to overall environmental sustainability in the following ways: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business is fundamentally a neighborhood business, where each store principally serves the surrounding neighborhood. This “local” focus reduces the need of our customers to travel long distances to access our products and services and eliminates the need for delivery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of our stores serves as its own “supply chain.” We take in pre-owned merchandise, either through pawn or purchases from customers, and then sell that merchandise (after forfeiture, in the case of pawn transactions) generally in the same store. Thus, we do not maintain or rely on mass supply, distribution or warehousing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Virtually all of the merchandise we sell is pre-owned, which contributes to pre-owned goods recycling and the circular economy. In fiscal 2023, we sold approximately 5.4 million pre-owned items, including over 3.2 million items in the consumer electronics, camera and household goods categories, 1.1 million other general merchandise items (such as tools and musical instruments) and 0.8 million jewelry items. In addition, through our jewelry scrapping activities, we recycle significant volumes of gold and diamonds. All of these activities effectively extend the useful life of many products, reducing waste and lessening the demand for new manufacturing and mining.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store operations themselves leave a relatively small carbon footprint when compared to big-box or other mass retailers that rely on manufacturers and extensive supply chain and distribution channels. Our stores are relatively small (generally 3,300 square feet or less). To reduce energy consumption, we have installed energy-efficient LED lighting in 78% of our U.S. stores and 60% of Latin America stores.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 all of our facilities, including our corporate support offices, we promote environmental stewardship by reducing consumption, recycling paper products (approximately 1.24 million pounds across all U.S. locations during fiscal 2023) and responsibly disposing of end-of-life computers, electronics and related accessories through recycling or other sound e-waste processing. Our corporate office in Austin, Texas is LEED Certified Silver status.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Social Responsibility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promotes social responsibility in the following ways: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business serves as an essential and responsible financial resource for many unbanked and or underserved consumers who have limited access to traditional forms of capital or credit and comprise a large majority of our customer base. We improve the reach and access to financial services through neighborhood-based stores, supported by digital offerings. We provide instant access to cash in transactions that generally average around $180 or less. Our pawn transactions are simple, transparent, regulated and safe, and funding approval is based on the valuation of the collateral item, not on the credit worthiness of the customer. The customer is under no legal obligation to repay the amount advanced; we do not engage in collection efforts or take other legal actions against our customers; and we do not report transaction histories to external credit agencies. Rather, the customer may choose to repay the amount advanced or forfeit the collateralized merchandise.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Customer satisfaction measurement and feedback are key factors in improving our customer service and Team Member engagement. To capture direct customer feedback, we have enabled Google Reviews across all stores and have received over 195,000 Google reviews with an average satisfaction rating of 4.8 out of 5 across U.S and Latin America.</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We offer customers multiple payment options, including cross-store, over-the-phone and web-based and mobile platforms, reducing their need to travel to the stores to make payments. Online payments are accepted on layaway, pawn extension and bulk payments, with electronic payment receipts delivered on these transactions.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We have refreshed the mission of EZCORP Foundation, our philanthropic arm that is focused on making a difference in communities where we live and operate by supporting charitable organizations that align with our operating values of People, Pawn and Passion. Current initiatives include supporting financial literacy efforts, working to eradicate food insecurity, empowering young people to succeed and other poverty intervention activities.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For a discussion of our Diversity and Inclusion initiatives, see “Human Capital Management — Diversity and Inclusion” above.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Governance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EZCORP, we believe that “The Way We Do Business is as Important as the Business We Do.” That belief underlies our Code of Conduct, which outlines our expectations and provides guidance on how our Team Members can carry out their daily activities ethically and responsibly. Our ethical principles include Honesty, Integrity, Reliability, Loyalty, Respect, Responsibility, Fairness, Caring, Leadership and Diversity, and these principles form the foundation for how we govern our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Even though we are a “Controlled Company” under the Nasdaq Listing Rules, we maintain the governance standards required of all publicly-listed Nasdaq companies,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Independent directors comprise a majority of our Board of Directors. Four of the seven members of our Board of Directors meet all of the “independence” requirements set forth in the Nasdaq Listing Rules, and none of the independent directors have any past or existing relationship with our controlling stockholder outside of their Board service.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All of our standing Board committees (Audit Committee, People and Compensation Committee and Nominating Committee) are comprised of solely independent directors.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satisfy Nasdaq’s board diversity rules, with two of our seven Board members being diverse directors, one of whom self-identifies as female and an underrepresented minority and one whom self-identifies as an underrepresented minority.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For further discussion of our corporate governance standards, see “Part III, Item 10 — Directors, Executive Officers and Corporate Governance.”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pawn operations are licensed and supervised in all jurisdictions in which we operate. We maintain a strong compliance culture that is monitored and overseen by our Board of Directors and supported by seasoned regulatory and compliance teams.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Protecting the privacy, integrity and security of our customers’ data and our enterprise network is a top priority that is also monitored and overseen by our Board of Directors. We maintain a separate IT Security team that is responsible for the design and implementation of our cyber risk strategy, including deployment of systems, enterprise-wide training, monitoring and reporting of threat incidents and response preparedness.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we continued our expansion in Latin America with the opening of 44 de novo stores (23 in Mexico, 19 in Guatemala and 2 in Honduras). We now own a total of 702 stores in Latin America, representing 57% of our total pawn stores. In fiscal 2023, these stores represented 25% of our consolidated gross profit as the average scale of Latin America pawn stores is smaller than in the U.S. We see opportunity for further expansion in Latin America through both acquisitions and de novo openings.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further information about our acquisitions, see Note 3: Acquisitions of Notes to Consolidated Financial Statements included in “Part II, Item 8 — Financial Statements and Supplemental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is historically highest in our fourth fiscal quarter (July through September) due to a higher average PLO balance during the summer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PLO balances and fueling some merchandise sales in those periods. In Mexico, we saw similar downward pressure in loan balances during the third quarter due to a recent change in law related to company profit sharing payments to employees. We believe this change will impact pawn loan balances in May and June going forward. As a net effect of these and other factors and excluding discrete charges, our consolidated profit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will be based increasingly on strong general management, regional focus, automated management information systems, access to capital and superior customer service.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customers with a variety of merchandise at an exceptional value coupled with exceptional customer service and convenient locations.</w:t>
      </w:r>
    </w:p>
    <w:p>
      <w:pPr>
        <w:pStyle w:val="TextBody"/>
        <w:bidi w:val="0"/>
        <w:spacing w:lineRule="auto" w:line="288" w:before="180" w:after="283"/>
        <w:jc w:val="left"/>
        <w:rPr/>
      </w:pPr>
      <w:r>
        <w:rPr>
          <w:rFonts w:ascii="Arial Narrow;sans-serif" w:hAnsi="Arial Narrow;sans-serif"/>
          <w:b w:val="false"/>
          <w:color w:val="000000"/>
          <w:sz w:val="20"/>
        </w:rPr>
        <w:t>The pawn industry in the U.S. is large, relatively mature and highly fragmented. The industry consists of a few large operators (of which we are the second largest) and then independent operators who primarily own one-to-three locations</w:t>
      </w:r>
      <w:r>
        <w:rPr>
          <w:rFonts w:ascii="Arial Narrow;sans-serif" w:hAnsi="Arial Narrow;sans-serif"/>
          <w:b w:val="false"/>
          <w:color w:val="000000"/>
          <w:sz w:val="20"/>
          <w:shd w:fill="FFFFFF" w:val="clear"/>
        </w:rPr>
        <w:t xml:space="preserve">.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pawn industry in Latin America is also fragmented, but less so than in the U.S. The industry consists of pawn stores owned by independent operators and chains, including some not-for-profit organizations. We are the second largest for-profit operator in Mexico and the largest operator in Guatemala. The pawn industry, particularly full-line stores dealing in both general merchandise and jewelry, remains in an expansion stage in Latin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We launched our EZ+ Rewards loyalty program in the U.S. and Mexico in 2021 and in GPMX in 2022, and now have 3.8 million members globally. This free program allows customers to earn points on most transactions that may be applied as a discount towards retail sales once a certain threshold is met. We believe this program provides a distinct competitive advantage over other pawn operators.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Trademarks and Trade Names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operate our U.S. pawn stores principally under the names “EZPAWN” or “Value Pawn &amp; Jewelry,” our Mexico pawn stores principally under the name “EMPEÑO FÁCIL” and “Cash Apoyo Efectivo,” our Guatemala pawn stores under the name “GuatePrenda,” and our El Salvador and Honduras pawn stores under the name “MaxiEfectivo.” We have registered the names EZPAWN, Value Pawn &amp; Jewelry and EZCORP, among others, with the United States Patent and Trademark Office. In Mexico, we have registered the names “EMPEÑO FÁCIL,” “Bazareño,” “Presta Dinero”, “Montepio San Patricio” and “Cash Apoyo Efectivo” with the Instituto Mexicano de la Propiedad Industrial. We have registered the name “GuatePrenda” in Guatemala and the name “MaxiEfectivo” in Guatemala, El Salvador and Honduras.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Regulation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 </w:t>
      </w:r>
      <w:r>
        <w:rPr>
          <w:rFonts w:ascii="Arial Narrow;sans-serif" w:hAnsi="Arial Narrow;sans-serif"/>
          <w:b w:val="false"/>
          <w:color w:val="000000"/>
          <w:sz w:val="20"/>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pawn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pStyle w:val="TextBody"/>
        <w:bidi w:val="0"/>
        <w:spacing w:lineRule="auto" w:line="288" w:before="180" w:after="283"/>
        <w:jc w:val="left"/>
        <w:rPr/>
      </w:pPr>
      <w:r>
        <w:rPr>
          <w:rFonts w:ascii="Arial Narrow;sans-serif" w:hAnsi="Arial Narrow;sans-serif"/>
          <w:b w:val="false"/>
          <w:color w:val="000000"/>
          <w:sz w:val="20"/>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w:t>
      </w:r>
      <w:r>
        <w:rPr>
          <w:rFonts w:ascii="Arial Narrow;sans-serif" w:hAnsi="Arial Narrow;sans-serif"/>
          <w:b w:val="false"/>
          <w:color w:val="000000"/>
          <w:sz w:val="20"/>
          <w:shd w:fill="FFFFFF" w:val="clear"/>
        </w:rPr>
        <w:t>e. Historically, we have not experienced a material number of claims of this 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Some of our pawn stores in the U.S. handle firearms and each of those stores maintains a federal firearms license as required by federal law. The federal Gun Control Act of 1968 and regulations issued by the Bureau of Alcohol, Tobacco, Firearms and Explosives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pStyle w:val="TextBody"/>
        <w:bidi w:val="0"/>
        <w:spacing w:lineRule="auto" w:line="288" w:before="180" w:after="283"/>
        <w:jc w:val="left"/>
        <w:rPr/>
      </w:pPr>
      <w:r>
        <w:rPr>
          <w:rFonts w:ascii="Arial Narrow;sans-serif" w:hAnsi="Arial Narrow;sans-serif"/>
          <w:b w:val="false"/>
          <w:i/>
          <w:color w:val="000000"/>
          <w:sz w:val="20"/>
        </w:rPr>
        <w:t>Other Regulations —</w:t>
      </w:r>
      <w:r>
        <w:rPr>
          <w:color w:val="000000"/>
        </w:rPr>
        <w:t xml:space="preserve"> </w:t>
      </w:r>
      <w:r>
        <w:rPr>
          <w:rFonts w:ascii="Arial Narrow;sans-serif" w:hAnsi="Arial Narrow;sans-serif"/>
          <w:b w:val="false"/>
          <w:color w:val="000000"/>
          <w:sz w:val="20"/>
        </w:rPr>
        <w:t>Our pawn lending activities are subject to other state and federal statutes and regulations,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As a provider of consumer financial products, we are prohibited from engaging in any unfair, deceptive or abusive act or practice (UDAAP) under the Dodd-Frank Act, as they can cause significant financial injury to consumers, erode consumer confidence and undermine the financial marketplace.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Equal Credit Opportunity Act prohibits discrimination on the basis of race, color, religion, national origin, sex, marital status, age, receipt of public assistance or good faith exercise of any rights under the Consumer Credit Protection Act.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Bank Secrecy Act and its underlying regulations, which require us to report and maintain records of certain high-dollar transactions. In addition, federal laws and regulations require us to report certain transactions (or series of transactions) deemed suspicious to the Financial Crimes Enforcement Network of the Treasury Department (“FinCen”). Generally, a transaction is considered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Department of Defense regulations promulgated under the Military Lending Act </w:t>
      </w:r>
      <w:r>
        <w:rPr>
          <w:rFonts w:ascii="Arial Narrow;sans-serif" w:hAnsi="Arial Narrow;sans-serif"/>
          <w:b w:val="false"/>
          <w:color w:val="000000"/>
          <w:sz w:val="20"/>
          <w:shd w:fill="FFFFFF" w:val="clear"/>
        </w:rPr>
        <w:t>limit the annual percentage rate charged on certain consumer loans (including pawn loans) made to active military personnel or their dependents to 36%.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 although it has initiated actions against pawn companies for alleged violations of consumer lending regulations, including the Military Lending Act discussed above.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Mexico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w:t>
      </w:r>
      <w:r>
        <w:rPr>
          <w:color w:val="000000"/>
        </w:rPr>
        <w:t xml:space="preserve">— </w:t>
      </w:r>
      <w:r>
        <w:rPr>
          <w:rFonts w:ascii="Arial Narrow;sans-serif" w:hAnsi="Arial Narrow;sans-serif"/>
          <w:b w:val="false"/>
          <w:color w:val="000000"/>
          <w:sz w:val="20"/>
        </w:rPr>
        <w:t xml:space="preserve">Federal law in Mexico provides for administrative regulation of the pawnshop industry by Procuraduría Federal del Consumidor (PROFECO),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PROFECO requires that we report certain transactions (or series of transactions) when a customer pawns more than three items of the same category.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 xml:space="preserve">Other Regulations </w:t>
      </w:r>
      <w:r>
        <w:rPr>
          <w:color w:val="000000"/>
        </w:rPr>
        <w:t xml:space="preserve">— </w:t>
      </w:r>
      <w:r>
        <w:rPr>
          <w:rFonts w:ascii="Arial Narrow;sans-serif" w:hAnsi="Arial Narrow;sans-serif"/>
          <w:b w:val="false"/>
          <w:color w:val="000000"/>
          <w:sz w:val="20"/>
        </w:rPr>
        <w:t xml:space="preserve">Our pawn business in Mexico is subject to the General Law of Administrative Responsibility (“GLAR”), which requires us to implement an integrity policy that contains mechanisms to ensure integrity standards throughout the organization. GLAR establishes administrative penalties for improper payments to government officials, influence peddling (including the hiring of public officials and the use of undue influence) and other corrupt acts in public procurement processes. </w:t>
      </w:r>
    </w:p>
    <w:p>
      <w:pPr>
        <w:pStyle w:val="TextBody"/>
        <w:bidi w:val="0"/>
        <w:spacing w:lineRule="auto" w:line="288" w:before="180" w:after="283"/>
        <w:jc w:val="left"/>
        <w:rPr/>
      </w:pPr>
      <w:r>
        <w:rPr>
          <w:rFonts w:ascii="Arial Narrow;sans-serif" w:hAnsi="Arial Narrow;sans-serif"/>
          <w:b w:val="false"/>
          <w:color w:val="000000"/>
          <w:sz w:val="20"/>
        </w:rPr>
        <w:t>We are also subject to The Federal Law for the Prevention and Identification of Transactions with Funds from Illegal Sources, which requires reporting of certain transactions exceeding certain monetary limits, the appointment of a compliance officer and maintenance of customer identification records and controls. This law affects all vulnerable activities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w:t>
      </w:r>
      <w:r>
        <w:rPr>
          <w:rFonts w:ascii="Arial Narrow;sans-serif" w:hAnsi="Arial Narrow;sans-serif"/>
          <w:b w:val="false"/>
          <w:color w:val="000000"/>
          <w:sz w:val="20"/>
          <w:shd w:fill="FFFFFF" w:val="clear"/>
        </w:rPr>
        <w:t xml:space="preserve">nsactions provide. Relevant aspects of the law specifically affecting the pawn industry include monthly reporting on “vulnerable activities,” which include pawn transactions exceeding 166,502.70 Mexican pesos and retail transactions of precious metals exceeding 166,502.70 Mexican pesos. Retail transactions of precious metals in cash exceeding 333,005.40 </w:t>
      </w:r>
      <w:r>
        <w:rPr>
          <w:rFonts w:ascii="Arial Narrow;sans-serif" w:hAnsi="Arial Narrow;sans-serif"/>
          <w:b w:val="false"/>
          <w:color w:val="000000"/>
          <w:sz w:val="20"/>
        </w:rPr>
        <w:t>Mexican pesos are prohibited. There are significant fines and sanctions for failure to comply with these rules.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must also comply with the Official Mexican Standards issued by regulatory agencies in accordance with Article 40 of the Federal Law on Metrology and Standardization, which establishes rules applicable to a retail products and services, and related disclosures, labeling, and marketing, including NOM-179-SCFI-2016, NOM-017-SCFI-1993, and NOM-024-SCFI-2013.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Latin American Regulations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Local governmental entities in Guatemala, El Salvador and Honduras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Company Specific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or failure to comply with, laws and regulations affecting our products and services could have a material adverse effect on our operations and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portion of our U.S. business is concentrated in Texas and Florida.</w:t>
      </w:r>
    </w:p>
    <w:p>
      <w:pPr>
        <w:pStyle w:val="TextBody"/>
        <w:bidi w:val="0"/>
        <w:spacing w:lineRule="auto" w:line="288" w:before="180" w:after="283"/>
        <w:jc w:val="left"/>
        <w:rPr/>
      </w:pPr>
      <w:r>
        <w:rPr>
          <w:rFonts w:ascii="Arial Narrow;sans-serif" w:hAnsi="Arial Narrow;sans-serif"/>
          <w:b w:val="false"/>
          <w:color w:val="000000"/>
          <w:sz w:val="20"/>
          <w:shd w:fill="FFFFFF" w:val="clear"/>
        </w:rPr>
        <w:t>As of September 30, 2023, more</w:t>
      </w:r>
      <w:r>
        <w:rPr>
          <w:color w:val="000000"/>
        </w:rPr>
        <w:t xml:space="preserve"> </w:t>
      </w:r>
      <w:r>
        <w:rPr>
          <w:rFonts w:ascii="Arial Narrow;sans-serif" w:hAnsi="Arial Narrow;sans-serif"/>
          <w:b w:val="false"/>
          <w:color w:val="000000"/>
          <w:sz w:val="20"/>
        </w:rPr>
        <w:t xml:space="preserve">than 62% of our U.S. pawn stores were located in Texas (45%) and Florida (17%), and those stores </w:t>
      </w:r>
      <w:r>
        <w:rPr>
          <w:rFonts w:ascii="Arial Narrow;sans-serif" w:hAnsi="Arial Narrow;sans-serif"/>
          <w:b w:val="false"/>
          <w:color w:val="000000"/>
          <w:sz w:val="20"/>
          <w:shd w:fill="FFFFFF" w:val="clear"/>
        </w:rPr>
        <w:t>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or sudden decrease in gold values or the volume of gold transactions may have a material impact on our earnings and financial position.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Gold jewelry comprises a large portion of the collateral security for our pawn loans and our inventory. PSC,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PLO and PSC.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Fluctuations in our sales, PLO, sales margins and pawn redemption rates could have a material adverse impact on our operating results.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Achievement of our growth objectives is dependent upon our ability to open and acquire new stores.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continue to have limited indemnity obligations to AlphaCredit for pre-closing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terms of the Purchase Agreement related to the sale of our 94%-owned subsidiary, Prestaciones Finmart, S.A.P.I. de C.V., SOFOM, E.N.R. ("Grupo Finmart") to Alpha Holding, S.A. de C.V.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final payments from AlphaCredit totaling $8.0 million were placed into escrow in 2019 pending resolution of the potential indemnity claim.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statute of limitations applicable to most of the pre-closing years has now expired, but AlphaCredit has informed us that they filed an amended return for 2016, which they claim extends the statute of limitations for that year. We were in discussions with AlphaCredit regarding the validity of the indemnity claim, the amount of any continuing exposure and whether some or all of the escrow can now be released. Those discussions have been interrupted due to AlphaCredit’s recent emergence from a concurso mercantil (insolvency) proceeding in Mexico with new management. The escrowed funds were not impacted by that proceeding, and we are continuing to pursue release of the funds.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One person beneficially owns all of our voting stock and generally controls the outcome of all matters requiring a vote of stockholders, which may influence the value of our publicly traded non-voting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Mr. Cohen is a member of our Board of Directors and serves as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a significant firearms business in the U.S., which exposes us to increased risks of regulatory fines and penalties, lawsuits and related liabilities.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business is subject to Team Member and third-party robberies, burglaries and other crimes at the store level.</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competition from various sources could have a material adverse impact on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continued profitability and growth plans are dependent on our ability to successfully design or acquire, deploy and maintain information technology and other business systems to support our current business and our planned growth and expansion.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 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pStyle w:val="TextBody"/>
        <w:bidi w:val="0"/>
        <w:spacing w:lineRule="auto" w:line="288" w:before="180" w:after="283"/>
        <w:jc w:val="left"/>
        <w:rPr/>
      </w:pPr>
      <w:r>
        <w:rPr>
          <w:rFonts w:ascii="Arial Narrow;sans-serif" w:hAnsi="Arial Narrow;sans-serif"/>
          <w:b/>
          <w:i/>
          <w:color w:val="000000"/>
          <w:sz w:val="20"/>
          <w:shd w:fill="FFFFFF" w:val="clear"/>
        </w:rPr>
        <w:t xml:space="preserve">We invested in </w:t>
      </w:r>
      <w:r>
        <w:rPr>
          <w:rFonts w:ascii="Arial Narrow;sans-serif" w:hAnsi="Arial Narrow;sans-serif"/>
          <w:b/>
          <w:i/>
          <w:color w:val="000000"/>
          <w:sz w:val="20"/>
        </w:rPr>
        <w:t>Cash Converters International Limited</w:t>
      </w:r>
      <w:r>
        <w:rPr>
          <w:color w:val="000000"/>
          <w:shd w:fill="FFFFFF" w:val="clear"/>
        </w:rPr>
        <w:t xml:space="preserve"> </w:t>
      </w:r>
      <w:r>
        <w:rPr>
          <w:rFonts w:ascii="Arial Narrow;sans-serif" w:hAnsi="Arial Narrow;sans-serif"/>
          <w:b/>
          <w:i/>
          <w:color w:val="000000"/>
          <w:sz w:val="20"/>
          <w:shd w:fill="FFFFFF" w:val="clear"/>
        </w:rPr>
        <w:t>for strategic reasons. Law or regulatory changes in Australia or other jurisdictions in which Cash Converters operates, or other factors, could adversely affect Cash Converters’ operating performance, our share of which would be reflected in our own financial statements due to the equity method of accounting. Further, if that operating performance, or other factors, adversely impact the value of Cash Converters’ publicly traded stock, then we may be required to impair our investment, as we have done in the past.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own 43.7% of the outstanding ordinary shares of Cash Converters, which is a publicly traded company based in Australia. We made the initial investment in November 2009 and have made incremental investments periodically since then. The success of this strategic investment is dependent on a variety of factors, including Cash Converters’s business performance and the market’s assessment of that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the Australian Parliament passed the Financial Sector Reform Bill 2022, which establishes lending limits on small amount credit contracts. The bill became effective in June 2023, and could adversely impact Cash Converters’ financial position or results of operations. In response to the new law, Cash Converters recognized a one-time, non-cash impairment expense of AUD $110.5 million against goodwill in their financial statements for the period ended December 31, 2022 and, based upon our 43.7% ownership of Cash Converters at the time, we recorded $32.4 million of our share of their non-cash goodwill impairment charge during the second quarter of our fiscal 2023. Any additional decline in Cash Converters’ operating results resulting from the change of law or other factors could adversely affect our financial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recorded a number of impairments to the carrying value of our investment in Cash Converters in the past. After an analysis of Cash Converters’ stock price performance and other factors, we determined the fair value of our investment in Cash Converters at September 30, 2023 was greater than its carrying value. See Note 5: Strategic Investments of Notes to Consolidated Financial Statements included in “Part II, Item 8 — Financial Statements and Supplemental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on favorable terms, should we decide to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Our ability to recover our investments in other companies (such as our indirect investment in Simple Management Group, Inc. and our investment in Rich Data Corporation) is heavily dependent on the success and performance of those companies, including their respective ability to obtain further debt or equity financing.</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certain investments in other companies. See Note 1: Organization and Summary of Significant Accounting Policies — Investments of Notes to Consolidated Financial Statements included in “Part II, Item 8 — Financial Statements and Supplemental Data.” Our ability to recover our investment in these companies is heavily dependent on their success and performance, potentially including their ability to obtain further debt or equity financing. To the extent that any of such companies is not successful, we may be required in future periods to impair our investment and recognize related investment losses.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incur property, casualty or other losses, including losses related to natural disasters such as hurricanes, earthquakes and volcanoes. Not all such losses will be covered by insurance.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PLO,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 </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pStyle w:val="TextBody"/>
        <w:bidi w:val="0"/>
        <w:spacing w:lineRule="auto" w:line="288" w:before="180" w:after="283"/>
        <w:jc w:val="left"/>
        <w:rPr/>
      </w:pPr>
      <w:r>
        <w:rPr>
          <w:rFonts w:ascii="Arial Narrow;sans-serif" w:hAnsi="Arial Narrow;sans-serif"/>
          <w:b w:val="false"/>
          <w:color w:val="000000"/>
          <w:sz w:val="20"/>
          <w:shd w:fill="FFFFFF" w:val="clear"/>
        </w:rPr>
        <w:t>The carrying value of our goo</w:t>
      </w:r>
      <w:r>
        <w:rPr>
          <w:rFonts w:ascii="Arial Narrow;sans-serif" w:hAnsi="Arial Narrow;sans-serif"/>
          <w:b w:val="false"/>
          <w:color w:val="000000"/>
          <w:sz w:val="20"/>
        </w:rPr>
        <w:t xml:space="preserve">dwill was $302.4 million, or approximately 21% of our total assets, as of September 30, 2023. We test goodwill and intangible assets with an indefinite life for potential impairment annually, or more frequently if an event </w:t>
      </w:r>
      <w:r>
        <w:rPr>
          <w:rFonts w:ascii="Arial Narrow;sans-serif" w:hAnsi="Arial Narrow;sans-serif"/>
          <w:b w:val="false"/>
          <w:color w:val="000000"/>
          <w:sz w:val="20"/>
          <w:shd w:fill="FFFFFF" w:val="clear"/>
        </w:rPr>
        <w:t>occurs or circumstances change that would more-likely-than-not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performing our annual test of goodwill for impairment in the fourth quarter,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1: Organization and Summary of Significant Accounting Policies</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Note 8: Goodwill and Intangible Assets</w:t>
      </w:r>
      <w:r>
        <w:rPr>
          <w:color w:val="000000"/>
          <w:shd w:fill="FFFFFF" w:val="clear"/>
        </w:rPr>
        <w:t xml:space="preserve"> </w:t>
      </w:r>
      <w:r>
        <w:rPr>
          <w:rFonts w:ascii="Arial Narrow;sans-serif" w:hAnsi="Arial Narrow;sans-serif"/>
          <w:b w:val="false"/>
          <w:color w:val="000000"/>
          <w:sz w:val="20"/>
          <w:shd w:fill="FFFFFF" w:val="clear"/>
        </w:rPr>
        <w:t xml:space="preserve">of </w:t>
      </w:r>
      <w:r>
        <w:rPr>
          <w:rFonts w:ascii="Arial Narrow;sans-serif" w:hAnsi="Arial Narrow;sans-serif"/>
          <w:b w:val="false"/>
          <w:color w:val="000000"/>
          <w:sz w:val="20"/>
        </w:rPr>
        <w:t>Notes to Consolidated Financial Statements included in “Part II, Item 8 — Financial Statements and Supplemental Data”</w:t>
      </w:r>
      <w:r>
        <w:rPr>
          <w:color w:val="000000"/>
          <w:shd w:fill="FFFFFF" w:val="clear"/>
        </w:rPr>
        <w:t xml:space="preserve"> </w:t>
      </w:r>
      <w:r>
        <w:rPr>
          <w:rFonts w:ascii="Arial Narrow;sans-serif" w:hAnsi="Arial Narrow;sans-serif"/>
          <w:b w:val="false"/>
          <w:color w:val="000000"/>
          <w:sz w:val="20"/>
          <w:shd w:fill="FFFFFF" w:val="clear"/>
        </w:rPr>
        <w:t xml:space="preserve">for a discussion of our annual impairment tests performed for goodwill and indefinite-lived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The conversion feature of our convertible notes, if triggered, may adversely affect our financial condition and operating results.</w:t>
      </w:r>
    </w:p>
    <w:p>
      <w:pPr>
        <w:pStyle w:val="TextBody"/>
        <w:bidi w:val="0"/>
        <w:spacing w:lineRule="auto" w:line="288" w:before="180" w:after="283"/>
        <w:jc w:val="left"/>
        <w:rPr/>
      </w:pPr>
      <w:r>
        <w:rPr>
          <w:rFonts w:ascii="Arial Narrow;sans-serif" w:hAnsi="Arial Narrow;sans-serif"/>
          <w:b w:val="false"/>
          <w:color w:val="000000"/>
          <w:sz w:val="20"/>
          <w:shd w:fill="FFFFFF" w:val="clear"/>
        </w:rPr>
        <w:t>We have outstanding a</w:t>
      </w:r>
      <w:r>
        <w:rPr>
          <w:color w:val="000000"/>
        </w:rPr>
        <w:t xml:space="preserve"> </w:t>
      </w:r>
      <w:r>
        <w:rPr>
          <w:rFonts w:ascii="Arial Narrow;sans-serif" w:hAnsi="Arial Narrow;sans-serif"/>
          <w:b w:val="false"/>
          <w:color w:val="000000"/>
          <w:sz w:val="20"/>
        </w:rPr>
        <w:t>total of $367.8 mill</w:t>
      </w:r>
      <w:r>
        <w:rPr>
          <w:rFonts w:ascii="Arial Narrow;sans-serif" w:hAnsi="Arial Narrow;sans-serif"/>
          <w:b w:val="false"/>
          <w:color w:val="000000"/>
          <w:sz w:val="20"/>
          <w:shd w:fill="FFFFFF" w:val="clear"/>
        </w:rPr>
        <w:t xml:space="preserve">ion of convertible notes. See </w:t>
      </w:r>
      <w:r>
        <w:rPr>
          <w:rFonts w:ascii="Arial Narrow;sans-serif" w:hAnsi="Arial Narrow;sans-serif"/>
          <w:b w:val="false"/>
          <w:color w:val="000000"/>
          <w:sz w:val="20"/>
        </w:rPr>
        <w:t>Note 9: Debt</w:t>
      </w:r>
      <w:r>
        <w:rPr>
          <w:color w:val="000000"/>
          <w:shd w:fill="FFFFFF" w:val="clear"/>
        </w:rPr>
        <w:t xml:space="preserve"> </w:t>
      </w:r>
      <w:r>
        <w:rPr>
          <w:rFonts w:ascii="Arial Narrow;sans-serif" w:hAnsi="Arial Narrow;sans-serif"/>
          <w:b w:val="false"/>
          <w:color w:val="000000"/>
          <w:sz w:val="20"/>
          <w:shd w:fill="FFFFFF" w:val="clear"/>
        </w:rPr>
        <w:t>of Notes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Conversion of our convertible notes into stock may dilute the ownership interests of existing stockholders or may otherwise depress the price of our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a limited number of unreserved shares available for future issuance, which may limit our ability to conduct future financings and other transactions and our ability to offer equity awards to management.</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certificate of incorporation currently authorizes us to issue up to 100 million shares of Class A Common Stock. Taking into consideration the shares that are issued and outstanding, as well as the shares that have been reserved for issuance pursuant to convertible notes, </w:t>
      </w:r>
      <w:r>
        <w:rPr>
          <w:rFonts w:ascii="Arial Narrow;sans-serif" w:hAnsi="Arial Narrow;sans-serif"/>
          <w:b w:val="false"/>
          <w:color w:val="000000"/>
          <w:sz w:val="20"/>
        </w:rPr>
        <w:t>outstanding equity incentive compensation awards and the conversion of the Class B Common Stock, we had approximately 3.0 million shar</w:t>
      </w:r>
      <w:r>
        <w:rPr>
          <w:rFonts w:ascii="Arial Narrow;sans-serif" w:hAnsi="Arial Narrow;sans-serif"/>
          <w:b w:val="false"/>
          <w:color w:val="000000"/>
          <w:sz w:val="20"/>
          <w:shd w:fill="FFFFFF" w:val="clear"/>
        </w:rPr>
        <w:t>es of authorized Class A Common Stock available for other uses as of September 30, 2023. We expect that number will be reduced to 2.1 million following the issuance of currently approved Long-Term Incentive awards in November 2023</w:t>
      </w:r>
      <w:r>
        <w:rPr>
          <w:rFonts w:ascii="Arial Narrow;sans-serif" w:hAnsi="Arial Narrow;sans-serif"/>
          <w:b w:val="false"/>
          <w:color w:val="000000"/>
          <w:sz w:val="20"/>
        </w:rPr>
        <w:t>. There</w:t>
      </w:r>
      <w:r>
        <w:rPr>
          <w:rFonts w:ascii="Arial Narrow;sans-serif" w:hAnsi="Arial Narrow;sans-serif"/>
          <w:b w:val="false"/>
          <w:color w:val="000000"/>
          <w:sz w:val="20"/>
          <w:shd w:fill="FFFFFF" w:val="clear"/>
        </w:rPr>
        <w:t>fore, our ability to issue shares of Class A Common Stock (other than pursuant to the existing reserved-for commitments), or securities or instruments that are convertible into or exchangeable for shares of Class A Common Stock, may be limited until such time additional authorized, unissued and unreserved shares become available or unless we determine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Public health issues could adversely affect our financial condition, results of operations or liquidity.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may be impacted by public health issues, such as COVID-19,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significant operations in Latin America, and changes in the business, regulatory, political or social climate could impact our operations there, which could adversely affect our results of operations and growth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own and operate a significant number of pawn stores in Latin America (primarily Mexico, but also Guatemala, El Salvador and Honduras).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 xml:space="preserve">A significant change in foreign currency exchange rates could have a material adverse impact on our earnings and financial position.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foreign operations in Latin America (primarily Mexico, but also Guatemala, El Salvador and Honduras)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Litigation and regulatory proceedings could have a material adverse impact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our ultimate liability in any such proceeding (or any combination of proceedings that are included in the same policy year) exceeds the management liability policy limits, our results of operations and financial condition could be adversely affected.</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acquisitions, investments and other transactions could disrupt our ongoing business and harm our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and political environments.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our liquidity and capital requirements or in access to capital markets or other financing and transactional banking sources could limit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collect and store a variety of sensitive customer information, and breaches in data security or other cyber-attacks could harm our business operations and lead to reputational damage.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 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face business interruptions or other adverse effects on our operations and growth.</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pStyle w:val="TextBody"/>
        <w:bidi w:val="0"/>
        <w:spacing w:lineRule="auto" w:line="288" w:before="180" w:after="283"/>
        <w:jc w:val="left"/>
        <w:rPr/>
      </w:pPr>
      <w:r>
        <w:rPr>
          <w:rFonts w:ascii="Arial Narrow;sans-serif" w:hAnsi="Arial Narrow;sans-serif"/>
          <w:b/>
          <w:i/>
          <w:color w:val="000000"/>
          <w:sz w:val="20"/>
        </w:rPr>
        <w:t xml:space="preserve">We face other risks discussed under </w:t>
      </w:r>
      <w:r>
        <w:rPr>
          <w:color w:val="000000"/>
        </w:rPr>
        <w:t>“</w:t>
      </w:r>
      <w:r>
        <w:rPr>
          <w:rFonts w:ascii="Arial Narrow;sans-serif" w:hAnsi="Arial Narrow;sans-serif"/>
          <w:b/>
          <w:i/>
          <w:color w:val="000000"/>
          <w:sz w:val="20"/>
        </w:rPr>
        <w:t>Part II, Item 7A — Quantitative and Qualitative Disclosures about Market Risk.</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1B. UNRESOLVED STAFF COMMENTS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PROPERTIES</w:t>
      </w:r>
    </w:p>
    <w:p>
      <w:pPr>
        <w:pStyle w:val="TextBody"/>
        <w:bidi w:val="0"/>
        <w:spacing w:lineRule="auto" w:line="288" w:before="180" w:after="283"/>
        <w:jc w:val="left"/>
        <w:rPr/>
      </w:pPr>
      <w:r>
        <w:rPr>
          <w:rFonts w:ascii="Arial Narrow;sans-serif" w:hAnsi="Arial Narrow;sans-serif"/>
          <w:b w:val="false"/>
          <w:color w:val="000000"/>
          <w:sz w:val="20"/>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w:t>
      </w:r>
      <w:r>
        <w:rPr>
          <w:rFonts w:ascii="Arial Narrow;sans-serif" w:hAnsi="Arial Narrow;sans-serif"/>
          <w:b w:val="false"/>
          <w:color w:val="000000"/>
          <w:sz w:val="20"/>
          <w:shd w:fill="FFFFFF" w:val="clear"/>
        </w:rPr>
        <w:t xml:space="preserve">e maintain or reimburse our landlords for maintaining property and general liability insurance for each of our stores. Our stores are open six or seven days a week. </w:t>
      </w:r>
    </w:p>
    <w:p>
      <w:pPr>
        <w:pStyle w:val="TextBody"/>
        <w:bidi w:val="0"/>
        <w:spacing w:lineRule="auto" w:line="288" w:before="180" w:after="283"/>
        <w:jc w:val="left"/>
        <w:rPr/>
      </w:pPr>
      <w:r>
        <w:rPr>
          <w:rFonts w:ascii="Arial Narrow;sans-serif" w:hAnsi="Arial Narrow;sans-serif"/>
          <w:b w:val="false"/>
          <w:color w:val="000000"/>
          <w:sz w:val="20"/>
        </w:rPr>
        <w:t xml:space="preserve">Leases for our U.S. locations generally have initial terms ranging from three to 10 years and typically allow for renewals in increments of three-to-five years. Our primary corporate office is located in Austin, Texas and is leased through March 2029 with escalating rent payments annually </w:t>
      </w:r>
      <w:r>
        <w:rPr>
          <w:rFonts w:ascii="Arial Narrow;sans-serif" w:hAnsi="Arial Narrow;sans-serif"/>
          <w:b w:val="false"/>
          <w:color w:val="000000"/>
          <w:sz w:val="20"/>
          <w:shd w:fill="FFFFFF" w:val="clear"/>
        </w:rPr>
        <w:t>and includes two five-year extension options at the end of the lease term. Our locations in Latin America are generally leased on three-to-five year terms.</w:t>
      </w:r>
      <w:r>
        <w:rPr>
          <w:color w:val="000000"/>
        </w:rPr>
        <w:t xml:space="preserve"> </w:t>
      </w:r>
    </w:p>
    <w:p>
      <w:pPr>
        <w:pStyle w:val="TextBody"/>
        <w:bidi w:val="0"/>
        <w:spacing w:lineRule="auto" w:line="288" w:before="180" w:after="283"/>
        <w:jc w:val="left"/>
        <w:rPr/>
      </w:pPr>
      <w:r>
        <w:rPr>
          <w:rFonts w:ascii="Arial Narrow;sans-serif" w:hAnsi="Arial Narrow;sans-serif"/>
          <w:b w:val="false"/>
          <w:color w:val="000000"/>
          <w:sz w:val="20"/>
        </w:rPr>
        <w:t>Our existing leases expire on various dates through</w:t>
      </w:r>
      <w:r>
        <w:rPr>
          <w:color w:val="000000"/>
          <w:shd w:fill="FFFFFF" w:val="clear"/>
        </w:rPr>
        <w:t xml:space="preserve"> </w:t>
      </w:r>
      <w:r>
        <w:rPr>
          <w:rFonts w:ascii="Arial Narrow;sans-serif" w:hAnsi="Arial Narrow;sans-serif"/>
          <w:b w:val="false"/>
          <w:color w:val="000000"/>
          <w:sz w:val="20"/>
          <w:shd w:fill="FFFFFF" w:val="clear"/>
        </w:rPr>
        <w:t>fisc</w:t>
      </w:r>
      <w:r>
        <w:rPr>
          <w:rFonts w:ascii="Arial Narrow;sans-serif" w:hAnsi="Arial Narrow;sans-serif"/>
          <w:b w:val="false"/>
          <w:color w:val="000000"/>
          <w:sz w:val="20"/>
        </w:rPr>
        <w:t xml:space="preserve">al 2033,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we had a total of 1,231 stores, 529 of which are located in the U.S., with 45% located in Texas, 17% in Florida and the remainder spread across 17 other states. We also have 549 locations in Mexico, 117 in Guatemala, 18 in El Salvador, and 18 in Honduras.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to our store leases, we lease approximately 120,000 square feet of corporate office space in Austin, Texas (82,663 square feet of which is being subleased or made available for sublease to other tenants). We lease other corporate office space in Mexico (8,600 square feet), Guatemala (3,500 square feet), El Salvador (4,500 square feet) and Honduras (1,200 square feet).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store locations, see “Part I, Item 1 — Business — Segment and Geographic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Contingencies of Notes to Consolidated Financial Statements included in “Part II, Item 8 — Financial Statements and Supplemental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MINE SAFETY DISCLOSURES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5. MARKET FOR REGISTRANT'S COMMON EQUITY, RELATED STOCKHOLDER MATTERS AND ISSUER PURCHASES OF EQUITY SECURITIES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Information</w:t>
      </w:r>
    </w:p>
    <w:p>
      <w:pPr>
        <w:pStyle w:val="TextBody"/>
        <w:bidi w:val="0"/>
        <w:spacing w:lineRule="auto" w:line="288" w:before="180" w:after="283"/>
        <w:jc w:val="left"/>
        <w:rPr/>
      </w:pPr>
      <w:r>
        <w:rPr>
          <w:rFonts w:ascii="Arial Narrow;sans-serif" w:hAnsi="Arial Narrow;sans-serif"/>
          <w:b w:val="false"/>
          <w:color w:val="000000"/>
          <w:sz w:val="20"/>
        </w:rPr>
        <w:t>Our Class A Non-Voting Common Stock (“Class A Common Stock”) is traded on the NASDAQ Stock Market under the symbol “EZPW.” As of November 1, 2023, there were approximately 71 stockholders of record of our Class A Common Stock. There is no trading market for our Class B Voting Common Stock (“Class B Common Stock”), which was held by one stockholder as of</w:t>
      </w:r>
      <w:r>
        <w:rPr>
          <w:color w:val="000000"/>
          <w:shd w:fill="FFFFFF" w:val="clear"/>
        </w:rPr>
        <w:t xml:space="preserve"> </w:t>
      </w:r>
      <w:r>
        <w:rPr>
          <w:rFonts w:ascii="Arial Narrow;sans-serif" w:hAnsi="Arial Narrow;sans-serif"/>
          <w:b w:val="false"/>
          <w:color w:val="000000"/>
          <w:sz w:val="20"/>
          <w:shd w:fill="FFFFFF" w:val="clear"/>
        </w:rPr>
        <w:t>November 1, 2023</w:t>
      </w:r>
      <w:r>
        <w:rPr>
          <w:rFonts w:ascii="Arial Narrow;sans-serif" w:hAnsi="Arial Narrow;sans-serif"/>
          <w:b w:val="false"/>
          <w:color w:val="000000"/>
          <w:sz w:val="20"/>
        </w:rPr>
        <w:t>. As of September 30, 2023, the closing sales price of our Class A Common Stock, as reported by the NASDAQ Stock Market, was $8.25 per share.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Performance Graph</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2018. The graph depicts the change in the value of our Class A Common Stock relative to the indices at the end of each fiscal year and not for any interim period. Historical stock price performance is not necessarily indicative of future stock price performance.</w:t>
      </w:r>
    </w:p>
    <w:p>
      <w:pPr>
        <w:pStyle w:val="TextBody"/>
        <w:bidi w:val="0"/>
        <w:spacing w:before="180" w:after="283"/>
        <w:jc w:val="center"/>
        <w:rPr/>
      </w:pPr>
      <w:r>
        <w:rPr/>
        <w:drawing>
          <wp:inline distT="0" distB="0" distL="0" distR="0">
            <wp:extent cx="6400800" cy="42862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6400800" cy="4286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tbl>
      <w:tblPr>
        <w:tblW w:w="5750" w:type="dxa"/>
        <w:jc w:val="center"/>
        <w:tblInd w:w="0" w:type="dxa"/>
        <w:tblLayout w:type="fixed"/>
        <w:tblCellMar>
          <w:top w:w="28" w:type="dxa"/>
          <w:left w:w="28" w:type="dxa"/>
          <w:bottom w:w="28" w:type="dxa"/>
          <w:right w:w="28" w:type="dxa"/>
        </w:tblCellMar>
      </w:tblPr>
      <w:tblGrid>
        <w:gridCol w:w="761"/>
        <w:gridCol w:w="666"/>
        <w:gridCol w:w="672"/>
        <w:gridCol w:w="199"/>
        <w:gridCol w:w="199"/>
        <w:gridCol w:w="203"/>
        <w:gridCol w:w="198"/>
        <w:gridCol w:w="198"/>
        <w:gridCol w:w="205"/>
        <w:gridCol w:w="198"/>
        <w:gridCol w:w="198"/>
        <w:gridCol w:w="205"/>
        <w:gridCol w:w="198"/>
        <w:gridCol w:w="198"/>
        <w:gridCol w:w="205"/>
        <w:gridCol w:w="198"/>
        <w:gridCol w:w="198"/>
        <w:gridCol w:w="205"/>
        <w:gridCol w:w="188"/>
        <w:gridCol w:w="188"/>
        <w:gridCol w:w="270"/>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Company Index</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2018</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2019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$60.37</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$47.01</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$70.75</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$72.06</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$77.10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Composite Index</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$99.42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$138.79</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$179.57</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$131.43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$164.29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Other Finance Index</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$111.30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$116.51</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$141.80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$97.71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$118.76</w:t>
            </w:r>
          </w:p>
        </w:tc>
      </w:tr>
    </w:tbl>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Share Repurchase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provides certain information about our repurchase of shares of Class A Non-voting Common Stock during the quarter ended September 30, 2023. All repurchases during the quarter were made in open market transactions at prevailing market prices and were executed pursuant to a trading plan under Rule 10b5-1 under the Securities Exchange Act of 1934.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6"/>
        <w:gridCol w:w="417"/>
        <w:gridCol w:w="421"/>
        <w:gridCol w:w="109"/>
        <w:gridCol w:w="109"/>
        <w:gridCol w:w="109"/>
        <w:gridCol w:w="459"/>
        <w:gridCol w:w="459"/>
        <w:gridCol w:w="461"/>
        <w:gridCol w:w="109"/>
        <w:gridCol w:w="109"/>
        <w:gridCol w:w="109"/>
        <w:gridCol w:w="109"/>
        <w:gridCol w:w="109"/>
        <w:gridCol w:w="285"/>
        <w:gridCol w:w="664"/>
        <w:gridCol w:w="172"/>
        <w:gridCol w:w="109"/>
        <w:gridCol w:w="109"/>
        <w:gridCol w:w="109"/>
        <w:gridCol w:w="728"/>
        <w:gridCol w:w="728"/>
        <w:gridCol w:w="730"/>
        <w:gridCol w:w="109"/>
        <w:gridCol w:w="109"/>
        <w:gridCol w:w="109"/>
        <w:gridCol w:w="499"/>
        <w:gridCol w:w="1581"/>
        <w:gridCol w:w="439"/>
      </w:tblGrid>
      <w:tr>
        <w:trPr/>
        <w:tc>
          <w:tcPr>
            <w:tcW w:w="6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846" w:type="dxa"/>
            <w:gridSpan w:val="6"/>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Approximate Dollar Value of Shares That May Yet Be Purchased Under the Programs (1)</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8"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846" w:type="dxa"/>
            <w:gridSpan w:val="6"/>
            <w:tcBorders/>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July 1, 2023 through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38,003 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 2023 through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37,036 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September 1, 2023 through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36,004 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Quarter ended 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351,399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36,004 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2879"/>
        <w:gridCol w:w="2879"/>
        <w:gridCol w:w="4082"/>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On May 3, 2022, the Board of Directors approved a share repurchase program, under which the Company is authorized to repurchase up to $50 million of our Class A Non-Voting common shares over a three-year period. Execution of the program will be responsive to fluctuating market conditions and valuations, liquidity needs and the expected return on investment compared to other opportunities.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2023.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supplement our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(in the case of constant currency) and our store operations (in the case of same store results)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fiscal years ended September 30, 2023 and 2022 were as follows:</w:t>
      </w:r>
    </w:p>
    <w:tbl>
      <w:tblPr>
        <w:tblW w:w="6295"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21"/>
        <w:gridCol w:w="121"/>
        <w:gridCol w:w="121"/>
        <w:gridCol w:w="210"/>
        <w:gridCol w:w="211"/>
        <w:gridCol w:w="136"/>
        <w:gridCol w:w="109"/>
        <w:gridCol w:w="109"/>
        <w:gridCol w:w="109"/>
        <w:gridCol w:w="109"/>
        <w:gridCol w:w="109"/>
        <w:gridCol w:w="326"/>
        <w:gridCol w:w="326"/>
        <w:gridCol w:w="326"/>
        <w:gridCol w:w="326"/>
        <w:gridCol w:w="328"/>
        <w:gridCol w:w="109"/>
        <w:gridCol w:w="109"/>
        <w:gridCol w:w="109"/>
        <w:gridCol w:w="210"/>
        <w:gridCol w:w="211"/>
        <w:gridCol w:w="18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Twelve Months Ended</w:t>
              <w:br/>
              <w:t>September 30,</w:t>
            </w:r>
          </w:p>
        </w:tc>
        <w:tc>
          <w:tcPr>
            <w:tcW w:w="935"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2023 vs. Fiscal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tables, as well as the discussion that follows, should be read in conjunction with the accompanying consolidated financial statements and related notes.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Summary Financial Data </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consolidated financial data for fiscal 2023 and fiscal 2022.</w:t>
      </w:r>
    </w:p>
    <w:tbl>
      <w:tblPr>
        <w:tblW w:w="7361" w:type="dxa"/>
        <w:jc w:val="left"/>
        <w:tblInd w:w="0" w:type="dxa"/>
        <w:tblLayout w:type="fixed"/>
        <w:tblCellMar>
          <w:top w:w="28" w:type="dxa"/>
          <w:left w:w="28" w:type="dxa"/>
          <w:bottom w:w="28" w:type="dxa"/>
          <w:right w:w="28" w:type="dxa"/>
        </w:tblCellMar>
      </w:tblPr>
      <w:tblGrid>
        <w:gridCol w:w="1270"/>
        <w:gridCol w:w="1119"/>
        <w:gridCol w:w="1121"/>
        <w:gridCol w:w="181"/>
        <w:gridCol w:w="646"/>
        <w:gridCol w:w="241"/>
        <w:gridCol w:w="109"/>
        <w:gridCol w:w="109"/>
        <w:gridCol w:w="109"/>
        <w:gridCol w:w="181"/>
        <w:gridCol w:w="646"/>
        <w:gridCol w:w="241"/>
        <w:gridCol w:w="109"/>
        <w:gridCol w:w="109"/>
        <w:gridCol w:w="109"/>
        <w:gridCol w:w="229"/>
        <w:gridCol w:w="229"/>
        <w:gridCol w:w="231"/>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220,667 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203,504 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Jewelry scrapping 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intangible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453,225 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non-operating expenses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40,517 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pawn earning assets: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pawn earning assets</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412,243 </w:t>
            </w:r>
          </w:p>
        </w:tc>
        <w:tc>
          <w:tcPr>
            <w:tcW w:w="24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361,624 </w:t>
            </w:r>
          </w:p>
        </w:tc>
        <w:tc>
          <w:tcPr>
            <w:tcW w:w="24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Pawn loans outstanding (“PLO”) increased $35.8 million (17%) to $245.8 million due to improved operational performance and continued strong pawn demand.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revenues increased $162.8 million (18%) and gross profit increased 15%, reflecting improved pawn service charge (“PSC”) revenue, merchandise sales and merchandise sales gross profit.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$62.9 million (20%) as a result of higher average PLO and yields. Merchandise sales increased $82.6 million (15%), driven primarily by our continued focus on customer engagement, pricing merchandise to maintain strong inventory turnover and an increase in stores. Merchandise sales gross margin remains within our targeted range at 36%.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increased $64.5 million (14%) primarily due to (a) a $61.2 million increase in store expenses as a result of increased labor in-line with store activity, higher store count and, to a lesser extent, expenses related to our loyalty program and (b) a $3.2 million increase in general and administrative expenses primarily due to an increase in costs related to incentive compensation, insurance and our Workday implementation, partially offset by the litigation accrual charge of $2.0 million recorded in the prior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non-operating expenses increased $33.3 million (462%), primarily due to the net loss on our share of losses in Cash Converters’ net results related to their non-cash goodwill impairment charge and interest expense. Interest expense increased $6.5 million, primarily driven by the net loss recorded on the partial extinguishments of the 2024 convertible notes and 2025 convertible notes, and higher average total debt outstanding at overall higher average effective interest rates due to the issuance of the 2029 convertible notes in December 2022. See Note 9: Debt of Notes to Consolidated Financial Statements included in “Part II, Item 8 — Financial Statements and Supplemental Data” for further discussion.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decreased $4.4 million primarily due to the decrease in income before income taxes of $16.1 million, offset by an increase in tax expense for the non-deductible loss realized on the refinancing of the convertible notes in the current year.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presents selected summary financial data from our U.S. Pawn segment: </w:t>
      </w:r>
    </w:p>
    <w:tbl>
      <w:tblPr>
        <w:tblW w:w="7168"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15"/>
        <w:gridCol w:w="215"/>
        <w:gridCol w:w="30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240,982 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164,704 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161,717 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 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68%</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88%</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405,766 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125%</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129,049 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129,051 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bl>
    <w:tbl>
      <w:tblPr>
        <w:tblW w:w="7526" w:type="dxa"/>
        <w:jc w:val="left"/>
        <w:tblInd w:w="0" w:type="dxa"/>
        <w:tblLayout w:type="fixed"/>
        <w:tblCellMar>
          <w:top w:w="28" w:type="dxa"/>
          <w:left w:w="28" w:type="dxa"/>
          <w:bottom w:w="28" w:type="dxa"/>
          <w:right w:w="28" w:type="dxa"/>
        </w:tblCellMar>
      </w:tblPr>
      <w:tblGrid>
        <w:gridCol w:w="124"/>
        <w:gridCol w:w="109"/>
        <w:gridCol w:w="109"/>
        <w:gridCol w:w="2097"/>
        <w:gridCol w:w="2097"/>
        <w:gridCol w:w="2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1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continued to increase, ending the year at $190.6 million, up 17% in total and 13% on a same store basis due to improved customer service and increased pawn demand.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16% and gross profit increased 12%, primarily due to increased PSC.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PSC increased 19% as a result of higher average PLO and yields.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10%, primarily driven by our continued focus on customer engagement and pricing merchandise to maintain strong inventory turnover. Offsetting the sales increase, merchandise sales gross margin decreased 300 bps to 38%, reflecting a return to normalized margins.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12% (10% on a same store basis), primarily due to increased labor in-line with store activity, higher store count and, to a lesser extent,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$17.5 million due to the changes described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segment net store count in our U.S. pawn segment increased by 14 due to the acquisition of 12 stores, the opening of 3 de novo stores and the consolidation of 1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from our Latin America Pawn segment, including constant currency results, after translation to U.S. dollars from functional currencies. See “Results of Operations — Non-GAAP Financial Information” above.</w:t>
      </w:r>
    </w:p>
    <w:tbl>
      <w:tblPr>
        <w:tblW w:w="10205" w:type="dxa"/>
        <w:jc w:val="left"/>
        <w:tblInd w:w="0" w:type="dxa"/>
        <w:tblLayout w:type="fixed"/>
        <w:tblCellMar>
          <w:top w:w="28" w:type="dxa"/>
          <w:left w:w="28" w:type="dxa"/>
          <w:bottom w:w="28" w:type="dxa"/>
          <w:right w:w="28" w:type="dxa"/>
        </w:tblCellMar>
      </w:tblPr>
      <w:tblGrid>
        <w:gridCol w:w="1104"/>
        <w:gridCol w:w="941"/>
        <w:gridCol w:w="943"/>
        <w:gridCol w:w="181"/>
        <w:gridCol w:w="571"/>
        <w:gridCol w:w="241"/>
        <w:gridCol w:w="109"/>
        <w:gridCol w:w="109"/>
        <w:gridCol w:w="109"/>
        <w:gridCol w:w="181"/>
        <w:gridCol w:w="571"/>
        <w:gridCol w:w="241"/>
        <w:gridCol w:w="109"/>
        <w:gridCol w:w="109"/>
        <w:gridCol w:w="109"/>
        <w:gridCol w:w="254"/>
        <w:gridCol w:w="254"/>
        <w:gridCol w:w="256"/>
        <w:gridCol w:w="109"/>
        <w:gridCol w:w="109"/>
        <w:gridCol w:w="109"/>
        <w:gridCol w:w="248"/>
        <w:gridCol w:w="785"/>
        <w:gridCol w:w="331"/>
        <w:gridCol w:w="109"/>
        <w:gridCol w:w="109"/>
        <w:gridCol w:w="109"/>
        <w:gridCol w:w="522"/>
        <w:gridCol w:w="522"/>
        <w:gridCol w:w="751"/>
      </w:tblGrid>
      <w:tr>
        <w:trPr/>
        <w:tc>
          <w:tcPr>
            <w:tcW w:w="110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b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 (Constant Currency)</w:t>
            </w:r>
          </w:p>
        </w:tc>
      </w:tr>
      <w:tr>
        <w:trPr/>
        <w:tc>
          <w:tcPr>
            <w:tcW w:w="2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90,605 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(226)%</w:t>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(1,400) bps</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(54)%</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141,641 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109,552 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28,158 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29,881 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2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Fiscal 2023 and 2022 constant currency amounts exclude net GAAP basis foreign currency transaction loss of $0.4 million and a minimal loss, respectively, resulting from movement in exchange rates.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r>
    </w:tbl>
    <w:tbl>
      <w:tblPr>
        <w:tblW w:w="5021" w:type="dxa"/>
        <w:jc w:val="left"/>
        <w:tblInd w:w="0" w:type="dxa"/>
        <w:tblLayout w:type="fixed"/>
        <w:tblCellMar>
          <w:top w:w="28" w:type="dxa"/>
          <w:left w:w="28" w:type="dxa"/>
          <w:bottom w:w="28" w:type="dxa"/>
          <w:right w:w="28" w:type="dxa"/>
        </w:tblCellMar>
      </w:tblPr>
      <w:tblGrid>
        <w:gridCol w:w="791"/>
        <w:gridCol w:w="697"/>
        <w:gridCol w:w="702"/>
        <w:gridCol w:w="324"/>
        <w:gridCol w:w="324"/>
        <w:gridCol w:w="326"/>
        <w:gridCol w:w="109"/>
        <w:gridCol w:w="109"/>
        <w:gridCol w:w="109"/>
        <w:gridCol w:w="447"/>
        <w:gridCol w:w="447"/>
        <w:gridCol w:w="636"/>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 Store data: (a)</w:t>
            </w:r>
          </w:p>
        </w:tc>
        <w:tc>
          <w:tcPr>
            <w:tcW w:w="9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tbl>
      <w:tblPr>
        <w:tblW w:w="5792"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39"/>
        <w:gridCol w:w="439"/>
        <w:gridCol w:w="439"/>
        <w:gridCol w:w="439"/>
        <w:gridCol w:w="439"/>
        <w:gridCol w:w="439"/>
        <w:gridCol w:w="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33"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54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Stores open at the end of the period included in the same store calculation were 651.</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improved to $55.1 million, up 19% (7% on constant currency basis). On a same store basis, PLO increased 16% (4% on a constant currency basis) as consumer demand increased.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were up 26% (16% on a constant currency basis), while gross profit increased by 25% (16% on a constant currency basis), primarily due to increased PSC, higher merchandise sales and improved gross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22% (13% on constant currency basis) as a result of higher average PLO and yields.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30% (19% on a constant currency basis) and 24% on a same store basis (14% on a constant currency basis). Merchandise sales increase was driven primarily by our continued focus on customer engagement, pricing merchandise to maintain strong inventory turnover and increase in stores. Merchandise sales gross margin increased 100 bps to 31%, within our target range.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$28.0 million, up 31% (20% on a constant currency basis), primarily due to increases in minimum wage and headcount, higher store count and, to a lesser extent, expenses related to our loyalty program and rent. Same-store expenses increased 26% (15% on a constant currency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was up 32% to $31.7 million (24% on a constant currency basis). This increase was primarily due to the reversal of contingent consideration liability in connection with a previously completed acquisition, which was recorded to “Other income,” and the changes in revenue and store expenses described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net store count in our Latin America pawn segment increased by 42 due to the opening of 44 de novo stores and the consolidation of 2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 and Cash Converters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Other Investments and Cash Converters segments after translation to U.S. dollars from its functional currency of primarily Australian dollars:</w:t>
      </w:r>
    </w:p>
    <w:tbl>
      <w:tblPr>
        <w:tblW w:w="6532" w:type="dxa"/>
        <w:jc w:val="left"/>
        <w:tblInd w:w="0" w:type="dxa"/>
        <w:tblLayout w:type="fixed"/>
        <w:tblCellMar>
          <w:top w:w="28" w:type="dxa"/>
          <w:left w:w="28" w:type="dxa"/>
          <w:bottom w:w="28" w:type="dxa"/>
          <w:right w:w="28" w:type="dxa"/>
        </w:tblCellMar>
      </w:tblPr>
      <w:tblGrid>
        <w:gridCol w:w="1270"/>
        <w:gridCol w:w="1118"/>
        <w:gridCol w:w="1122"/>
        <w:gridCol w:w="181"/>
        <w:gridCol w:w="616"/>
        <w:gridCol w:w="109"/>
        <w:gridCol w:w="109"/>
        <w:gridCol w:w="109"/>
        <w:gridCol w:w="109"/>
        <w:gridCol w:w="181"/>
        <w:gridCol w:w="496"/>
        <w:gridCol w:w="109"/>
        <w:gridCol w:w="109"/>
        <w:gridCol w:w="109"/>
        <w:gridCol w:w="109"/>
        <w:gridCol w:w="198"/>
        <w:gridCol w:w="198"/>
        <w:gridCol w:w="280"/>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and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(income) of unconsolidated affiliates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(loss) contribution</w:t>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(26,904)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w:t>
            </w:r>
          </w:p>
        </w:tc>
      </w:tr>
      <w:tr>
        <w:trPr/>
        <w:tc>
          <w:tcPr>
            <w:tcW w:w="351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(loss) contribution</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0" w:after="0"/>
        <w:jc w:val="left"/>
        <w:rPr/>
      </w:pPr>
      <w:r>
        <w:rPr>
          <w:rFonts w:ascii="Arial Narrow;sans-serif" w:hAnsi="Arial Narrow;sans-serif"/>
          <w:b w:val="false"/>
          <w:color w:val="000000"/>
          <w:sz w:val="20"/>
          <w:shd w:fill="FFFF00" w:val="clear"/>
        </w:rPr>
        <w:br/>
      </w:r>
      <w:r>
        <w:rPr>
          <w:rFonts w:ascii="Arial Narrow;sans-serif" w:hAnsi="Arial Narrow;sans-serif"/>
          <w:b w:val="false"/>
          <w:color w:val="000000"/>
          <w:sz w:val="20"/>
        </w:rPr>
        <w:t>Segment loss was $26.9 million, a decrease of $28.8 million, primarily due to the net loss on our share of Cash Converters’ net results related to their non-cash goodwill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including items that affect our consolidated financial results but are not allocated among segments:</w:t>
      </w:r>
    </w:p>
    <w:tbl>
      <w:tblPr>
        <w:tblW w:w="6547" w:type="dxa"/>
        <w:jc w:val="left"/>
        <w:tblInd w:w="0" w:type="dxa"/>
        <w:tblLayout w:type="fixed"/>
        <w:tblCellMar>
          <w:top w:w="28" w:type="dxa"/>
          <w:left w:w="28" w:type="dxa"/>
          <w:bottom w:w="28" w:type="dxa"/>
          <w:right w:w="28" w:type="dxa"/>
        </w:tblCellMar>
      </w:tblPr>
      <w:tblGrid>
        <w:gridCol w:w="1188"/>
        <w:gridCol w:w="1048"/>
        <w:gridCol w:w="1049"/>
        <w:gridCol w:w="181"/>
        <w:gridCol w:w="646"/>
        <w:gridCol w:w="109"/>
        <w:gridCol w:w="109"/>
        <w:gridCol w:w="109"/>
        <w:gridCol w:w="109"/>
        <w:gridCol w:w="181"/>
        <w:gridCol w:w="646"/>
        <w:gridCol w:w="109"/>
        <w:gridCol w:w="109"/>
        <w:gridCol w:w="109"/>
        <w:gridCol w:w="109"/>
        <w:gridCol w:w="215"/>
        <w:gridCol w:w="215"/>
        <w:gridCol w:w="306"/>
      </w:tblGrid>
      <w:tr>
        <w:trPr/>
        <w:tc>
          <w:tcPr>
            <w:tcW w:w="11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and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(156)%</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5303" w:type="dxa"/>
        <w:jc w:val="left"/>
        <w:tblInd w:w="0" w:type="dxa"/>
        <w:tblLayout w:type="fixed"/>
        <w:tblCellMar>
          <w:top w:w="28" w:type="dxa"/>
          <w:left w:w="28" w:type="dxa"/>
          <w:bottom w:w="28" w:type="dxa"/>
          <w:right w:w="28" w:type="dxa"/>
        </w:tblCellMar>
      </w:tblPr>
      <w:tblGrid>
        <w:gridCol w:w="124"/>
        <w:gridCol w:w="109"/>
        <w:gridCol w:w="109"/>
        <w:gridCol w:w="525"/>
        <w:gridCol w:w="525"/>
        <w:gridCol w:w="525"/>
        <w:gridCol w:w="525"/>
        <w:gridCol w:w="525"/>
        <w:gridCol w:w="525"/>
        <w:gridCol w:w="525"/>
        <w:gridCol w:w="525"/>
        <w:gridCol w:w="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decreased $3.7 million or 2%, primarily due to the net loss on our share of losses in Cash Converters’s net results related to their non-cash goodwill impairment charge, partially offset by the improved operating results of the segments above.</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$3.2 million (5%), primarily due to the impact related to the reversal of incentive compensation for the departed CEO in the prior year and to a lesser extent, an overall increase in incentive-based compensation, and costs primarily related to our Workday implementation, partially offset by the litigation accrual charge of $2.0 million recorded in the prior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increased $6.5 million (65%), primarily driven by the net loss recorded on the partial extinguishments of the 2024 convertible notes and 2025 convertible notes, and higher average total debt outstanding at overall higher average effective interest rates due to the issuance of the 2029 convertible notes during December 2022. See Note 9: Debt of Notes to Consolidated Financial Statements included in “Part II, Item 8 — Financial Statements and Supplemental Data” for further discussion.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increased $4.8 million, due primarily to our treasury management with increased market interest 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decreased $4.4 million primarily due to a decrease in income before income taxes of $16.1 million, offset by an increase in tax expense for the non-deductible loss realized on the refinancing of the convertible notes in the current year.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2022 vs. Fiscal 2021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Operations discussion for fiscal 2022 vs. fiscal 2021 is located in “Part II, Item 7 — Management’s Discussion and Analysis of Financial Condition and Results of Operations” of our Annual Report on Form 10-K for the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Cash and Cash Equivalents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cash and equivalents balance </w:t>
      </w:r>
      <w:r>
        <w:rPr>
          <w:rFonts w:ascii="Arial Narrow;sans-serif" w:hAnsi="Arial Narrow;sans-serif"/>
          <w:b w:val="false"/>
          <w:color w:val="000000"/>
          <w:sz w:val="20"/>
        </w:rPr>
        <w:t>was $220.6 million at September 30, 2023 compared to $206.0 million at September 30, 2022. Our cash and equivalents</w:t>
      </w:r>
      <w:r>
        <w:rPr>
          <w:color w:val="000000"/>
          <w:shd w:fill="FFFFFF" w:val="clear"/>
        </w:rPr>
        <w:t xml:space="preserve"> </w:t>
      </w:r>
      <w:r>
        <w:rPr>
          <w:rFonts w:ascii="Arial Narrow;sans-serif" w:hAnsi="Arial Narrow;sans-serif"/>
          <w:b w:val="false"/>
          <w:color w:val="000000"/>
          <w:sz w:val="20"/>
          <w:shd w:fill="FFFFFF" w:val="clear"/>
        </w:rPr>
        <w:t>were held in cash depository accounts with major banks or invested in high quality, short-term liquid investments.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 a summary of the sources and uses of our cash:</w:t>
      </w:r>
    </w:p>
    <w:tbl>
      <w:tblPr>
        <w:tblW w:w="8496" w:type="dxa"/>
        <w:jc w:val="left"/>
        <w:tblInd w:w="0" w:type="dxa"/>
        <w:tblLayout w:type="fixed"/>
        <w:tblCellMar>
          <w:top w:w="28" w:type="dxa"/>
          <w:left w:w="28" w:type="dxa"/>
          <w:bottom w:w="28" w:type="dxa"/>
          <w:right w:w="28" w:type="dxa"/>
        </w:tblCellMar>
      </w:tblPr>
      <w:tblGrid>
        <w:gridCol w:w="1925"/>
        <w:gridCol w:w="1696"/>
        <w:gridCol w:w="1703"/>
        <w:gridCol w:w="181"/>
        <w:gridCol w:w="646"/>
        <w:gridCol w:w="109"/>
        <w:gridCol w:w="109"/>
        <w:gridCol w:w="109"/>
        <w:gridCol w:w="109"/>
        <w:gridCol w:w="181"/>
        <w:gridCol w:w="616"/>
        <w:gridCol w:w="109"/>
        <w:gridCol w:w="109"/>
        <w:gridCol w:w="109"/>
        <w:gridCol w:w="109"/>
        <w:gridCol w:w="198"/>
        <w:gridCol w:w="198"/>
        <w:gridCol w:w="280"/>
      </w:tblGrid>
      <w:tr>
        <w:trPr/>
        <w:tc>
          <w:tcPr>
            <w:tcW w:w="192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18"/>
              </w:rPr>
              <w:br/>
            </w:r>
            <w:r>
              <w:rPr>
                <w:rFonts w:ascii="Arial Narrow;sans-serif" w:hAnsi="Arial Narrow;sans-serif"/>
                <w:b/>
                <w:color w:val="000000"/>
                <w:sz w:val="18"/>
              </w:rPr>
              <w:t>Change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53%</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(113)%</w:t>
            </w:r>
          </w:p>
        </w:tc>
      </w:tr>
      <w:tr>
        <w:trPr/>
        <w:tc>
          <w:tcPr>
            <w:tcW w:w="532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 and restricted cash</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(49,255)</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$35.3 million increase in cash flows provided by operating activities was primarily due to an increase in net income (when considering adjustments for non-cash items affecting net income) as well as changes in working capital primarily related to the timing of payments of income taxes, inventory, prepaid expenses and accounts payable.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$2.4 million decrease in cash flows used in investing activities was primarily due to an increase of $33.4 million in net pawn lending outflows and a $29.8 million net increase in cash flows used to fund acquisitions, strategic investments and capital expenditures, the largest of which is $15.0 million related to a note receivable from Founders, as discussed in Note 5: Strategic Investments in Notes to Consolidated Financial Statements included in “Part II, Item 8 — Financial Statements and Supplemental Data.” These were offset by a $61.9 million increase in cash inflows from the sale of forfeited collateral.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$26.5 million increase in cash flows provided by financing activities was primarily related to the December 2022 financing of the 2029 Convertible Notes, in which we issued $230.0 million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Further, the Company repurchased and retired 1,389,102 shares of our Class A Common Stock for $12.0 million under the Common Stock Repurchase Program during the fiscal year ended September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net effect of these changes was a $14.6 million increase in cash on hand during the current year, resulting in a $229.0 million ending cash and restricted cash balance.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9: Debt of Notes to Consolidated Financial Statements included in “Part II, Item 8 — Financial Statements and Supplemental Data.” The shares repurchased in conjunction with the transactions discussed above were authorized separately from, and not considered part of, the publicly announced share repurchase program referred to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May 2022, our Board of Directors (the “Board”) authorized the repurchase of up to $50 million of our Class A Common Stock over 3 years. Execution of the program will be responsive to fluctuating market conditions and valuations, liquidity needs and the expected return on investment compared to other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 Through September 30, 2023, we have repurchased and retired 1,627,045 shares of our Class A Common Stock for $14.0 million, which amount was allocated between “Additional paid-in capital” and “Retained earnings” in our Consolidated Balance Sheets.</w:t>
      </w:r>
    </w:p>
    <w:p>
      <w:pPr>
        <w:pStyle w:val="TextBody"/>
        <w:bidi w:val="0"/>
        <w:spacing w:lineRule="auto" w:line="288" w:before="180" w:after="283"/>
        <w:jc w:val="left"/>
        <w:rPr/>
      </w:pPr>
      <w:r>
        <w:rPr>
          <w:rFonts w:ascii="Arial Narrow;sans-serif" w:hAnsi="Arial Narrow;sans-serif"/>
          <w:b w:val="false"/>
          <w:color w:val="000000"/>
          <w:sz w:val="20"/>
        </w:rPr>
        <w:t xml:space="preserve">We anticipate that cash flows from operations and cash on hand will be adequate to fund ongoing operations, deb service requirements, tax payments, any future stock repurchases, strategic investments, our contractual obligations, planned de novo store growth, capital expenditures and working capital requirements through fiscal 2024.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rPr>
        <w:t>Depending on the level of acquisition activity and other factors, our ability to repay our longer term debt obligations, including the convertible debt maturing in 2024, 2025 and 2029, may require us to refinance these obligations through the issuance of new debt securities, equity securities, convertible securities or through new credit facilities.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description of the terms of our convertible notes, including the associated conversion and other related features and transactions, see Note 9: Debt of Notes to Consolidated Financial Statements included in “Part II, Item 8 — Financial Statements and Supplemental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Below is a summary of our cash needs to meet future aggregate contractual obligations as of September 30, 2023:</w:t>
      </w:r>
    </w:p>
    <w:tbl>
      <w:tblPr>
        <w:tblW w:w="8402" w:type="dxa"/>
        <w:jc w:val="left"/>
        <w:tblInd w:w="0" w:type="dxa"/>
        <w:tblLayout w:type="fixed"/>
        <w:tblCellMar>
          <w:top w:w="28" w:type="dxa"/>
          <w:left w:w="28" w:type="dxa"/>
          <w:bottom w:w="28" w:type="dxa"/>
          <w:right w:w="28" w:type="dxa"/>
        </w:tblCellMar>
      </w:tblPr>
      <w:tblGrid>
        <w:gridCol w:w="884"/>
        <w:gridCol w:w="778"/>
        <w:gridCol w:w="782"/>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Payments due by Period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Less than</w:t>
              <w:br/>
              <w:t>1 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1-3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3-5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More than</w:t>
              <w:br/>
              <w:t>5 years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obligations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long-term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obligations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 (d)</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736,572 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122,501 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246,090 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86,608 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281,373 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Excludes debt discount and deferred financing costs as well as convertible features.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Excludes $6.7 million in sublease payments expected to be received.</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    No provision for uncertain tax benefits has been reflected in the contractual obligations table as the timing of any such payment is uncertain. See Note 11: Income Taxes of Notes to Consolidated Financial Statements included in “Part II, Item 8 — Financial Statements and Supplemental Data.” Additionally, no provision for insurance reserves, deferred compensation arrangements, or other liabilities totaling $6.6 million has been included as the timing of such payments are uncertain.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(d)    Total excludes contractual obligations already recorded on our consolidated balance sheets as current liabilities, except for the accrued portions of interest and lease obligations which are included in interest on long-term debt obligations and lease obligations captions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lease obligations in the table above, we are responsible for the maintenance, property taxes and insurance at most of our locations. During the fiscal year ended September 30, 2023, these collectively amounted to $16.3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Critical Accounting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goodwill and indefinite-lived intangible assets, long-lived and other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critical accounting policies and estimates that could have a significant impact on our results of operations, as well as relevant recent accounting pronouncements, are described in Note 1: Organization and Summary of Significant Accounting Policies of Notes to Consolidated Financial Statements included in “Part II, Item 8 — Financial Statements and Supplemental Data.” Certain accounting policies regarding the quantification of the sensitivity of certain critical estimates are discussed further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2023, the balance of our PSC receivable was $38.9 million. Assuming the average forfeiture rate increased or decreased by 10%, our pawn service charges receivable balance as of September 30, 2023 would have increased or decreased by approximately $1.2 million.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our estimates of obsolete or slow-moving inventory and shrinkage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pertaining to jewelry inventory depending on the current price of gold and resulting trends in margins. Future declines in gold prices may cause an increase in reserve rates pertaining to jewelry inventory. As of September 30, 2023, the gross balance of our inventory was $169.1 million, for which we have included reserves of $2.7 million. Assuming the reserve rates were increased or decreased by 10%, our inventory reserve balance as of September 30, 2023 would have increased or decreased by approximately $0.3 million.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the qualitative assessment that it is more-likely-than-not that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assessment of the occurrence of triggering events or substantive changes in circumstances that may indicate the fair value of goodwill may be impaired to be a critical estimate. Furthermore, we consider the assumptions discussed above pertaining to the income approach we use in the quantitative testing of impairment to be critical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the impairment analyses for fiscal year 2023 and fiscal year 2022 are discussed in Note 8: Goodwill and Intangible Assets of Notes to Consolidated Financial Statements included in “Part II, Item 8 — Financial Statements and Supplemental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the earnings of certain non-U.S. subsidiaries to be indefinitely invested outside the U.S.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Changes in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Negative characterizations of our industry;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Concentration of business in Texas and Florida;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gold prices or volumes;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sales, pawn loan balances, sales margins, pawn redemption rates or other important operating metrics;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continue growing our store count through acquisitions and de novo openings;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Continuing indemnification obligations for pre-closing taxes related to our sale of Grupo Finmart;</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controlled ownership structure;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regulatory fines and penalties, lawsuits and related liabilities related to firearms business;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robberies, burglaries and other crimes at our stores;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competitive landscape;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design or acquire, deploy and maintain adequate information technology and other business systems;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Failure to achieve adequate return on investments;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uninsured property, casualty or other losses;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natural disasters;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Financial statement impact of potential impairment of goodwill or other intangible assets such as trade names;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conversion of Convertible Notes into cash (which could adversely affect liquidity) or stock (which will cause dilution of existing stockholders);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Limited number of unreserved shares available for future issuance;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Public health issues that could adversely affect our financial condition or results of operations;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business, regulatory, political or social climate in Latin America;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foreign currency exchange rates;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The outcome of future litigation and regulatory proceedings;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disruptive effect of acquisitions, investments and new businesses;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exposure under anti-corruption, anti-bribery, anti-money laundering and other general business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liquidity, capital requirements or access to debt and capital markets;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data security breaches or other cyber-attacks;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civil unrest or government overthrow and other events beyond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discussion of these important risk factors, see “Part I, Item 1A —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7A. QUANTITATIVE AND QUALITATIVE DISCLOSURES ABOUT MARKET RISK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Risk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exposed to market risk related primarily to gold values and changes in foreign currency exchange rates.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translation adjustment from Cash Converters through June 30, 2023 (included in our September 30, 2023 results on a three-month lag) was a $4.4 million increase to stockholders’ equity, excluding income tax impacts. As of September 30, 2023, $1.00 Australian dollar was essentially flat at $0.6452 U.S. as compared to $0.6480 in the prior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translation adjustment from Latin America primarily representing the change of the Mexican peso during the fiscal year ended September 30, 2023 was a $20.9 million increase to stockholders’ equity. As of September 30, 2023, the Mexican peso strengthened approximately 16% to $1.00 Mexican to $0.0574 U.S. from $0.0495 U.S. as of September 30, 2022. As of September 30, 2023, the Guatemalan quetzal strengthened approximately 5% Q1.00 Guatemalan to $0.1302 U.S. from $0.1243 U.S. as of September 30, 2022. We have currently assumed indefinite reinvestment of earnings and capital in Latin America. Accumulated translation gains or losses related to any future repatriation of earnings or capital would impact our earnings in the period of repatriation.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To a lesser degree, our operations are affected by fluctuations in the exchange rate of the Honduran lempira.</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cannot predict the future valuation of foreign currencies or how further movements in exchange rates could affect our future earnings or financial position due to the interrelationship of operating results and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8. FINANCIAL STATEMENTS AND SUPPLEMENTARY DATA</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Consolidated Financial Statements</w:t>
      </w:r>
    </w:p>
    <w:tbl>
      <w:tblPr>
        <w:tblW w:w="9195" w:type="dxa"/>
        <w:jc w:val="left"/>
        <w:tblInd w:w="0" w:type="dxa"/>
        <w:tblLayout w:type="fixed"/>
        <w:tblCellMar>
          <w:top w:w="28" w:type="dxa"/>
          <w:left w:w="28" w:type="dxa"/>
          <w:bottom w:w="28" w:type="dxa"/>
          <w:right w:w="28" w:type="dxa"/>
        </w:tblCellMar>
      </w:tblPr>
      <w:tblGrid>
        <w:gridCol w:w="3133"/>
        <w:gridCol w:w="2743"/>
        <w:gridCol w:w="2793"/>
        <w:gridCol w:w="154"/>
        <w:gridCol w:w="154"/>
        <w:gridCol w:w="218"/>
      </w:tblGrid>
      <w:tr>
        <w:trPr/>
        <w:tc>
          <w:tcPr>
            <w:tcW w:w="313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18">
              <w:r>
                <w:rPr>
                  <w:rStyle w:val="InternetLink"/>
                  <w:rFonts w:ascii="Arial Narrow;sans-serif" w:hAnsi="Arial Narrow;sans-serif"/>
                  <w:b w:val="false"/>
                  <w:color w:val="000080"/>
                  <w:sz w:val="20"/>
                  <w:u w:val="single"/>
                </w:rPr>
                <w:t xml:space="preserve">Report of Independent Registered Public Accounting Firm (BDO USA, </w:t>
              </w:r>
            </w:hyperlink>
            <w:hyperlink w:anchor="i344145f0e3ac4919ba563ac29ddc2b36_118">
              <w:r>
                <w:rPr>
                  <w:rStyle w:val="InternetLink"/>
                  <w:rFonts w:ascii="Arial Narrow;sans-serif" w:hAnsi="Arial Narrow;sans-serif"/>
                  <w:b w:val="false"/>
                  <w:color w:val="000080"/>
                  <w:sz w:val="20"/>
                  <w:u w:val="single"/>
                </w:rPr>
                <w:t>P.C.</w:t>
              </w:r>
            </w:hyperlink>
            <w:hyperlink w:anchor="i344145f0e3ac4919ba563ac29ddc2b36_118">
              <w:r>
                <w:rPr>
                  <w:rStyle w:val="InternetLink"/>
                  <w:rFonts w:ascii="Arial Narrow;sans-serif" w:hAnsi="Arial Narrow;sans-serif"/>
                  <w:b w:val="false"/>
                  <w:color w:val="000080"/>
                  <w:sz w:val="20"/>
                  <w:u w:val="single"/>
                </w:rPr>
                <w:t>; Dallas, Texas; PCAOB ID #</w:t>
              </w:r>
            </w:hyperlink>
            <w:r>
              <w:rPr>
                <w:rFonts w:ascii="Arial Narrow;sans-serif" w:hAnsi="Arial Narrow;sans-serif"/>
                <w:b w:val="false"/>
                <w:color w:val="0000FF"/>
                <w:sz w:val="20"/>
                <w:u w:val="single"/>
              </w:rPr>
              <w:t>243)</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18">
              <w:r>
                <w:rPr>
                  <w:rStyle w:val="InternetLink"/>
                  <w:rFonts w:ascii="Arial Narrow;sans-serif" w:hAnsi="Arial Narrow;sans-serif"/>
                  <w:b w:val="false"/>
                  <w:color w:val="0000FF"/>
                  <w:sz w:val="20"/>
                  <w:u w:val="single"/>
                </w:rPr>
                <w:t>38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21">
              <w:r>
                <w:rPr>
                  <w:rStyle w:val="InternetLink"/>
                  <w:rFonts w:ascii="Arial Narrow;sans-serif" w:hAnsi="Arial Narrow;sans-serif"/>
                  <w:b w:val="false"/>
                  <w:color w:val="0000FF"/>
                  <w:sz w:val="20"/>
                  <w:u w:val="single"/>
                </w:rPr>
                <w:t>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21">
              <w:r>
                <w:rPr>
                  <w:rStyle w:val="InternetLink"/>
                  <w:rFonts w:ascii="Arial Narrow;sans-serif" w:hAnsi="Arial Narrow;sans-serif"/>
                  <w:b w:val="false"/>
                  <w:color w:val="0000FF"/>
                  <w:sz w:val="20"/>
                  <w:u w:val="single"/>
                </w:rPr>
                <w:t>Consolidated Balance Sheets as of September 30, 2023 and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21">
              <w:r>
                <w:rPr>
                  <w:rStyle w:val="InternetLink"/>
                  <w:rFonts w:ascii="Arial Narrow;sans-serif" w:hAnsi="Arial Narrow;sans-serif"/>
                  <w:b w:val="false"/>
                  <w:color w:val="0000FF"/>
                  <w:sz w:val="20"/>
                  <w:u w:val="single"/>
                </w:rPr>
                <w:t>40</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27">
              <w:r>
                <w:rPr>
                  <w:rStyle w:val="InternetLink"/>
                  <w:rFonts w:ascii="Arial Narrow;sans-serif" w:hAnsi="Arial Narrow;sans-serif"/>
                  <w:b w:val="false"/>
                  <w:color w:val="0000FF"/>
                  <w:sz w:val="20"/>
                  <w:u w:val="single"/>
                </w:rPr>
                <w:t>Consolidated Statements of Operations for each of the three years ended September 30, 2023, 2022 and 2021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27">
              <w:r>
                <w:rPr>
                  <w:rStyle w:val="InternetLink"/>
                  <w:rFonts w:ascii="Arial Narrow;sans-serif" w:hAnsi="Arial Narrow;sans-serif"/>
                  <w:b w:val="false"/>
                  <w:color w:val="0000FF"/>
                  <w:sz w:val="20"/>
                  <w:u w:val="single"/>
                </w:rPr>
                <w:t>41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30">
              <w:r>
                <w:rPr>
                  <w:rStyle w:val="InternetLink"/>
                  <w:rFonts w:ascii="Arial Narrow;sans-serif" w:hAnsi="Arial Narrow;sans-serif"/>
                  <w:b w:val="false"/>
                  <w:color w:val="0000FF"/>
                  <w:sz w:val="20"/>
                  <w:u w:val="single"/>
                </w:rPr>
                <w:t>Consolidated Statements of Comprehensive Income for three years ended September 30, 2023, 2022 and 2021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30">
              <w:r>
                <w:rPr>
                  <w:rStyle w:val="InternetLink"/>
                  <w:rFonts w:ascii="Arial Narrow;sans-serif" w:hAnsi="Arial Narrow;sans-serif"/>
                  <w:b w:val="false"/>
                  <w:color w:val="0000FF"/>
                  <w:sz w:val="20"/>
                  <w:u w:val="single"/>
                </w:rPr>
                <w:t>42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36">
              <w:r>
                <w:rPr>
                  <w:rStyle w:val="InternetLink"/>
                  <w:rFonts w:ascii="Arial Narrow;sans-serif" w:hAnsi="Arial Narrow;sans-serif"/>
                  <w:b w:val="false"/>
                  <w:color w:val="0000FF"/>
                  <w:sz w:val="20"/>
                  <w:u w:val="single"/>
                </w:rPr>
                <w:t>Consolidated Statements of Stockholders’ Equity for each of the three years ended September 30, 2023, 2022 and 2021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36">
              <w:r>
                <w:rPr>
                  <w:rStyle w:val="InternetLink"/>
                  <w:rFonts w:ascii="Arial Narrow;sans-serif" w:hAnsi="Arial Narrow;sans-serif"/>
                  <w:b w:val="false"/>
                  <w:color w:val="0000FF"/>
                  <w:sz w:val="20"/>
                  <w:u w:val="single"/>
                </w:rPr>
                <w:t>43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39">
              <w:r>
                <w:rPr>
                  <w:rStyle w:val="InternetLink"/>
                  <w:rFonts w:ascii="Arial Narrow;sans-serif" w:hAnsi="Arial Narrow;sans-serif"/>
                  <w:b w:val="false"/>
                  <w:color w:val="0000FF"/>
                  <w:sz w:val="20"/>
                  <w:u w:val="single"/>
                </w:rPr>
                <w:t>Consolidated Statements of Cash Flows for each of the three years ended September 30, 2023, 2022 and 2021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39">
              <w:r>
                <w:rPr>
                  <w:rStyle w:val="InternetLink"/>
                  <w:rFonts w:ascii="Arial Narrow;sans-serif" w:hAnsi="Arial Narrow;sans-serif"/>
                  <w:b w:val="false"/>
                  <w:color w:val="0000FF"/>
                  <w:sz w:val="20"/>
                  <w:u w:val="single"/>
                </w:rPr>
                <w:t>44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42">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42">
              <w:r>
                <w:rPr>
                  <w:rStyle w:val="InternetLink"/>
                  <w:rFonts w:ascii="Arial Narrow;sans-serif" w:hAnsi="Arial Narrow;sans-serif"/>
                  <w:b w:val="false"/>
                  <w:color w:val="0000FF"/>
                  <w:sz w:val="20"/>
                  <w:u w:val="single"/>
                </w:rPr>
                <w:t>45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45">
              <w:r>
                <w:rPr>
                  <w:rStyle w:val="InternetLink"/>
                  <w:rFonts w:ascii="Arial Narrow;sans-serif" w:hAnsi="Arial Narrow;sans-serif"/>
                  <w:b w:val="false"/>
                  <w:color w:val="0000FF"/>
                  <w:sz w:val="20"/>
                  <w:u w:val="single"/>
                </w:rPr>
                <w:t>Note 1: Organization and Summary of Significant Accounting Policies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45">
              <w:r>
                <w:rPr>
                  <w:rStyle w:val="InternetLink"/>
                  <w:rFonts w:ascii="Arial Narrow;sans-serif" w:hAnsi="Arial Narrow;sans-serif"/>
                  <w:b w:val="false"/>
                  <w:color w:val="0000FF"/>
                  <w:sz w:val="20"/>
                  <w:u w:val="single"/>
                </w:rPr>
                <w:t>45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48">
              <w:r>
                <w:rPr>
                  <w:rStyle w:val="InternetLink"/>
                  <w:rFonts w:ascii="Arial Narrow;sans-serif" w:hAnsi="Arial Narrow;sans-serif"/>
                  <w:b w:val="false"/>
                  <w:color w:val="0000FF"/>
                  <w:sz w:val="20"/>
                  <w:u w:val="single"/>
                </w:rPr>
                <w:t>Note 2: Other Charges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48">
              <w:r>
                <w:rPr>
                  <w:rStyle w:val="InternetLink"/>
                  <w:rFonts w:ascii="Arial Narrow;sans-serif" w:hAnsi="Arial Narrow;sans-serif"/>
                  <w:b w:val="false"/>
                  <w:color w:val="0000FF"/>
                  <w:sz w:val="20"/>
                  <w:u w:val="single"/>
                </w:rPr>
                <w:t>51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51">
              <w:r>
                <w:rPr>
                  <w:rStyle w:val="InternetLink"/>
                  <w:rFonts w:ascii="Arial Narrow;sans-serif" w:hAnsi="Arial Narrow;sans-serif"/>
                  <w:b w:val="false"/>
                  <w:color w:val="0000FF"/>
                  <w:sz w:val="20"/>
                  <w:u w:val="single"/>
                </w:rPr>
                <w:t>Note 3: Acquisitions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51">
              <w:r>
                <w:rPr>
                  <w:rStyle w:val="InternetLink"/>
                  <w:rFonts w:ascii="Arial Narrow;sans-serif" w:hAnsi="Arial Narrow;sans-serif"/>
                  <w:b w:val="false"/>
                  <w:color w:val="0000FF"/>
                  <w:sz w:val="20"/>
                  <w:u w:val="single"/>
                </w:rPr>
                <w:t>52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54">
              <w:r>
                <w:rPr>
                  <w:rStyle w:val="InternetLink"/>
                  <w:rFonts w:ascii="Arial Narrow;sans-serif" w:hAnsi="Arial Narrow;sans-serif"/>
                  <w:b w:val="false"/>
                  <w:color w:val="0000FF"/>
                  <w:sz w:val="20"/>
                  <w:u w:val="single"/>
                </w:rPr>
                <w:t>Note 4: Earnings Per Share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54">
              <w:r>
                <w:rPr>
                  <w:rStyle w:val="InternetLink"/>
                  <w:rFonts w:ascii="Arial Narrow;sans-serif" w:hAnsi="Arial Narrow;sans-serif"/>
                  <w:b w:val="false"/>
                  <w:color w:val="0000FF"/>
                  <w:sz w:val="20"/>
                  <w:u w:val="single"/>
                </w:rPr>
                <w:t>54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57">
              <w:r>
                <w:rPr>
                  <w:rStyle w:val="InternetLink"/>
                  <w:rFonts w:ascii="Arial Narrow;sans-serif" w:hAnsi="Arial Narrow;sans-serif"/>
                  <w:b w:val="false"/>
                  <w:color w:val="000080"/>
                  <w:sz w:val="20"/>
                  <w:u w:val="single"/>
                </w:rPr>
                <w:t xml:space="preserve">Note </w:t>
              </w:r>
            </w:hyperlink>
            <w:hyperlink w:anchor="i344145f0e3ac4919ba563ac29ddc2b36_157">
              <w:r>
                <w:rPr>
                  <w:rStyle w:val="InternetLink"/>
                  <w:rFonts w:ascii="Arial Narrow;sans-serif" w:hAnsi="Arial Narrow;sans-serif"/>
                  <w:b w:val="false"/>
                  <w:color w:val="000080"/>
                  <w:sz w:val="20"/>
                  <w:u w:val="single"/>
                </w:rPr>
                <w:t>5</w:t>
              </w:r>
            </w:hyperlink>
            <w:hyperlink w:anchor="i344145f0e3ac4919ba563ac29ddc2b36_157">
              <w:r>
                <w:rPr>
                  <w:rStyle w:val="InternetLink"/>
                  <w:rFonts w:ascii="Arial Narrow;sans-serif" w:hAnsi="Arial Narrow;sans-serif"/>
                  <w:b w:val="false"/>
                  <w:color w:val="000080"/>
                  <w:sz w:val="20"/>
                  <w:u w:val="single"/>
                </w:rPr>
                <w:t>: Strategic Investments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57">
              <w:r>
                <w:rPr>
                  <w:rStyle w:val="InternetLink"/>
                  <w:rFonts w:ascii="Arial Narrow;sans-serif" w:hAnsi="Arial Narrow;sans-serif"/>
                  <w:b w:val="false"/>
                  <w:color w:val="0000FF"/>
                  <w:sz w:val="20"/>
                  <w:u w:val="single"/>
                </w:rPr>
                <w:t>55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60">
              <w:r>
                <w:rPr>
                  <w:rStyle w:val="InternetLink"/>
                  <w:rFonts w:ascii="Arial Narrow;sans-serif" w:hAnsi="Arial Narrow;sans-serif"/>
                  <w:b w:val="false"/>
                  <w:color w:val="000080"/>
                  <w:sz w:val="20"/>
                  <w:u w:val="single"/>
                </w:rPr>
                <w:t xml:space="preserve">Note </w:t>
              </w:r>
            </w:hyperlink>
            <w:hyperlink w:anchor="i344145f0e3ac4919ba563ac29ddc2b36_160">
              <w:r>
                <w:rPr>
                  <w:rStyle w:val="InternetLink"/>
                  <w:rFonts w:ascii="Arial Narrow;sans-serif" w:hAnsi="Arial Narrow;sans-serif"/>
                  <w:b w:val="false"/>
                  <w:color w:val="000080"/>
                  <w:sz w:val="20"/>
                  <w:u w:val="single"/>
                </w:rPr>
                <w:t>6</w:t>
              </w:r>
            </w:hyperlink>
            <w:hyperlink w:anchor="i344145f0e3ac4919ba563ac29ddc2b36_160">
              <w:r>
                <w:rPr>
                  <w:rStyle w:val="InternetLink"/>
                  <w:rFonts w:ascii="Arial Narrow;sans-serif" w:hAnsi="Arial Narrow;sans-serif"/>
                  <w:b w:val="false"/>
                  <w:color w:val="000080"/>
                  <w:sz w:val="20"/>
                  <w:u w:val="single"/>
                </w:rPr>
                <w:t>: Fair Value Measurements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60">
              <w:r>
                <w:rPr>
                  <w:rStyle w:val="InternetLink"/>
                  <w:rFonts w:ascii="Arial Narrow;sans-serif" w:hAnsi="Arial Narrow;sans-serif"/>
                  <w:b w:val="false"/>
                  <w:color w:val="0000FF"/>
                  <w:sz w:val="20"/>
                  <w:u w:val="single"/>
                </w:rPr>
                <w:t>56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63">
              <w:r>
                <w:rPr>
                  <w:rStyle w:val="InternetLink"/>
                  <w:rFonts w:ascii="Arial Narrow;sans-serif" w:hAnsi="Arial Narrow;sans-serif"/>
                  <w:b w:val="false"/>
                  <w:color w:val="000080"/>
                  <w:sz w:val="20"/>
                  <w:u w:val="single"/>
                </w:rPr>
                <w:t xml:space="preserve">Note </w:t>
              </w:r>
            </w:hyperlink>
            <w:hyperlink w:anchor="i344145f0e3ac4919ba563ac29ddc2b36_163">
              <w:r>
                <w:rPr>
                  <w:rStyle w:val="InternetLink"/>
                  <w:rFonts w:ascii="Arial Narrow;sans-serif" w:hAnsi="Arial Narrow;sans-serif"/>
                  <w:b w:val="false"/>
                  <w:color w:val="000080"/>
                  <w:sz w:val="20"/>
                  <w:u w:val="single"/>
                </w:rPr>
                <w:t>7</w:t>
              </w:r>
            </w:hyperlink>
            <w:hyperlink w:anchor="i344145f0e3ac4919ba563ac29ddc2b36_163">
              <w:r>
                <w:rPr>
                  <w:rStyle w:val="InternetLink"/>
                  <w:rFonts w:ascii="Arial Narrow;sans-serif" w:hAnsi="Arial Narrow;sans-serif"/>
                  <w:b w:val="false"/>
                  <w:color w:val="000080"/>
                  <w:sz w:val="20"/>
                  <w:u w:val="single"/>
                </w:rPr>
                <w:t>: Property and Equipment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63">
              <w:r>
                <w:rPr>
                  <w:rStyle w:val="InternetLink"/>
                  <w:rFonts w:ascii="Arial Narrow;sans-serif" w:hAnsi="Arial Narrow;sans-serif"/>
                  <w:b w:val="false"/>
                  <w:color w:val="0000FF"/>
                  <w:sz w:val="20"/>
                  <w:u w:val="single"/>
                </w:rPr>
                <w:t>56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66">
              <w:r>
                <w:rPr>
                  <w:rStyle w:val="InternetLink"/>
                  <w:rFonts w:ascii="Arial Narrow;sans-serif" w:hAnsi="Arial Narrow;sans-serif"/>
                  <w:b w:val="false"/>
                  <w:color w:val="000080"/>
                  <w:sz w:val="20"/>
                  <w:u w:val="single"/>
                </w:rPr>
                <w:t xml:space="preserve">Note </w:t>
              </w:r>
            </w:hyperlink>
            <w:hyperlink w:anchor="i344145f0e3ac4919ba563ac29ddc2b36_166">
              <w:r>
                <w:rPr>
                  <w:rStyle w:val="InternetLink"/>
                  <w:rFonts w:ascii="Arial Narrow;sans-serif" w:hAnsi="Arial Narrow;sans-serif"/>
                  <w:b w:val="false"/>
                  <w:color w:val="000080"/>
                  <w:sz w:val="20"/>
                  <w:u w:val="single"/>
                </w:rPr>
                <w:t>8</w:t>
              </w:r>
            </w:hyperlink>
            <w:hyperlink w:anchor="i344145f0e3ac4919ba563ac29ddc2b36_166">
              <w:r>
                <w:rPr>
                  <w:rStyle w:val="InternetLink"/>
                  <w:rFonts w:ascii="Arial Narrow;sans-serif" w:hAnsi="Arial Narrow;sans-serif"/>
                  <w:b w:val="false"/>
                  <w:color w:val="000080"/>
                  <w:sz w:val="20"/>
                  <w:u w:val="single"/>
                </w:rPr>
                <w:t>: Goodwill and Intangible Assets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66">
              <w:r>
                <w:rPr>
                  <w:rStyle w:val="InternetLink"/>
                  <w:rFonts w:ascii="Arial Narrow;sans-serif" w:hAnsi="Arial Narrow;sans-serif"/>
                  <w:b w:val="false"/>
                  <w:color w:val="0000FF"/>
                  <w:sz w:val="20"/>
                  <w:u w:val="single"/>
                </w:rPr>
                <w:t>57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69">
              <w:r>
                <w:rPr>
                  <w:rStyle w:val="InternetLink"/>
                  <w:rFonts w:ascii="Arial Narrow;sans-serif" w:hAnsi="Arial Narrow;sans-serif"/>
                  <w:b w:val="false"/>
                  <w:color w:val="000080"/>
                  <w:sz w:val="20"/>
                  <w:u w:val="single"/>
                </w:rPr>
                <w:t xml:space="preserve">Note </w:t>
              </w:r>
            </w:hyperlink>
            <w:hyperlink w:anchor="i344145f0e3ac4919ba563ac29ddc2b36_169">
              <w:r>
                <w:rPr>
                  <w:rStyle w:val="InternetLink"/>
                  <w:rFonts w:ascii="Arial Narrow;sans-serif" w:hAnsi="Arial Narrow;sans-serif"/>
                  <w:b w:val="false"/>
                  <w:color w:val="000080"/>
                  <w:sz w:val="20"/>
                  <w:u w:val="single"/>
                </w:rPr>
                <w:t>9</w:t>
              </w:r>
            </w:hyperlink>
            <w:hyperlink w:anchor="i344145f0e3ac4919ba563ac29ddc2b36_169">
              <w:r>
                <w:rPr>
                  <w:rStyle w:val="InternetLink"/>
                  <w:rFonts w:ascii="Arial Narrow;sans-serif" w:hAnsi="Arial Narrow;sans-serif"/>
                  <w:b w:val="false"/>
                  <w:color w:val="000080"/>
                  <w:sz w:val="20"/>
                  <w:u w:val="single"/>
                </w:rPr>
                <w:t>: Debt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69">
              <w:r>
                <w:rPr>
                  <w:rStyle w:val="InternetLink"/>
                  <w:rFonts w:ascii="Arial Narrow;sans-serif" w:hAnsi="Arial Narrow;sans-serif"/>
                  <w:b w:val="false"/>
                  <w:color w:val="0000FF"/>
                  <w:sz w:val="20"/>
                  <w:u w:val="singl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75">
              <w:r>
                <w:rPr>
                  <w:rStyle w:val="InternetLink"/>
                  <w:rFonts w:ascii="Arial Narrow;sans-serif" w:hAnsi="Arial Narrow;sans-serif"/>
                  <w:b w:val="false"/>
                  <w:color w:val="000080"/>
                  <w:sz w:val="20"/>
                  <w:u w:val="single"/>
                </w:rPr>
                <w:t>Note</w:t>
              </w:r>
            </w:hyperlink>
            <w:hyperlink w:anchor="i344145f0e3ac4919ba563ac29ddc2b36_175">
              <w:r>
                <w:rPr>
                  <w:rStyle w:val="InternetLink"/>
                  <w:rFonts w:ascii="Arial Narrow;sans-serif" w:hAnsi="Arial Narrow;sans-serif"/>
                  <w:b w:val="false"/>
                  <w:color w:val="000080"/>
                  <w:sz w:val="20"/>
                  <w:u w:val="single"/>
                </w:rPr>
                <w:t xml:space="preserve"> </w:t>
              </w:r>
            </w:hyperlink>
            <w:hyperlink w:anchor="i344145f0e3ac4919ba563ac29ddc2b36_175">
              <w:r>
                <w:rPr>
                  <w:rStyle w:val="InternetLink"/>
                  <w:rFonts w:ascii="Arial Narrow;sans-serif" w:hAnsi="Arial Narrow;sans-serif"/>
                  <w:b w:val="false"/>
                  <w:color w:val="000080"/>
                  <w:sz w:val="20"/>
                  <w:u w:val="single"/>
                </w:rPr>
                <w:t>10</w:t>
              </w:r>
            </w:hyperlink>
            <w:hyperlink w:anchor="i344145f0e3ac4919ba563ac29ddc2b36_175">
              <w:r>
                <w:rPr>
                  <w:rStyle w:val="InternetLink"/>
                  <w:rFonts w:ascii="Arial Narrow;sans-serif" w:hAnsi="Arial Narrow;sans-serif"/>
                  <w:b w:val="false"/>
                  <w:color w:val="000080"/>
                  <w:sz w:val="20"/>
                  <w:u w:val="single"/>
                </w:rPr>
                <w:t>: Common Stock and Stock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75">
              <w:r>
                <w:rPr>
                  <w:rStyle w:val="InternetLink"/>
                  <w:rFonts w:ascii="Arial Narrow;sans-serif" w:hAnsi="Arial Narrow;sans-serif"/>
                  <w:b w:val="false"/>
                  <w:color w:val="0000FF"/>
                  <w:sz w:val="20"/>
                  <w:u w:val="single"/>
                </w:rPr>
                <w:t>62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78">
              <w:r>
                <w:rPr>
                  <w:rStyle w:val="InternetLink"/>
                  <w:rFonts w:ascii="Arial Narrow;sans-serif" w:hAnsi="Arial Narrow;sans-serif"/>
                  <w:b w:val="false"/>
                  <w:color w:val="000080"/>
                  <w:sz w:val="20"/>
                  <w:u w:val="single"/>
                </w:rPr>
                <w:t>Note 1</w:t>
              </w:r>
            </w:hyperlink>
            <w:hyperlink w:anchor="i344145f0e3ac4919ba563ac29ddc2b36_178">
              <w:r>
                <w:rPr>
                  <w:rStyle w:val="InternetLink"/>
                  <w:rFonts w:ascii="Arial Narrow;sans-serif" w:hAnsi="Arial Narrow;sans-serif"/>
                  <w:b w:val="false"/>
                  <w:color w:val="000080"/>
                  <w:sz w:val="20"/>
                  <w:u w:val="single"/>
                </w:rPr>
                <w:t>1</w:t>
              </w:r>
            </w:hyperlink>
            <w:hyperlink w:anchor="i344145f0e3ac4919ba563ac29ddc2b36_178">
              <w:r>
                <w:rPr>
                  <w:rStyle w:val="InternetLink"/>
                  <w:rFonts w:ascii="Arial Narrow;sans-serif" w:hAnsi="Arial Narrow;sans-serif"/>
                  <w:b w:val="false"/>
                  <w:color w:val="000080"/>
                  <w:sz w:val="20"/>
                  <w:u w:val="single"/>
                </w:rPr>
                <w:t>: Income Taxes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78">
              <w:r>
                <w:rPr>
                  <w:rStyle w:val="InternetLink"/>
                  <w:rFonts w:ascii="Arial Narrow;sans-serif" w:hAnsi="Arial Narrow;sans-serif"/>
                  <w:b w:val="false"/>
                  <w:color w:val="0000FF"/>
                  <w:sz w:val="20"/>
                  <w:u w:val="singl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81">
              <w:r>
                <w:rPr>
                  <w:rStyle w:val="InternetLink"/>
                  <w:rFonts w:ascii="Arial Narrow;sans-serif" w:hAnsi="Arial Narrow;sans-serif"/>
                  <w:b w:val="false"/>
                  <w:color w:val="000080"/>
                  <w:sz w:val="20"/>
                  <w:u w:val="single"/>
                </w:rPr>
                <w:t>Note 1</w:t>
              </w:r>
            </w:hyperlink>
            <w:hyperlink w:anchor="i344145f0e3ac4919ba563ac29ddc2b36_181">
              <w:r>
                <w:rPr>
                  <w:rStyle w:val="InternetLink"/>
                  <w:rFonts w:ascii="Arial Narrow;sans-serif" w:hAnsi="Arial Narrow;sans-serif"/>
                  <w:b w:val="false"/>
                  <w:color w:val="000080"/>
                  <w:sz w:val="20"/>
                  <w:u w:val="single"/>
                </w:rPr>
                <w:t>2</w:t>
              </w:r>
            </w:hyperlink>
            <w:hyperlink w:anchor="i344145f0e3ac4919ba563ac29ddc2b36_181">
              <w:r>
                <w:rPr>
                  <w:rStyle w:val="InternetLink"/>
                  <w:rFonts w:ascii="Arial Narrow;sans-serif" w:hAnsi="Arial Narrow;sans-serif"/>
                  <w:b w:val="false"/>
                  <w:color w:val="000080"/>
                  <w:sz w:val="20"/>
                  <w:u w:val="single"/>
                </w:rPr>
                <w:t>: Leases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81">
              <w:r>
                <w:rPr>
                  <w:rStyle w:val="InternetLink"/>
                  <w:rFonts w:ascii="Arial Narrow;sans-serif" w:hAnsi="Arial Narrow;sans-serif"/>
                  <w:b w:val="false"/>
                  <w:color w:val="0000FF"/>
                  <w:sz w:val="20"/>
                  <w:u w:val="single"/>
                </w:rPr>
                <w:t>68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84">
              <w:r>
                <w:rPr>
                  <w:rStyle w:val="InternetLink"/>
                  <w:rFonts w:ascii="Arial Narrow;sans-serif" w:hAnsi="Arial Narrow;sans-serif"/>
                  <w:b w:val="false"/>
                  <w:color w:val="000080"/>
                  <w:sz w:val="20"/>
                  <w:u w:val="single"/>
                </w:rPr>
                <w:t>Note 1</w:t>
              </w:r>
            </w:hyperlink>
            <w:hyperlink w:anchor="i344145f0e3ac4919ba563ac29ddc2b36_184">
              <w:r>
                <w:rPr>
                  <w:rStyle w:val="InternetLink"/>
                  <w:rFonts w:ascii="Arial Narrow;sans-serif" w:hAnsi="Arial Narrow;sans-serif"/>
                  <w:b w:val="false"/>
                  <w:color w:val="000080"/>
                  <w:sz w:val="20"/>
                  <w:u w:val="single"/>
                </w:rPr>
                <w:t>3</w:t>
              </w:r>
            </w:hyperlink>
            <w:hyperlink w:anchor="i344145f0e3ac4919ba563ac29ddc2b36_184">
              <w:r>
                <w:rPr>
                  <w:rStyle w:val="InternetLink"/>
                  <w:rFonts w:ascii="Arial Narrow;sans-serif" w:hAnsi="Arial Narrow;sans-serif"/>
                  <w:b w:val="false"/>
                  <w:color w:val="000080"/>
                  <w:sz w:val="20"/>
                  <w:u w:val="single"/>
                </w:rPr>
                <w:t>: Contingencies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84">
              <w:r>
                <w:rPr>
                  <w:rStyle w:val="InternetLink"/>
                  <w:rFonts w:ascii="Arial Narrow;sans-serif" w:hAnsi="Arial Narrow;sans-serif"/>
                  <w:b w:val="false"/>
                  <w:color w:val="0000FF"/>
                  <w:sz w:val="20"/>
                  <w:u w:val="single"/>
                </w:rPr>
                <w:t>70</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87">
              <w:r>
                <w:rPr>
                  <w:rStyle w:val="InternetLink"/>
                  <w:rFonts w:ascii="Arial Narrow;sans-serif" w:hAnsi="Arial Narrow;sans-serif"/>
                  <w:b w:val="false"/>
                  <w:color w:val="000080"/>
                  <w:sz w:val="20"/>
                  <w:u w:val="single"/>
                </w:rPr>
                <w:t>Note 1</w:t>
              </w:r>
            </w:hyperlink>
            <w:hyperlink w:anchor="i344145f0e3ac4919ba563ac29ddc2b36_187">
              <w:r>
                <w:rPr>
                  <w:rStyle w:val="InternetLink"/>
                  <w:rFonts w:ascii="Arial Narrow;sans-serif" w:hAnsi="Arial Narrow;sans-serif"/>
                  <w:b w:val="false"/>
                  <w:color w:val="000080"/>
                  <w:sz w:val="20"/>
                  <w:u w:val="single"/>
                </w:rPr>
                <w:t>4</w:t>
              </w:r>
            </w:hyperlink>
            <w:hyperlink w:anchor="i344145f0e3ac4919ba563ac29ddc2b36_187">
              <w:r>
                <w:rPr>
                  <w:rStyle w:val="InternetLink"/>
                  <w:rFonts w:ascii="Arial Narrow;sans-serif" w:hAnsi="Arial Narrow;sans-serif"/>
                  <w:b w:val="false"/>
                  <w:color w:val="000080"/>
                  <w:sz w:val="20"/>
                  <w:u w:val="single"/>
                </w:rPr>
                <w:t>: Segment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87">
              <w:r>
                <w:rPr>
                  <w:rStyle w:val="InternetLink"/>
                  <w:rFonts w:ascii="Arial Narrow;sans-serif" w:hAnsi="Arial Narrow;sans-serif"/>
                  <w:b w:val="false"/>
                  <w:color w:val="0000FF"/>
                  <w:sz w:val="20"/>
                  <w:u w:val="single"/>
                </w:rPr>
                <w:t>70</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90">
              <w:r>
                <w:rPr>
                  <w:rStyle w:val="InternetLink"/>
                  <w:rFonts w:ascii="Arial Narrow;sans-serif" w:hAnsi="Arial Narrow;sans-serif"/>
                  <w:b w:val="false"/>
                  <w:color w:val="000080"/>
                  <w:sz w:val="20"/>
                  <w:u w:val="single"/>
                </w:rPr>
                <w:t>Note 1</w:t>
              </w:r>
            </w:hyperlink>
            <w:hyperlink w:anchor="i344145f0e3ac4919ba563ac29ddc2b36_190">
              <w:r>
                <w:rPr>
                  <w:rStyle w:val="InternetLink"/>
                  <w:rFonts w:ascii="Arial Narrow;sans-serif" w:hAnsi="Arial Narrow;sans-serif"/>
                  <w:b w:val="false"/>
                  <w:color w:val="000080"/>
                  <w:sz w:val="20"/>
                  <w:u w:val="single"/>
                </w:rPr>
                <w:t>5</w:t>
              </w:r>
            </w:hyperlink>
            <w:hyperlink w:anchor="i344145f0e3ac4919ba563ac29ddc2b36_190">
              <w:r>
                <w:rPr>
                  <w:rStyle w:val="InternetLink"/>
                  <w:rFonts w:ascii="Arial Narrow;sans-serif" w:hAnsi="Arial Narrow;sans-serif"/>
                  <w:b w:val="false"/>
                  <w:color w:val="000080"/>
                  <w:sz w:val="20"/>
                  <w:u w:val="single"/>
                </w:rPr>
                <w:t>: Supplemental Consolidated 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90">
              <w:r>
                <w:rPr>
                  <w:rStyle w:val="InternetLink"/>
                  <w:rFonts w:ascii="Arial Narrow;sans-serif" w:hAnsi="Arial Narrow;sans-serif"/>
                  <w:b w:val="false"/>
                  <w:color w:val="0000FF"/>
                  <w:sz w:val="20"/>
                  <w:u w:val="singl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4145f0e3ac4919ba563ac29ddc2b36_193">
              <w:r>
                <w:rPr>
                  <w:rStyle w:val="InternetLink"/>
                  <w:rFonts w:ascii="Arial Narrow;sans-serif" w:hAnsi="Arial Narrow;sans-serif"/>
                  <w:b w:val="false"/>
                  <w:color w:val="000080"/>
                  <w:sz w:val="20"/>
                  <w:u w:val="single"/>
                </w:rPr>
                <w:t>Note 1</w:t>
              </w:r>
            </w:hyperlink>
            <w:hyperlink w:anchor="i344145f0e3ac4919ba563ac29ddc2b36_193">
              <w:r>
                <w:rPr>
                  <w:rStyle w:val="InternetLink"/>
                  <w:rFonts w:ascii="Arial Narrow;sans-serif" w:hAnsi="Arial Narrow;sans-serif"/>
                  <w:b w:val="false"/>
                  <w:color w:val="000080"/>
                  <w:sz w:val="20"/>
                  <w:u w:val="single"/>
                </w:rPr>
                <w:t>6</w:t>
              </w:r>
            </w:hyperlink>
            <w:hyperlink w:anchor="i344145f0e3ac4919ba563ac29ddc2b36_193">
              <w:r>
                <w:rPr>
                  <w:rStyle w:val="InternetLink"/>
                  <w:rFonts w:ascii="Arial Narrow;sans-serif" w:hAnsi="Arial Narrow;sans-serif"/>
                  <w:b w:val="false"/>
                  <w:color w:val="000080"/>
                  <w:sz w:val="20"/>
                  <w:u w:val="single"/>
                </w:rPr>
                <w:t xml:space="preserve">: Subsequent Events </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4145f0e3ac4919ba563ac29ddc2b36_193">
              <w:r>
                <w:rPr>
                  <w:rStyle w:val="InternetLink"/>
                  <w:rFonts w:ascii="Arial Narrow;sans-serif" w:hAnsi="Arial Narrow;sans-serif"/>
                  <w:b w:val="false"/>
                  <w:color w:val="0000FF"/>
                  <w:sz w:val="20"/>
                  <w:u w:val="single"/>
                </w:rPr>
                <w:t>75</w:t>
              </w:r>
            </w:hyperlink>
          </w:p>
        </w:tc>
      </w:tr>
      <w:tr>
        <w:trPr/>
        <w:tc>
          <w:tcPr>
            <w:tcW w:w="86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both"/>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Shareholders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the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audited the accompanying consolidated balance sheets of EZCORP, Inc. (the “Company”) as of September 30, 2023 and 2022, the related consolidated statements of operations, comprehensive income, stockholders’ equity, and cash flows for each of the three years in the period ended September 30, 2023, and the related notes (collectively referred to as the “consolidated financial statements”). In our opinion, the consolidated financial statements present fairly, in all material respects, the financial position of the Company at September 30, 2023 and 2022, and the results of its operations and its cash flows for each of the three years in the period ended September 30, 2023, in conformity with accounting principles generally accepted in the United States of America.</w:t>
      </w:r>
    </w:p>
    <w:p>
      <w:pPr>
        <w:pStyle w:val="TextBody"/>
        <w:bidi w:val="0"/>
        <w:spacing w:lineRule="auto" w:line="288" w:before="180" w:after="283"/>
        <w:jc w:val="left"/>
        <w:rPr/>
      </w:pPr>
      <w:r>
        <w:rPr>
          <w:rFonts w:ascii="Arial Narrow;sans-serif" w:hAnsi="Arial Narrow;sans-serif"/>
          <w:b w:val="false"/>
          <w:color w:val="000000"/>
          <w:sz w:val="20"/>
        </w:rPr>
        <w:t xml:space="preserve">We also have audited, in accordance with the standards of the Public Company Accounting Oversight Board (United States) (“PCAOB”), the Company's internal control over financial reporting as of September 30, 2023,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and our report dated November 15, 2023, expressed an unqualified opinion thereon.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 in Accounting Principle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is discussed in Note 1 to the consolidated financial statements, the Company changed its method of accounting for convertible debt as of October 1, 2021, due to the adoption of Accounting Standards Update 2020-06, Debt-Debt with Conversion and Other Options (Subtopic 470-20) and Derivatives and Hedging-Contracts in Entity’s Own Equity (Subtopic 815–40): Accounting for Convertible Instruments and Contracts in an Entity’s Own Equity.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Audit Matter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Accounting for Convertible Debt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described in Note 9 to the Company’s consolidated financial statements, in December 2022, the Company issued $230.0 million aggregate principal amount of 3.750% Convertible Senior Notes Due 2029 (the “2029 Convertible Notes”). The 2029 Convertible Notes contain certain conversion, redemption, and other embedded features that require the Company to assess if such features are embedded derivatives that require bifurcation from the 2029 Convertible Notes, and are to be accounted for separately. The Company determined the embedded features did not require bifurcation from the 2029 Convertible Notes, and therefore were not accounted for separately. </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identified the Company’s accounting for the 2029 Convertible Notes as a critical audit matter. Determination of the accounting treatment for the 2029 Convertible Notes required complex evaluation in order to: (a) identify the embedded conversion, redemption, and other features present within the 2029 Convertible Notes, and (b) assess if the conditions requiring one or more of the identified embedded features to be bifurcated were satisfied. Auditing management’s conclusions required an increased level of audit effort, including the involvement of professionals with specialized skill and knowledge in the accounting treatment for embedded derivatives.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primary procedures we performed to address this critical audit matter included: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Analyzing the terms included in the 2029 Convertible Notes Indenture, to assess the appropriateness of management's conclusion on the accounting treatment for the 2029 Convertible Notes.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Utilizing personnel with specialized skill and knowledge in the relevant technical accounting guidance to (a) assist with identifying the embedded conversion, redemption and other features present within the 2029 Convertible Notes, and (b) assist with evaluating the appropriateness of management’s conclusions regarding bifurcation of the embedded features.</w:t>
      </w:r>
    </w:p>
    <w:p>
      <w:pPr>
        <w:pStyle w:val="TextBody"/>
        <w:bidi w:val="0"/>
        <w:spacing w:before="120" w:after="283"/>
        <w:jc w:val="left"/>
        <w:rPr/>
      </w:pPr>
      <w:r>
        <w:rPr/>
      </w: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2015.</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2"/>
        <w:gridCol w:w="2414"/>
        <w:gridCol w:w="2423"/>
        <w:gridCol w:w="181"/>
        <w:gridCol w:w="766"/>
        <w:gridCol w:w="109"/>
        <w:gridCol w:w="109"/>
        <w:gridCol w:w="109"/>
        <w:gridCol w:w="109"/>
        <w:gridCol w:w="181"/>
        <w:gridCol w:w="76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644,163 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152,866 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655,647 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13)</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51,869,569 issued and outstanding as of September 30, 2023; and issued and outstanding of 53,454,885 as of September 30,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 as of September 30, 2023 and 2022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OPERATIONS</w:t>
      </w:r>
    </w:p>
    <w:tbl>
      <w:tblPr>
        <w:tblW w:w="7017"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729,551 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449,485 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453,225 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418,316 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31,169 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510"/>
        <w:gridCol w:w="2196"/>
        <w:gridCol w:w="2216"/>
        <w:gridCol w:w="181"/>
        <w:gridCol w:w="571"/>
        <w:gridCol w:w="109"/>
        <w:gridCol w:w="109"/>
        <w:gridCol w:w="109"/>
        <w:gridCol w:w="109"/>
        <w:gridCol w:w="181"/>
        <w:gridCol w:w="571"/>
        <w:gridCol w:w="109"/>
        <w:gridCol w:w="109"/>
        <w:gridCol w:w="109"/>
        <w:gridCol w:w="109"/>
        <w:gridCol w:w="181"/>
        <w:gridCol w:w="571"/>
        <w:gridCol w:w="155"/>
      </w:tblGrid>
      <w:tr>
        <w:trPr/>
        <w:tc>
          <w:tcPr>
            <w:tcW w:w="251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expense for our investment in unconsolidated affiliate of $666, $229 and $280 for the years ended September 30, 2023, 2022 and 2021,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62,030 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52,906 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18,265 </w:t>
            </w:r>
          </w:p>
        </w:tc>
        <w:tc>
          <w:tcPr>
            <w:tcW w:w="1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776"/>
        <w:gridCol w:w="546"/>
        <w:gridCol w:w="548"/>
        <w:gridCol w:w="285"/>
        <w:gridCol w:w="286"/>
        <w:gridCol w:w="191"/>
        <w:gridCol w:w="109"/>
        <w:gridCol w:w="109"/>
        <w:gridCol w:w="109"/>
        <w:gridCol w:w="181"/>
        <w:gridCol w:w="376"/>
        <w:gridCol w:w="109"/>
        <w:gridCol w:w="109"/>
        <w:gridCol w:w="109"/>
        <w:gridCol w:w="109"/>
        <w:gridCol w:w="236"/>
        <w:gridCol w:w="843"/>
        <w:gridCol w:w="142"/>
        <w:gridCol w:w="109"/>
        <w:gridCol w:w="109"/>
        <w:gridCol w:w="109"/>
        <w:gridCol w:w="181"/>
        <w:gridCol w:w="646"/>
        <w:gridCol w:w="109"/>
        <w:gridCol w:w="109"/>
        <w:gridCol w:w="109"/>
        <w:gridCol w:w="109"/>
        <w:gridCol w:w="356"/>
        <w:gridCol w:w="1123"/>
        <w:gridCol w:w="215"/>
        <w:gridCol w:w="109"/>
        <w:gridCol w:w="109"/>
        <w:gridCol w:w="109"/>
        <w:gridCol w:w="109"/>
        <w:gridCol w:w="109"/>
        <w:gridCol w:w="109"/>
        <w:gridCol w:w="109"/>
        <w:gridCol w:w="181"/>
        <w:gridCol w:w="646"/>
        <w:gridCol w:w="158"/>
      </w:tblGrid>
      <w:tr>
        <w:trPr/>
        <w:tc>
          <w:tcPr>
            <w:tcW w:w="7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October 1, 2020</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398,475 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(68,068)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649,127 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consideration for current period acquisition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consideration for prior period acquisition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9,653 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2021</w:t>
            </w:r>
          </w:p>
        </w:tc>
        <w:tc>
          <w:tcPr>
            <w:tcW w:w="7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56,057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403,312 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326,781 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(58,415)</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672,238 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5,053 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5,053 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consideration for other investment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Cumulative effect of adoption of ASU 2020-06 (Note 1)</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(62,804)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(36,638)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2022</w:t>
            </w:r>
          </w:p>
        </w:tc>
        <w:tc>
          <w:tcPr>
            <w:tcW w:w="7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345,330 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402,006 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(55,669)</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692,231 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equity consideration for acquisition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2023</w:t>
            </w:r>
          </w:p>
        </w:tc>
        <w:tc>
          <w:tcPr>
            <w:tcW w:w="76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54,840</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346,181 </w:t>
            </w:r>
          </w:p>
        </w:tc>
        <w:tc>
          <w:tcPr>
            <w:tcW w:w="14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431,140 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2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(32,102)</w:t>
            </w:r>
          </w:p>
        </w:tc>
        <w:tc>
          <w:tcPr>
            <w:tcW w:w="2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745,768 </w:t>
            </w:r>
          </w:p>
        </w:tc>
        <w:tc>
          <w:tcPr>
            <w:tcW w:w="15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pPr>
      <w:r>
        <w:rPr>
          <w:rFonts w:ascii="Arial Narrow;sans-serif" w:hAnsi="Arial Narrow;sans-serif"/>
          <w:b w:val="false"/>
          <w:color w:val="000000"/>
          <w:sz w:val="20"/>
        </w:rPr>
        <w:t>S</w:t>
      </w:r>
      <w:r>
        <w:rPr>
          <w:rFonts w:ascii="Arial Narrow;sans-serif" w:hAnsi="Arial Narrow;sans-serif"/>
          <w:b w:val="false"/>
          <w:color w:val="000000"/>
          <w:sz w:val="18"/>
        </w:rPr>
        <w:t>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pPr>
      <w:r>
        <w:rPr>
          <w:rFonts w:ascii="Arial Narrow;sans-serif" w:hAnsi="Arial Narrow;sans-serif"/>
          <w:b/>
          <w:color w:val="00497F"/>
          <w:sz w:val="28"/>
        </w:rPr>
        <w:t>EZCORP, Inc</w:t>
      </w:r>
      <w:r>
        <w:rPr>
          <w:rFonts w:ascii="Arial Narrow;sans-serif" w:hAnsi="Arial Narrow;sans-serif"/>
          <w:b/>
          <w:color w:val="000000"/>
          <w:sz w:val="20"/>
        </w:rPr>
        <w:t>.</w:t>
      </w:r>
    </w:p>
    <w:p>
      <w:pPr>
        <w:pStyle w:val="TextBody"/>
        <w:bidi w:val="0"/>
        <w:spacing w:lineRule="auto" w:line="288" w:before="0" w:after="120"/>
        <w:jc w:val="center"/>
        <w:rPr>
          <w:rFonts w:ascii="Arial Narrow;sans-serif" w:hAnsi="Arial Narrow;sans-serif"/>
          <w:b/>
          <w:color w:val="00497F"/>
          <w:sz w:val="28"/>
        </w:rPr>
      </w:pPr>
      <w:r>
        <w:rPr>
          <w:rFonts w:ascii="Arial Narrow;sans-serif" w:hAnsi="Arial Narrow;sans-serif"/>
          <w:b/>
          <w:color w:val="00497F"/>
          <w:sz w:val="28"/>
        </w:rPr>
        <w:t>CONSOLIDATED STATEMENTS OF CASH FLOWS</w:t>
      </w:r>
    </w:p>
    <w:tbl>
      <w:tblPr>
        <w:tblW w:w="8832" w:type="dxa"/>
        <w:jc w:val="center"/>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(income) from 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66,535 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(84,611)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assumed debt and other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(used in) financing activities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 and restricted cash</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(49,255)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(48,929)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was founded in 1989 and is a provider of pawn services in the United States and Latin America. At our pawn stores, we advance cash against the value of collateralized personal property. We also sell merchandise, primarily collateral forfeited from pawn activities and pre-owned merchandise purchased from customers. We fulfill short-term cash needs to consumers, with a focus on delivering an industry-leading customer experience.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we operated a total of 1,231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529 United States pawn stores (operating primarily as EZPAWN or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549 Mexico pawn stores (operating primarily as Empeño Fácil and Cash Apoyo Efectivo);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153 pawn stores in Guatemala, El Salvador and Honduras (operating as GuatePrenda and MaxiEfectivo).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equity interest (43.7% as of September 30, 2023) in Cash Converters International Limited (“Cash Converters”), a publicly traded company (ASX:CCV) headquartered in Perth, Western Australia. Cash Converters and its controlled companies comprise a diverse group generating revenues from franchising, store operations, personal finance (including pawn transactions) and vehicle finance, in over 600 stores across 14 countries. Additionally, we own a preferred interest in Founders One, LLC (“Founders”) that has majority ownership in Simple Management Group, Inc. (“SMG”).</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over which we exercise significant influence, but in which we have a 50% or less investment. We account for equity investments in entities over which we do not exercise significant influence, and do not have a readily determinable fair value, at cost. If we obtain evidence the fair value of such an investment has declined below its cost, we reduce the recorded cost to the lower value through an impairment charge recorded in the Consolidated Statements of Operations. All inter-company accounts and transactions have been eliminated in consolidation.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Use of Estimates and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we believe are reasonable, the results of which form the basis for making judgements about the carrying values of assets and liabilities and the accrual of costs and expenses that are not readily apparent from other sources. Actual results may differ materially from the estimates under different assumptions or conditions.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Loans and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loans are fully collateralized and the carrying values are based on the initial amounts loaned to customers. We record pawn service charges using the effective interest method over the life of the pawn loans for all pawn loans we believe to be collectible. We base our estimate of collectability on several inputs, including recent redemption rates, historical trends in redemption rates and the amount of loans due in the following months. Unexpected variations in any of these factors could change our estimate of collectability and affect our results of operations and financial condition. If a pawn loan is not repaid, the forfeited collateral is recorded as inventory at the lower of the principal balance of the pawn loan or the net realizable value of the item. As of September 30, 2023, consolidated pawn loans outstanding was $245.8 million, of which $95.5 million (39%) is attributable to stores in Texas and $25.7 million (10%) is attributable to stores in Florida.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Merchandise Sales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performance obligations for merchandise sales primarily relate to point in time retail sales in our stores. We recognize the satisfaction of the performance obligations and record merchandise sales revenue and the related costs when merchandise inventory is sold and delivered to the customer or, in the case of a layaway sale, when we receive the final payment. Customer layaway deposits are recorded as liabilities when a customer provides a deposit for merchandise. Customer layaway deposits are generally refundable upon cancellation. Our customer layaway deposits balance as of September 30, 2023, 2022 and 2021 was $18.9 million, $16.0 million and $12.6 million, respectively, and are generally recognized as revenue within a one-year period. Customers have a limited period of time to return merchandise for a refund or exchange, and actual returns for refunds are not material. Sales taxes collected on sales of inventory are excluded from the amounts recognized as merchandise sales and are recorded as “Accounts payable, accrued expenses and other current liabilities” in our Consolidated Balance Sheets until remitted to the appropriate governmental authorities.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precious metals and stones sold as scrap, we recognize the satisfaction of the performance obligations and record the revenues and the related costs when the inventory is legally transferred to the refiner and the refiner obtains control of the inventory. The accounts receivable outstanding at the end of a given reporting period from such transactions are not material as payments are generally received within a short period of time after the legal transfer of the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transaction prices are explicitly stated within the contracts with our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 pawn loan is not redeemed, the forfeited collateral is recorded as inventory at the lower of the principal balance of the pawn loan or the net realizable value of the item. We do not record a loan loss allowance or charge-off expense on the principal portion of forfeited pawn loans, as such loans are fully collateralized. Inventory is recorded using the specific identification method of accounting.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order to state inventory at the lower of cost or net realizable value, we record an allowance for excess, obsolete or slow-moving inventory based on the type and age of the underlying merchandise. Our inventory consists primarily of general merchandise and jewelry. “Merchandise cost of goods sold” as recorded in our Consolidated Statements of Operations includes the historical cost of inventory sold, inventory shrinkage and any change in the allowance for inventory shrinkage and valuation. We include the costs of operating our central jewelry processing unit as “Jewelry scrapping cost of goods sold” in our Consolidated Statements of Operations as such costs relate directly to sales of precious metals and stones to refiners.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estimates of obsolete or slow-moving inventory and shrinkage critical to the determination of the appropriate overall valuation allowance for inventory. We continually monitor our sales margins for each type of inventory and compare the current margins to historical margins. Significant variances in those margins may require a revision to future inventory reserve estimates. We determine our reserve pertaining to jewelry inventory based on the current and projected prices of gold. Future declines in the value of gold may result in an increase in reserves pertaining to jewelry inventory. </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Situations that may result in excess or obsolete inventory include changes in business and economic </w:t>
      </w:r>
      <w:r>
        <w:rPr>
          <w:rFonts w:ascii="Arial Narrow;sans-serif" w:hAnsi="Arial Narrow;sans-serif"/>
          <w:b w:val="false"/>
          <w:color w:val="000000"/>
          <w:sz w:val="20"/>
        </w:rPr>
        <w:t>conditions, changes in consumer confidence caused by changes in market conditions, decreases in demand for our products or inventory obsolescence resulting from changes in technology.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 respect to our Mexico pawn operations, we do not own the forfeited collateral. However, we assume the risk of loss on such collateral and are solely responsible for its care and disposition and, therefore, record such collateral as inventory in our Consolidated Balance Sheets. As of September 30, 2023 and 2022, inventory related to our Mexico pawn operations was $31.4 million and $29.8 million, respectively.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 and Cash Concentrations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consist primarily of cash on deposit or highly liquid investments with original contractual maturities of three months or less, or money market mutual funds. We hold cash at major financial institutions in amounts that often exceed FDIC insured limits. We manage our credit risk associated with cash and cash equivalents and cash concentrations by maintaining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Restricted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Restricted cash consists of $0.3 million related to the acquisition of PLO del Bajio S. de. R.L. de C.V. as discussed in Note 3: Acquisitions and $8.1 million held in escrow pending the resolution of a pre-closing tax indemnity claim related to the sale of Grupo Finmart.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account for our investment in Cash Converters under the equity method. Because the fiscal year of Cash Converters ends three months before our fiscal year, we record our interest from the results of Cash Converters on a three-month lag. Thus, the results of our operations reported for the fiscal years ended September 30, 2023, 2022 and 2021 include our percentage interest in the results of Cash Converters for the twelve-month periods ended June 30, 2023, 2022 and 2021,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our fiscal year, we record our percentage interest in the results of Cash Converters for the three months ended June 30 based on an estimate of the results of Cash Converters for the three months ended March 31 of that year. Similarly, during the third quarter of our fiscal year, we record our percentage interest in the results of Cash Converters for the three months ended December 31 using the estimated results of Cash Converters for the three months ended September 30 of that year. Cash Converters files semi-annual financial reports with the Australian Securities &amp; Investments Commission and the Australian Stock Exchange as of and for the periods ended June 30 and December 31. We use these publicly available financial reports to adjust the estimated amounts we recorded. The actual results of Cash Converters may vary from our estimates. Refer to Note 5: Strategic Investments for further details on our investment in Cash Converters.</w:t>
      </w:r>
    </w:p>
    <w:p>
      <w:pPr>
        <w:pStyle w:val="TextBody"/>
        <w:bidi w:val="0"/>
        <w:spacing w:lineRule="auto" w:line="288" w:before="180" w:after="283"/>
        <w:jc w:val="left"/>
        <w:rPr/>
      </w:pPr>
      <w:r>
        <w:rPr>
          <w:rFonts w:ascii="Arial Narrow;sans-serif" w:hAnsi="Arial Narrow;sans-serif"/>
          <w:b w:val="false"/>
          <w:color w:val="000000"/>
          <w:sz w:val="20"/>
        </w:rPr>
        <w:t xml:space="preserve">We account for our investment in Rich Data Corporation (“RDC”) in accordance with ASC 321, </w:t>
      </w:r>
      <w:r>
        <w:rPr>
          <w:rFonts w:ascii="Arial Narrow;sans-serif" w:hAnsi="Arial Narrow;sans-serif"/>
          <w:b w:val="false"/>
          <w:i/>
          <w:color w:val="000000"/>
          <w:sz w:val="20"/>
        </w:rPr>
        <w:t>Investments — Equity Securities,</w:t>
      </w:r>
      <w:r>
        <w:rPr>
          <w:color w:val="000000"/>
        </w:rPr>
        <w:t xml:space="preserve"> </w:t>
      </w:r>
      <w:r>
        <w:rPr>
          <w:rFonts w:ascii="Arial Narrow;sans-serif" w:hAnsi="Arial Narrow;sans-serif"/>
          <w:b w:val="false"/>
          <w:color w:val="000000"/>
          <w:sz w:val="20"/>
        </w:rPr>
        <w:t xml:space="preserve">and we have elected to use the measurement alternative to measure this investment at cost, less any impairment, plus or minus changes resulting from observable price changes in orderly transactions for identical or similar investments of the same issuer, if any. As of September 30, 2023 and 2022, the carrying value of our investment in RDC was $6.2 million.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5: Strategic Investments for details on our investment in Founders.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determine if an arrangement contains a lease at inception. We have elected not to recognize on the balance sheet leases with terms of one year or less as a practical expedient. Operating lease assets are included in Right-of-use assets, net and financing lease assets are included in Other assets, net on the Consolidated Balance Sheets. We enter into operating lease agreements for real estate related to pawn locations and corporate offices. We have entered into financing lease agreements mainly for motor vehicles.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and financing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Our lease terms include options to extend the lease when it is reasonably certain we will exercise its option. We used incremental borrowing rates that match the duration of the remaining lease terms of our operating leases on a fully collateralized basis to initially measure our lease liability. We evaluate renewal options periodically for any changes in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account for lease and non-lease components separately. Lease components generally include rent, taxes and insurance, and non-lease components generally include common area maintenance. Right-of-use assets are tested for impairment in the same manner as long-lived assets. We recognize lease expense on a straight-line basis over the lease term with variable lease expense recognized in the period in which the costs are incurred. Our operating lease portfolio consists of pawn locations and corporate offices with lease terms ranging from three to ten years, including options to renew. Our financing lease terms range from two to five years. We generally account for the initial lease term of our pawn locations as up to ten years. Our primary corporate office is leased through March 2029 with annual escalating rent payments and includes two, five-year extension options at the end of the initial lease term.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Goodwill represents the excess of the purchase price over the net amount of identifiable assets acquired and liabilities assumed in a business combination measured at fair value. We evaluate goodwill for impairment annually on September 30 and upon the occurrence of certain triggering events or substantive changes in circumstances that indicate that the fair value of goodwill may be impaired. We consider the assessment of the occurrence of triggering events or substantive changes in circumstances that may indicate the fair value of goodwill may be impaired to be a critical estimate.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Impairment of goodwill is tested at the reporting unit level. A reporting unit is an operating segment or one level below an operating segment, referred to as a “component.” A component of an operating segment is required to be identified as a reporting unit if the component is a business for which discrete financial information is available and segment management regularly reviews its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the estimated fair value of a reporting unit is less than its carrying amount. If we elect to perform a qualitative assessment and determine that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its qualitative assessment that it is more-likely-than-not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property and equipment at cost. We depreciate these assets on a straight-line basis using estimated useful lives of 30 years for buildings and two-to-seven years for furniture, equipment and software development costs. We depreciate leasehold improvements over the shorter of their estimated useful life (typically 10 years) or the reasonably assured lease term at the inception of the lease.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Valuation of Long-Lived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values of long-lived assets, inclusive of right-of-use (ROU) assets, are periodically reviewed whenever events or changes in circumstances indicate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We consider the assumptions associated with the determination of projected future cash flows to be a critical estimate. When a potential impairment has occurred, an impairment write-down is recorded if the carrying value of the long-lived asset exceeds its fair value.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Software Development Costs and Cloud Computing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 For cloud computing arrangements that meet the definition of a service contract, the Company capitalizes implementation costs incurred during the application development stage and until the software is ready for its intended use within Other assets, net in our Consolidated Balance Sheets and then amortizes the costs on a straight-line basis over the term of the contract. The hosting service fees are not considered an implementation cost and are treated as a prepaid expense and then the Company amortizes the costs on a straight-line basis over the term of the contract. Costs related to data conversion, training and other maintenance activities are expensed as incurred.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Convertible Debt Securities</w:t>
      </w:r>
    </w:p>
    <w:p>
      <w:pPr>
        <w:pStyle w:val="TextBody"/>
        <w:bidi w:val="0"/>
        <w:spacing w:lineRule="auto" w:line="288" w:before="180" w:after="283"/>
        <w:jc w:val="left"/>
        <w:rPr/>
      </w:pPr>
      <w:r>
        <w:rPr>
          <w:rFonts w:ascii="Arial Narrow;sans-serif" w:hAnsi="Arial Narrow;sans-serif"/>
          <w:b w:val="false"/>
          <w:color w:val="000000"/>
          <w:sz w:val="20"/>
        </w:rPr>
        <w:t xml:space="preserve">On October 1, 2021, we early adopted Accounting Standards Update 2020-06, </w:t>
      </w:r>
      <w:r>
        <w:rPr>
          <w:rFonts w:ascii="Arial Narrow;sans-serif" w:hAnsi="Arial Narrow;sans-serif"/>
          <w:b w:val="false"/>
          <w:i/>
          <w:color w:val="000000"/>
          <w:sz w:val="20"/>
        </w:rPr>
        <w:t>Debt – Debt with Conversion and Other Options (Subtopic 470-20) and Derivatives and Hedging – Contracts in Entity’s Own Equity (Subtopic 815 – 40)</w:t>
      </w:r>
      <w:r>
        <w:rPr>
          <w:rFonts w:ascii="Arial Narrow;sans-serif" w:hAnsi="Arial Narrow;sans-serif"/>
          <w:b w:val="false"/>
          <w:color w:val="000000"/>
          <w:sz w:val="20"/>
        </w:rPr>
        <w:t>, (“ASU 2020-06”) on a modified retrospective basis. Under ASU 2020-06, we no longer separate the convertible senior notes into liability and equity components.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pStyle w:val="TextBody"/>
        <w:bidi w:val="0"/>
        <w:spacing w:lineRule="auto" w:line="288" w:before="180" w:after="283"/>
        <w:jc w:val="left"/>
        <w:rPr/>
      </w:pPr>
      <w:r>
        <w:rPr>
          <w:rFonts w:ascii="Arial Narrow;sans-serif" w:hAnsi="Arial Narrow;sans-serif"/>
          <w:b w:val="false"/>
          <w:color w:val="000000"/>
          <w:sz w:val="20"/>
        </w:rPr>
        <w:t>Prior to our adoption of Accounting Standards Update 2020-06,</w:t>
      </w:r>
      <w:r>
        <w:rPr>
          <w:color w:val="000000"/>
        </w:rPr>
        <w:t xml:space="preserve"> </w:t>
      </w:r>
      <w:r>
        <w:rPr>
          <w:rFonts w:ascii="Arial Narrow;sans-serif" w:hAnsi="Arial Narrow;sans-serif"/>
          <w:b w:val="false"/>
          <w:i/>
          <w:color w:val="000000"/>
          <w:sz w:val="20"/>
        </w:rPr>
        <w:t>Debt – Debt with Conversion and Other Options (Subtopic 470-20) and Derivatives and Hedging – Contracts in Entity’s Own Equity (Subtopic 815 – 40)</w:t>
      </w:r>
      <w:r>
        <w:rPr>
          <w:rFonts w:ascii="Arial Narrow;sans-serif" w:hAnsi="Arial Narrow;sans-serif"/>
          <w:b w:val="false"/>
          <w:color w:val="000000"/>
          <w:sz w:val="20"/>
        </w:rPr>
        <w:t>, (“ASU 2020-06”)</w:t>
      </w:r>
      <w:r>
        <w:rPr>
          <w:rFonts w:ascii="Arial Narrow;sans-serif" w:hAnsi="Arial Narrow;sans-serif"/>
          <w:b w:val="false"/>
          <w:i/>
          <w:color w:val="000000"/>
          <w:sz w:val="20"/>
        </w:rPr>
        <w:t xml:space="preserve">, </w:t>
      </w:r>
      <w:r>
        <w:rPr>
          <w:rFonts w:ascii="Arial Narrow;sans-serif" w:hAnsi="Arial Narrow;sans-serif"/>
          <w:b w:val="false"/>
          <w:color w:val="000000"/>
          <w:sz w:val="20"/>
        </w:rPr>
        <w:t>on October 1, 2021,</w:t>
      </w:r>
      <w:r>
        <w:rPr>
          <w:color w:val="000000"/>
        </w:rPr>
        <w:t xml:space="preserve"> </w:t>
      </w:r>
      <w:r>
        <w:rPr>
          <w:rFonts w:ascii="Arial Narrow;sans-serif" w:hAnsi="Arial Narrow;sans-serif"/>
          <w:b w:val="false"/>
          <w:color w:val="000000"/>
          <w:sz w:val="20"/>
        </w:rPr>
        <w:t xml:space="preserve">we accounted for our convertible debt securities at issuance, by separating the securities into debt and equity components pursuant to the prior accounting standards for convertible debt instruments. The carrying value of the liability components were calculated by measuring the fair value of similar liabilities that did not have an associated conversion feature. The excess of the principal amount over the fair value of the liability component were recorded as a discount with a corresponding increase in additional paid-in capital. The debt discounts were accreted to “Interest expense” over the respective terms of the convertible debt securities using the effective interest method.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conversion premium of the convertible debt securities were accounted for under the treasury method in accordance with our previous accounting policy, which assumed settlement of the conversion premium (equal to the as-converted value over the face principal amount) in shares of our Class A Common Stock.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 The cumulative translation adjustments associated with the net assets of foreign subsidiaries are the only amounts recorded in Accumulated Other Comprehensive Loss in the accompanying Consolidated Statements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not accounted for as translations are included in “Other expense (income)” in our Consolidated Statements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Store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“Store expenses”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and Administrative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“General and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Advertising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Advertising costs are expensed as incurred and included primarily within “Store expenses” in our Consolidated Statements of Operations. These costs were $4.9 million, $2.3 million and $1.6 million for fiscal 2023, 2022 and 2021, respectively. During fiscal years 2023 and 2022, we incurred $2.9 million and $0.3 million, respectively, related to digital advertising. The remaining for each year relates to general advertising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measure share-based compensation expense at the grant date based on the price of underlying shares at that date and recognize it as expense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 We recognize forfeitures as they occur when calculating share-based compensation expense.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 We treat taxes due on future U.S. inclusions in taxable income related to Global Intangible Low-Taxed Income (“GILTI”) as a current-period expense when incurred.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Our policy is to release income tax effects from accumulated other comprehensive income on a segregated unit of account basis.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assessment of the recognition of deferred tax assets as well as estimates of uncertain tax positions to be critical estimates. </w:t>
      </w:r>
    </w:p>
    <w:p>
      <w:pPr>
        <w:pStyle w:val="TextBody"/>
        <w:bidi w:val="0"/>
        <w:spacing w:lineRule="auto" w:line="268" w:before="180" w:after="283"/>
        <w:jc w:val="left"/>
        <w:rPr>
          <w:rFonts w:ascii="Arial Narrow;sans-serif" w:hAnsi="Arial Narrow;sans-serif"/>
          <w:b/>
          <w:color w:val="000000"/>
          <w:sz w:val="24"/>
        </w:rPr>
      </w:pPr>
      <w:r>
        <w:rPr>
          <w:rFonts w:ascii="Arial Narrow;sans-serif" w:hAnsi="Arial Narrow;sans-serif"/>
          <w:b/>
          <w:color w:val="000000"/>
          <w:sz w:val="24"/>
        </w:rPr>
        <w:t>Earnings per Share and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compute basic earnings per share based on the weighted average number of shares of common stock outstanding during the period. Upon our adoption of ASU 2020-06 on October 1, 2021, interest charges on the convertible debt are required to be added to net income and we calculate diluted earnings per share during the period using the if-converted method. Diluted net income (loss) and diluted weighted-average shares outstanding are adjusted to account for the impact of the assumed issuance of potential common shares that are dilutive, subject to dilution sequencing rules. Dilutive potential common shares include outstanding restricted stock awards as well as shares issuable on conversion of our outstanding convertible debt securities.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2023, 2022 and 2021 requiring the application of the two-class method. When we are in a loss position for the period, dilutive securities are excluded from the calculation of earnings per share, as they would have an anti-dilutive effect.</w:t>
      </w:r>
    </w:p>
    <w:p>
      <w:pPr>
        <w:pStyle w:val="TextBody"/>
        <w:bidi w:val="0"/>
        <w:spacing w:lineRule="auto" w:line="288" w:before="180" w:after="283"/>
        <w:jc w:val="left"/>
        <w:rPr/>
      </w:pPr>
      <w:r>
        <w:rPr>
          <w:rFonts w:ascii="Arial Narrow;sans-serif" w:hAnsi="Arial Narrow;sans-serif"/>
          <w:b w:val="false"/>
          <w:color w:val="000000"/>
          <w:sz w:val="20"/>
        </w:rPr>
        <w:t>Prior to our adoption of ASU 2020-06</w:t>
      </w:r>
      <w:r>
        <w:rPr>
          <w:color w:val="000000"/>
        </w:rPr>
        <w:t xml:space="preserve"> </w:t>
      </w:r>
      <w:r>
        <w:rPr>
          <w:rFonts w:ascii="Arial Narrow;sans-serif" w:hAnsi="Arial Narrow;sans-serif"/>
          <w:b w:val="false"/>
          <w:color w:val="000000"/>
          <w:sz w:val="20"/>
        </w:rPr>
        <w:t>on October 1, 2021,</w:t>
      </w:r>
      <w:r>
        <w:rPr>
          <w:color w:val="000000"/>
        </w:rPr>
        <w:t xml:space="preserve"> </w:t>
      </w:r>
      <w:r>
        <w:rPr>
          <w:rFonts w:ascii="Arial Narrow;sans-serif" w:hAnsi="Arial Narrow;sans-serif"/>
          <w:b w:val="false"/>
          <w:color w:val="000000"/>
          <w:sz w:val="20"/>
        </w:rPr>
        <w:t xml:space="preserve">diluted earnings per share included the effect of dilutive potential associated with the conversion features embedded in our outstanding convertible debt using the treasury stock method.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Recently Adopted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August 2020, the FASB issued ASU 2020-06, Debt – Debt with Conversion and Other Options (Subtopic 470-20) and Derivatives and Hedging – Contracts in Entity’s Own Equity (Subtopic 815 – 40). ASU 2020-06 simplifies the accounting for certain financial instruments with characteristics of liabilities and equity, including convertible instruments and contracts on an entity’s own equity. The ASU 2020-06 amendments are effective for fiscal years beginning after December 15, 2021, and interim periods within those fiscal years. Early adoption is permitted, but no earlier than fiscal years beginning after December 15, 2020, including interim periods within those fiscal years.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adopted this standard as of October 1, 2021 under the modified retrospective basis. Under this transition method, prior period financial information and disclosures were not adjusted and continued to be reported under the accounting standards that were in effect prior to our adoption of ASU 2020-06. The cash conversion model, which the Company has historically used to account for its convertible debt instruments, was eliminated by ASU 2020-06.The adoption of ASU 2020-06 reduced non-cash interest expense for the year ending September 30, 2022 and in future periods due to the derecognition of the debt discount associated with the bifurcated equity component of our convertible notes. The treasury stock method for calculating earnings per share will no longer be allowed for convertible debt instruments whose principal amount may be settled using shares, instead the if-converted method will be required to determine the dilutive effect of our convertible notes.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Impact of the Adoption of ASU 2020-06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October 1, 2021, we early adopted ASU 2020-06 on a modified retrospective basis. Under ASU 2020-06, we no longer separate the convertible senior notes into liability and equity components.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impact of adoption on our consolidated statements of operations for the fiscal year ended September 30, 2022 was primarily to decrease interest expense by $13.9 million. This had the effect of increasing both our basic and diluted earnings per share for the fiscal year ended September 30, 2022 by $0.19, and $0.01, respectively. Additionally, adoption of the standard requires interest charges on the convertible debt to be added to net income as well as the use of the “if-converted” method to calculate diluted earnings per common share. </w:t>
      </w:r>
    </w:p>
    <w:p>
      <w:pPr>
        <w:pStyle w:val="TextBody"/>
        <w:bidi w:val="0"/>
        <w:spacing w:before="0" w:after="0"/>
        <w:jc w:val="left"/>
        <w:rPr/>
      </w:pPr>
      <w:r>
        <w:rPr/>
      </w:r>
    </w:p>
    <w:tbl>
      <w:tblPr>
        <w:tblW w:w="6698" w:type="dxa"/>
        <w:jc w:val="left"/>
        <w:tblInd w:w="0" w:type="dxa"/>
        <w:tblLayout w:type="fixed"/>
        <w:tblCellMar>
          <w:top w:w="28" w:type="dxa"/>
          <w:left w:w="28" w:type="dxa"/>
          <w:bottom w:w="28" w:type="dxa"/>
          <w:right w:w="28" w:type="dxa"/>
        </w:tblCellMar>
      </w:tblPr>
      <w:tblGrid>
        <w:gridCol w:w="780"/>
        <w:gridCol w:w="688"/>
        <w:gridCol w:w="692"/>
        <w:gridCol w:w="271"/>
        <w:gridCol w:w="1018"/>
        <w:gridCol w:w="150"/>
        <w:gridCol w:w="109"/>
        <w:gridCol w:w="109"/>
        <w:gridCol w:w="109"/>
        <w:gridCol w:w="269"/>
        <w:gridCol w:w="557"/>
        <w:gridCol w:w="150"/>
        <w:gridCol w:w="109"/>
        <w:gridCol w:w="109"/>
        <w:gridCol w:w="109"/>
        <w:gridCol w:w="265"/>
        <w:gridCol w:w="996"/>
        <w:gridCol w:w="208"/>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br/>
              <w:t>September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Under ASU 2020-06</w:t>
              <w:br/>
              <w:t>October 1, 2021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316,250 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316,250 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Unamortized debt discount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(48,785)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48,785 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financing costs, net</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(4,779)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carrying amount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264,186 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47,285 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311,471 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liability</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403,312 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(62,804)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340,508 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326,781 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26,166 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352,947 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Recently Issued Accounting Pronouncements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reviewed all recently issued accounting pronouncements and concluded that they were either not applicable or not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OTHER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fiscal 2020, we began to implement strategic initiatives to refocus on our core pawn business and optimize our cost structure in order to improve our bottom line performance and position us for sustainable growth. The initiatives focused on workforce reductions, closure of our CASHMAX operations, store closures, write-offs and other miscellaneous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Accrued charges at September 30, 2023 and 2022 were $2.0 million and $2.2 million, respectively, and are included within Accounts payable, accrued expenses and other current liabilities in our Consolidated Balance Sheets. Accrued charges includes $2.0 million related to other costs at September 30, 2023 and 2022 and $0.2 million related to store closure costs at September 30, 2022. There were no charges recorded for fiscal years ended September 30, 2023 and 2022 and we recorded $0.2 million of charges for the fiscal year ended September 30, 2021 related to the closure of store operations in Peru.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ACQUISITIONS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Fiscal 2021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the time of acquisition, the total consideration for Bajio was $23.6 million, consisting of $17.4 million of cash, and 212,870 shares of our Class A Non-Voting Common Stock valued at $1.6 million. In addition, the sellers were entitled to additional payments of up to $4.6 million to be paid in two payments over the following two years, contingent on the growth of the loan portfolios of the acquired stores. We had the right, in our discretion, to pay up to 50% of any contingent payment in the form of shares of our Class A Non-Voting Common Stock. The value of the contingent consideration was included in the total consideration as the metrics were considered achievable as of the date of acquisition. Cash paid at closing was $11.6 million, and $3.8 million was paid during the fourth quarter of 2021.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fiscal 2022, both parties completed the formal working capital reconciliation stipulated within the purchase agreement. As part of the working capital reconciliation, the Company and the seller agreed to reduce the purchase price, which was held in restricted cash as of September 30, 2021, by $1.3 million. As the working capital adjustment was recorded as of September 30, 2021, this reduction to the purchase price is a measurement period adjustment, and resulted in a $1.3 million reduction to goodwill during the period ended December 31, 2021. This reduced the total consideration for Bajio to $22.3 million. As the future payments decreased, we released $1.3 million of the previously held $2.0 million in restricted cash to our unrestricted cash. Of the remaining $0.6 million in restricted cash as of June 30, 2022, $0.3 million was paid during July 2022, and the remaining $0.3 million is expected to be paid on or around the fifth anniversary of the date of acquisition. During the second quarter of fiscal 2022, we obtained new information about the seller's calculation of pawn service charges receivable balance as of the date of acquisition, which resulted in a $0.7 million measurement period adjustment to reduce pawn service charges receivable and increase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remeasurement of the acquisition-related contingent obligation resulted in a reduction of the obligation to zero as of September 30, 2023, resulting in a $5.1 million reduction of the obligation with an offset recorded to “Other (income) expense” as an operating item in our consolidated statements of operations during year ended September 30, 2023. There is no remaining obligation in our Consolidated Balance Sheet as of September 30, 2023. As of September 30, 2022, the estimated fair value of the contingent obligation was $4.6 million and was included in “Accounts payable, accrued expenses and other current liabilities“ in our Consolidated Balance Sheets as of such date. Reductions of acquisition-related contingent obligation after the measurement period adjustment have no impact to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assets acquired and liabilities assumed are based upon the estimated fair values at the date of acquisition. The excess purchase price over the estimated fair market value of the new assets acquired has been recorded as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purchase price allocation is as follows, in thousands:</w:t>
      </w:r>
    </w:p>
    <w:tbl>
      <w:tblPr>
        <w:tblW w:w="4907"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181"/>
        <w:gridCol w:w="57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consideration</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22,255 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acquired consist of indefinite-lived trade names.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this business combination will be deductible for income tax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Bajio have been included in our consolidated financial statements from the date of acquisition in our Latin America Pawn segment. The acquired business contributed revenues of $9.6 million and net loss of $0.1 million during the fiscal year 2021, the year of acquisition.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June 9, 2021, we repaid $14.9 million of Bajio’s existing debt assumed in the acquisition.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unaudited pro forma summary presents consolidated information for us as if the business combination had occurred on October 1, 2020.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w:t>
      </w:r>
    </w:p>
    <w:tbl>
      <w:tblPr>
        <w:tblW w:w="5720" w:type="dxa"/>
        <w:jc w:val="left"/>
        <w:tblInd w:w="0" w:type="dxa"/>
        <w:tblLayout w:type="fixed"/>
        <w:tblCellMar>
          <w:top w:w="28" w:type="dxa"/>
          <w:left w:w="28" w:type="dxa"/>
          <w:bottom w:w="28" w:type="dxa"/>
          <w:right w:w="28" w:type="dxa"/>
        </w:tblCellMar>
      </w:tblPr>
      <w:tblGrid>
        <w:gridCol w:w="990"/>
        <w:gridCol w:w="868"/>
        <w:gridCol w:w="872"/>
        <w:gridCol w:w="109"/>
        <w:gridCol w:w="109"/>
        <w:gridCol w:w="109"/>
        <w:gridCol w:w="464"/>
        <w:gridCol w:w="1657"/>
        <w:gridCol w:w="279"/>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748,957 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did not have any material, nonrecurring pro forma adjustments directly attributable to the business combination included in the reported pro forma gross profit and net income. These pro forma amounts have been calculated after applying the Company's accounting policies and adjusting the results to reflect the additional amortization that would have been incurred assuming the amortization of the trade name had been applied from October 1, 2020.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fiscal year end ended September 30, 2021, we incurred total acquisition-related costs of $0.8 million. The acquisition-related costs were primarily related to legal, accounting and consulting services and were expensed as incurred through September 30, 2021, and are included in general and administrative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4: EARNINGS PER SHARE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the number of common shares used to compute basic and diluted earnings per common share:</w:t>
      </w:r>
    </w:p>
    <w:tbl>
      <w:tblPr>
        <w:tblW w:w="9413" w:type="dxa"/>
        <w:jc w:val="left"/>
        <w:tblInd w:w="0" w:type="dxa"/>
        <w:tblLayout w:type="fixed"/>
        <w:tblCellMar>
          <w:top w:w="28" w:type="dxa"/>
          <w:left w:w="28" w:type="dxa"/>
          <w:bottom w:w="28" w:type="dxa"/>
          <w:right w:w="28" w:type="dxa"/>
        </w:tblCellMar>
      </w:tblPr>
      <w:tblGrid>
        <w:gridCol w:w="2133"/>
        <w:gridCol w:w="1869"/>
        <w:gridCol w:w="1877"/>
        <w:gridCol w:w="109"/>
        <w:gridCol w:w="109"/>
        <w:gridCol w:w="109"/>
        <w:gridCol w:w="181"/>
        <w:gridCol w:w="571"/>
        <w:gridCol w:w="109"/>
        <w:gridCol w:w="109"/>
        <w:gridCol w:w="109"/>
        <w:gridCol w:w="109"/>
        <w:gridCol w:w="181"/>
        <w:gridCol w:w="571"/>
        <w:gridCol w:w="109"/>
        <w:gridCol w:w="109"/>
        <w:gridCol w:w="109"/>
        <w:gridCol w:w="109"/>
        <w:gridCol w:w="181"/>
        <w:gridCol w:w="496"/>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Fiscal Year Ended September 30, </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42,790 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57,649 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55,744 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55,949 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share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6,397</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w:t>
            </w:r>
          </w:p>
        </w:tc>
      </w:tr>
    </w:tbl>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The year ended September 30, 2023 includes $5.4 million gain on the partial extinguishment of debt, associated with the 2025 Convertible Notes, which was recorded to “Interest expense” in the Company’s consolidated statement of operations. See Note 9: Debt for additional information.</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Includes time-based share-based awards and performance based awards for which targets for fiscal year tranches have been achieved and vesting is subject only to achievement of service conditions. </w:t>
      </w:r>
    </w:p>
    <w:p>
      <w:pPr>
        <w:pStyle w:val="TextBody"/>
        <w:bidi w:val="0"/>
        <w:spacing w:lineRule="auto" w:line="256"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See Note 9: Debt for conversion price and initial conversion rate of the 2024 Convertible Notes, 2025 Convertible Notes and 2029 Convertible Notes. The 2024 Convertible Notes are considered anti-dilutive in the sequencing calculation for the fiscal year ended September 30, 2023. </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ownership in Cash Converters International Limited (“Cash Converters”) for the periods presented:</w:t>
      </w:r>
    </w:p>
    <w:tbl>
      <w:tblPr>
        <w:tblW w:w="7054" w:type="dxa"/>
        <w:jc w:val="left"/>
        <w:tblInd w:w="0" w:type="dxa"/>
        <w:tblLayout w:type="fixed"/>
        <w:tblCellMar>
          <w:top w:w="28" w:type="dxa"/>
          <w:left w:w="28" w:type="dxa"/>
          <w:bottom w:w="28" w:type="dxa"/>
          <w:right w:w="28" w:type="dxa"/>
        </w:tblCellMar>
      </w:tblPr>
      <w:tblGrid>
        <w:gridCol w:w="505"/>
        <w:gridCol w:w="444"/>
        <w:gridCol w:w="445"/>
        <w:gridCol w:w="304"/>
        <w:gridCol w:w="833"/>
        <w:gridCol w:w="183"/>
        <w:gridCol w:w="449"/>
        <w:gridCol w:w="449"/>
        <w:gridCol w:w="451"/>
        <w:gridCol w:w="458"/>
        <w:gridCol w:w="458"/>
        <w:gridCol w:w="366"/>
        <w:gridCol w:w="369"/>
        <w:gridCol w:w="369"/>
        <w:gridCol w:w="97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Date of purchase</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Purchase amount</w:t>
            </w:r>
          </w:p>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purchased</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owned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Ownership percentage</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October 1, 2021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236,702,991 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10, 2022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242,239,157 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April 5, 2022</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255,239,157 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September 15, 2022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260,939,157 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2, 2022</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273,939,157 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October 2021, April 2022, November 2022 and April 2023, we received cash dividends of $1.7 million, $1.7 million, $1.8 million and $1.8 million, respectively, from Cash Converters.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we owned 273,939,157 shares, or approximately 43.7%, of Cash Converters. We acquired our original investment (representing approximately 30% of the outstanding shares) in November 2009 and have increased our ownership through the acquisition of additional shares periodically since that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Converters’s most recently reported results as applicable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329,785 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293,158 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329,785 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32" w:type="dxa"/>
        <w:jc w:val="left"/>
        <w:tblInd w:w="0" w:type="dxa"/>
        <w:tblLayout w:type="fixed"/>
        <w:tblCellMar>
          <w:top w:w="28" w:type="dxa"/>
          <w:left w:w="28" w:type="dxa"/>
          <w:bottom w:w="28" w:type="dxa"/>
          <w:right w:w="28" w:type="dxa"/>
        </w:tblCellMar>
      </w:tblPr>
      <w:tblGrid>
        <w:gridCol w:w="407"/>
        <w:gridCol w:w="358"/>
        <w:gridCol w:w="360"/>
        <w:gridCol w:w="181"/>
        <w:gridCol w:w="646"/>
        <w:gridCol w:w="109"/>
        <w:gridCol w:w="109"/>
        <w:gridCol w:w="109"/>
        <w:gridCol w:w="109"/>
        <w:gridCol w:w="181"/>
        <w:gridCol w:w="646"/>
        <w:gridCol w:w="109"/>
        <w:gridCol w:w="109"/>
        <w:gridCol w:w="109"/>
        <w:gridCol w:w="109"/>
        <w:gridCol w:w="181"/>
        <w:gridCol w:w="64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June 30,</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profit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equity in Cash Converters’s net loss was $28.5 million in fiscal 2023. This includes $32.4 million of our share of their non-cash goodwill impairment charge. Our equity in Cash Converters’s net income was $2.9 million and $4.3 million in fiscal 2022 and 2021, respectively. Cash Converters’s accumulated undistributed after-tax loss included in our consolidated retained earnings were $16.2 million as of September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2023, 2022 and 2021, the fair value of our investment in Cash Converters, as estimated by reference to its quoted market price per share, was greater than its carrying value.</w:t>
      </w:r>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2021, we invested $15.0 million in exchange for a non-redeemable voting participating preferred equity interest in Founders, a newly-formed entity with one other member. Founders used that $15.0 million to acquire an equity interest in SMG.</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On December 2, 2022, we contributed an additional $15.0 million to Founders associated with our preferred interest, which proceeds were used by Founders to acquire additional common stock in SMG. In addition, we loaned $15.0 million to Founders in exchange for a Demand Promissory Note secured by the common interest in Founders held by the other member. Founders then loaned that $15.0 million to SMG in exchange for a Subordinated Promissory 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Accounting Standards Codification (“ASC”) 321, Investments — Equity Securities. As of September 30, 2023, our $30.0 million carrying value of the investment and $15.0 million Demand Promissory Note are included in “Other investments” and “Prepaid expenses and other current assets” in our consolidated balance sheets, respectively. As of September 30, 2023, our maximum exposure for losses related to our investment in Founders was our $30.0 million equity investment and $15.0 million Demand Promissory Note plus accrued and unpaid interest.</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2023, we contributed an additional $15.0 million to Founders associated with our preferred interest, for a total equity investment of $45.0 million. See Note 16: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3 — Unobservable inputs that are not corroborated by market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Financial Assets and Liabilities Not Measured at Fair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financial assets and liabilities that were not measured at fair value:</w:t>
      </w:r>
    </w:p>
    <w:tbl>
      <w:tblPr>
        <w:tblW w:w="10186" w:type="dxa"/>
        <w:jc w:val="left"/>
        <w:tblInd w:w="0" w:type="dxa"/>
        <w:tblLayout w:type="fixed"/>
        <w:tblCellMar>
          <w:top w:w="28" w:type="dxa"/>
          <w:left w:w="28" w:type="dxa"/>
          <w:bottom w:w="28" w:type="dxa"/>
          <w:right w:w="28" w:type="dxa"/>
        </w:tblCellMar>
      </w:tblPr>
      <w:tblGrid>
        <w:gridCol w:w="1187"/>
        <w:gridCol w:w="1045"/>
        <w:gridCol w:w="1052"/>
        <w:gridCol w:w="109"/>
        <w:gridCol w:w="109"/>
        <w:gridCol w:w="109"/>
        <w:gridCol w:w="302"/>
        <w:gridCol w:w="956"/>
        <w:gridCol w:w="182"/>
        <w:gridCol w:w="109"/>
        <w:gridCol w:w="109"/>
        <w:gridCol w:w="109"/>
        <w:gridCol w:w="302"/>
        <w:gridCol w:w="955"/>
        <w:gridCol w:w="182"/>
        <w:gridCol w:w="109"/>
        <w:gridCol w:w="109"/>
        <w:gridCol w:w="109"/>
        <w:gridCol w:w="181"/>
        <w:gridCol w:w="406"/>
        <w:gridCol w:w="109"/>
        <w:gridCol w:w="109"/>
        <w:gridCol w:w="109"/>
        <w:gridCol w:w="109"/>
        <w:gridCol w:w="181"/>
        <w:gridCol w:w="571"/>
        <w:gridCol w:w="109"/>
        <w:gridCol w:w="109"/>
        <w:gridCol w:w="109"/>
        <w:gridCol w:w="109"/>
        <w:gridCol w:w="181"/>
        <w:gridCol w:w="496"/>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0"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5" w:type="dxa"/>
            <w:gridSpan w:val="27"/>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12.00% 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71"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49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2019, we received $1.1 million in previously escrowed seller funds as a result of settling certain indemnification claims with the seller of GPMX. In April 2019,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Based primarily on the short-term nature of the note, we estimate that its carrying value approximates fair value as of September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loaned $15.0 million to Founders in exchange for a Demand Promissory Note secured by the common interest in Founders held by the other member. As of September 30, 2023, the interest rate on the note was 12.00% per annum, and all principal and accrued interest is due on demand. Based primarily on the short-term nature of the note, we estimate that its carrying value approximates fair value as of September 30, 2023. In October 2023, the interest rate on the demand promissory note from Founders was increased to 15.00% per annum. See “Note 16: Subsequent Events.”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remeasures its acquisition-related contingent obligation associated with the acquisition of Bajio at the end of each reporting period. This remeasurement resulted in a $5.1 million reduction of the obligation with an offset recorded to “Other” as an operating item in our consolidated statements of operations during year ended September 30, 2023. There is no remaining obligation in our Consolidated Balance Sheet as of September 30, 2023. As of September 30, 2022, the estimated fair value of the contingent obligation was $4.6 million and was included in “Accounts payable, accrued expenses and other current liabilities“ in our Consolidated Balance Sheets. The key assumptions used to determine the fair value of acquisition-related contingent consideration are estimated by management, not observable in the market and, therefore considered Level 3 inputs within the fair value hierarchy.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12: Leases” for discussion on the non-recurring fair value adjustment related to our corporate office lease during fiscal year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Major classifications of property and equipment were as follows:</w:t>
      </w:r>
    </w:p>
    <w:tbl>
      <w:tblPr>
        <w:tblW w:w="9176" w:type="dxa"/>
        <w:jc w:val="left"/>
        <w:tblInd w:w="0" w:type="dxa"/>
        <w:tblLayout w:type="fixed"/>
        <w:tblCellMar>
          <w:top w:w="28" w:type="dxa"/>
          <w:left w:w="28" w:type="dxa"/>
          <w:bottom w:w="28" w:type="dxa"/>
          <w:right w:w="28" w:type="dxa"/>
        </w:tblCellMar>
      </w:tblPr>
      <w:tblGrid>
        <w:gridCol w:w="682"/>
        <w:gridCol w:w="601"/>
        <w:gridCol w:w="607"/>
        <w:gridCol w:w="181"/>
        <w:gridCol w:w="646"/>
        <w:gridCol w:w="109"/>
        <w:gridCol w:w="109"/>
        <w:gridCol w:w="109"/>
        <w:gridCol w:w="109"/>
        <w:gridCol w:w="194"/>
        <w:gridCol w:w="694"/>
        <w:gridCol w:w="118"/>
        <w:gridCol w:w="109"/>
        <w:gridCol w:w="109"/>
        <w:gridCol w:w="109"/>
        <w:gridCol w:w="181"/>
        <w:gridCol w:w="571"/>
        <w:gridCol w:w="109"/>
        <w:gridCol w:w="109"/>
        <w:gridCol w:w="109"/>
        <w:gridCol w:w="109"/>
        <w:gridCol w:w="181"/>
        <w:gridCol w:w="646"/>
        <w:gridCol w:w="109"/>
        <w:gridCol w:w="109"/>
        <w:gridCol w:w="109"/>
        <w:gridCol w:w="109"/>
        <w:gridCol w:w="194"/>
        <w:gridCol w:w="694"/>
        <w:gridCol w:w="118"/>
        <w:gridCol w:w="109"/>
        <w:gridCol w:w="109"/>
        <w:gridCol w:w="109"/>
        <w:gridCol w:w="181"/>
        <w:gridCol w:w="57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(95,666)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345,461 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(277,365)</w:t>
            </w:r>
          </w:p>
        </w:tc>
        <w:tc>
          <w:tcPr>
            <w:tcW w:w="11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306,667 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(249,942)</w:t>
            </w:r>
          </w:p>
        </w:tc>
        <w:tc>
          <w:tcPr>
            <w:tcW w:w="11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depreciation of property and equipment is recorded as depreciation expense and included under “Depreciation and amortization” recorded in our Consolidated Statements of Operations. These amounts were $22.1 million, $20.4 million and $19.4 million for fiscal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evaluate goodwill for impairment annually on September 30 and upon the occurrence of certain triggering events or substantive changes in circumstances that indicate that the fair value of goodwill may be impaired.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we assessed qualitative and quantitative factors and determined that it was not more-likely-than-not that the fair values of our reporting units were less than their carrying values as of the testing date. As a result of our assessment, no goodwill impairment charge was recorded during the fiscal year ended September 30, 2023. There was no impairment charge during the fiscal year ended September 30, 2022. Accumulated goodwill impairment losses of $41.3 million were recorded prior to 2021 associated with the U.S. Pawn ($10.0 million) and Latin America Pawn ($31.3 million) segments because of the impact of the COVID-19 pandemic on typical customer behavior, which led to a significant decline in pawn loan balances and the mandated closure of stores in our GPMX countries.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changes in the carrying value of goodwill by segment:</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285,758 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Measurement period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41,325 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255,942 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46,430 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During the first quarter of fiscal 2023, we acquired nine pawn stores located in Houston, Texas and one luxury pawn store in Las Vegas, Nevada for total cash consideration of </w:t>
      </w:r>
      <w:r>
        <w:rPr>
          <w:rFonts w:ascii="Arial Narrow;sans-serif" w:hAnsi="Arial Narrow;sans-serif"/>
          <w:b w:val="false"/>
          <w:color w:val="000000"/>
          <w:sz w:val="20"/>
        </w:rPr>
        <w:t>$13.0 million</w:t>
      </w:r>
      <w:r>
        <w:rPr>
          <w:rFonts w:ascii="Arial Narrow;sans-serif" w:hAnsi="Arial Narrow;sans-serif"/>
          <w:b w:val="false"/>
          <w:color w:val="000000"/>
          <w:sz w:val="20"/>
          <w:shd w:fill="FFFFFF" w:val="clear"/>
        </w:rPr>
        <w:t xml:space="preserve">, inclusive of all ancillary arrangements, of which $9.5 million was recorded as goodwill. </w:t>
      </w:r>
      <w:r>
        <w:rPr>
          <w:rFonts w:ascii="Arial Narrow;sans-serif" w:hAnsi="Arial Narrow;sans-serif"/>
          <w:b w:val="false"/>
          <w:color w:val="000000"/>
          <w:sz w:val="20"/>
        </w:rPr>
        <w:t>During the fourth quarter of fiscal 2023, we acquired one pawn store located in Nashville, Tennessee and one store in San Antonio, Texas for total cash consideration of $1.9 million, inclusive of all ancillary arrangements, of which $0.9 million was recorded as goodwill. Th</w:t>
      </w:r>
      <w:r>
        <w:rPr>
          <w:rFonts w:ascii="Arial Narrow;sans-serif" w:hAnsi="Arial Narrow;sans-serif"/>
          <w:b w:val="false"/>
          <w:color w:val="000000"/>
          <w:sz w:val="20"/>
          <w:shd w:fill="FFFFFF" w:val="clear"/>
        </w:rPr>
        <w:t>ese acquisitions expand our position in these strategic markets, a</w:t>
      </w:r>
      <w:r>
        <w:rPr>
          <w:rFonts w:ascii="Arial Narrow;sans-serif" w:hAnsi="Arial Narrow;sans-serif"/>
          <w:b w:val="false"/>
          <w:color w:val="000000"/>
          <w:sz w:val="20"/>
        </w:rPr>
        <w:t xml:space="preserve">nd the luxury pawn transaction </w:t>
      </w:r>
      <w:r>
        <w:rPr>
          <w:rFonts w:ascii="Arial Narrow;sans-serif" w:hAnsi="Arial Narrow;sans-serif"/>
          <w:b w:val="false"/>
          <w:color w:val="000000"/>
          <w:sz w:val="20"/>
          <w:shd w:fill="FFFFFF" w:val="clear"/>
        </w:rPr>
        <w:t xml:space="preserve">expands our offerings by providing a dedicated and </w:t>
      </w:r>
      <w:r>
        <w:rPr>
          <w:rFonts w:ascii="Arial Narrow;sans-serif" w:hAnsi="Arial Narrow;sans-serif"/>
          <w:b w:val="false"/>
          <w:color w:val="000000"/>
          <w:sz w:val="20"/>
        </w:rPr>
        <w:t>targeted</w:t>
      </w:r>
      <w:r>
        <w:rPr>
          <w:color w:val="000000"/>
          <w:shd w:fill="FFFFFF" w:val="clear"/>
        </w:rPr>
        <w:t xml:space="preserve"> </w:t>
      </w:r>
      <w:r>
        <w:rPr>
          <w:rFonts w:ascii="Arial Narrow;sans-serif" w:hAnsi="Arial Narrow;sans-serif"/>
          <w:b w:val="false"/>
          <w:color w:val="000000"/>
          <w:sz w:val="20"/>
          <w:shd w:fill="FFFFFF" w:val="clear"/>
        </w:rPr>
        <w:t>focus on higher-end products. These acquisitions were immaterial, individually and in the aggregate, and we have therefore omitted or aggregated certain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we assessed qualitative and quantitative factors and determined that it was not more-likely-than-not that the fair values of our indefinite-lived intangible assets were less than their carrying values. Based on our assessment as of September 30, 2023, no impairment charges were recorded related to intangible assets or long-lived asset groups.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balance of each major class of intangible assets:</w:t>
      </w:r>
    </w:p>
    <w:tbl>
      <w:tblPr>
        <w:tblW w:w="4523" w:type="dxa"/>
        <w:jc w:val="left"/>
        <w:tblInd w:w="0" w:type="dxa"/>
        <w:tblLayout w:type="fixed"/>
        <w:tblCellMar>
          <w:top w:w="28" w:type="dxa"/>
          <w:left w:w="28" w:type="dxa"/>
          <w:bottom w:w="28" w:type="dxa"/>
          <w:right w:w="28" w:type="dxa"/>
        </w:tblCellMar>
      </w:tblPr>
      <w:tblGrid>
        <w:gridCol w:w="877"/>
        <w:gridCol w:w="773"/>
        <w:gridCol w:w="779"/>
        <w:gridCol w:w="181"/>
        <w:gridCol w:w="571"/>
        <w:gridCol w:w="109"/>
        <w:gridCol w:w="109"/>
        <w:gridCol w:w="109"/>
        <w:gridCol w:w="109"/>
        <w:gridCol w:w="181"/>
        <w:gridCol w:w="571"/>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Non-amortizing intangible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Trade names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Pawn licenses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28,126 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Amortizing intangible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Internally developed software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28,546 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The amortization of most definite-lived intangible assets is recorded as amortization expense and included under “Depreciation and amortization” expense in our Consolidated Statements of Operations. These amounts were $10.0 million, $11.7 million and $11.3 million for fiscal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charge of $2.4 million was recorded during fiscal 2022 to ”General and administrative” expenses in our Consolidated Statements of Operations related to an asset write-down associated with an information technology software infrastructure migration.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our estimate of future amortization expense for definite-lived intangible assets is as follows (in thousands):</w:t>
      </w:r>
    </w:p>
    <w:tbl>
      <w:tblPr>
        <w:tblW w:w="1999" w:type="dxa"/>
        <w:jc w:val="left"/>
        <w:tblInd w:w="0" w:type="dxa"/>
        <w:tblLayout w:type="fixed"/>
        <w:tblCellMar>
          <w:top w:w="28" w:type="dxa"/>
          <w:left w:w="28" w:type="dxa"/>
          <w:bottom w:w="28" w:type="dxa"/>
          <w:right w:w="28" w:type="dxa"/>
        </w:tblCellMar>
      </w:tblPr>
      <w:tblGrid>
        <w:gridCol w:w="276"/>
        <w:gridCol w:w="243"/>
        <w:gridCol w:w="247"/>
        <w:gridCol w:w="109"/>
        <w:gridCol w:w="109"/>
        <w:gridCol w:w="109"/>
        <w:gridCol w:w="181"/>
        <w:gridCol w:w="571"/>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28,888 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acquisitions and dispositions occur in the future, amortization expense may vary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DEBT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0205" w:type="dxa"/>
        <w:jc w:val="left"/>
        <w:tblInd w:w="0" w:type="dxa"/>
        <w:tblLayout w:type="fixed"/>
        <w:tblCellMar>
          <w:top w:w="28" w:type="dxa"/>
          <w:left w:w="28" w:type="dxa"/>
          <w:bottom w:w="28" w:type="dxa"/>
          <w:right w:w="28" w:type="dxa"/>
        </w:tblCellMar>
      </w:tblPr>
      <w:tblGrid>
        <w:gridCol w:w="557"/>
        <w:gridCol w:w="488"/>
        <w:gridCol w:w="489"/>
        <w:gridCol w:w="214"/>
        <w:gridCol w:w="767"/>
        <w:gridCol w:w="129"/>
        <w:gridCol w:w="109"/>
        <w:gridCol w:w="109"/>
        <w:gridCol w:w="109"/>
        <w:gridCol w:w="315"/>
        <w:gridCol w:w="942"/>
        <w:gridCol w:w="189"/>
        <w:gridCol w:w="109"/>
        <w:gridCol w:w="109"/>
        <w:gridCol w:w="109"/>
        <w:gridCol w:w="181"/>
        <w:gridCol w:w="646"/>
        <w:gridCol w:w="109"/>
        <w:gridCol w:w="109"/>
        <w:gridCol w:w="109"/>
        <w:gridCol w:w="109"/>
        <w:gridCol w:w="214"/>
        <w:gridCol w:w="767"/>
        <w:gridCol w:w="129"/>
        <w:gridCol w:w="109"/>
        <w:gridCol w:w="109"/>
        <w:gridCol w:w="109"/>
        <w:gridCol w:w="315"/>
        <w:gridCol w:w="942"/>
        <w:gridCol w:w="189"/>
        <w:gridCol w:w="109"/>
        <w:gridCol w:w="109"/>
        <w:gridCol w:w="109"/>
        <w:gridCol w:w="181"/>
        <w:gridCol w:w="646"/>
        <w:gridCol w:w="161"/>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(7,650)</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360,112 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(7,526)</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6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September 30, 2023</w:t>
      </w:r>
    </w:p>
    <w:tbl>
      <w:tblPr>
        <w:tblW w:w="8381" w:type="dxa"/>
        <w:jc w:val="left"/>
        <w:tblInd w:w="0" w:type="dxa"/>
        <w:tblLayout w:type="fixed"/>
        <w:tblCellMar>
          <w:top w:w="28" w:type="dxa"/>
          <w:left w:w="28" w:type="dxa"/>
          <w:bottom w:w="28" w:type="dxa"/>
          <w:right w:w="28" w:type="dxa"/>
        </w:tblCellMar>
      </w:tblPr>
      <w:tblGrid>
        <w:gridCol w:w="499"/>
        <w:gridCol w:w="440"/>
        <w:gridCol w:w="441"/>
        <w:gridCol w:w="325"/>
        <w:gridCol w:w="1160"/>
        <w:gridCol w:w="195"/>
        <w:gridCol w:w="109"/>
        <w:gridCol w:w="109"/>
        <w:gridCol w:w="109"/>
        <w:gridCol w:w="325"/>
        <w:gridCol w:w="1160"/>
        <w:gridCol w:w="195"/>
        <w:gridCol w:w="109"/>
        <w:gridCol w:w="109"/>
        <w:gridCol w:w="109"/>
        <w:gridCol w:w="352"/>
        <w:gridCol w:w="1113"/>
        <w:gridCol w:w="214"/>
        <w:gridCol w:w="109"/>
        <w:gridCol w:w="109"/>
        <w:gridCol w:w="109"/>
        <w:gridCol w:w="181"/>
        <w:gridCol w:w="64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the Convertible Notes:</w:t>
      </w:r>
    </w:p>
    <w:tbl>
      <w:tblPr>
        <w:tblW w:w="5832" w:type="dxa"/>
        <w:jc w:val="left"/>
        <w:tblInd w:w="0" w:type="dxa"/>
        <w:tblLayout w:type="fixed"/>
        <w:tblCellMar>
          <w:top w:w="28" w:type="dxa"/>
          <w:left w:w="28" w:type="dxa"/>
          <w:bottom w:w="28" w:type="dxa"/>
          <w:right w:w="28" w:type="dxa"/>
        </w:tblCellMar>
      </w:tblPr>
      <w:tblGrid>
        <w:gridCol w:w="949"/>
        <w:gridCol w:w="837"/>
        <w:gridCol w:w="839"/>
        <w:gridCol w:w="181"/>
        <w:gridCol w:w="571"/>
        <w:gridCol w:w="109"/>
        <w:gridCol w:w="109"/>
        <w:gridCol w:w="109"/>
        <w:gridCol w:w="109"/>
        <w:gridCol w:w="181"/>
        <w:gridCol w:w="496"/>
        <w:gridCol w:w="109"/>
        <w:gridCol w:w="109"/>
        <w:gridCol w:w="109"/>
        <w:gridCol w:w="109"/>
        <w:gridCol w:w="181"/>
        <w:gridCol w:w="57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11,576 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10,804 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10,482 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color w:val="252525"/>
          <w:sz w:val="20"/>
        </w:rPr>
      </w:pPr>
      <w:r>
        <w:rPr>
          <w:rFonts w:ascii="Arial Narrow;sans-serif" w:hAnsi="Arial Narrow;sans-serif"/>
          <w:b/>
          <w:color w:val="252525"/>
          <w:sz w:val="20"/>
        </w:rPr>
        <w:t>3.750% Convertible Senior Notes Due 2029</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3.750% Convertible Senior Notes Due 2029 (the “2029 Convertible Notes”), for which $230.0 million remains outstanding as of September 30, 2023.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fiscal 2023 was approximately 4.28%. As of September 30, 2023,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the 2029 Convertible Notes were not convertible as no conditions of conversion had been met. Accordingly, the net balance of the 2029 Convertible Notes was classified as a non-current liability in our Consolidated Balance Sheets as of September 30, 2023. The classification of the 2029 Convertible Notes as current or non-current in the Consolidated Balance Sheets is evaluated at each balance sheet date and may change from time to time depending on whether any of the conversion conditions has been met.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one of the conversion conditions is met in any future fiscal quarter, we will classify our net liability under the 2029 Convertible Notes as a current liability in the Consolidated Balance Sheets as of the end of that fiscal quarter. If none of the conversion conditions have been met in a future fiscal quarter prior to the one-year period immediately preceding the 2029 Maturity Date, we will classify our net liability under the 2029 Convertible Notes as a non-current liability in the Consolidated Balance Sheets as of the end of that fiscal quarter. If the note holders elect to convert their 2029 Convertible Notes prior to maturity, any unamortized debt issuance costs will be recognized as expense at the time of conversion. If the entire outstanding principal amount had been converted on September 30, 2023, we would have recorded an expense associated with the conversion, comprised of $6.7 million of unamortized debt issuance costs. As of September 30, 2023, none of the note holders had elected to convert their 2029 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September 30, 2023. As of September 30, 2023, the if-converted value of the 2029 Convertible Notes did not exceed the principal amount.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our Consolidated Statement of Operations.</w:t>
      </w:r>
    </w:p>
    <w:p>
      <w:pPr>
        <w:pStyle w:val="TextBody"/>
        <w:bidi w:val="0"/>
        <w:spacing w:lineRule="auto" w:line="276" w:before="180" w:after="283"/>
        <w:jc w:val="left"/>
        <w:rPr>
          <w:rFonts w:ascii="Arial Narrow;sans-serif" w:hAnsi="Arial Narrow;sans-serif"/>
          <w:b/>
          <w:color w:val="252525"/>
          <w:sz w:val="20"/>
        </w:rPr>
      </w:pPr>
      <w:r>
        <w:rPr>
          <w:rFonts w:ascii="Arial Narrow;sans-serif" w:hAnsi="Arial Narrow;sans-serif"/>
          <w:b/>
          <w:color w:val="252525"/>
          <w:sz w:val="20"/>
        </w:rPr>
        <w:t>2.375% Convertible Senior Notes Due 2025</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May 2018, we issued $172.5 million aggregate principal amount of 2.375% Convertible Senior Notes Due 2025 (the “2025 Convertible Notes”), for which $103.4 million remains outstanding as of September 30, 2023.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fiscal 2023 was approximately 2.88% for the 2025 Convertible Notes. As of September 30, 2023, the remaining unamortized debt issuance costs will be amortized using the effective interest method through the 2025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the 2025 Convertible Notes were not convertible as no conditions of conversion had been met. Accordingly, the net balance of the 2025 Convertible Notes was classified as a non-current liability in our Consolidated Balance Sheets as of September 30, 2023. The classification of the 2025 Convertible Notes as current or non-current in the Consolidated Balance Sheets is evaluated at each balance sheet date and may change from time to time depending on whether any of the conversion conditions has been met.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 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debt issuance costs will be recognized as expense at the time of conversion. If the entire outstanding principal amount had been converted on September 30, 2023, we would have recorded an expense associated with the conversion, comprised of $0.8 million of unamortized debt issuance costs. As of September 30, 2023, none of the note holders had elected to convert their 2025 Convertible Notes.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September 30, 2023. As of September 30, 2023, the if-converted value of the 2025 Convertible Notes did not exceed the principal amount.</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2.875% Convertible Senior Notes Due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July 2017, we issued $143.75 million aggregate principal amount of 2.875% Convertible Senior Notes Due 2024 (the “2024 Convertible Notes”), for which $34.4 million remains outstanding as of September 30, 2023.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 </w:t>
      </w:r>
    </w:p>
    <w:p>
      <w:pPr>
        <w:pStyle w:val="TextBody"/>
        <w:bidi w:val="0"/>
        <w:spacing w:lineRule="auto" w:line="288" w:before="180" w:after="283"/>
        <w:jc w:val="left"/>
        <w:rPr/>
      </w:pPr>
      <w:r>
        <w:rPr>
          <w:rFonts w:ascii="Arial Narrow;sans-serif" w:hAnsi="Arial Narrow;sans-serif"/>
          <w:b w:val="false"/>
          <w:color w:val="000000"/>
          <w:sz w:val="20"/>
        </w:rPr>
        <w:t>The effective interest rate for fiscal 2023</w:t>
      </w:r>
      <w:r>
        <w:rPr>
          <w:color w:val="252525"/>
        </w:rPr>
        <w:t xml:space="preserve"> </w:t>
      </w:r>
      <w:r>
        <w:rPr>
          <w:rFonts w:ascii="Arial Narrow;sans-serif" w:hAnsi="Arial Narrow;sans-serif"/>
          <w:b w:val="false"/>
          <w:color w:val="252525"/>
          <w:sz w:val="20"/>
        </w:rPr>
        <w:t xml:space="preserve">was approximately 3.35%. </w:t>
      </w:r>
      <w:r>
        <w:rPr>
          <w:rFonts w:ascii="Arial Narrow;sans-serif" w:hAnsi="Arial Narrow;sans-serif"/>
          <w:b w:val="false"/>
          <w:color w:val="000000"/>
          <w:sz w:val="20"/>
        </w:rPr>
        <w:t>As of September 30, 2023, the remaining unamortized debt issuance costs will be amortized using the effective interest method through the 2024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2024 Convertible Notes are convertible based on an initial conversion rate of 100 shares of Class A Common Stock per $1,000 principal amount (equivalent to an initial conversion price of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the 2024 Convertible Notes were not convertible as no conditions of conversion had been met. The 2024 Convertible Notes mature on July 1, 2024, accordingly, the balance was classified as a current liability in our Consolidated Balance Sheets as of September 30,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the note holders elect to convert their 2024 Convertible Notes prior to maturity, any unamortized debt issuance costs will be recognized as expense at the time of conversion. If the entire outstanding principal amount had been converted on September 30, 2023, we would have recorded an expense associated with the conversion, comprised of $0.1 million of unamortized debt issuance costs. As of September 30, 2023, none of the note holders had elected to convert their 2024 Convertible Notes.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September 30, 2023. As of September 30, 2023, the if-converted value of the 2024 Convertible Notes did not exceed the principal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 As of September 30, 2023, we had repurchased and retired 1,627,045 shares of our Class A Common Stock for $14.0 million under the Common Stock Repurchase Program, of which 1,389,102 shares were repurchased and retired for $12.0 million during fiscal year ended September 30, 2023. The repurchase amount is allocated between “Additional paid-in capital” and “Retained earnings” in our Consolidated Balance Sheets.</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December 2022, we used approximately $5.0 million of the net proceeds from the 2029 Convertible Notes offering to repurchase for cash 578,703 shares of our Class A Common Stock from purchasers of the notes in privately negotiated transactions. Such transactions were authorized separately from, and not considered a part of, the publicly announced Common Stock Repurchase Program discussed above. The repurchase amount is allocated between “Additional paid-in capital” and “Retained earnings” in our consolidated balance sheets.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utilize equity-based awards as a long-term incentive to attract and retain qualified employees, consultants and directors and motivate them to achieve long-term goals, thereby promoting the long-term financial interests of the Company and enhancing long-term stockholder return.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2022 LTI Plan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2022, we adopted the 2022 Long-Term Incentive Plan (the “2022 LTI Plan”), which gives us the ability to grant equity-based incentive compensation awards, in the form of restricted stock or restricted stock units, to its employees, members of the Board of Directors and consultants, independent contractors or advisors who are determined to have a direct and significant effect on the Company’s performance. The total number of shares of Class A Common Stock that may be issued pursuant to awards under the 2022 LTI Plan (“Authorized Shares”) is such number that is from time to time approved by the holder of the Company’s Class B Voting Common Stock (the “Voting Stockholder”). At the time the 2022 LTI Plan was adopted, 400,000 shares of our Class A Common Stock were added as Authorized Shares. That number was increased to 1,900,000 in October 2022 and to 3,300,000 in November 2023. At any time, the number of shares that are available for issuance under future awards (“Available Shares”) is equal to the number of Authorized Shares reduced by the number of shares previously issued and the number of shares that may be issued under outstanding awards. The number of Available Shares is increased for shares covered by awards that are forfeited, cancelled or otherwise terminated without the issuance of shares or shares that are withheld at the request of a participant to satisfy such participant’s tax withholding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2022 LTI Plan is administered by the People and Compensation Committee of the Board of Directors (the “Committee”). The Committee generally determines and recommends the type, recipient, amount and terms for all awards issued under the 2022 LTI Plan, but each award issuance requires the approval of the full Board of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Restricted stock awards are generally subject to continued service over a specified period (typically one-to-three years) and expensed straight-line over the service period. Restricted stock units are generally subject to the achievement of performance goals in addition to continued service, and they are expensed, on a tranche-by-tranche basis, ratably over the service period beginning with the start of the measurement of performance.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2010 LTI Plan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2022 LTI Plan replaced the 2010 Long-Term Incentive Plan (the “2010 LTI Plan”) for all long-term incentive awards issued from and after January 1, 2022. The 2010 LTI Plan remains effective, but only with respect to LTI awards issued and outstanding as of December 31, 2021, and any authorized but unissued shares remaining in the 2010 LTI Plan are available only to satisfy such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2010 LTI Plan, we granted awards of restricted stock or restricted stock units to employees and non-employee directors. Awards granted to employees were typically subject to performance and service conditions. Awards granted to non-employee directors were time-based awards subject only to service conditions. Awards were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Board of Director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Immediately after our 2023 Annual Meeting of Stockholders in March 2023, we granted each of the five non-employee directors a restricted stock award covering 18,038 shares (90,190 shares in total). Those shares are scheduled to vest on the day immediately preceding the 2024 Annual Meeting of Stockholders (but in no event later than March 31, 2024), subject only to service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2022, we granted each of the five non-employee directors a restricted stock award covering 26,490 shares (132,450 shares in total). Those shares vested on the day immediately preceding the 2023 Annual Meeting of Stockholders in March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February 2021, we granted each of the four non-employee directors serving at that time a restricted stock award covering 31,936 shares (127,744 shares in total). Those shares vested on the day immediately preceding our 2022 Annual Meeting of Stockholders in March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2020, we granted each of the nine non-employee directors serving at that time a restricted stock award covering 15,905 shares (143,145 shares in total). Those shares were scheduled to vest on March 31, 2021, subject only to service conditions. The vesting of 79,525 of such shares was accelerated to February 18, 2021 (the date of the 2021 Annual Meeting of Stockholders) when the term of service for five of the non-employee directors ended. The remaining 63,620 shares vested on March 31, 2021.</w:t>
      </w:r>
    </w:p>
    <w:p>
      <w:pPr>
        <w:pStyle w:val="TextBody"/>
        <w:bidi w:val="0"/>
        <w:spacing w:lineRule="auto" w:line="288" w:before="180" w:after="180"/>
        <w:jc w:val="left"/>
        <w:rPr>
          <w:rFonts w:ascii="Arial Narrow;sans-serif" w:hAnsi="Arial Narrow;sans-serif"/>
          <w:b w:val="false"/>
          <w:i/>
          <w:color w:val="000000"/>
          <w:sz w:val="20"/>
        </w:rPr>
      </w:pPr>
      <w:r>
        <w:rPr>
          <w:rFonts w:ascii="Arial Narrow;sans-serif" w:hAnsi="Arial Narrow;sans-serif"/>
          <w:b w:val="false"/>
          <w:i/>
          <w:color w:val="000000"/>
          <w:sz w:val="20"/>
        </w:rPr>
        <w:t>Employee Awards</w:t>
      </w:r>
    </w:p>
    <w:p>
      <w:pPr>
        <w:pStyle w:val="TextBody"/>
        <w:bidi w:val="0"/>
        <w:spacing w:lineRule="auto" w:line="276" w:before="0" w:after="0"/>
        <w:jc w:val="left"/>
        <w:rPr/>
      </w:pPr>
      <w:r>
        <w:rPr>
          <w:rFonts w:ascii="Arial Narrow;sans-serif" w:hAnsi="Arial Narrow;sans-serif"/>
          <w:b w:val="false"/>
          <w:i/>
          <w:color w:val="000000"/>
          <w:sz w:val="20"/>
        </w:rPr>
        <w:t xml:space="preserve">FY23 Awards </w:t>
      </w:r>
      <w:r>
        <w:rPr>
          <w:color w:val="000000"/>
        </w:rPr>
        <w:t xml:space="preserve">— </w:t>
      </w:r>
      <w:r>
        <w:rPr>
          <w:rFonts w:ascii="Arial Narrow;sans-serif" w:hAnsi="Arial Narrow;sans-serif"/>
          <w:b w:val="false"/>
          <w:color w:val="000000"/>
          <w:sz w:val="20"/>
        </w:rPr>
        <w:t>In October 2022, we granted restricted stock unit awards covering a total of 912,524 shares to our executive officers and other key employees. These awards were issued as part of our annual LTI program for fiscal 2023. The awards have a three-year performance period consisting of fiscal 2023, fiscal 2024 and fiscal 2025.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2025, so long as the recipient continues active employment with the Company through that date. Performance targets for the fiscal 2023 tranche and the three-year cumulative tranche were determined and communicated at the time of grant. Grant dates for the fiscal 2024 and fiscal 2025 tranches will be determined when the applicable performance targets are established for those tranches. As of September 30, 2023, we considered the performance targets for the fiscal 2023 tranche to be probable of achievement at the 147.3% level and the cumulative performance target for the three-year cumulative tranche to be probable of achievement at the 100% level. During fiscal 2023, we granted restricted stock unit awards covering an additional 8,036 shares to key employees in connection with promotions or new hires. These additional awards carry the same terms as those granted in October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FY22 Awards</w:t>
      </w:r>
      <w:r>
        <w:rPr>
          <w:color w:val="000000"/>
        </w:rPr>
        <w:t xml:space="preserve"> — </w:t>
      </w:r>
      <w:r>
        <w:rPr>
          <w:rFonts w:ascii="Arial Narrow;sans-serif" w:hAnsi="Arial Narrow;sans-serif"/>
          <w:b w:val="false"/>
          <w:color w:val="000000"/>
          <w:sz w:val="20"/>
        </w:rPr>
        <w:t>In October and November 2021, we granted restricted stock unit awards covering a total of 981,327 shares to our executive officers and other key employees. These awards were issued as part of our annual LTI program for fiscal 2022. The awards have a three-year performance period consisting of fiscal 2022, fiscal 2023 and fiscal 2024.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2024, so long as the recipient continues active employment with the Company through that date. Performance targets for the fiscal 2022 tranche were determined and communicated at the time of grant. Grant dates for the other two tranches will be determined when the applicable performance targets are established for these tranches. As of September 30, 2022, we considered the performance targets for the fiscal 2022 tranche to be probable of achievement at the 150% level, and as of September 30, 2023, we considered the performance targets for the fiscal 2023 tranche to be probable of achievement at the 147.3% level. During fiscal 2022, we granted restricted stock unit awards covering an additional 161,265 shares to executive officers and other key employees in connection with promotions or new hires. These additional awards carry the same terms as those granted in October and November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2021, we granted a restricted stock award covering 29,722 to an executive officer as a special performance and retention award. This awards vests ratably over three years (fiscal 2022, fiscal 2023 and fiscal 2024), subject only to continued service.</w:t>
      </w:r>
    </w:p>
    <w:p>
      <w:pPr>
        <w:pStyle w:val="TextBody"/>
        <w:bidi w:val="0"/>
        <w:spacing w:lineRule="auto" w:line="288" w:before="180" w:after="283"/>
        <w:jc w:val="left"/>
        <w:rPr/>
      </w:pPr>
      <w:r>
        <w:rPr>
          <w:rFonts w:ascii="Arial Narrow;sans-serif" w:hAnsi="Arial Narrow;sans-serif"/>
          <w:b w:val="false"/>
          <w:i/>
          <w:color w:val="000000"/>
          <w:sz w:val="20"/>
        </w:rPr>
        <w:t>FY21 Awards</w:t>
      </w:r>
      <w:r>
        <w:rPr>
          <w:color w:val="000000"/>
        </w:rPr>
        <w:t xml:space="preserve"> — </w:t>
      </w:r>
      <w:r>
        <w:rPr>
          <w:rFonts w:ascii="Arial Narrow;sans-serif" w:hAnsi="Arial Narrow;sans-serif"/>
          <w:b w:val="false"/>
          <w:color w:val="000000"/>
          <w:sz w:val="20"/>
        </w:rPr>
        <w:t xml:space="preserve">In February 2021, we granted restricted stock units covering a total of 1,177,214 shares to our executive officers and other key employees. The awards have a three-year performance period consisting of fiscal 2021, fiscal 2022 and fiscal 2023.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2023, so long as the recipient continues active employment with the Company through that date. Performance targets for the fiscal 2021 tranche were determined and communicated in February 2021, and performance targets for the fiscal 2022 tranche were determined and communicated in October 2021. The grant date for the fiscal 2023 tranche will be determined when the applicable performance targets are established for that tranche. As of September 30, 2021, we considered the performance targets for the fiscal 2021 tranche to be probable of achievement at the 150% level, as of September 30, 2022, we considered the performance targets for the fiscal 2022 tranche to be probable of achievement at the 150% level, and as of September 30, 2023, we considered the performance targets for the fiscal 2023 tranche to be probable of achievement at the 135.4% level. During fiscal 2021, we granted restricted stock unit awards covering an additional 4,722 shares of restricted stock to employees in connection with promotions or new hires. These additional awards carry the same terms as those granted in February 2021. </w:t>
      </w:r>
    </w:p>
    <w:p>
      <w:pPr>
        <w:pStyle w:val="TextBody"/>
        <w:bidi w:val="0"/>
        <w:spacing w:lineRule="auto" w:line="288" w:before="180" w:after="283"/>
        <w:jc w:val="left"/>
        <w:rPr/>
      </w:pPr>
      <w:r>
        <w:rPr>
          <w:rFonts w:ascii="Arial Narrow;sans-serif" w:hAnsi="Arial Narrow;sans-serif"/>
          <w:b w:val="false"/>
          <w:i/>
          <w:color w:val="000000"/>
          <w:sz w:val="20"/>
        </w:rPr>
        <w:t>FY20 Awards</w:t>
      </w:r>
      <w:r>
        <w:rPr>
          <w:color w:val="000000"/>
        </w:rPr>
        <w:t xml:space="preserve"> — </w:t>
      </w:r>
      <w:r>
        <w:rPr>
          <w:rFonts w:ascii="Arial Narrow;sans-serif" w:hAnsi="Arial Narrow;sans-serif"/>
          <w:b w:val="false"/>
          <w:color w:val="000000"/>
          <w:sz w:val="20"/>
        </w:rPr>
        <w:t xml:space="preserve">In January 2020, the Committee approved restricted stock unit awards for executive officers and key employees, but did not finalize the performance targets at that time. In January 2021, the Committee approved the applicable performance targets and we granted restricted stock unit awards covering a total of 550,224 shares of restricted stock to employees. We consider the awards to have a three-year performance period consisting of fiscal 2020, fiscal 2021 and fiscal 2022, with a service condition applicable to fiscal 2020 and then separate performance conditions applicable to fiscal 2021 and 2022. For each award, the total number of shares was allocated equally among fiscal 2021 and fiscal 2022, with each tranche having separate performance conditions. The number of shares available to vest from each tranche is dependent on the achievement of the performance condition for that tranche and can range from 0 to 100%. All of the shares that become available to vest based on the achievement of the performance conditions will vest on September 30, 2022, so long as the recipient continues active employment with the Company through that date. Performance targets for the fiscal 2021 tranche were communicated in January 2021, and performance targets for the fiscal 2022 tranche were determined and communicated in October 2021. As of September 30, 2021, we considered the performance targets for the fiscal 2021 tranche to be probable of achievement at the 100% level, and as of September 30, 2022, we considered the performance targets for the fiscal 2022 tranche to be probably of achievement at the 100% level. All of these awards vested in November 2022, after the Committee determined that the performance condition had been met. </w:t>
      </w:r>
    </w:p>
    <w:p>
      <w:pPr>
        <w:pStyle w:val="TextBody"/>
        <w:bidi w:val="0"/>
        <w:spacing w:lineRule="auto" w:line="288" w:before="180" w:after="283"/>
        <w:jc w:val="left"/>
        <w:rPr/>
      </w:pPr>
      <w:r>
        <w:rPr>
          <w:rFonts w:ascii="Arial Narrow;sans-serif" w:hAnsi="Arial Narrow;sans-serif"/>
          <w:b w:val="false"/>
          <w:i/>
          <w:color w:val="000000"/>
          <w:sz w:val="20"/>
        </w:rPr>
        <w:t>FY19 Awards</w:t>
      </w:r>
      <w:r>
        <w:rPr>
          <w:color w:val="000000"/>
        </w:rPr>
        <w:t xml:space="preserve"> — </w:t>
      </w:r>
      <w:r>
        <w:rPr>
          <w:rFonts w:ascii="Arial Narrow;sans-serif" w:hAnsi="Arial Narrow;sans-serif"/>
          <w:b w:val="false"/>
          <w:color w:val="000000"/>
          <w:sz w:val="20"/>
        </w:rPr>
        <w:t>In December 2018, we granted restricted stock unit awards covering a total of 971,615 shares to executive officers and other key employees. The awards had a three-year performance period consisting of fiscal 2019, fiscal 2020 and fiscal 2021, and were subject to a single three-year performance condition as well as a service condition through the end of the performance period. In November 2020, the Committee determined that the stated performance target for such awards was not probable of achievement and approved a modification of such awards that reduced the number of shares available for vesting and established a new one-year performance condition (in addition to the continuing service condition) applicable to the vesting of the remaining shares. We treated this modification as a cancellation of the existing awards and the grant of new awards subject to a new performance condition, which resulted in (1) the cancellation of awards covering 458,960 shares and the reversal of $2.9 million of previously recognized stock compensation expense and (2) the grant of 358,883 shares of restricted stock. During fiscal 2021, we granted restricted stock unit awards covering an additional 61,138 shares of restricted stock to employees in connection with promotions or new hires. These additional awards carried the same terms as those granted in December 2018. All of these awards vested in November 2021, after the Committee determined that the performance condition had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the unamortized fair value of share awards to be amortized over their remaining vesting periods was approximately $10.6 million. The weighted-average period over which these costs will be amortized is approximately two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amounts related to our stock compensation arrangements:</w:t>
      </w:r>
    </w:p>
    <w:tbl>
      <w:tblPr>
        <w:tblW w:w="6927" w:type="dxa"/>
        <w:jc w:val="left"/>
        <w:tblInd w:w="0" w:type="dxa"/>
        <w:tblLayout w:type="fixed"/>
        <w:tblCellMar>
          <w:top w:w="28" w:type="dxa"/>
          <w:left w:w="28" w:type="dxa"/>
          <w:bottom w:w="28" w:type="dxa"/>
          <w:right w:w="28" w:type="dxa"/>
        </w:tblCellMar>
      </w:tblPr>
      <w:tblGrid>
        <w:gridCol w:w="1400"/>
        <w:gridCol w:w="1232"/>
        <w:gridCol w:w="1238"/>
        <w:gridCol w:w="181"/>
        <w:gridCol w:w="496"/>
        <w:gridCol w:w="109"/>
        <w:gridCol w:w="109"/>
        <w:gridCol w:w="109"/>
        <w:gridCol w:w="109"/>
        <w:gridCol w:w="181"/>
        <w:gridCol w:w="496"/>
        <w:gridCol w:w="109"/>
        <w:gridCol w:w="109"/>
        <w:gridCol w:w="109"/>
        <w:gridCol w:w="109"/>
        <w:gridCol w:w="181"/>
        <w:gridCol w:w="49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 costs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 expense on share-based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4738" w:type="dxa"/>
        <w:jc w:val="left"/>
        <w:tblInd w:w="0" w:type="dxa"/>
        <w:tblLayout w:type="fixed"/>
        <w:tblCellMar>
          <w:top w:w="28" w:type="dxa"/>
          <w:left w:w="28" w:type="dxa"/>
          <w:bottom w:w="28" w:type="dxa"/>
          <w:right w:w="28" w:type="dxa"/>
        </w:tblCellMar>
      </w:tblPr>
      <w:tblGrid>
        <w:gridCol w:w="929"/>
        <w:gridCol w:w="816"/>
        <w:gridCol w:w="819"/>
        <w:gridCol w:w="383"/>
        <w:gridCol w:w="383"/>
        <w:gridCol w:w="196"/>
        <w:gridCol w:w="109"/>
        <w:gridCol w:w="109"/>
        <w:gridCol w:w="109"/>
        <w:gridCol w:w="211"/>
        <w:gridCol w:w="493"/>
        <w:gridCol w:w="181"/>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2022</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2,113,323 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Granted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1,010,750 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Released </w:t>
            </w:r>
            <w:r>
              <w:rPr>
                <w:rFonts w:ascii="Arial Narrow;sans-serif" w:hAnsi="Arial Narrow;sans-serif"/>
                <w:b w:val="false"/>
                <w:color w:val="000000"/>
                <w:sz w:val="12"/>
              </w:rPr>
              <w:t>(a)</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(490,145)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Cancelled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2023</w:t>
            </w:r>
          </w:p>
        </w:tc>
        <w:tc>
          <w:tcPr>
            <w:tcW w:w="76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2,555,899 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118,011 shares were withheld to satisfy related income tax withholding.</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the fair value of shares granted:</w:t>
      </w:r>
    </w:p>
    <w:tbl>
      <w:tblPr>
        <w:tblW w:w="6672" w:type="dxa"/>
        <w:jc w:val="left"/>
        <w:tblInd w:w="0" w:type="dxa"/>
        <w:tblLayout w:type="fixed"/>
        <w:tblCellMar>
          <w:top w:w="28" w:type="dxa"/>
          <w:left w:w="28" w:type="dxa"/>
          <w:bottom w:w="28" w:type="dxa"/>
          <w:right w:w="28" w:type="dxa"/>
        </w:tblCellMar>
      </w:tblPr>
      <w:tblGrid>
        <w:gridCol w:w="1389"/>
        <w:gridCol w:w="1220"/>
        <w:gridCol w:w="1231"/>
        <w:gridCol w:w="181"/>
        <w:gridCol w:w="421"/>
        <w:gridCol w:w="109"/>
        <w:gridCol w:w="109"/>
        <w:gridCol w:w="109"/>
        <w:gridCol w:w="109"/>
        <w:gridCol w:w="181"/>
        <w:gridCol w:w="421"/>
        <w:gridCol w:w="109"/>
        <w:gridCol w:w="109"/>
        <w:gridCol w:w="109"/>
        <w:gridCol w:w="109"/>
        <w:gridCol w:w="181"/>
        <w:gridCol w:w="42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 except per share amounts)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Weighted average grant date fair value per share granted </w:t>
            </w:r>
            <w:r>
              <w:rPr>
                <w:rFonts w:ascii="Arial Narrow;sans-serif" w:hAnsi="Arial Narrow;sans-serif"/>
                <w:b w:val="false"/>
                <w:color w:val="000000"/>
                <w:sz w:val="12"/>
              </w:rPr>
              <w:t>(a)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market value of shares released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 Narrow;sans-serif" w:hAnsi="Arial Narrow;sans-serif"/>
          <w:b w:val="false"/>
          <w:color w:val="252525"/>
          <w:sz w:val="16"/>
        </w:rPr>
        <w:t xml:space="preserve">(a) </w:t>
      </w:r>
      <w:r>
        <w:rPr>
          <w:rFonts w:ascii="Arial Narrow;sans-serif" w:hAnsi="Arial Narrow;sans-serif"/>
          <w:b w:val="false"/>
          <w:color w:val="000000"/>
          <w:sz w:val="16"/>
        </w:rPr>
        <w:t>Awards with performance and time-based vesting provisions are generally valued based upon the underlying share price as of the issuance date.</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w:t>
      </w:r>
    </w:p>
    <w:p>
      <w:pPr>
        <w:pStyle w:val="TextBody"/>
        <w:bidi w:val="0"/>
        <w:spacing w:lineRule="auto" w:line="288" w:before="180" w:after="283"/>
        <w:jc w:val="left"/>
        <w:rPr/>
      </w:pPr>
      <w:r>
        <w:rPr>
          <w:rFonts w:ascii="Arial Narrow;sans-serif" w:hAnsi="Arial Narrow;sans-serif"/>
          <w:b w:val="false"/>
          <w:color w:val="000000"/>
          <w:sz w:val="20"/>
        </w:rPr>
        <w:t>We have not declared or paid any dividends and currently do not anticipate paying any dividends in the immediate future. As described in Note 9: Debt, payment of a dividend requires an adjustment to the conversion rate of our Convertible Notes</w:t>
      </w:r>
      <w:r>
        <w:rPr>
          <w:rFonts w:ascii="Arial Narrow;sans-serif" w:hAnsi="Arial Narrow;sans-serif"/>
          <w:b w:val="false"/>
          <w:color w:val="252525"/>
          <w:sz w:val="20"/>
        </w:rPr>
        <w:t xml:space="preserve">. </w:t>
      </w:r>
      <w:r>
        <w:rPr>
          <w:rFonts w:ascii="Arial Narrow;sans-serif" w:hAnsi="Arial Narrow;sans-serif"/>
          <w:b w:val="false"/>
          <w:color w:val="000000"/>
          <w:sz w:val="20"/>
        </w:rPr>
        <w:t>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components of our income before income taxes, including inter-segment amounts:</w:t>
      </w:r>
    </w:p>
    <w:tbl>
      <w:tblPr>
        <w:tblW w:w="4286" w:type="dxa"/>
        <w:jc w:val="left"/>
        <w:tblInd w:w="0" w:type="dxa"/>
        <w:tblLayout w:type="fixed"/>
        <w:tblCellMar>
          <w:top w:w="28" w:type="dxa"/>
          <w:left w:w="28" w:type="dxa"/>
          <w:bottom w:w="28" w:type="dxa"/>
          <w:right w:w="28" w:type="dxa"/>
        </w:tblCellMar>
      </w:tblPr>
      <w:tblGrid>
        <w:gridCol w:w="363"/>
        <w:gridCol w:w="320"/>
        <w:gridCol w:w="321"/>
        <w:gridCol w:w="181"/>
        <w:gridCol w:w="571"/>
        <w:gridCol w:w="109"/>
        <w:gridCol w:w="109"/>
        <w:gridCol w:w="109"/>
        <w:gridCol w:w="109"/>
        <w:gridCol w:w="181"/>
        <w:gridCol w:w="571"/>
        <w:gridCol w:w="109"/>
        <w:gridCol w:w="109"/>
        <w:gridCol w:w="109"/>
        <w:gridCol w:w="109"/>
        <w:gridCol w:w="181"/>
        <w:gridCol w:w="571"/>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Domestic*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16,062 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the majority of our corporate administrative costs. See Note 14: Segment Information for information pertaining to segment contribution.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significant components of the income tax provision:</w:t>
      </w:r>
    </w:p>
    <w:tbl>
      <w:tblPr>
        <w:tblW w:w="5006" w:type="dxa"/>
        <w:jc w:val="left"/>
        <w:tblInd w:w="0" w:type="dxa"/>
        <w:tblLayout w:type="fixed"/>
        <w:tblCellMar>
          <w:top w:w="28" w:type="dxa"/>
          <w:left w:w="28" w:type="dxa"/>
          <w:bottom w:w="28" w:type="dxa"/>
          <w:right w:w="28" w:type="dxa"/>
        </w:tblCellMar>
      </w:tblPr>
      <w:tblGrid>
        <w:gridCol w:w="651"/>
        <w:gridCol w:w="573"/>
        <w:gridCol w:w="575"/>
        <w:gridCol w:w="181"/>
        <w:gridCol w:w="571"/>
        <w:gridCol w:w="109"/>
        <w:gridCol w:w="109"/>
        <w:gridCol w:w="109"/>
        <w:gridCol w:w="109"/>
        <w:gridCol w:w="181"/>
        <w:gridCol w:w="571"/>
        <w:gridCol w:w="109"/>
        <w:gridCol w:w="109"/>
        <w:gridCol w:w="109"/>
        <w:gridCol w:w="109"/>
        <w:gridCol w:w="181"/>
        <w:gridCol w:w="49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Total income tax expense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color w:val="000000"/>
        </w:rPr>
      </w:pPr>
      <w:r>
        <w:rPr>
          <w:color w:val="000000"/>
        </w:rPr>
        <w:t>    </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reconciliation of income taxes calculated at the statutory rate and the provision for income taxes:</w:t>
      </w:r>
    </w:p>
    <w:tbl>
      <w:tblPr>
        <w:tblW w:w="7307" w:type="dxa"/>
        <w:jc w:val="left"/>
        <w:tblInd w:w="0" w:type="dxa"/>
        <w:tblLayout w:type="fixed"/>
        <w:tblCellMar>
          <w:top w:w="28" w:type="dxa"/>
          <w:left w:w="28" w:type="dxa"/>
          <w:bottom w:w="28" w:type="dxa"/>
          <w:right w:w="28" w:type="dxa"/>
        </w:tblCellMar>
      </w:tblPr>
      <w:tblGrid>
        <w:gridCol w:w="1339"/>
        <w:gridCol w:w="1181"/>
        <w:gridCol w:w="1184"/>
        <w:gridCol w:w="181"/>
        <w:gridCol w:w="571"/>
        <w:gridCol w:w="241"/>
        <w:gridCol w:w="109"/>
        <w:gridCol w:w="109"/>
        <w:gridCol w:w="109"/>
        <w:gridCol w:w="181"/>
        <w:gridCol w:w="571"/>
        <w:gridCol w:w="241"/>
        <w:gridCol w:w="109"/>
        <w:gridCol w:w="109"/>
        <w:gridCol w:w="109"/>
        <w:gridCol w:w="181"/>
        <w:gridCol w:w="496"/>
        <w:gridCol w:w="286"/>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 (benefit) at the federal statutory rate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taxes, net of federal benefit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 inflation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rate differential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Uncertain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true-up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received deduction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loss on debt restructuring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GAAP/statutory book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income tax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7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significant components of our deferred tax assets and liabilities:</w:t>
      </w:r>
    </w:p>
    <w:tbl>
      <w:tblPr>
        <w:tblW w:w="5484" w:type="dxa"/>
        <w:jc w:val="left"/>
        <w:tblInd w:w="0" w:type="dxa"/>
        <w:tblLayout w:type="fixed"/>
        <w:tblCellMar>
          <w:top w:w="28" w:type="dxa"/>
          <w:left w:w="28" w:type="dxa"/>
          <w:bottom w:w="28" w:type="dxa"/>
          <w:right w:w="28" w:type="dxa"/>
        </w:tblCellMar>
      </w:tblPr>
      <w:tblGrid>
        <w:gridCol w:w="1226"/>
        <w:gridCol w:w="1079"/>
        <w:gridCol w:w="1085"/>
        <w:gridCol w:w="181"/>
        <w:gridCol w:w="571"/>
        <w:gridCol w:w="109"/>
        <w:gridCol w:w="109"/>
        <w:gridCol w:w="109"/>
        <w:gridCol w:w="109"/>
        <w:gridCol w:w="181"/>
        <w:gridCol w:w="57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Cash Converters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tax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 net operating loss carryforwards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Book over tax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before valuation allowance</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net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43,486 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liabilities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31,714 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deferred tax asset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25,267 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11,772 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we had state net operating loss carryforwards of approximately $25.9 million, which begin to expire in 2024 if not utilized. We also had foreign net operating loss carryforwards of $52.7 million, which will begin to expire in 2030 if not utilized. Additionally, we have a $1.7 million foreign tax credit that will expire between 2024 to 2027 if not utilized.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the estimated tax impact of temporary differences between the tax basis and book basis of assets and liabilities. The Company has elected to account for the tax on GILTI as a period cost and therefore has not recorded deferred taxes related to GILTI on its foreign subsidiaries. A valuation allowance is established against a deferred tax asset when it is more likely than not that the deferred tax asset will not be realized. Our valuation allowance has been established to offset certain state and foreign net operating loss carryforwards and foreign tax credit carryforwards that are not more likely than not to be utilized prior to expiration. The valuation allowance decreased by $1.1 million in fiscal 2023, primarily due to the expiration of the statute of limitations on certain state NOL’s for which a valuation allowance had been recorded as well as a reduction of fully reserved net operating loss carryforward and other deferred tax assets in Canada. We believe our results from future operations will generate sufficient taxable income in the appropriate jurisdictions such that it is more likely than not that the remaining deferred tax assets will be realized.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taxes are not provided for undistributed earnings of foreign subsidiaries of approximately $99.8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$5.0 million as of September 30, 2023. We provided deferred income taxes on all undistributed earnings from Cash Converters.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roll-forward of unrecognized tax benefits:</w:t>
      </w:r>
    </w:p>
    <w:tbl>
      <w:tblPr>
        <w:tblW w:w="8037" w:type="dxa"/>
        <w:jc w:val="left"/>
        <w:tblInd w:w="0" w:type="dxa"/>
        <w:tblLayout w:type="fixed"/>
        <w:tblCellMar>
          <w:top w:w="28" w:type="dxa"/>
          <w:left w:w="28" w:type="dxa"/>
          <w:bottom w:w="28" w:type="dxa"/>
          <w:right w:w="28" w:type="dxa"/>
        </w:tblCellMar>
      </w:tblPr>
      <w:tblGrid>
        <w:gridCol w:w="1800"/>
        <w:gridCol w:w="1586"/>
        <w:gridCol w:w="1594"/>
        <w:gridCol w:w="181"/>
        <w:gridCol w:w="496"/>
        <w:gridCol w:w="109"/>
        <w:gridCol w:w="109"/>
        <w:gridCol w:w="109"/>
        <w:gridCol w:w="109"/>
        <w:gridCol w:w="181"/>
        <w:gridCol w:w="496"/>
        <w:gridCol w:w="109"/>
        <w:gridCol w:w="109"/>
        <w:gridCol w:w="109"/>
        <w:gridCol w:w="109"/>
        <w:gridCol w:w="181"/>
        <w:gridCol w:w="496"/>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for tax positions taken during a prior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settlement for tax positions taken during a prior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tax positions as a result of the lapse of the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the above unrecognized tax benefits, if recognized, would impact our effective tax rate for the respective period of each ending balance. The statute of limitations will expire within the next twelve months with respect to approximately $0.8 million of foreign uncertain tax positions. The Company recognizes accrued interest and penalties related to unrecognized tax benefits in income tax expense. During 2023, the Company recognized income tax expense of $0.2 million offset by the reversal of previously accrued interest and penalties of $0.4 million due to the lapse of the statute of limitations on the associated tax position and an income tax benefit of $0.8 million during 2022 and an income tax expense of $0.3 million during 2021, related to interest and penalties. The total amount of accrued interest and penalties was $0.7 million, $1.0 million and $1.8 million in 2023, 2022 and 2021,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subject to U.S., Mexico, Canada, Guatemala, Honduras, El Salvador, Peru and the Netherlands income taxes as well as income taxes levied by various state and local jurisdictions. With few exceptions, we are no longer subject to examinations by tax authorities for years before the tax year ended September 30, 2016. We believe that adequate provisions have been made for any adjustments that may result from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color w:val="00497F"/>
          <w:sz w:val="28"/>
        </w:rPr>
        <w:t>NOTE 12: LEASES</w:t>
      </w:r>
      <w:r>
        <w:rPr>
          <w:color w:val="000000"/>
        </w:rPr>
        <w:t xml:space="preserve"> </w:t>
      </w:r>
    </w:p>
    <w:p>
      <w:pPr>
        <w:pStyle w:val="TextBody"/>
        <w:bidi w:val="0"/>
        <w:spacing w:lineRule="auto" w:line="276"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presents balances of our lease assets and liabilities and their balance sheet locations for both operating and financing leases:</w:t>
      </w:r>
    </w:p>
    <w:tbl>
      <w:tblPr>
        <w:tblW w:w="9716" w:type="dxa"/>
        <w:jc w:val="left"/>
        <w:tblInd w:w="0" w:type="dxa"/>
        <w:tblLayout w:type="fixed"/>
        <w:tblCellMar>
          <w:top w:w="28" w:type="dxa"/>
          <w:left w:w="28" w:type="dxa"/>
          <w:bottom w:w="28" w:type="dxa"/>
          <w:right w:w="28" w:type="dxa"/>
        </w:tblCellMar>
      </w:tblPr>
      <w:tblGrid>
        <w:gridCol w:w="841"/>
        <w:gridCol w:w="741"/>
        <w:gridCol w:w="743"/>
        <w:gridCol w:w="1378"/>
        <w:gridCol w:w="1378"/>
        <w:gridCol w:w="1384"/>
        <w:gridCol w:w="278"/>
        <w:gridCol w:w="994"/>
        <w:gridCol w:w="167"/>
        <w:gridCol w:w="109"/>
        <w:gridCol w:w="109"/>
        <w:gridCol w:w="109"/>
        <w:gridCol w:w="274"/>
        <w:gridCol w:w="978"/>
        <w:gridCol w:w="23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236,566 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221,586 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Lease liabilities: </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57,712 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52,371 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194,902 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180,904 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4140"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252,614 </w:t>
            </w:r>
          </w:p>
        </w:tc>
        <w:tc>
          <w:tcPr>
            <w:tcW w:w="16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233,275 </w:t>
            </w:r>
          </w:p>
        </w:tc>
        <w:tc>
          <w:tcPr>
            <w:tcW w:w="23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provides major components of our lease costs:</w:t>
      </w:r>
    </w:p>
    <w:tbl>
      <w:tblPr>
        <w:tblW w:w="6020" w:type="dxa"/>
        <w:jc w:val="left"/>
        <w:tblInd w:w="0" w:type="dxa"/>
        <w:tblLayout w:type="fixed"/>
        <w:tblCellMar>
          <w:top w:w="28" w:type="dxa"/>
          <w:left w:w="28" w:type="dxa"/>
          <w:bottom w:w="28" w:type="dxa"/>
          <w:right w:w="28" w:type="dxa"/>
        </w:tblCellMar>
      </w:tblPr>
      <w:tblGrid>
        <w:gridCol w:w="911"/>
        <w:gridCol w:w="804"/>
        <w:gridCol w:w="805"/>
        <w:gridCol w:w="181"/>
        <w:gridCol w:w="571"/>
        <w:gridCol w:w="109"/>
        <w:gridCol w:w="109"/>
        <w:gridCol w:w="109"/>
        <w:gridCol w:w="109"/>
        <w:gridCol w:w="181"/>
        <w:gridCol w:w="571"/>
        <w:gridCol w:w="109"/>
        <w:gridCol w:w="109"/>
        <w:gridCol w:w="109"/>
        <w:gridCol w:w="109"/>
        <w:gridCol w:w="181"/>
        <w:gridCol w:w="571"/>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 Narrow;sans-serif" w:hAnsi="Arial Narrow;sans-serif"/>
          <w:b w:val="false"/>
          <w:color w:val="000000"/>
          <w:sz w:val="18"/>
        </w:rPr>
      </w:pPr>
      <w:r>
        <w:rPr>
          <w:rFonts w:ascii="Arial Narrow;sans-serif" w:hAnsi="Arial Narrow;sans-serif"/>
          <w:b w:val="false"/>
          <w:color w:val="000000"/>
          <w:sz w:val="18"/>
        </w:rPr>
        <w:t>* Includes a reduction for sublease rental income of $3.7 million, $3.6 million and $3.4 million for fiscal years ending September 2023, 2022 and 2021, respectively.</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Lease expense is recognized on a straight-line basis over the lease term with variable lease expense recognized in the period in which the costs are incurred. The components of lease expense are included in “Store expenses” and “General and administrative” expense, based on the underlying lease use. Cash paid for operating leases was $76.7 million and $72.3 million for the fiscal years ended September 30, 2023 and 2022, respectively. Cash paid for principal and interest on finance leases was $0.3 million and $0.1 million, respectively, for the fiscal year ended September 30, 2023. There was no cash paid for finance leases for the fiscal years ended September 30, 2022 and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term and discount rates for leases are as follows:</w:t>
      </w:r>
    </w:p>
    <w:tbl>
      <w:tblPr>
        <w:tblW w:w="5727" w:type="dxa"/>
        <w:jc w:val="left"/>
        <w:tblInd w:w="0" w:type="dxa"/>
        <w:tblLayout w:type="fixed"/>
        <w:tblCellMar>
          <w:top w:w="28" w:type="dxa"/>
          <w:left w:w="28" w:type="dxa"/>
          <w:bottom w:w="28" w:type="dxa"/>
          <w:right w:w="28" w:type="dxa"/>
        </w:tblCellMar>
      </w:tblPr>
      <w:tblGrid>
        <w:gridCol w:w="1129"/>
        <w:gridCol w:w="994"/>
        <w:gridCol w:w="996"/>
        <w:gridCol w:w="247"/>
        <w:gridCol w:w="249"/>
        <w:gridCol w:w="456"/>
        <w:gridCol w:w="206"/>
        <w:gridCol w:w="206"/>
        <w:gridCol w:w="206"/>
        <w:gridCol w:w="247"/>
        <w:gridCol w:w="249"/>
        <w:gridCol w:w="542"/>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9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maturities of lease liabilities under ASC 842 by fiscal year were as follows (in thousands):</w:t>
      </w:r>
    </w:p>
    <w:tbl>
      <w:tblPr>
        <w:tblW w:w="5786" w:type="dxa"/>
        <w:jc w:val="left"/>
        <w:tblInd w:w="0" w:type="dxa"/>
        <w:tblLayout w:type="fixed"/>
        <w:tblCellMar>
          <w:top w:w="28" w:type="dxa"/>
          <w:left w:w="28" w:type="dxa"/>
          <w:bottom w:w="28" w:type="dxa"/>
          <w:right w:w="28" w:type="dxa"/>
        </w:tblCellMar>
      </w:tblPr>
      <w:tblGrid>
        <w:gridCol w:w="1013"/>
        <w:gridCol w:w="893"/>
        <w:gridCol w:w="899"/>
        <w:gridCol w:w="252"/>
        <w:gridCol w:w="901"/>
        <w:gridCol w:w="152"/>
        <w:gridCol w:w="109"/>
        <w:gridCol w:w="109"/>
        <w:gridCol w:w="109"/>
        <w:gridCol w:w="293"/>
        <w:gridCol w:w="804"/>
        <w:gridCol w:w="252"/>
      </w:tblGrid>
      <w:tr>
        <w:trPr/>
        <w:tc>
          <w:tcPr>
            <w:tcW w:w="101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75,510 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307,543 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2,732 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250,369 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2,245 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 term net lease liabilities</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1,715 </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 from $2.5 million at lease inception to $3.9 million in the terminal year of the lease.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lease includes two five-year extension options at the end of the initial lease term. The estimated minimum future rental payments under the lease are approximately $24.4 million as of September 30, 2023. As of September 30, 2023, we have subleases in place for a portion of our corporate operating office lease for estimated minimum future sublease payments of approximately $6.3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assessed the recoverability of the right-of-use asset for our corporate office, primarily due to the termination of a significant sublease. We determined the undiscounted cash flows of the relative corporate lease and sublease did not exceed the net book value of the right-of-use asset. We then determined the fair value of the corporate lease and sublease did not exceed the book value of the right-of-use asset, and an impairment charge of $4.3 million was recorded in fiscal year 2023 to “Impairment of other assets” in the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our corporate office lease measured at fair value as a result of the aforementioned impairment charges aggregated by the level in the fair value hierarchy within which measurements fall on a non-recurring basis at September 30, 2023, and the related impairment charge recorded (in thousands):</w:t>
      </w:r>
    </w:p>
    <w:tbl>
      <w:tblPr>
        <w:tblW w:w="7151" w:type="dxa"/>
        <w:jc w:val="left"/>
        <w:tblInd w:w="0" w:type="dxa"/>
        <w:tblLayout w:type="fixed"/>
        <w:tblCellMar>
          <w:top w:w="28" w:type="dxa"/>
          <w:left w:w="28" w:type="dxa"/>
          <w:bottom w:w="28" w:type="dxa"/>
          <w:right w:w="28" w:type="dxa"/>
        </w:tblCellMar>
      </w:tblPr>
      <w:tblGrid>
        <w:gridCol w:w="406"/>
        <w:gridCol w:w="357"/>
        <w:gridCol w:w="361"/>
        <w:gridCol w:w="181"/>
        <w:gridCol w:w="406"/>
        <w:gridCol w:w="109"/>
        <w:gridCol w:w="109"/>
        <w:gridCol w:w="109"/>
        <w:gridCol w:w="109"/>
        <w:gridCol w:w="181"/>
        <w:gridCol w:w="406"/>
        <w:gridCol w:w="109"/>
        <w:gridCol w:w="109"/>
        <w:gridCol w:w="109"/>
        <w:gridCol w:w="109"/>
        <w:gridCol w:w="181"/>
        <w:gridCol w:w="496"/>
        <w:gridCol w:w="109"/>
        <w:gridCol w:w="109"/>
        <w:gridCol w:w="109"/>
        <w:gridCol w:w="109"/>
        <w:gridCol w:w="181"/>
        <w:gridCol w:w="496"/>
        <w:gridCol w:w="109"/>
        <w:gridCol w:w="109"/>
        <w:gridCol w:w="109"/>
        <w:gridCol w:w="109"/>
        <w:gridCol w:w="382"/>
        <w:gridCol w:w="1048"/>
        <w:gridCol w:w="325"/>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2023</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Impairment Charges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second quarter of fiscal 2015, we entered into cancellable subleases for our Miami office for an estimated minimum future sublease payment of approximately $2.9 million. During the fourth quarter of fiscal 2022, the Miami office lease and sublease were terminated with no fees, and the deposit to the subtenant was returned.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recorded $66.5 million and $69.4 million in non-cash additions to our operating right-of-use assets and lease liabilities for the fiscal year ended September 30, 2023 and 2022, respectively. We recorded $2.5 million in non-cash additions to our finance right-of-use assets and lease liabilities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13: CONTINGENCIES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14: SEGMENT INFORMATION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operations are primarily managed on a geographical basis and consist of four reportable segments. The factors for determining our reportable segments include the manner in which our chief operating decision maker (CODM) evaluates performance for purposes of allocating resources and assessing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currently report our segments as follows: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w:t>
      </w:r>
    </w:p>
    <w:p>
      <w:pPr>
        <w:pStyle w:val="TextBody"/>
        <w:bidi w:val="0"/>
        <w:spacing w:lineRule="auto" w:line="268" w:before="120" w:after="283"/>
        <w:ind w:left="0" w:right="0" w:hanging="360"/>
        <w:jc w:val="left"/>
        <w:rPr/>
      </w:pPr>
      <w:r>
        <w:rPr>
          <w:color w:val="000000"/>
        </w:rPr>
        <w:t>•</w:t>
      </w:r>
      <w:r>
        <w:rPr>
          <w:rFonts w:ascii="Arial Narrow;sans-serif" w:hAnsi="Arial Narrow;sans-serif"/>
          <w:b w:val="false"/>
          <w:color w:val="000000"/>
          <w:sz w:val="20"/>
        </w:rPr>
        <w:t>Cash Converters — Represents our equity interest in the net loss (income) of Cash Converters. Our equity in Cash Converters’s net loss was $28.5 million in fiscal 2023, which includes $32.4 million of our share of their non-cash goodwill impairment charge. As a result of this one-time impairment charge, our share of the absolute value of Cash Converters’s reported loss meets the 10 percent threshold to be considered its own reporting segment. Our equity in their net income was $2.9 million and $4.3 million for fiscal 2022 and 2021, respectively. Refer to Note 5: Strategic Investments and Note 6: Fair Value Measurements for additional details on our investment in Cash Converters.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Investments — Represents our investment in RDC and our investment in and notes receivable from Founders.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There are no inter-segment revenues presented below, and the amounts below were determined in accordance with the same accounting principles used in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income (loss) before income taxes tables present revenue for each reportable segment, disaggregated revenue within our reportable segments and Corporate, segment profits and segment contribution. We have continued to include the Cash Converters reporting segment within the “Other Investments” columns below as the investments in RDC and Founders do not have a material impact on our statements of operations due to the investments being accounted for under the measurement alternative within ASC 321. </w:t>
      </w:r>
    </w:p>
    <w:tbl>
      <w:tblPr>
        <w:tblW w:w="10205" w:type="dxa"/>
        <w:jc w:val="left"/>
        <w:tblInd w:w="0" w:type="dxa"/>
        <w:tblLayout w:type="fixed"/>
        <w:tblCellMar>
          <w:top w:w="28" w:type="dxa"/>
          <w:left w:w="28" w:type="dxa"/>
          <w:bottom w:w="28" w:type="dxa"/>
          <w:right w:w="28" w:type="dxa"/>
        </w:tblCellMar>
      </w:tblPr>
      <w:tblGrid>
        <w:gridCol w:w="874"/>
        <w:gridCol w:w="709"/>
        <w:gridCol w:w="683"/>
        <w:gridCol w:w="181"/>
        <w:gridCol w:w="646"/>
        <w:gridCol w:w="109"/>
        <w:gridCol w:w="109"/>
        <w:gridCol w:w="109"/>
        <w:gridCol w:w="109"/>
        <w:gridCol w:w="240"/>
        <w:gridCol w:w="858"/>
        <w:gridCol w:w="144"/>
        <w:gridCol w:w="109"/>
        <w:gridCol w:w="109"/>
        <w:gridCol w:w="109"/>
        <w:gridCol w:w="195"/>
        <w:gridCol w:w="617"/>
        <w:gridCol w:w="119"/>
        <w:gridCol w:w="109"/>
        <w:gridCol w:w="109"/>
        <w:gridCol w:w="109"/>
        <w:gridCol w:w="207"/>
        <w:gridCol w:w="739"/>
        <w:gridCol w:w="124"/>
        <w:gridCol w:w="109"/>
        <w:gridCol w:w="109"/>
        <w:gridCol w:w="109"/>
        <w:gridCol w:w="214"/>
        <w:gridCol w:w="710"/>
        <w:gridCol w:w="129"/>
        <w:gridCol w:w="109"/>
        <w:gridCol w:w="109"/>
        <w:gridCol w:w="109"/>
        <w:gridCol w:w="196"/>
        <w:gridCol w:w="701"/>
        <w:gridCol w:w="175"/>
      </w:tblGrid>
      <w:tr>
        <w:trPr/>
        <w:tc>
          <w:tcPr>
            <w:tcW w:w="87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2023</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287,065 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(99,614)</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7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0"/>
        <w:gridCol w:w="699"/>
        <w:gridCol w:w="676"/>
        <w:gridCol w:w="181"/>
        <w:gridCol w:w="646"/>
        <w:gridCol w:w="109"/>
        <w:gridCol w:w="109"/>
        <w:gridCol w:w="109"/>
        <w:gridCol w:w="109"/>
        <w:gridCol w:w="243"/>
        <w:gridCol w:w="868"/>
        <w:gridCol w:w="146"/>
        <w:gridCol w:w="109"/>
        <w:gridCol w:w="109"/>
        <w:gridCol w:w="109"/>
        <w:gridCol w:w="214"/>
        <w:gridCol w:w="587"/>
        <w:gridCol w:w="130"/>
        <w:gridCol w:w="109"/>
        <w:gridCol w:w="109"/>
        <w:gridCol w:w="109"/>
        <w:gridCol w:w="208"/>
        <w:gridCol w:w="744"/>
        <w:gridCol w:w="125"/>
        <w:gridCol w:w="109"/>
        <w:gridCol w:w="109"/>
        <w:gridCol w:w="109"/>
        <w:gridCol w:w="215"/>
        <w:gridCol w:w="717"/>
        <w:gridCol w:w="130"/>
        <w:gridCol w:w="109"/>
        <w:gridCol w:w="109"/>
        <w:gridCol w:w="109"/>
        <w:gridCol w:w="196"/>
        <w:gridCol w:w="701"/>
        <w:gridCol w:w="175"/>
      </w:tblGrid>
      <w:tr>
        <w:trPr/>
        <w:tc>
          <w:tcPr>
            <w:tcW w:w="8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658,762 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227,352 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405,766 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122,270 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24,054 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154,943 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154,943 </w:t>
            </w:r>
          </w:p>
        </w:tc>
        <w:tc>
          <w:tcPr>
            <w:tcW w:w="12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(87,230)</w:t>
            </w:r>
          </w:p>
        </w:tc>
        <w:tc>
          <w:tcPr>
            <w:tcW w:w="13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7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840"/>
        <w:gridCol w:w="687"/>
        <w:gridCol w:w="665"/>
        <w:gridCol w:w="181"/>
        <w:gridCol w:w="646"/>
        <w:gridCol w:w="109"/>
        <w:gridCol w:w="109"/>
        <w:gridCol w:w="109"/>
        <w:gridCol w:w="109"/>
        <w:gridCol w:w="247"/>
        <w:gridCol w:w="883"/>
        <w:gridCol w:w="148"/>
        <w:gridCol w:w="109"/>
        <w:gridCol w:w="109"/>
        <w:gridCol w:w="109"/>
        <w:gridCol w:w="214"/>
        <w:gridCol w:w="587"/>
        <w:gridCol w:w="130"/>
        <w:gridCol w:w="109"/>
        <w:gridCol w:w="109"/>
        <w:gridCol w:w="109"/>
        <w:gridCol w:w="210"/>
        <w:gridCol w:w="750"/>
        <w:gridCol w:w="126"/>
        <w:gridCol w:w="109"/>
        <w:gridCol w:w="109"/>
        <w:gridCol w:w="109"/>
        <w:gridCol w:w="218"/>
        <w:gridCol w:w="726"/>
        <w:gridCol w:w="131"/>
        <w:gridCol w:w="109"/>
        <w:gridCol w:w="109"/>
        <w:gridCol w:w="109"/>
        <w:gridCol w:w="196"/>
        <w:gridCol w:w="701"/>
        <w:gridCol w:w="175"/>
      </w:tblGrid>
      <w:tr>
        <w:trPr/>
        <w:tc>
          <w:tcPr>
            <w:tcW w:w="8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2021</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442,798 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442,798 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553,581 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175,550 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729,551 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729,551 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349,541 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99,524 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449,485 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449,485 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17,293 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4,396 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107,209 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107,209 </w:t>
            </w:r>
          </w:p>
        </w:tc>
        <w:tc>
          <w:tcPr>
            <w:tcW w:w="1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(91,147)</w:t>
            </w:r>
          </w:p>
        </w:tc>
        <w:tc>
          <w:tcPr>
            <w:tcW w:w="13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16,062 </w:t>
            </w:r>
          </w:p>
        </w:tc>
        <w:tc>
          <w:tcPr>
            <w:tcW w:w="17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10205" w:type="dxa"/>
        <w:jc w:val="left"/>
        <w:tblInd w:w="0" w:type="dxa"/>
        <w:tblLayout w:type="fixed"/>
        <w:tblCellMar>
          <w:top w:w="28" w:type="dxa"/>
          <w:left w:w="28" w:type="dxa"/>
          <w:bottom w:w="28" w:type="dxa"/>
          <w:right w:w="28" w:type="dxa"/>
        </w:tblCellMar>
      </w:tblPr>
      <w:tblGrid>
        <w:gridCol w:w="832"/>
        <w:gridCol w:w="729"/>
        <w:gridCol w:w="731"/>
        <w:gridCol w:w="181"/>
        <w:gridCol w:w="646"/>
        <w:gridCol w:w="109"/>
        <w:gridCol w:w="109"/>
        <w:gridCol w:w="109"/>
        <w:gridCol w:w="109"/>
        <w:gridCol w:w="300"/>
        <w:gridCol w:w="948"/>
        <w:gridCol w:w="181"/>
        <w:gridCol w:w="109"/>
        <w:gridCol w:w="109"/>
        <w:gridCol w:w="109"/>
        <w:gridCol w:w="311"/>
        <w:gridCol w:w="701"/>
        <w:gridCol w:w="189"/>
        <w:gridCol w:w="109"/>
        <w:gridCol w:w="109"/>
        <w:gridCol w:w="109"/>
        <w:gridCol w:w="242"/>
        <w:gridCol w:w="543"/>
        <w:gridCol w:w="146"/>
        <w:gridCol w:w="109"/>
        <w:gridCol w:w="109"/>
        <w:gridCol w:w="109"/>
        <w:gridCol w:w="207"/>
        <w:gridCol w:w="464"/>
        <w:gridCol w:w="125"/>
        <w:gridCol w:w="109"/>
        <w:gridCol w:w="109"/>
        <w:gridCol w:w="109"/>
        <w:gridCol w:w="181"/>
        <w:gridCol w:w="646"/>
        <w:gridCol w:w="158"/>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Cash Converters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37,576 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313,164 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106,301 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174,883 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provide geographic information:</w:t>
      </w:r>
    </w:p>
    <w:tbl>
      <w:tblPr>
        <w:tblW w:w="5021" w:type="dxa"/>
        <w:jc w:val="left"/>
        <w:tblInd w:w="0" w:type="dxa"/>
        <w:tblLayout w:type="fixed"/>
        <w:tblCellMar>
          <w:top w:w="28" w:type="dxa"/>
          <w:left w:w="28" w:type="dxa"/>
          <w:bottom w:w="28" w:type="dxa"/>
          <w:right w:w="28" w:type="dxa"/>
        </w:tblCellMar>
      </w:tblPr>
      <w:tblGrid>
        <w:gridCol w:w="504"/>
        <w:gridCol w:w="444"/>
        <w:gridCol w:w="446"/>
        <w:gridCol w:w="181"/>
        <w:gridCol w:w="766"/>
        <w:gridCol w:w="109"/>
        <w:gridCol w:w="109"/>
        <w:gridCol w:w="109"/>
        <w:gridCol w:w="109"/>
        <w:gridCol w:w="181"/>
        <w:gridCol w:w="646"/>
        <w:gridCol w:w="109"/>
        <w:gridCol w:w="109"/>
        <w:gridCol w:w="109"/>
        <w:gridCol w:w="109"/>
        <w:gridCol w:w="181"/>
        <w:gridCol w:w="64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729,551 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61" w:type="dxa"/>
        <w:jc w:val="left"/>
        <w:tblInd w:w="0" w:type="dxa"/>
        <w:tblLayout w:type="fixed"/>
        <w:tblCellMar>
          <w:top w:w="28" w:type="dxa"/>
          <w:left w:w="28" w:type="dxa"/>
          <w:bottom w:w="28" w:type="dxa"/>
          <w:right w:w="28" w:type="dxa"/>
        </w:tblCellMar>
      </w:tblPr>
      <w:tblGrid>
        <w:gridCol w:w="705"/>
        <w:gridCol w:w="621"/>
        <w:gridCol w:w="623"/>
        <w:gridCol w:w="181"/>
        <w:gridCol w:w="571"/>
        <w:gridCol w:w="109"/>
        <w:gridCol w:w="109"/>
        <w:gridCol w:w="109"/>
        <w:gridCol w:w="109"/>
        <w:gridCol w:w="181"/>
        <w:gridCol w:w="571"/>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15: SUPPLEMENTAL CONSOLIDATED FINANCIAL INFORMATION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net amounts included in our Consolidated Balance Sheets:</w:t>
      </w:r>
    </w:p>
    <w:tbl>
      <w:tblPr>
        <w:tblW w:w="6324" w:type="dxa"/>
        <w:jc w:val="left"/>
        <w:tblInd w:w="0" w:type="dxa"/>
        <w:tblLayout w:type="fixed"/>
        <w:tblCellMar>
          <w:top w:w="28" w:type="dxa"/>
          <w:left w:w="28" w:type="dxa"/>
          <w:bottom w:w="28" w:type="dxa"/>
          <w:right w:w="28" w:type="dxa"/>
        </w:tblCellMar>
      </w:tblPr>
      <w:tblGrid>
        <w:gridCol w:w="1475"/>
        <w:gridCol w:w="1301"/>
        <w:gridCol w:w="1304"/>
        <w:gridCol w:w="181"/>
        <w:gridCol w:w="646"/>
        <w:gridCol w:w="109"/>
        <w:gridCol w:w="109"/>
        <w:gridCol w:w="109"/>
        <w:gridCol w:w="109"/>
        <w:gridCol w:w="181"/>
        <w:gridCol w:w="64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notes receivable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 payable, accrued expenses and other current liabilities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Unrecognized tax benefits, non-current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our valuation and qualifying accounts not disclosed elsewhere:</w:t>
      </w:r>
    </w:p>
    <w:tbl>
      <w:tblPr>
        <w:tblW w:w="10205" w:type="dxa"/>
        <w:jc w:val="left"/>
        <w:tblInd w:w="0" w:type="dxa"/>
        <w:tblLayout w:type="fixed"/>
        <w:tblCellMar>
          <w:top w:w="28" w:type="dxa"/>
          <w:left w:w="28" w:type="dxa"/>
          <w:bottom w:w="28" w:type="dxa"/>
          <w:right w:w="28" w:type="dxa"/>
        </w:tblCellMar>
      </w:tblPr>
      <w:tblGrid>
        <w:gridCol w:w="1177"/>
        <w:gridCol w:w="1012"/>
        <w:gridCol w:w="1015"/>
        <w:gridCol w:w="406"/>
        <w:gridCol w:w="1283"/>
        <w:gridCol w:w="244"/>
        <w:gridCol w:w="109"/>
        <w:gridCol w:w="109"/>
        <w:gridCol w:w="109"/>
        <w:gridCol w:w="306"/>
        <w:gridCol w:w="841"/>
        <w:gridCol w:w="184"/>
        <w:gridCol w:w="109"/>
        <w:gridCol w:w="109"/>
        <w:gridCol w:w="109"/>
        <w:gridCol w:w="109"/>
        <w:gridCol w:w="109"/>
        <w:gridCol w:w="204"/>
        <w:gridCol w:w="559"/>
        <w:gridCol w:w="123"/>
        <w:gridCol w:w="109"/>
        <w:gridCol w:w="109"/>
        <w:gridCol w:w="109"/>
        <w:gridCol w:w="328"/>
        <w:gridCol w:w="1038"/>
        <w:gridCol w:w="286"/>
      </w:tblGrid>
      <w:tr>
        <w:trPr/>
        <w:tc>
          <w:tcPr>
            <w:tcW w:w="1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979" w:type="dxa"/>
            <w:gridSpan w:val="6"/>
            <w:tcBorders/>
          </w:tcPr>
          <w:p>
            <w:pPr>
              <w:pStyle w:val="TableContents"/>
              <w:bidi w:val="0"/>
              <w:spacing w:before="0" w:after="283"/>
              <w:jc w:val="left"/>
              <w:rPr>
                <w:sz w:val="4"/>
                <w:szCs w:val="4"/>
              </w:rPr>
            </w:pPr>
            <w:r>
              <w:rPr>
                <w:sz w:val="4"/>
                <w:szCs w:val="4"/>
              </w:rPr>
            </w:r>
          </w:p>
        </w:tc>
      </w:tr>
      <w:tr>
        <w:trPr/>
        <w:tc>
          <w:tcPr>
            <w:tcW w:w="3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Charged 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End of Period</w:t>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inventory:</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deferred tax assets:</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Consolidated Statements of Cash Flows information:</w:t>
      </w:r>
    </w:p>
    <w:tbl>
      <w:tblPr>
        <w:tblW w:w="6896" w:type="dxa"/>
        <w:jc w:val="left"/>
        <w:tblInd w:w="0" w:type="dxa"/>
        <w:tblLayout w:type="fixed"/>
        <w:tblCellMar>
          <w:top w:w="28" w:type="dxa"/>
          <w:left w:w="28" w:type="dxa"/>
          <w:bottom w:w="28" w:type="dxa"/>
          <w:right w:w="28" w:type="dxa"/>
        </w:tblCellMar>
      </w:tblPr>
      <w:tblGrid>
        <w:gridCol w:w="1226"/>
        <w:gridCol w:w="1080"/>
        <w:gridCol w:w="1083"/>
        <w:gridCol w:w="181"/>
        <w:gridCol w:w="646"/>
        <w:gridCol w:w="109"/>
        <w:gridCol w:w="109"/>
        <w:gridCol w:w="109"/>
        <w:gridCol w:w="109"/>
        <w:gridCol w:w="181"/>
        <w:gridCol w:w="646"/>
        <w:gridCol w:w="109"/>
        <w:gridCol w:w="109"/>
        <w:gridCol w:w="109"/>
        <w:gridCol w:w="109"/>
        <w:gridCol w:w="18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income taxes, net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earn-out contingency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16: SUBSEQUENT EVENTS</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2023, we contributed an additional $15.0 million to Founders associated with our preferred equity interest, bringing our total equity investment in Founders to $45.0 million. Additionally, the interest rate on our $15.0 million demand promissory note from Founders was increased to 15.00% per annum.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2023, we received a cash dividend of $1.7 million from Cash Converters.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 CHANGES IN AND DISAGREEMENTS WITH ACCOUNTANTS ON ACCOUNTING AND FINANCIAL DISCLOSURE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9A. CONTROLS AND PROCEDURES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2023. Based on that evaluation, our Chief Executive Officer and Chief Financial Officer concluded that our disclosure controls and procedures were effective as of September 30, 2023.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Management’s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2023 based on the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Based on that assessment, our Chief Executive Officer and Chief Financial Officer concluded that our internal control over financial reporting was effective as of September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internal control over financial reporting as of September 30, 2023 has been audited by our independent registered public accounting firm, as stated in their report appearing below.</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fiscal 2023, there were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Inherent Limitations on Internal Controls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Judgments in decision-making can be faulty, and control and process breakdowns can occur because of simple errors or mistakes.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Controls can be circumvented by individuals, acting alone or in collusion with others, or by management override.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Over time, controls may become inadequate because of changes in conditions or deterioration in the degree of compliance with associated policies or procedures.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 control system must reflect the fact that resources are constrained, and the benefits of controls must be considered relative to their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 xml:space="preserve">Report of Independent Registered Public Accounting Firm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Internal Control over Financial Reporting</w:t>
      </w:r>
    </w:p>
    <w:p>
      <w:pPr>
        <w:pStyle w:val="TextBody"/>
        <w:bidi w:val="0"/>
        <w:spacing w:lineRule="auto" w:line="288" w:before="180" w:after="283"/>
        <w:jc w:val="both"/>
        <w:rPr/>
      </w:pPr>
      <w:r>
        <w:rPr>
          <w:rFonts w:ascii="Arial Narrow;sans-serif" w:hAnsi="Arial Narrow;sans-serif"/>
          <w:b w:val="false"/>
          <w:color w:val="000000"/>
          <w:sz w:val="20"/>
        </w:rPr>
        <w:t xml:space="preserve">We have audited EZCORP, Inc.’s (the “Company’s”) internal control over financial reporting as of September 30, 2023,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(the “COSO criteria”). In our opinion, the Company maintained, in all material respects, effective internal control over financial reporting as of September 30, 2023, based on the COSO criteria</w:t>
      </w:r>
      <w:r>
        <w:rPr>
          <w:rFonts w:ascii="Arial Narrow;sans-serif" w:hAnsi="Arial Narrow;sans-serif"/>
          <w:b w:val="false"/>
          <w:i/>
          <w:color w:val="000000"/>
          <w:sz w:val="20"/>
        </w:rPr>
        <w:t xml:space="preserv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also have audited, in accordance with the standards of the Public Company Accounting Oversight Board (United States) (“PCAOB”), the consolidated balance sheets of the Company as of September 30, 2023 and 2022, the related consolidated statements of operations, comprehensive income, stockholders’ equity, and cash flows for each of the three years in the period ended September 30, 2023, and the related notes and our report dated November 15, 2023 expressed an unqualified opinion thereon.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Definition and Limitations of Internal Control over Financial Reporting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9B. OTHER INFORMATION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director or executive officer adopted, modified or terminated any contract, instruction, written plan or other trading arrangement relating to the purchase or sale of Company securities during the fourth quarter of fiscal 2023.</w:t>
      </w: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9C. DISCLOSURE REGARDING FOREIGN JURISDICTIONS THAT PREVENT INSPECTIONS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10. DIRECTORS, EXECUTIVE OFFICERS AND CORPORATE GOVERNANCE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Board of Directors</w:t>
      </w:r>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Set forth below are the names of the persons who, as of November 1, 2023, constituted our Board of Directors and their ages and committee assignments as of that date:</w:t>
      </w:r>
    </w:p>
    <w:tbl>
      <w:tblPr>
        <w:tblW w:w="9085" w:type="dxa"/>
        <w:jc w:val="left"/>
        <w:tblInd w:w="0" w:type="dxa"/>
        <w:tblLayout w:type="fixed"/>
        <w:tblCellMar>
          <w:top w:w="28" w:type="dxa"/>
          <w:left w:w="28" w:type="dxa"/>
          <w:bottom w:w="28" w:type="dxa"/>
          <w:right w:w="28" w:type="dxa"/>
        </w:tblCellMar>
      </w:tblPr>
      <w:tblGrid>
        <w:gridCol w:w="1024"/>
        <w:gridCol w:w="898"/>
        <w:gridCol w:w="913"/>
        <w:gridCol w:w="109"/>
        <w:gridCol w:w="109"/>
        <w:gridCol w:w="109"/>
        <w:gridCol w:w="125"/>
        <w:gridCol w:w="125"/>
        <w:gridCol w:w="126"/>
        <w:gridCol w:w="109"/>
        <w:gridCol w:w="109"/>
        <w:gridCol w:w="109"/>
        <w:gridCol w:w="1524"/>
        <w:gridCol w:w="1524"/>
        <w:gridCol w:w="2172"/>
      </w:tblGrid>
      <w:tr>
        <w:trPr/>
        <w:tc>
          <w:tcPr>
            <w:tcW w:w="10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Committees</w:t>
            </w:r>
          </w:p>
        </w:tc>
      </w:tr>
      <w:tr>
        <w:trPr/>
        <w:tc>
          <w:tcPr>
            <w:tcW w:w="2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People and Compensation, Nominating (Chair), Lead Independent Director</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People and Compensation,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 (Executive Chairman)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People and Compensation (Chair),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(Chair), People and Compensation, Nominating</w:t>
            </w:r>
          </w:p>
        </w:tc>
      </w:tr>
    </w:tbl>
    <w:p>
      <w:pPr>
        <w:pStyle w:val="TextBody"/>
        <w:bidi w:val="0"/>
        <w:spacing w:lineRule="auto" w:line="288" w:before="180" w:after="283"/>
        <w:jc w:val="left"/>
        <w:rPr/>
      </w:pPr>
      <w:r>
        <w:rPr>
          <w:rFonts w:ascii="Arial Narrow;sans-serif" w:hAnsi="Arial Narrow;sans-serif"/>
          <w:b w:val="false"/>
          <w:i/>
          <w:color w:val="000000"/>
          <w:sz w:val="20"/>
        </w:rPr>
        <w:t>Director Qualifications</w:t>
      </w:r>
      <w:r>
        <w:rPr>
          <w:color w:val="000000"/>
        </w:rPr>
        <w:t xml:space="preserve"> — </w:t>
      </w:r>
      <w:r>
        <w:rPr>
          <w:rFonts w:ascii="Arial Narrow;sans-serif" w:hAnsi="Arial Narrow;sans-serif"/>
          <w:b w:val="false"/>
          <w:color w:val="000000"/>
          <w:sz w:val="20"/>
        </w:rPr>
        <w:t>The Board believes that individuals who serve on the Board of Directors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Leadership Experience</w:t>
      </w:r>
      <w:r>
        <w:rPr>
          <w:color w:val="000000"/>
        </w:rPr>
        <w:t xml:space="preserve"> — </w:t>
      </w:r>
      <w:r>
        <w:rPr>
          <w:rFonts w:ascii="Arial Narrow;sans-serif" w:hAnsi="Arial Narrow;sans-serif"/>
          <w:b w:val="false"/>
          <w:color w:val="000000"/>
          <w:sz w:val="20"/>
        </w:rPr>
        <w:t>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Finance Experience</w:t>
      </w:r>
      <w:r>
        <w:rPr>
          <w:color w:val="000000"/>
        </w:rPr>
        <w:t xml:space="preserve"> — </w:t>
      </w:r>
      <w:r>
        <w:rPr>
          <w:rFonts w:ascii="Arial Narrow;sans-serif" w:hAnsi="Arial Narrow;sans-serif"/>
          <w:b w:val="false"/>
          <w:color w:val="000000"/>
          <w:sz w:val="20"/>
        </w:rPr>
        <w:t>We believe that all directors should possess an understanding of finance and related reporting processes.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Strategically Relevant Experience</w:t>
      </w:r>
      <w:r>
        <w:rPr>
          <w:color w:val="000000"/>
        </w:rPr>
        <w:t xml:space="preserve"> — </w:t>
      </w:r>
      <w:r>
        <w:rPr>
          <w:rFonts w:ascii="Arial Narrow;sans-serif" w:hAnsi="Arial Narrow;sans-serif"/>
          <w:b w:val="false"/>
          <w:color w:val="000000"/>
          <w:sz w:val="20"/>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Government Experience</w:t>
      </w:r>
      <w:r>
        <w:rPr>
          <w:color w:val="000000"/>
        </w:rPr>
        <w:t xml:space="preserve"> — </w:t>
      </w:r>
      <w:r>
        <w:rPr>
          <w:rFonts w:ascii="Arial Narrow;sans-serif" w:hAnsi="Arial Narrow;sans-serif"/>
          <w:b w:val="false"/>
          <w:color w:val="000000"/>
          <w:sz w:val="20"/>
        </w:rPr>
        <w:t>Our business is subject to a variety of legislative and regulatory risks. Accordingly, we value experience in the legislative, judicial or regulatory branches of government or government relations.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before="180" w:after="283"/>
        <w:jc w:val="left"/>
        <w:rPr/>
      </w:pPr>
      <w:r>
        <w:rPr/>
      </w:r>
    </w:p>
    <w:p>
      <w:pPr>
        <w:pStyle w:val="TextBody"/>
        <w:bidi w:val="0"/>
        <w:spacing w:lineRule="auto" w:line="288" w:before="180" w:after="283"/>
        <w:jc w:val="left"/>
        <w:rPr/>
      </w:pPr>
      <w:r>
        <w:rPr>
          <w:rFonts w:ascii="Arial Narrow;sans-serif" w:hAnsi="Arial Narrow;sans-serif"/>
          <w:b w:val="false"/>
          <w:i/>
          <w:color w:val="000000"/>
          <w:sz w:val="20"/>
        </w:rPr>
        <w:t>Board Diversity</w:t>
      </w:r>
      <w:r>
        <w:rPr>
          <w:color w:val="000000"/>
        </w:rPr>
        <w:t xml:space="preserve"> — </w:t>
      </w:r>
      <w:r>
        <w:rPr>
          <w:rFonts w:ascii="Arial Narrow;sans-serif" w:hAnsi="Arial Narrow;sans-serif"/>
          <w:b w:val="false"/>
          <w:color w:val="000000"/>
          <w:sz w:val="20"/>
        </w:rPr>
        <w:t>The following table summarizes the gender and demographic diversity of our Board of Directors:</w:t>
      </w:r>
    </w:p>
    <w:tbl>
      <w:tblPr>
        <w:tblW w:w="5246" w:type="dxa"/>
        <w:jc w:val="center"/>
        <w:tblInd w:w="0" w:type="dxa"/>
        <w:tblLayout w:type="fixed"/>
        <w:tblCellMar>
          <w:top w:w="28" w:type="dxa"/>
          <w:left w:w="28" w:type="dxa"/>
          <w:bottom w:w="28" w:type="dxa"/>
          <w:right w:w="28" w:type="dxa"/>
        </w:tblCellMar>
      </w:tblPr>
      <w:tblGrid>
        <w:gridCol w:w="732"/>
        <w:gridCol w:w="645"/>
        <w:gridCol w:w="648"/>
        <w:gridCol w:w="209"/>
        <w:gridCol w:w="209"/>
        <w:gridCol w:w="209"/>
        <w:gridCol w:w="209"/>
        <w:gridCol w:w="209"/>
        <w:gridCol w:w="209"/>
        <w:gridCol w:w="209"/>
        <w:gridCol w:w="209"/>
        <w:gridCol w:w="209"/>
        <w:gridCol w:w="209"/>
        <w:gridCol w:w="209"/>
        <w:gridCol w:w="209"/>
        <w:gridCol w:w="209"/>
        <w:gridCol w:w="209"/>
        <w:gridCol w:w="295"/>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524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Board Diversity Matrix (as of November 1, 2023)</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number of Directors</w:t>
            </w:r>
          </w:p>
        </w:tc>
        <w:tc>
          <w:tcPr>
            <w:tcW w:w="322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Female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Male</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Gender Identity</w:t>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86%</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Demographic Background:</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Asian</w:t>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Hispanic or Latinx</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White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72%</w:t>
            </w:r>
          </w:p>
        </w:tc>
      </w:tr>
    </w:tbl>
    <w:p>
      <w:pPr>
        <w:pStyle w:val="TextBody"/>
        <w:bidi w:val="0"/>
        <w:spacing w:lineRule="auto" w:line="288" w:before="180" w:after="283"/>
        <w:jc w:val="left"/>
        <w:rPr/>
      </w:pPr>
      <w:r>
        <w:rPr>
          <w:rFonts w:ascii="Arial Narrow;sans-serif" w:hAnsi="Arial Narrow;sans-serif"/>
          <w:b w:val="false"/>
          <w:i/>
          <w:color w:val="000000"/>
          <w:sz w:val="20"/>
        </w:rPr>
        <w:t>Biographical Information</w:t>
      </w:r>
      <w:r>
        <w:rPr>
          <w:color w:val="000000"/>
        </w:rPr>
        <w:t xml:space="preserve"> — </w:t>
      </w:r>
      <w:r>
        <w:rPr>
          <w:rFonts w:ascii="Arial Narrow;sans-serif" w:hAnsi="Arial Narrow;sans-serif"/>
          <w:b w:val="false"/>
          <w:color w:val="000000"/>
          <w:sz w:val="20"/>
        </w:rPr>
        <w:t>Set forth below is current biographical information about our directors, including the qualifications, experience and skills that make them suitable for service as a director.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Matthew W. Appel</w:t>
      </w:r>
      <w:r>
        <w:rPr>
          <w:color w:val="000000"/>
        </w:rPr>
        <w:t xml:space="preserve"> — </w:t>
      </w:r>
      <w:r>
        <w:rPr>
          <w:rFonts w:ascii="Arial Narrow;sans-serif" w:hAnsi="Arial Narrow;sans-serif"/>
          <w:b w:val="false"/>
          <w:color w:val="000000"/>
          <w:sz w:val="20"/>
        </w:rPr>
        <w:t>Mr. Appel joined EZCORP as a director in January 2015. He is the Lead Independent Director (and, as such, serves as Chair of the Nominating Committee) and is a member of the Audit Committee and the People and Compensation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Zena Srivatsa Arnold</w:t>
      </w:r>
      <w:r>
        <w:rPr>
          <w:color w:val="000000"/>
        </w:rPr>
        <w:t xml:space="preserve"> — </w:t>
      </w:r>
      <w:r>
        <w:rPr>
          <w:rFonts w:ascii="Arial Narrow;sans-serif" w:hAnsi="Arial Narrow;sans-serif"/>
          <w:b w:val="false"/>
          <w:color w:val="000000"/>
          <w:sz w:val="20"/>
        </w:rPr>
        <w:t>Ms. Arnold has been a director since May 2019. She is a member of the Audit Committee, the People and Compensation Committee and the Nominating Committee. Ms. Arnold has over 20 years of experience in marketing, brand management, strategy development and business operations. She serves as Chief Marketing Officer at Sephora, one of the world’s largest luxury cosmetic brands that is part of the Moet Hennessy Louis Vuitton conglomerate. Prior to joining Sephora in May 2023, she was Senior Vice President, Carbonated Soft Drinks, at PepsiCo., Inc., where she oversaw the brand and business for the Carbonated Soft Drink portfolio in North America, including some of the company’s largest brands such as Pepsi and Mountain Dew. Prior to joining PepsiCo in March 2022, she was the Chief Digital and Marketing Officer of Kimberly-Clark Corporation, a global personal care and consumer products company (April 2020 to March 2022), and spent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 Ms. Arnold also serves on the board of directors of Lancaster Colony Corporation (NASDAQ: LANC).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executive management experience; broad business and strategically relevant experience; experience in developing growth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Phillip E. Cohen</w:t>
      </w:r>
      <w:r>
        <w:rPr>
          <w:color w:val="000000"/>
        </w:rPr>
        <w:t xml:space="preserve"> — </w:t>
      </w:r>
      <w:r>
        <w:rPr>
          <w:rFonts w:ascii="Arial Narrow;sans-serif" w:hAnsi="Arial Narrow;sans-serif"/>
          <w:b w:val="false"/>
          <w:color w:val="000000"/>
          <w:sz w:val="20"/>
        </w:rPr>
        <w:t>Mr. Cohen has been a member of the Board of Directors and the Executive Chairman since September 2019. He has been an owner of, and advisor to, the Company for over 30 years. He acquired the Company in 1989 and took it public in 1991 with an initial public offering of Class A Non-Voting Common Stock. Mr. Cohen has 50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pStyle w:val="TextBody"/>
        <w:bidi w:val="0"/>
        <w:spacing w:lineRule="auto" w:line="288" w:before="180" w:after="283"/>
        <w:jc w:val="left"/>
        <w:rPr/>
      </w:pPr>
      <w:r>
        <w:rPr>
          <w:rFonts w:ascii="Arial Narrow;sans-serif" w:hAnsi="Arial Narrow;sans-serif"/>
          <w:b w:val="false"/>
          <w:i/>
          <w:color w:val="000000"/>
          <w:sz w:val="20"/>
        </w:rPr>
        <w:t>Lachlan P. Given</w:t>
      </w:r>
      <w:r>
        <w:rPr>
          <w:color w:val="000000"/>
        </w:rPr>
        <w:t xml:space="preserve"> — </w:t>
      </w:r>
      <w:r>
        <w:rPr>
          <w:rFonts w:ascii="Arial Narrow;sans-serif" w:hAnsi="Arial Narrow;sans-serif"/>
          <w:b w:val="false"/>
          <w:color w:val="000000"/>
          <w:sz w:val="20"/>
        </w:rPr>
        <w:t xml:space="preserve">Mr. Given is our Chief Executive Officer and a director, having been appointed to that role, and elected to the </w:t>
        <w:br/>
        <w:t>Board of Directors, in March 2022, after serving as Co-Interim Chief Executive Officer since January 2022. From September 2020 to January 2022, he was Chief Strategy, M&amp;A and Funding Officer, with responsibility for overseeing the Company’s strategic planning; mergers, acquisitions and strategic investments; and capital market and institutional funding activities. From September 2019 to September 2020, he was the Chief M&amp;A and Strategic Funding Officer. He previously served on the Board of Directors from July 2014 to September 2019, holding the position of Non-Executive Chairman (July 2014 to August 2014), Executive Vice Chairman (August 2014 to February 2015) and Executive Chairman (February 2015 to September 2019). Before joining the Company as an executive, Mr. Given provided financial and advisory services to the Company through his own business and financial advisory firm and as a consultant to Madison Park LLC, which is wholly owned by Phillip E. Cohen, who is the beneficial owner of all of our Class B Voting Common Stock. Mr. Given is also a director of The Farm Journal Corporation, a 135-year old pre-eminent U.S. agricultural media company; Senetas Corporation Limited (ASX: SEN), a developer and manufacturer of certified, defense-grade encryption solutions; CANSTAR Pty Ltd, an Australian financial services ratings and research firm; and Cash Converters International Limited (ASX: CCV). Mr. Given began his career working in the investment banking and equity capital markets divisions of Merrill Lynch in Hong Kong and Sydney, Australia, where he specialized in the origination and execution of a variety of M&amp;A, equity, equity-linked and fixed income transactions.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Jason A. Kulas</w:t>
      </w:r>
      <w:r>
        <w:rPr>
          <w:color w:val="000000"/>
        </w:rPr>
        <w:t xml:space="preserve"> — </w:t>
      </w:r>
      <w:r>
        <w:rPr>
          <w:rFonts w:ascii="Arial Narrow;sans-serif" w:hAnsi="Arial Narrow;sans-serif"/>
          <w:b w:val="false"/>
          <w:color w:val="000000"/>
          <w:sz w:val="20"/>
        </w:rPr>
        <w:t>Mr. Kulas is a member of the Board of Directors and holds the position of Vice Chairman and Chief Financial Officer of Exeter Finance LLC. a leading indirect auto finance company. He is a former EZCORP executive, having served as Chief Executive Officer from July 2020 to January 2022 when he left to join Exeter Finance, and President and Chief Financial Officer from February 2020 to July 2020. He first became associated with EZCORP in April 2019 when he was appointed as an independent member of the Board of Directors. While an independent director, he served on the Audit Committee and the Nominating Committee. Mr. Kulas resigned from the Board of Directors when he joined the Company as an executive in February 2020, and was reappointed to the Board in connection with his appointment as Chief Executive Officer. 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currently serves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Pablo Lagos Espinosa</w:t>
      </w:r>
      <w:r>
        <w:rPr>
          <w:color w:val="000000"/>
        </w:rPr>
        <w:t xml:space="preserve"> — </w:t>
      </w:r>
      <w:r>
        <w:rPr>
          <w:rFonts w:ascii="Arial Narrow;sans-serif" w:hAnsi="Arial Narrow;sans-serif"/>
          <w:b w:val="false"/>
          <w:color w:val="000000"/>
          <w:sz w:val="20"/>
        </w:rPr>
        <w:t>Mr. Lagos joined EZCORP as a director in October 2010. He is Chair of the People and Compensation Committee and a member of the Audit Committee and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Gary L. Tillett</w:t>
      </w:r>
      <w:r>
        <w:rPr>
          <w:color w:val="000000"/>
        </w:rPr>
        <w:t xml:space="preserve"> — </w:t>
      </w:r>
      <w:r>
        <w:rPr>
          <w:rFonts w:ascii="Arial Narrow;sans-serif" w:hAnsi="Arial Narrow;sans-serif"/>
          <w:b w:val="false"/>
          <w:color w:val="000000"/>
          <w:sz w:val="20"/>
        </w:rPr>
        <w:t>Mr. Tillett has been a director since April 2019 and serves as Chair of the Audit Committee and a member of the People and Compensation Committee and the Nominating Committee. He has more than 40 years of experience in public accounting and business 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then a publicly traded independent originator and servicer of residential mortgage loans. Walter Investment Management Corp. initiated Chapter 11 bankruptcy proceedings in November 2017 and successfully completed a financial restructuring plan in February 2018 and changed its name to Ditech Holding Corp. Mr. Tillett retired from his position in February 2018 after assisting with the development and execution of the financial restructuring plan. From January 2020 through June 2022, Mr. Tillett assisted a private mortgage servicing company in a financial consulting role. Mr. Tillett received an MBA from the Manchester Business School at the University of Manchester and a Bachelor of Science degree with an emphasis in Accounting from the University of Texas at Dallas. He is a Certified Public Accountant.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financial experience, including accounting, tax and financial reporting; personnel development.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Executive Officers</w:t>
      </w:r>
    </w:p>
    <w:p>
      <w:pPr>
        <w:pStyle w:val="TextBody"/>
        <w:bidi w:val="0"/>
        <w:spacing w:lineRule="auto" w:line="288" w:before="180" w:after="283"/>
        <w:jc w:val="left"/>
        <w:rPr/>
      </w:pPr>
      <w:r>
        <w:rPr>
          <w:rFonts w:ascii="Arial Narrow;sans-serif" w:hAnsi="Arial Narrow;sans-serif"/>
          <w:b w:val="false"/>
          <w:color w:val="000000"/>
          <w:sz w:val="20"/>
        </w:rPr>
        <w:t xml:space="preserve">Set forth below are the name, age and position of each of the persons serving as our executive officers as </w:t>
      </w:r>
      <w:r>
        <w:rPr>
          <w:rFonts w:ascii="Arial Narrow;sans-serif" w:hAnsi="Arial Narrow;sans-serif"/>
          <w:b w:val="false"/>
          <w:color w:val="000000"/>
          <w:sz w:val="20"/>
          <w:shd w:fill="FFFFFF" w:val="clear"/>
        </w:rPr>
        <w:t>of November 1, 2023:</w:t>
      </w:r>
    </w:p>
    <w:tbl>
      <w:tblPr>
        <w:tblW w:w="5785" w:type="dxa"/>
        <w:jc w:val="left"/>
        <w:tblInd w:w="0" w:type="dxa"/>
        <w:tblLayout w:type="fixed"/>
        <w:tblCellMar>
          <w:top w:w="28" w:type="dxa"/>
          <w:left w:w="28" w:type="dxa"/>
          <w:bottom w:w="28" w:type="dxa"/>
          <w:right w:w="28" w:type="dxa"/>
        </w:tblCellMar>
      </w:tblPr>
      <w:tblGrid>
        <w:gridCol w:w="579"/>
        <w:gridCol w:w="507"/>
        <w:gridCol w:w="519"/>
        <w:gridCol w:w="109"/>
        <w:gridCol w:w="109"/>
        <w:gridCol w:w="109"/>
        <w:gridCol w:w="125"/>
        <w:gridCol w:w="125"/>
        <w:gridCol w:w="126"/>
        <w:gridCol w:w="109"/>
        <w:gridCol w:w="109"/>
        <w:gridCol w:w="109"/>
        <w:gridCol w:w="919"/>
        <w:gridCol w:w="919"/>
        <w:gridCol w:w="1312"/>
      </w:tblGrid>
      <w:tr>
        <w:trPr/>
        <w:tc>
          <w:tcPr>
            <w:tcW w:w="5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r>
      <w:tr>
        <w:trPr/>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Legal Officer and Secretary</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Keith Robertson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Information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Sunil Sajnani</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Audit and Loss Prevention Executive</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Nicole Swies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Revenue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Human Resources Officer</w:t>
            </w:r>
          </w:p>
        </w:tc>
      </w:tr>
    </w:tbl>
    <w:p>
      <w:pPr>
        <w:pStyle w:val="TextBody"/>
        <w:bidi w:val="0"/>
        <w:spacing w:lineRule="auto" w:line="276" w:before="120" w:after="283"/>
        <w:jc w:val="left"/>
        <w:rPr>
          <w:rFonts w:ascii="Arial Narrow;sans-serif" w:hAnsi="Arial Narrow;sans-serif"/>
          <w:b w:val="false"/>
          <w:color w:val="000000"/>
          <w:sz w:val="20"/>
        </w:rPr>
      </w:pPr>
      <w:r>
        <w:rPr>
          <w:rFonts w:ascii="Arial Narrow;sans-serif" w:hAnsi="Arial Narrow;sans-serif"/>
          <w:b w:val="false"/>
          <w:color w:val="000000"/>
          <w:sz w:val="20"/>
        </w:rPr>
        <w:t>Set forth below is current biographical information about our executive officers, except for Mr. Cohen and Mr. Given, whose biographical information is included under “Board of Directors”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Ellen Bryant</w:t>
      </w:r>
      <w:r>
        <w:rPr>
          <w:color w:val="000000"/>
        </w:rPr>
        <w:t xml:space="preserve"> — </w:t>
      </w:r>
      <w:r>
        <w:rPr>
          <w:rFonts w:ascii="Arial Narrow;sans-serif" w:hAnsi="Arial Narrow;sans-serif"/>
          <w:b w:val="false"/>
          <w:color w:val="000000"/>
          <w:sz w:val="20"/>
        </w:rPr>
        <w:t>Ms. Bryant serves as Chief Legal Officer and Secretary, having been promoted to that position in January 2023 after having served as Vice President and Deputy General Counsel. Ms. Bryant joined the Company in January 2004 as Associate General Counsel and has held legal roles of increasing responsibility through August 2015, when she was promoted to Deputy General Counsel. During her tenure with the Company, Ms. Bryant has been primarily responsible for legal support of the Company’s pawn segments, with experience in the U.S. and Mexico, mergers and acquisitions, financial services, compliance, and general corporate matters. Prior to joining the Company, Ms. Bryant was a Staff Attorney with the Texas Automobile Dealers Association. She received a Bachelor of Arts degree from the University of Texas at Austin and a J.D. degree from the University of Houston Law Center and has been a member of the Texas State Bar since November 1998.</w:t>
      </w:r>
    </w:p>
    <w:p>
      <w:pPr>
        <w:pStyle w:val="TextBody"/>
        <w:bidi w:val="0"/>
        <w:spacing w:lineRule="auto" w:line="288" w:before="180" w:after="283"/>
        <w:jc w:val="left"/>
        <w:rPr/>
      </w:pPr>
      <w:r>
        <w:rPr>
          <w:rFonts w:ascii="Arial Narrow;sans-serif" w:hAnsi="Arial Narrow;sans-serif"/>
          <w:b w:val="false"/>
          <w:i/>
          <w:color w:val="000000"/>
          <w:sz w:val="20"/>
        </w:rPr>
        <w:t xml:space="preserve">Timothy K. Jugmans </w:t>
      </w:r>
      <w:r>
        <w:rPr>
          <w:color w:val="000000"/>
        </w:rPr>
        <w:t xml:space="preserve">— </w:t>
      </w:r>
      <w:r>
        <w:rPr>
          <w:rFonts w:ascii="Arial Narrow;sans-serif" w:hAnsi="Arial Narrow;sans-serif"/>
          <w:b w:val="false"/>
          <w:color w:val="000000"/>
          <w:sz w:val="20"/>
        </w:rPr>
        <w:t xml:space="preserve">Mr. Jugmans serves as Chief Financial Officer, having been appointed to that role in </w:t>
      </w:r>
      <w:r>
        <w:rPr>
          <w:rFonts w:ascii="Arial Narrow;sans-serif" w:hAnsi="Arial Narrow;sans-serif"/>
          <w:b w:val="false"/>
          <w:color w:val="000000"/>
          <w:sz w:val="20"/>
          <w:shd w:fill="FFFFFF" w:val="clear"/>
        </w:rPr>
        <w:t xml:space="preserve">May 2021. He </w:t>
      </w:r>
      <w:r>
        <w:rPr>
          <w:rFonts w:ascii="Arial Narrow;sans-serif" w:hAnsi="Arial Narrow;sans-serif"/>
          <w:b w:val="false"/>
          <w:color w:val="000000"/>
          <w:sz w:val="20"/>
        </w:rPr>
        <w:t>served as Interim Chief Financial Officer from September 2020 to May 2021. Prior to that, he served as Vice President, 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He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He serves as non-executive Chairman of the Board of Cash Converters International Limited (ASX:CCV), having been appointed to that position in April 2022. From April 2015 to April 2021, he served as a non-executive board member and Chairman of Ratecity Pty Ltd., which operates one of Australia’s leading financial comparison sites.</w:t>
      </w:r>
    </w:p>
    <w:p>
      <w:pPr>
        <w:pStyle w:val="TextBody"/>
        <w:bidi w:val="0"/>
        <w:spacing w:lineRule="auto" w:line="288" w:before="180" w:after="283"/>
        <w:jc w:val="left"/>
        <w:rPr/>
      </w:pPr>
      <w:r>
        <w:rPr>
          <w:rFonts w:ascii="Arial Narrow;sans-serif" w:hAnsi="Arial Narrow;sans-serif"/>
          <w:b w:val="false"/>
          <w:i/>
          <w:color w:val="000000"/>
          <w:sz w:val="20"/>
        </w:rPr>
        <w:t>John Blair Powell, Jr.</w:t>
      </w:r>
      <w:r>
        <w:rPr>
          <w:color w:val="000000"/>
        </w:rPr>
        <w:t xml:space="preserve"> — </w:t>
      </w:r>
      <w:r>
        <w:rPr>
          <w:rFonts w:ascii="Arial Narrow;sans-serif" w:hAnsi="Arial Narrow;sans-serif"/>
          <w:b w:val="false"/>
          <w:color w:val="000000"/>
          <w:sz w:val="20"/>
        </w:rPr>
        <w:t xml:space="preserve">Mr. Powell serves as Chief Operating Officer and has responsibility for store-level operations for all of the Company’s locations worldwide. He joined EZCORP in 1989 as a pawnbroker in Houston, Texas, and during his 30+-year tenure at EZCORP, has held all field level positions, from store level to multi-unit management positions, including Regional Director of Operations. He moved into Operations at the Corporate Support Center in 2000 and was our top Operations Administration executive for the 13 years, most recently serving as Chief Customer Service Officer for Global Pawn. Mr. Powell was named President, US Pawn in September 2020 and was promoted to President, Global Pawn in October 2021. He served as Co-Interim Chief Executive Officer from January 2022 to March 2022, when he was appointed Chief Operating Officer. </w:t>
      </w:r>
    </w:p>
    <w:p>
      <w:pPr>
        <w:pStyle w:val="TextBody"/>
        <w:bidi w:val="0"/>
        <w:spacing w:lineRule="auto" w:line="288" w:before="180" w:after="283"/>
        <w:jc w:val="left"/>
        <w:rPr/>
      </w:pPr>
      <w:r>
        <w:rPr>
          <w:rFonts w:ascii="Arial Narrow;sans-serif" w:hAnsi="Arial Narrow;sans-serif"/>
          <w:b w:val="false"/>
          <w:i/>
          <w:color w:val="000000"/>
          <w:sz w:val="20"/>
        </w:rPr>
        <w:t xml:space="preserve">Keith Robertson </w:t>
      </w:r>
      <w:r>
        <w:rPr>
          <w:color w:val="000000"/>
        </w:rPr>
        <w:t xml:space="preserve">— </w:t>
      </w:r>
      <w:r>
        <w:rPr>
          <w:rFonts w:ascii="Arial Narrow;sans-serif" w:hAnsi="Arial Narrow;sans-serif"/>
          <w:b w:val="false"/>
          <w:color w:val="000000"/>
          <w:sz w:val="20"/>
        </w:rPr>
        <w:t xml:space="preserve">Mr. Robertson is our Chief Information Officer. He joined the Company in October 2018 as Senior Vice President, Global IT and New Ventures, and was promoted to his current position in November 2019. Prior to joining the Company, he spent seven years at AIG, working on a global transformation of the IT systems, facilities and workforce. From 1989 until 2011, Mr. Robertson worked at EDS/HP, last serving as the Chief Operating Officer for the Financial Services division, where he led IT programs supporting Bank of America, American Express, State Farm and others. Mr. Robertson grew up in Scotland and attended Heriot-Watt University in Edinburgh, where he graduated with an Honors degree in Electrical and Electronic Engineering. </w:t>
      </w:r>
    </w:p>
    <w:p>
      <w:pPr>
        <w:pStyle w:val="TextBody"/>
        <w:bidi w:val="0"/>
        <w:spacing w:lineRule="auto" w:line="288" w:before="180" w:after="283"/>
        <w:jc w:val="left"/>
        <w:rPr/>
      </w:pPr>
      <w:r>
        <w:rPr>
          <w:rFonts w:ascii="Arial Narrow;sans-serif" w:hAnsi="Arial Narrow;sans-serif"/>
          <w:b w:val="false"/>
          <w:i/>
          <w:color w:val="000000"/>
          <w:sz w:val="20"/>
        </w:rPr>
        <w:t xml:space="preserve">Sunil Sajnani </w:t>
      </w:r>
      <w:r>
        <w:rPr>
          <w:color w:val="000000"/>
        </w:rPr>
        <w:t xml:space="preserve">— </w:t>
      </w:r>
      <w:r>
        <w:rPr>
          <w:rFonts w:ascii="Arial Narrow;sans-serif" w:hAnsi="Arial Narrow;sans-serif"/>
          <w:b w:val="false"/>
          <w:color w:val="000000"/>
          <w:sz w:val="20"/>
        </w:rPr>
        <w:t>Mr. Sajnani joined the Company in April 2020 and serves as Chief Audit and Loss Prevention Executive. Prior to joining the Company, he spent six years at Santander Consumer USA in multiple leadership roles, initially as Chief Audit Executive and most recently as Executive Vice President, Head of Digital, Direct to Consumer and Service for Others. Prior to Santander Consumer, Mr. Sajnani held a variety of management positions at Conn’s, Inc., most recently serving as the Head of Internal Audit, Enterprise Risk Management and Regulatory Compliance. He began his career with PricewaterhouseCoopers in Transaction Advisory Services, mainly serving large banks and specialty finance institutions. Mr. Sajnani received a bachelor’s degree in Financial Economics from the University of Michigan at Ann Arbor and a master’s degree in accounting from Eastern Michigan University. He is a Certified Public Accountant and a Certified Regulatory Compliance Manager.</w:t>
      </w:r>
    </w:p>
    <w:p>
      <w:pPr>
        <w:pStyle w:val="TextBody"/>
        <w:bidi w:val="0"/>
        <w:spacing w:lineRule="auto" w:line="288" w:before="180" w:after="283"/>
        <w:jc w:val="left"/>
        <w:rPr/>
      </w:pPr>
      <w:r>
        <w:rPr>
          <w:rFonts w:ascii="Arial Narrow;sans-serif" w:hAnsi="Arial Narrow;sans-serif"/>
          <w:b w:val="false"/>
          <w:i/>
          <w:color w:val="000000"/>
          <w:sz w:val="20"/>
        </w:rPr>
        <w:t xml:space="preserve">Nicole Swies — </w:t>
      </w:r>
      <w:r>
        <w:rPr>
          <w:rFonts w:ascii="Arial Narrow;sans-serif" w:hAnsi="Arial Narrow;sans-serif"/>
          <w:b w:val="false"/>
          <w:color w:val="000000"/>
          <w:sz w:val="20"/>
        </w:rPr>
        <w:t xml:space="preserve">Ms. Swies is our Chief Revenue Officer, responsible for global operations administration and earning assets. Ms. Swies joined EZCORP in November 2002 as a Financial Analyst and has worked in various finance and analytics positions primarily supporting operations in the U.S. and Latin America pawn segments and the legacy Financial Services businesses. She served as Chief Revenue and Operations Officer, with additional responsibility for digital initiatives and marketing, from September 2020 to March 2022, when her title was changed to Chief Revenue Officer.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 </w:t>
      </w:r>
    </w:p>
    <w:p>
      <w:pPr>
        <w:pStyle w:val="TextBody"/>
        <w:bidi w:val="0"/>
        <w:spacing w:lineRule="auto" w:line="288" w:before="180" w:after="283"/>
        <w:jc w:val="left"/>
        <w:rPr/>
      </w:pPr>
      <w:r>
        <w:rPr>
          <w:rFonts w:ascii="Arial Narrow;sans-serif" w:hAnsi="Arial Narrow;sans-serif"/>
          <w:b w:val="false"/>
          <w:i/>
          <w:color w:val="000000"/>
          <w:sz w:val="20"/>
        </w:rPr>
        <w:t xml:space="preserve">Lisa VanRoekel </w:t>
      </w:r>
      <w:r>
        <w:rPr>
          <w:color w:val="000000"/>
        </w:rPr>
        <w:t xml:space="preserve">— </w:t>
      </w:r>
      <w:r>
        <w:rPr>
          <w:rFonts w:ascii="Arial Narrow;sans-serif" w:hAnsi="Arial Narrow;sans-serif"/>
          <w:b w:val="false"/>
          <w:color w:val="000000"/>
          <w:sz w:val="20"/>
        </w:rPr>
        <w:t xml:space="preserve">Ms. VanRoekel is the Chief Human Resources Officer, having joined the Company in January 2021. In March 2022, she was assigned the additional responsibility of overseeing the Company’s Real Estate and Facilities team. Prior to joining the Company, Ms. VanRoekel spent 19 years in expanding roles with Grupo Santander, one of the world’s largest international banks serving over 100 million customers with 187,000 employees. As an expert leading cultural change and innovative large-scale organizational transformation, Ms. VanRoekel led the Human Resources functions at Santander Digital (USA, Spain and UK), Santander Consumer USA and Santander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N.A. Her most recent role with Grupo Santander was Group Vice President: Human Resources at Santander Digital, where she was responsible for successfully building digital and innovation talent across the U.S., Europe and Latin America. Prior to joining Grupo Santander, she was Director of Human Resources at Allied Riser Communications. Ms. VanRoekel holds B.S. and M.S. degrees in Journalism from Texas A &amp; M Commerce (formerly East Texas State University).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Section 16(a) Beneficial Ownership Reporting Compliance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on written representations and a review of the relevant Forms 3, 4 and 5, during fiscal 2023 all persons subject to Section 16 of the Securities Exchange Act of 1934 with respect to EZCORP timely filed all reports required by Section 16(a) of the Securities Exchange Act, except for the Form 4 reporting the August 22, 2023 sale of 2,250 shares of Class A Common Stock by Nicole Swies (an executive officer), which was filed on October 18, 2023. The delinquent filing was inadvertent and resulted from a delay in the receipt of information regarding the transaction.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Code of Conduct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Governance</w:t>
      </w:r>
    </w:p>
    <w:p>
      <w:pPr>
        <w:pStyle w:val="TextBody"/>
        <w:bidi w:val="0"/>
        <w:spacing w:lineRule="auto" w:line="288" w:before="180" w:after="283"/>
        <w:jc w:val="left"/>
        <w:rPr/>
      </w:pPr>
      <w:r>
        <w:rPr>
          <w:rFonts w:ascii="Arial Narrow;sans-serif" w:hAnsi="Arial Narrow;sans-serif"/>
          <w:b w:val="false"/>
          <w:i/>
          <w:color w:val="000000"/>
          <w:sz w:val="20"/>
        </w:rPr>
        <w:t xml:space="preserve">Controlled Company Exemptions </w:t>
      </w:r>
      <w:r>
        <w:rPr>
          <w:color w:val="000000"/>
        </w:rPr>
        <w:t xml:space="preserve">— </w:t>
      </w:r>
      <w:r>
        <w:rPr>
          <w:rFonts w:ascii="Arial Narrow;sans-serif" w:hAnsi="Arial Narrow;sans-serif"/>
          <w:b w:val="false"/>
          <w:color w:val="000000"/>
          <w:sz w:val="20"/>
        </w:rPr>
        <w:t>The Nasdaq Listing Rules contain several corporate governance requirements for Nasdaq-listed companies. These requirements generally relate to the composition of the board and its committees. For example, the rules require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 majority of the directors must be independent (Rule 5605(b)(1));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audit committee must have at least three members, each of whom must be independent (Rule 5605(c)(2));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Executive officer compensation must be determined, or recommended to the board of directors for determination, by either (1) a majority of the independent directors or (2) a compensation committee comprised solely of independent directors (Rule 5605(d));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Director nominations must be selected, or recommended for the board’s selection, by either (1) a majority of the independent directors or (2) a nominations committee comprised solely of independent directors (Rule 5605(e)).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relied on the Controlled Company exemptions in the past, but is not currently relying on such exemptions. The controlling shareholder or the Board may implement changes in the future that would again require the Company to rely on the Controlled Company exemptions under the Nasdaq Listing Rules.</w:t>
      </w:r>
    </w:p>
    <w:p>
      <w:pPr>
        <w:pStyle w:val="TextBody"/>
        <w:bidi w:val="0"/>
        <w:spacing w:lineRule="auto" w:line="288" w:before="180" w:after="283"/>
        <w:jc w:val="left"/>
        <w:rPr/>
      </w:pPr>
      <w:r>
        <w:rPr>
          <w:rFonts w:ascii="Arial Narrow;sans-serif" w:hAnsi="Arial Narrow;sans-serif"/>
          <w:b w:val="false"/>
          <w:i/>
          <w:color w:val="000000"/>
          <w:sz w:val="20"/>
        </w:rPr>
        <w:t xml:space="preserve">Committees of the Board of Directors — </w:t>
      </w:r>
      <w:r>
        <w:rPr>
          <w:rFonts w:ascii="Arial Narrow;sans-serif" w:hAnsi="Arial Narrow;sans-serif"/>
          <w:b w:val="false"/>
          <w:color w:val="000000"/>
          <w:sz w:val="20"/>
        </w:rPr>
        <w:t>The Board of Directors maintains the following committees to assist it in its oversight responsibilities. The current membership of each committee is indicated in the list of directors set forth under “Board of Directors”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Audit Committee</w:t>
      </w:r>
      <w:r>
        <w:rPr>
          <w:color w:val="000000"/>
        </w:rPr>
        <w:t xml:space="preserve"> — </w:t>
      </w:r>
      <w:r>
        <w:rPr>
          <w:rFonts w:ascii="Arial Narrow;sans-serif" w:hAnsi="Arial Narrow;sans-serif"/>
          <w:b w:val="false"/>
          <w:color w:val="000000"/>
          <w:sz w:val="20"/>
        </w:rPr>
        <w:t xml:space="preserve">The Audit Committee assists the Board in fulfilling its responsibility to provide oversight with respect to our financial 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standards and principles followed. The Audit Committee also selects, engages, compensates and oversees our independent auditor and pre-approves all services to be performed by the independent auditing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Committee has further responsibility for overseeing our risk management and compliance processes. In carrying out that responsibility, the Audit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Tillett, Chair of the committee, and Mr. Appel are “financial experts” within the meaning of the current rules of the SEC.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People and Compensation Committee — </w:t>
      </w:r>
      <w:r>
        <w:rPr>
          <w:rFonts w:ascii="Arial Narrow;sans-serif" w:hAnsi="Arial Narrow;sans-serif"/>
          <w:b w:val="false"/>
          <w:color w:val="000000"/>
          <w:sz w:val="20"/>
        </w:rPr>
        <w:t>The People and Compensation Committee has the primary responsibility of reviewing, analyzing and (as 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(or recommending, as appropriate) amounts and types of compensation to be paid to our executive officers; reviewing and recommending to the full Board the amount and type of compensation to be paid to our non-employee directors; reviewing and recommending to the full Board all equity compensation to be paid to our Team Members (including the executive officers);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Nominating Committee — </w:t>
      </w:r>
      <w:r>
        <w:rPr>
          <w:rFonts w:ascii="Arial Narrow;sans-serif" w:hAnsi="Arial Narrow;sans-serif"/>
          <w:b w:val="false"/>
          <w:color w:val="000000"/>
          <w:sz w:val="20"/>
        </w:rPr>
        <w:t>The Nominating Committee assists the Board with respect to the selection and nomination of candidates 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Each of three standing committees is governed by a written charter, a copy of which can be found in the Investor Relations section of our website at www.ezcorp.com.</w:t>
      </w:r>
    </w:p>
    <w:p>
      <w:pPr>
        <w:pStyle w:val="TextBody"/>
        <w:bidi w:val="0"/>
        <w:spacing w:lineRule="auto" w:line="288" w:before="180" w:after="283"/>
        <w:jc w:val="left"/>
        <w:rPr/>
      </w:pPr>
      <w:r>
        <w:rPr>
          <w:rFonts w:ascii="Arial Narrow;sans-serif" w:hAnsi="Arial Narrow;sans-serif"/>
          <w:b w:val="false"/>
          <w:i/>
          <w:color w:val="000000"/>
          <w:sz w:val="20"/>
        </w:rPr>
        <w:t>Meetings and Attendance</w:t>
      </w:r>
      <w:r>
        <w:rPr>
          <w:color w:val="000000"/>
        </w:rPr>
        <w:t xml:space="preserve"> — </w:t>
      </w:r>
      <w:r>
        <w:rPr>
          <w:rFonts w:ascii="Arial Narrow;sans-serif" w:hAnsi="Arial Narrow;sans-serif"/>
          <w:b w:val="false"/>
          <w:color w:val="000000"/>
          <w:sz w:val="20"/>
        </w:rPr>
        <w:t>The following table sets forth the number of meetings held during fiscal 2023 by the Board of Directors and each committee 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Board of Directors also held five other meetings that were not considered official meetings of the Board due to the absence of a quorum.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directors attended at least 75% of the meetings of the Board and of the committees on which they served.</w:t>
      </w:r>
    </w:p>
    <w:tbl>
      <w:tblPr>
        <w:tblW w:w="7030" w:type="dxa"/>
        <w:jc w:val="left"/>
        <w:tblInd w:w="0" w:type="dxa"/>
        <w:tblLayout w:type="fixed"/>
        <w:tblCellMar>
          <w:top w:w="28" w:type="dxa"/>
          <w:left w:w="28" w:type="dxa"/>
          <w:bottom w:w="28" w:type="dxa"/>
          <w:right w:w="28" w:type="dxa"/>
        </w:tblCellMar>
      </w:tblPr>
      <w:tblGrid>
        <w:gridCol w:w="1024"/>
        <w:gridCol w:w="903"/>
        <w:gridCol w:w="907"/>
        <w:gridCol w:w="359"/>
        <w:gridCol w:w="359"/>
        <w:gridCol w:w="361"/>
        <w:gridCol w:w="109"/>
        <w:gridCol w:w="109"/>
        <w:gridCol w:w="109"/>
        <w:gridCol w:w="815"/>
        <w:gridCol w:w="815"/>
        <w:gridCol w:w="1160"/>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Fiscal 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Meetings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Action by Unanimous Written Consent</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Board of Directors</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People and Compensation Committee</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Nominating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during fiscal 2022, the Board of Directors formed and commissioned a “Share Buyback Committee,” consisting of Mr. Appel, Mr. Given, Mr. Kulas, and Mr. Tillett, for the purpose of reviewing and approving the Company’s share repurchase plans. That committee met a total of four times, and took action once by unanimous written consent, during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the offering and issuance of convertible notes in December 2022, the Board of Directors formed a “Pricing Committee,” consisting of Mr. Appel, Mr. Given, Mr. Kulas, and Mr. Tillett, to review and approve on behalf of the Board of Directors the specific terms of the offering. That committee met two times, and took action twice by unanimous written consent, during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Compensation Discussion and Analysis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2023 by the following individuals, referred to as our Named Executive Officers.</w:t>
      </w:r>
    </w:p>
    <w:tbl>
      <w:tblPr>
        <w:tblW w:w="4346" w:type="dxa"/>
        <w:jc w:val="left"/>
        <w:tblInd w:w="0" w:type="dxa"/>
        <w:tblLayout w:type="fixed"/>
        <w:tblCellMar>
          <w:top w:w="28" w:type="dxa"/>
          <w:left w:w="28" w:type="dxa"/>
          <w:bottom w:w="28" w:type="dxa"/>
          <w:right w:w="28" w:type="dxa"/>
        </w:tblCellMar>
      </w:tblPr>
      <w:tblGrid>
        <w:gridCol w:w="579"/>
        <w:gridCol w:w="508"/>
        <w:gridCol w:w="517"/>
        <w:gridCol w:w="109"/>
        <w:gridCol w:w="109"/>
        <w:gridCol w:w="109"/>
        <w:gridCol w:w="705"/>
        <w:gridCol w:w="705"/>
        <w:gridCol w:w="1005"/>
      </w:tblGrid>
      <w:tr>
        <w:trPr/>
        <w:tc>
          <w:tcPr>
            <w:tcW w:w="57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Position</w:t>
            </w:r>
          </w:p>
        </w:tc>
      </w:tr>
      <w:tr>
        <w:trPr/>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Human Resources Officer</w:t>
            </w:r>
          </w:p>
        </w:tc>
      </w:tr>
    </w:tbl>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Executive Compensation Philosophy and Program Design</w:t>
      </w:r>
    </w:p>
    <w:p>
      <w:pPr>
        <w:pStyle w:val="TextBody"/>
        <w:bidi w:val="0"/>
        <w:spacing w:lineRule="auto" w:line="288" w:before="180" w:after="283"/>
        <w:jc w:val="left"/>
        <w:rPr/>
      </w:pPr>
      <w:r>
        <w:rPr>
          <w:rFonts w:ascii="Arial Narrow;sans-serif" w:hAnsi="Arial Narrow;sans-serif"/>
          <w:b w:val="false"/>
          <w:i/>
          <w:color w:val="000000"/>
          <w:sz w:val="20"/>
        </w:rPr>
        <w:t xml:space="preserve">Philosophy and Goals </w:t>
      </w:r>
      <w:r>
        <w:rPr>
          <w:color w:val="000000"/>
        </w:rPr>
        <w:t xml:space="preserve">— </w:t>
      </w:r>
      <w:r>
        <w:rPr>
          <w:rFonts w:ascii="Arial Narrow;sans-serif" w:hAnsi="Arial Narrow;sans-serif"/>
          <w:b w:val="false"/>
          <w:color w:val="000000"/>
          <w:sz w:val="20"/>
        </w:rPr>
        <w:t>We have designed our executive compensation program to accomplish the following primary goals: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6"/>
        <w:gridCol w:w="707"/>
        <w:gridCol w:w="709"/>
        <w:gridCol w:w="1307"/>
        <w:gridCol w:w="1171"/>
        <w:gridCol w:w="1171"/>
        <w:gridCol w:w="1171"/>
        <w:gridCol w:w="1171"/>
        <w:gridCol w:w="17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20"/>
              </w:rPr>
            </w:pPr>
            <w:r>
              <w:rPr>
                <w:rFonts w:ascii="Arial Narrow;sans-serif" w:hAnsi="Arial Narrow;sans-serif"/>
                <w:b/>
                <w:color w:val="000000"/>
                <w:sz w:val="20"/>
              </w:rPr>
              <w:t>Attract and retain high performers</w:t>
            </w:r>
          </w:p>
        </w:tc>
        <w:tc>
          <w:tcPr>
            <w:tcW w:w="7691" w:type="dxa"/>
            <w:gridSpan w:val="6"/>
            <w:tcBorders>
              <w:top w:val="single" w:sz="8"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Compensation is competitive to attract and retain high performers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When performance objectives are achieved, resulting pay is competitive with market</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When performance is outstanding and exceeds performance objectives, resulting pay is positioned above, and potentially near the top of, the market</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Pay for performance</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The majority of compensation is performance-based (short-and long-term)</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These performance-based incentives are tied to the achievement of financial and strategic objectives, recognizing company-wide and individual performance</w:t>
            </w:r>
          </w:p>
        </w:tc>
      </w:tr>
      <w:tr>
        <w:trPr/>
        <w:tc>
          <w:tcPr>
            <w:tcW w:w="34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Shareholder alignment</w:t>
            </w:r>
          </w:p>
        </w:tc>
        <w:tc>
          <w:tcPr>
            <w:tcW w:w="7691" w:type="dxa"/>
            <w:gridSpan w:val="6"/>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The value of equity awards is dependent on our stock performance and the achievement of objective financial goals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Equity incentives will have the greatest weight in the mix of variable compensation for executives</w:t>
            </w:r>
          </w:p>
        </w:tc>
      </w:tr>
      <w:tr>
        <w:trPr/>
        <w:tc>
          <w:tcPr>
            <w:tcW w:w="34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Long-term commitment</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Equity incentive awards vest over multiple years to align executives with the investment horizon of long-term shareholders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After vesting, executives are subject to stock ownership requirements</w:t>
            </w:r>
          </w:p>
        </w:tc>
      </w:tr>
    </w:tbl>
    <w:p>
      <w:pPr>
        <w:pStyle w:val="TextBody"/>
        <w:bidi w:val="0"/>
        <w:spacing w:lineRule="auto" w:line="288" w:before="240" w:after="180"/>
        <w:jc w:val="left"/>
        <w:rPr>
          <w:rFonts w:ascii="Arial Narrow;sans-serif" w:hAnsi="Arial Narrow;sans-serif"/>
          <w:b w:val="false"/>
          <w:color w:val="000000"/>
          <w:sz w:val="20"/>
        </w:rPr>
      </w:pPr>
      <w:r>
        <w:rPr>
          <w:rFonts w:ascii="Arial Narrow;sans-serif" w:hAnsi="Arial Narrow;sans-serif"/>
          <w:b w:val="false"/>
          <w:color w:val="000000"/>
          <w:sz w:val="20"/>
        </w:rPr>
        <w:t>These principles are reflected in the following best-practice features of our executive compensation program:</w:t>
      </w:r>
    </w:p>
    <w:tbl>
      <w:tblPr>
        <w:tblW w:w="10205" w:type="dxa"/>
        <w:jc w:val="left"/>
        <w:tblInd w:w="0" w:type="dxa"/>
        <w:tblLayout w:type="fixed"/>
        <w:tblCellMar>
          <w:top w:w="28" w:type="dxa"/>
          <w:left w:w="28" w:type="dxa"/>
          <w:bottom w:w="28" w:type="dxa"/>
          <w:right w:w="28" w:type="dxa"/>
        </w:tblCellMar>
      </w:tblPr>
      <w:tblGrid>
        <w:gridCol w:w="174"/>
        <w:gridCol w:w="153"/>
        <w:gridCol w:w="153"/>
        <w:gridCol w:w="1608"/>
        <w:gridCol w:w="1608"/>
        <w:gridCol w:w="1611"/>
        <w:gridCol w:w="109"/>
        <w:gridCol w:w="109"/>
        <w:gridCol w:w="109"/>
        <w:gridCol w:w="213"/>
        <w:gridCol w:w="213"/>
        <w:gridCol w:w="213"/>
        <w:gridCol w:w="1150"/>
        <w:gridCol w:w="1150"/>
        <w:gridCol w:w="163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5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Don’t Do</w:t>
            </w:r>
          </w:p>
        </w:tc>
      </w:tr>
      <w:tr>
        <w:trPr/>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Emphasize performance-based variable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Generally, no single trigger change-in-control payments</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Link significant portion of equity incentive grants to performance goals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significant perquisites</w:t>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Require stock retention by executives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hedging or pledging of Company stock</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Perform annual risk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 an independent compensation consultant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Maintain an incentive clawback policy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Compensation Components</w:t>
      </w:r>
      <w:r>
        <w:rPr>
          <w:color w:val="000000"/>
        </w:rPr>
        <w:t xml:space="preserve"> — “</w:t>
      </w:r>
      <w:r>
        <w:rPr>
          <w:rFonts w:ascii="Arial Narrow;sans-serif" w:hAnsi="Arial Narrow;sans-serif"/>
          <w:b w:val="false"/>
          <w:color w:val="000000"/>
          <w:sz w:val="20"/>
        </w:rPr>
        <w:t>Total direct” compensation is composed of four principal components, each one contributing to the accomplishment of our compensation program goals:</w:t>
      </w:r>
    </w:p>
    <w:tbl>
      <w:tblPr>
        <w:tblW w:w="10205" w:type="dxa"/>
        <w:jc w:val="left"/>
        <w:tblInd w:w="0" w:type="dxa"/>
        <w:tblLayout w:type="fixed"/>
        <w:tblCellMar>
          <w:top w:w="28" w:type="dxa"/>
          <w:left w:w="28" w:type="dxa"/>
          <w:bottom w:w="28" w:type="dxa"/>
          <w:right w:w="28" w:type="dxa"/>
        </w:tblCellMar>
      </w:tblPr>
      <w:tblGrid>
        <w:gridCol w:w="511"/>
        <w:gridCol w:w="450"/>
        <w:gridCol w:w="452"/>
        <w:gridCol w:w="1431"/>
        <w:gridCol w:w="1431"/>
        <w:gridCol w:w="1445"/>
        <w:gridCol w:w="278"/>
        <w:gridCol w:w="278"/>
        <w:gridCol w:w="280"/>
        <w:gridCol w:w="382"/>
        <w:gridCol w:w="382"/>
        <w:gridCol w:w="384"/>
        <w:gridCol w:w="405"/>
        <w:gridCol w:w="405"/>
        <w:gridCol w:w="406"/>
        <w:gridCol w:w="373"/>
        <w:gridCol w:w="373"/>
        <w:gridCol w:w="539"/>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Compensation Component</w:t>
            </w:r>
          </w:p>
        </w:tc>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Description</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Attract and Retain</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Pay for Performance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Shareholder Alignment</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Long-term Commitment</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Base salary</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 market-competitive salary to provide a fixed annual cash income</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Short-term incentives</w:t>
            </w:r>
          </w:p>
        </w:tc>
        <w:tc>
          <w:tcPr>
            <w:tcW w:w="4307"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Annual cash incentive opportunity tied to an assessment of annual corporate and business unit financial performance, as well as individual contributions</w:t>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Long-term incentives</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Equity incentive grants with vesting tied to achievement of earnings-based goals and continued employment</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r>
        <w:trPr/>
        <w:tc>
          <w:tcPr>
            <w:tcW w:w="141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Arial Narrow;sans-serif" w:hAnsi="Arial Narrow;sans-serif"/>
                <w:b/>
                <w:color w:val="000000"/>
                <w:sz w:val="18"/>
              </w:rPr>
            </w:pPr>
            <w:r>
              <w:rPr>
                <w:rFonts w:ascii="Arial Narrow;sans-serif" w:hAnsi="Arial Narrow;sans-serif"/>
                <w:b/>
                <w:color w:val="000000"/>
                <w:sz w:val="18"/>
              </w:rPr>
              <w:t>Executive retirement</w:t>
            </w:r>
          </w:p>
          <w:p>
            <w:pPr>
              <w:pStyle w:val="TableContents"/>
              <w:bidi w:val="0"/>
              <w:spacing w:lineRule="auto" w:line="264" w:before="0" w:after="120"/>
              <w:jc w:val="left"/>
              <w:rPr>
                <w:rFonts w:ascii="Arial Narrow;sans-serif" w:hAnsi="Arial Narrow;sans-serif"/>
                <w:b/>
                <w:color w:val="000000"/>
                <w:sz w:val="18"/>
              </w:rPr>
            </w:pPr>
            <w:r>
              <w:rPr>
                <w:rFonts w:ascii="Arial Narrow;sans-serif" w:hAnsi="Arial Narrow;sans-serif"/>
                <w:b/>
                <w:color w:val="000000"/>
                <w:sz w:val="18"/>
              </w:rPr>
              <w:t>(US only)</w:t>
            </w:r>
          </w:p>
        </w:tc>
        <w:tc>
          <w:tcPr>
            <w:tcW w:w="43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 xml:space="preserve">Annual retirement plan contributions that vest over three years </w:t>
            </w:r>
          </w:p>
        </w:tc>
        <w:tc>
          <w:tcPr>
            <w:tcW w:w="83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reviews the executive pay mix on an annual basis. The Committee does not target a fixed percentage allocation among the compensation components, but rather aims to provide the majority of executive officer compensation opportunities in the form of at-risk incentive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Benchmarking and Peer Group Data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business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pStyle w:val="TextBody"/>
        <w:bidi w:val="0"/>
        <w:spacing w:lineRule="auto" w:line="288" w:before="180" w:after="283"/>
        <w:jc w:val="left"/>
        <w:rPr/>
      </w:pPr>
      <w:r>
        <w:rPr>
          <w:rFonts w:ascii="Arial Narrow;sans-serif" w:hAnsi="Arial Narrow;sans-serif"/>
          <w:b w:val="false"/>
          <w:color w:val="000000"/>
          <w:sz w:val="20"/>
        </w:rPr>
        <w:t xml:space="preserve">The Committee asks its independent compensation consultant to conduct an annual competitive compensation review to benchmark compensation for executive officers. </w:t>
      </w:r>
      <w:r>
        <w:rPr>
          <w:rFonts w:ascii="Arial Narrow;sans-serif" w:hAnsi="Arial Narrow;sans-serif"/>
          <w:b w:val="false"/>
          <w:color w:val="000000"/>
          <w:sz w:val="20"/>
          <w:shd w:fill="FFFFFF" w:val="clear"/>
        </w:rPr>
        <w:t>Mercer (US) Inc. (“Mercer”), the Committee’s independent compensation consultant, delivered its Fiscal 2023 Executive Compensation Competitive Market Assessment (the “FY23 Mercer Executive Compensation Report”) to the Committee in August 2022 in connection with the Committee’s review and evaluation of the executive compensation program and pay levels for fiscal 2023. For that report, Mercer collected competitive pay data for a peer group of 13 publicly traded companies that were reviewed and approved by the Committee in May 2022.</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There is only one publicly traded company in the marketplace with which we directly compete, FirstCash Holdings, Inc. As a result, the Committee uses a set of similarly-sized companies from relevant industries that serve similar customer bases, </w:t>
      </w:r>
      <w:r>
        <w:rPr>
          <w:rFonts w:ascii="Arial Narrow;sans-serif" w:hAnsi="Arial Narrow;sans-serif"/>
          <w:b w:val="false"/>
          <w:color w:val="000000"/>
          <w:sz w:val="20"/>
        </w:rPr>
        <w:t>operate in the retail or consumer finance industries and typically have similar operating dynamics as the Company. The Committee believes this approach appropriately reflects the diverse labor market for executive talent in which we compete and presents a reasonable reference for evaluating the competitiveness of our executive compensation levels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fiscal 2023 peer group consisted of the following companies:</w:t>
      </w:r>
    </w:p>
    <w:tbl>
      <w:tblPr>
        <w:tblW w:w="7388" w:type="dxa"/>
        <w:jc w:val="left"/>
        <w:tblInd w:w="0" w:type="dxa"/>
        <w:tblLayout w:type="fixed"/>
        <w:tblCellMar>
          <w:top w:w="28" w:type="dxa"/>
          <w:left w:w="28" w:type="dxa"/>
          <w:bottom w:w="28" w:type="dxa"/>
          <w:right w:w="28" w:type="dxa"/>
        </w:tblCellMar>
      </w:tblPr>
      <w:tblGrid>
        <w:gridCol w:w="759"/>
        <w:gridCol w:w="669"/>
        <w:gridCol w:w="672"/>
        <w:gridCol w:w="109"/>
        <w:gridCol w:w="109"/>
        <w:gridCol w:w="109"/>
        <w:gridCol w:w="344"/>
        <w:gridCol w:w="344"/>
        <w:gridCol w:w="346"/>
        <w:gridCol w:w="109"/>
        <w:gridCol w:w="109"/>
        <w:gridCol w:w="109"/>
        <w:gridCol w:w="1051"/>
        <w:gridCol w:w="1051"/>
        <w:gridCol w:w="1498"/>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Peer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Stock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Primary Business</w:t>
            </w:r>
          </w:p>
        </w:tc>
      </w:tr>
      <w:tr>
        <w:trPr/>
        <w:tc>
          <w:tcPr>
            <w:tcW w:w="2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The Aaron’s Company,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Home Furnishing Retail</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Atlanticus Holdings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ATLC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The Cato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CATO</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Apparel Retail</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and Electronics Retail</w:t>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CURO Group Holdings Corp.</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CURO</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Elevate Credit,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ELVT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Enova International,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ENVA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FirstCash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FCFS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 — Pawn Operator</w:t>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LendingClub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MoneyGram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MGI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Data Processing and Outsourced Services — Fintech </w:t>
            </w:r>
          </w:p>
        </w:tc>
      </w:tr>
      <w:tr>
        <w:trPr/>
        <w:tc>
          <w:tcPr>
            <w:tcW w:w="21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Oportun Financial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OPRT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Regional Management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100" w:type="dxa"/>
            <w:gridSpan w:val="3"/>
            <w:tcBorders>
              <w:bottom w:val="sing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World Acceptance Corporation</w:t>
            </w:r>
          </w:p>
        </w:tc>
        <w:tc>
          <w:tcPr>
            <w:tcW w:w="327" w:type="dxa"/>
            <w:gridSpan w:val="3"/>
            <w:tcBorders>
              <w:bottom w:val="single" w:sz="4" w:space="0" w:color="000000"/>
            </w:tcBorders>
            <w:shd w:fill="BFE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WRLD</w:t>
            </w:r>
          </w:p>
        </w:tc>
        <w:tc>
          <w:tcPr>
            <w:tcW w:w="327" w:type="dxa"/>
            <w:gridSpan w:val="3"/>
            <w:tcBorders>
              <w:bottom w:val="single" w:sz="4" w:space="0" w:color="000000"/>
            </w:tcBorders>
            <w:shd w:fill="BFE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bottom w:val="sing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bl>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This group was the same as the peer group used in fiscal 2022, except that three companies were dropped (Cardtronics Inc. and GreenSky, Inc. due to their having been acquired, and Rent-A-Center, Inc. due to its revenue size being outside the range of reasonable comparability) and four companies were added (Atlanticus Holdings Corporation and Elevate Credit, Inc. to maintain focus on the Consumer Finance industry, and The Aaron’s Company, Inc. and The Cato Corporation to expand exposure to retail companies with comparable business models). When the peer group was approved by the Committee, Mercer noted that the Company was at the 43rd percentile of the peer group in terms of revenue size and at the 19th percentile in terms of market capitalization.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To benchmark our executive compensation, Mercer used peer group data from the most recently available proxy filings (CEO and CFO positions and other executive positions where available) and its own executive compensation survey data (for all executive officer positions). Additional data from other published surveys was used as secondary reference points. (Note — The FY23 Mercer Executive Compensation Report did not include any benchmarking information for the Executive Chairman position, as our Executive Chairman, Mr. Cohen, is subject to a special multi-year compensation arrangement that was approved by the full Board in September 2019 and renewed on the same terms for fiscal 2023. See “Compensation Discussion and Analysis — Summary of Fiscal 2019 Compensation Actions — Executive Chairman” in our Annual Report on Form 10-K for the year ended September 30, 2019.)</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FY23 Mercer Executive Compensation Report contained the following general observations, which the Committee took into consideration in evaluating and approving executive compensation for fiscal 2023:</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Total cash compensation (at target levels) for our executive officers as a group approximates the 62nd percentile, with individual executive officers each approximating or exceeding the 50th percentile.</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Long-term incentive compensation (at target levels) is less competitive at the 30th percentile, with half of our executive officers below the 50th percentile. </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As a whole, total direct compensation (cash compensation plus long-term incentive) for our executive officers is at the 45th percentile, with all but two of the executive officers approximating or exceeding the 50th percentile.</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Relative to the prior year, both long-term incentive compensation and total direct compensation compared to the market have improved slightly, reflecting the Committee’s emphasis on long-term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Compensation and Fiscal 2023 Executive Compensation 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consists of four main elements: base salaries, short-term cash incentive opportunities, long-term incentive opportunities (generally paid in the form of equity awards) and other benefits, including healthcare and retirement. Each of these components is discussed in more detail below, along with the compensation actions that were taken during fiscal 2023.</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Base Salary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primary objective with respect to base salary levels is to provide sufficient fixed cash income to attract and retain experienced leaders in a competitive market. The base salaries of our executive officers are reviewed and adjusted (if appropriate) annually to reflect, among other things, individual performance, review of market data, experience in role, macro-economic conditions and internal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for each Named Executive Officer, the base salaries that were in effect for fiscal 2023 and 2022:</w:t>
      </w:r>
    </w:p>
    <w:tbl>
      <w:tblPr>
        <w:tblW w:w="6981" w:type="dxa"/>
        <w:jc w:val="center"/>
        <w:tblInd w:w="0" w:type="dxa"/>
        <w:tblLayout w:type="fixed"/>
        <w:tblCellMar>
          <w:top w:w="28" w:type="dxa"/>
          <w:left w:w="28" w:type="dxa"/>
          <w:bottom w:w="28" w:type="dxa"/>
          <w:right w:w="28" w:type="dxa"/>
        </w:tblCellMar>
      </w:tblPr>
      <w:tblGrid>
        <w:gridCol w:w="674"/>
        <w:gridCol w:w="590"/>
        <w:gridCol w:w="595"/>
        <w:gridCol w:w="109"/>
        <w:gridCol w:w="109"/>
        <w:gridCol w:w="109"/>
        <w:gridCol w:w="285"/>
        <w:gridCol w:w="1267"/>
        <w:gridCol w:w="158"/>
        <w:gridCol w:w="109"/>
        <w:gridCol w:w="109"/>
        <w:gridCol w:w="109"/>
        <w:gridCol w:w="285"/>
        <w:gridCol w:w="1267"/>
        <w:gridCol w:w="158"/>
        <w:gridCol w:w="109"/>
        <w:gridCol w:w="109"/>
        <w:gridCol w:w="109"/>
        <w:gridCol w:w="211"/>
        <w:gridCol w:w="211"/>
        <w:gridCol w:w="299"/>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2022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Increase</w:t>
            </w:r>
          </w:p>
        </w:tc>
      </w:tr>
      <w:tr>
        <w:trPr/>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 (4)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bl>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    Mr. Given was appointed Co-Interim Chief Executive Officer effective January 12, 2022 and Chief Executive Officer effective March 3, 2022. The amount shown for fiscal 2022 represents his annualized base salary for the CEO position, which was made effective January 12, 2022.</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    In September 2021, the Committee approved a base salary for Mr. Jugmans of $420,000 for fiscal 2022 and indicated that it expected to approve a further increase to $450,000 for fiscal 2023 to better align Mr. Jugmans’ compensation with the competitive market benchmarks. In February 2022, in recognition of Mr. Jugmans’ performance, particularly in the context of the CEO change that occurred in January 2022, the Committee approved a base salary increase to $450,000 (with retroactive effect from January 12, 2022), essentially accelerating the increase planned for fiscal 2023.</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    In October 2021, the Committee approved a fiscal 2022 base salary for Mr. Powell, who was serving as President, Global Pawn at that time, of $450,000. In January 2022, Mr. Powell was appointed Co-Interim Chief Executive Officer (effective January 12, 2022), and he served in that position with Mr. Given until March 3, 2022, when he was appointed Chief Operating Officer. The amount shown for fiscal 2022 represents the annualized base salary for the COO position, which was made effective January 12, 2022.</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(4)    In September 2021, the Committee approved a base salary for Ms. VanRoekel of $350,000 for fiscal 2022. In February 2022, in recognition of Ms. VanRoekel’s increased responsibilities, the Committee approved a base salary increase to $410,000 (with retroactive effect from January 12, 2022).</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October 2023, the Committee determined that the fiscal 2024 base salaries for the Named Executive Officers would be as follows: Mr,. Given, $750,000 (no increase); Mr. Jugmans, $475,000 (5.6% increase); Mr. Powell, $600,000 (9.1% increase); Mr. Cohen, $1,500,000 (no increase); and Ms. VanRoekel, $410,000 (no increase).</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Annual Short-Term Incentive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executive officers, as well as other key Team Members, are eligible to participate in our annual short-term incentive (“STI”) plan. The plan is designed to provide financial reward contingent on achievement of annual corporate and business unit financial results, as well as personal objectives tied to our strategic goals.</w:t>
      </w:r>
    </w:p>
    <w:p>
      <w:pPr>
        <w:pStyle w:val="TextBody"/>
        <w:bidi w:val="0"/>
        <w:spacing w:lineRule="auto" w:line="288" w:before="180" w:after="283"/>
        <w:jc w:val="left"/>
        <w:rPr/>
      </w:pPr>
      <w:r>
        <w:rPr>
          <w:rFonts w:ascii="Arial Narrow;sans-serif" w:hAnsi="Arial Narrow;sans-serif"/>
          <w:b w:val="false"/>
          <w:color w:val="000000"/>
          <w:sz w:val="20"/>
        </w:rPr>
        <w:t xml:space="preserve">The following is a summary of the terms of the fiscal 2023 STI plan, which the Committee approved in </w:t>
      </w:r>
      <w:r>
        <w:rPr>
          <w:rFonts w:ascii="Arial Narrow;sans-serif" w:hAnsi="Arial Narrow;sans-serif"/>
          <w:b w:val="false"/>
          <w:color w:val="000000"/>
          <w:sz w:val="20"/>
          <w:shd w:fill="FFFFFF" w:val="clear"/>
        </w:rPr>
        <w:t>September 2022 after deliberations regarding the appropriate performance measures: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fiscal 2023 STI plan provides cash bonus opportunities based on achievement of specified performance goals. The bonus opportunity for each participant was determined based on a designated target amount, a business performance modifier based on the achievement of specified EBITDA-based performance goals for the Company as a whole (consolidated) and each business unit, and an assessment of individual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Participants were assigned to one of two “STI Incentive Pools” — Consolidated Executive Officer and Consolidated — and the total target amount for each pool equaled the aggregate designated target amount for the participants in that pool. The Consolidated Pool also includes three sub-pools based on individual business unit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plan was subject to a “Company Performance Gate,” such that no pool would be funded if the Company did not achieve the minimum level of Adjusted EBITDA required for a corporate-level payout.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If the Company Performance Gate was achieved, then each pool was funded in a range from 0% to 150% of the total target amount assigned to that pool, based on the level of achievement of the applicable performance goal for that pool.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performance goal for both the Consolidated Executive Officer pool and the Consolidated pool was based on the consolidated Adjusted EBITDA shown in the Board-approved budget for fiscal 2023 (excluding any impact of our investment in Cash Converters)</w:t>
      </w:r>
      <w:r>
        <w:rPr>
          <w:rFonts w:ascii="Arial Narrow;sans-serif" w:hAnsi="Arial Narrow;sans-serif"/>
          <w:b w:val="false"/>
          <w:color w:val="000000"/>
          <w:sz w:val="20"/>
          <w:shd w:fill="FFFFFF" w:val="clear"/>
        </w:rPr>
        <w:t>. The threshold level for each pool (i.e, the performance needed to achieve 50% funding) was set at 85% of the designated performance goal for that pool, and the maximum level (i.e., the performance needed to achieve 150% funding) was set at 115% of the designated performance goal. The Company Performance Gate was set at 85% of the consolidated performance goal.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Committee retained discretionary authority to make adjustments to the reported EBITDA as it, in its sole discretion, determined to be necessary, appropriate or desirable to take into consideration special events or other circumstances reasonably beyond management’s control (referred to as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participant’s bonus amount was funded out of their assigned pool based on an evaluation of their individual performance against objectives specified at the beginning of the year. For all participants other than the executive officers, the final bonus amounts were determined by management. For the executive officers (other than the CEO), the final bonus amounts were recommended by the CEO and approved by the Committee. The final bonus amount for the CEO was determined by the Committee.</w:t>
      </w:r>
    </w:p>
    <w:p>
      <w:pPr>
        <w:pStyle w:val="TextBody"/>
        <w:bidi w:val="0"/>
        <w:spacing w:lineRule="auto" w:line="288" w:before="180" w:after="120"/>
        <w:jc w:val="left"/>
        <w:rPr/>
      </w:pPr>
      <w:r>
        <w:rPr>
          <w:rFonts w:ascii="Arial Narrow;sans-serif" w:hAnsi="Arial Narrow;sans-serif"/>
          <w:b w:val="false"/>
          <w:color w:val="000000"/>
          <w:sz w:val="20"/>
          <w:shd w:fill="FFFFFF" w:val="clear"/>
        </w:rPr>
        <w:t>The following table sets forth the fiscal 2023 STI</w:t>
      </w:r>
      <w:r>
        <w:rPr>
          <w:color w:val="000000"/>
        </w:rPr>
        <w:t xml:space="preserve"> </w:t>
      </w:r>
      <w:r>
        <w:rPr>
          <w:rFonts w:ascii="Arial Narrow;sans-serif" w:hAnsi="Arial Narrow;sans-serif"/>
          <w:b w:val="false"/>
          <w:color w:val="000000"/>
          <w:sz w:val="20"/>
        </w:rPr>
        <w:t>target amount for each of the Named Executive Officers:</w:t>
      </w:r>
    </w:p>
    <w:tbl>
      <w:tblPr>
        <w:tblW w:w="7493"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70"/>
        <w:gridCol w:w="1644"/>
        <w:gridCol w:w="205"/>
        <w:gridCol w:w="109"/>
        <w:gridCol w:w="109"/>
        <w:gridCol w:w="109"/>
        <w:gridCol w:w="757"/>
        <w:gridCol w:w="757"/>
        <w:gridCol w:w="1081"/>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2023 STI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 Amount as % of Base Salary</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60%</w:t>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 in his role as Executive Chairman, is not a participant in the STI plan, but is subject to a separate incentive opportunity specified in the terms of his employment. Pursuant to those terms, he had the opportunity to earn an incentive award of up to $1,500,000 (100% of his base salary). See “Executive Chairman Incentive Award”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amount of each Named Executive Officer’s STI bonus opportunity at the Threshold, Target and Maximum levels is set forth in the “Grants of Plan-Based Awards” table under “Incentive Plan Based Awards” below.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All of the Named Executive Officers were assigned to the Consolidated Executive Officer pool. During fiscal 2023, the Company achieved 111% of the specified consolidated performance goal.</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addition to the noted financial performance, management was successful in completing specific initiatives that were designed to drive progress across the key strategic focus areas for fiscal 2023, which included:</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Strengthening our core pawn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Driving cost efficiency;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our Team Member experience;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and expanding our customer engagement through innovation and growth;</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Modernizing our IT and data management systems;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Enhancing and maintaining our culture of risk management and compliance,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Developing the foundations of a comprehensive and integrated sustainability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strategic focus areas provided the foundation for delivering strong financial performance through increased earnings and efficient balance sheet management.</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Following a consideration of all of these factors, the Committee approved a funding level of 123% for the Consolidated Executive Officer pool, which included all of the Named Executive Officers. The specific bonus amount approved for each Named Executive Officers is indicated in the “Non-Equity Incentive Plan Compensation” column in the Summary Compensation Table below. Those amounts were calculated as follows:</w:t>
      </w:r>
    </w:p>
    <w:tbl>
      <w:tblPr>
        <w:tblW w:w="7470"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197"/>
        <w:gridCol w:w="878"/>
        <w:gridCol w:w="109"/>
        <w:gridCol w:w="109"/>
        <w:gridCol w:w="109"/>
        <w:gridCol w:w="109"/>
        <w:gridCol w:w="196"/>
        <w:gridCol w:w="871"/>
        <w:gridCol w:w="109"/>
        <w:gridCol w:w="109"/>
        <w:gridCol w:w="109"/>
        <w:gridCol w:w="109"/>
        <w:gridCol w:w="649"/>
        <w:gridCol w:w="649"/>
        <w:gridCol w:w="652"/>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Target Amount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STI Payout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 of Target Awarded</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8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9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1,383,750 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123%</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123%</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676,500 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123%</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123%</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Cohen’s bonus payout was calculated as described below under “Executive Chairman Incentive Award.”</w:t>
      </w:r>
    </w:p>
    <w:p>
      <w:pPr>
        <w:pStyle w:val="TextBody"/>
        <w:bidi w:val="0"/>
        <w:spacing w:lineRule="auto" w:line="288" w:before="180" w:after="283"/>
        <w:jc w:val="left"/>
        <w:rPr/>
      </w:pPr>
      <w:r>
        <w:rPr>
          <w:rFonts w:ascii="Arial Narrow;sans-serif" w:hAnsi="Arial Narrow;sans-serif"/>
          <w:b w:val="false"/>
          <w:color w:val="000000"/>
          <w:sz w:val="20"/>
        </w:rPr>
        <w:t>In October 2023, the Committee approved the STI plan for fiscal 2024.</w:t>
      </w:r>
      <w:r>
        <w:rPr>
          <w:color w:val="000000"/>
          <w:shd w:fill="FFFFFF" w:val="clear"/>
        </w:rPr>
        <w:t xml:space="preserve"> </w:t>
      </w:r>
      <w:r>
        <w:rPr>
          <w:rFonts w:ascii="Arial Narrow;sans-serif" w:hAnsi="Arial Narrow;sans-serif"/>
          <w:b w:val="false"/>
          <w:color w:val="000000"/>
          <w:sz w:val="20"/>
          <w:shd w:fill="FFFFFF" w:val="clear"/>
        </w:rPr>
        <w:t xml:space="preserve">The fiscal 2024 STI plan contains the same basic design elements as the fiscal 2023 plan. For fiscal 2024, the Target Amounts for each of the Named Executive Officers will be as follows: Mr. Given, $1,125,000; Mr. Jugmans, $475,000; Mr. Powell, $600,000; and Ms. VanRoekel, $246,000.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Long-Term Incentives</w:t>
      </w:r>
    </w:p>
    <w:p>
      <w:pPr>
        <w:pStyle w:val="TextBody"/>
        <w:bidi w:val="0"/>
        <w:spacing w:lineRule="auto" w:line="288" w:before="180" w:after="283"/>
        <w:jc w:val="left"/>
        <w:rPr/>
      </w:pPr>
      <w:r>
        <w:rPr>
          <w:rFonts w:ascii="Arial Narrow;sans-serif" w:hAnsi="Arial Narrow;sans-serif"/>
          <w:b w:val="false"/>
          <w:i/>
          <w:color w:val="000000"/>
          <w:sz w:val="20"/>
        </w:rPr>
        <w:t>General</w:t>
      </w:r>
      <w:r>
        <w:rPr>
          <w:color w:val="000000"/>
        </w:rPr>
        <w:t xml:space="preserve"> — </w:t>
      </w:r>
      <w:r>
        <w:rPr>
          <w:rFonts w:ascii="Arial Narrow;sans-serif" w:hAnsi="Arial Narrow;sans-serif"/>
          <w:b w:val="false"/>
          <w:color w:val="000000"/>
          <w:sz w:val="20"/>
        </w:rPr>
        <w:t>Long-term incentive (“LTI”) compensation, in the form of equity awards, is a key component in our executive compensation program, helping to encourage long-term commitment, shareholder alignment and long-term performance orientation. The value of equity awards over time bears a direct relationship to the price of our stock and the gain or loss experienced by our stockholders.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our executive officers are eligible to receive LTI awards. We structure our LTI compensation program to place greater emphasis on long-term performance that enhances stockholder value. Many of our peers have a significant time-based vesting component to their long-term awards, while 80% of our LTI awards are subject to performance-based vesting. To further emphasize the long-term nature of these awards, 100% of the LTI awards vest at the end of a three-year performance period, rather than a prorated vesting each year during the performance period. The Committee believes this structure incentivizes and rewards longer-term vision and strategies, and provides a balance to our short-term programs, which are focused on annual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currently issuing LTI awards under the 2022 Long-Term Incentive Plan (the “2022 LTI Plan”). Under the terms of the 2022 LTI Plan, all awards must be approved by the full Board of Directors, following recommendation by the Committee.</w:t>
      </w:r>
    </w:p>
    <w:p>
      <w:pPr>
        <w:pStyle w:val="TextBody"/>
        <w:bidi w:val="0"/>
        <w:spacing w:lineRule="auto" w:line="288" w:before="180" w:after="283"/>
        <w:jc w:val="left"/>
        <w:rPr/>
      </w:pPr>
      <w:r>
        <w:rPr>
          <w:rFonts w:ascii="Arial Narrow;sans-serif" w:hAnsi="Arial Narrow;sans-serif"/>
          <w:b w:val="false"/>
          <w:i/>
          <w:color w:val="000000"/>
          <w:sz w:val="20"/>
        </w:rPr>
        <w:t>Grant frequency</w:t>
      </w:r>
      <w:r>
        <w:rPr>
          <w:color w:val="000000"/>
        </w:rPr>
        <w:t xml:space="preserve"> — </w:t>
      </w:r>
      <w:r>
        <w:rPr>
          <w:rFonts w:ascii="Arial Narrow;sans-serif" w:hAnsi="Arial Narrow;sans-serif"/>
          <w:b w:val="false"/>
          <w:color w:val="000000"/>
          <w:sz w:val="20"/>
        </w:rPr>
        <w:t>Although LTI awards may be made at any time as determined by the Committee and approved by the Board, the Committee generally considers new LTI grants for executive officers and other key employees on an annual basis. Given that these annual LTI awards are intended to incentivize performance over the full designated performance period, the Committee considers it appropriate to use the stock price at the beginning of the performance period in determining the number of shares or units to be granted. In the Committee’s view, this methodology, consistently applied, neutralizes the stock price as a factor impacting the timing of awards.</w:t>
      </w:r>
    </w:p>
    <w:p>
      <w:pPr>
        <w:pStyle w:val="TextBody"/>
        <w:bidi w:val="0"/>
        <w:spacing w:lineRule="auto" w:line="288" w:before="180" w:after="283"/>
        <w:jc w:val="left"/>
        <w:rPr/>
      </w:pPr>
      <w:r>
        <w:rPr>
          <w:rFonts w:ascii="Arial Narrow;sans-serif" w:hAnsi="Arial Narrow;sans-serif"/>
          <w:b w:val="false"/>
          <w:i/>
          <w:color w:val="000000"/>
          <w:sz w:val="20"/>
        </w:rPr>
        <w:t>Fiscal 2023 Actions</w:t>
      </w:r>
      <w:r>
        <w:rPr>
          <w:color w:val="000000"/>
        </w:rPr>
        <w:t xml:space="preserve"> — </w:t>
      </w:r>
      <w:r>
        <w:rPr>
          <w:rFonts w:ascii="Arial Narrow;sans-serif" w:hAnsi="Arial Narrow;sans-serif"/>
          <w:b w:val="false"/>
          <w:color w:val="000000"/>
          <w:sz w:val="20"/>
        </w:rPr>
        <w:t>For fiscal 2023, the Committee took the following actions regarding LTI awards: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Grant of fiscal 2023 LTI awards</w:t>
      </w:r>
      <w:r>
        <w:rPr>
          <w:color w:val="000000"/>
          <w:shd w:fill="FFFFFF" w:val="clear"/>
        </w:rPr>
        <w:t xml:space="preserve"> — </w:t>
      </w:r>
      <w:r>
        <w:rPr>
          <w:rFonts w:ascii="Arial Narrow;sans-serif" w:hAnsi="Arial Narrow;sans-serif"/>
          <w:b w:val="false"/>
          <w:color w:val="000000"/>
          <w:sz w:val="20"/>
          <w:shd w:fill="FFFFFF" w:val="clear"/>
        </w:rPr>
        <w:t>In September 2022, the Committee approved the design and structure of the fiscal 2023 LTI awards and authorized the issuance of awards to the executive officers and other key employees. Those awards were granted in October 2022 following approval by the Board. The number of units awarded to each participant was determined by dividing the participant’s designated LTI target amount by $7.71, the closing trading price of our Class A Non-Voting Common Stock on September 30, 2022. The following table shows the fiscal 2023 LTI awards for the Named Executive Officers (other than Mr. Cohen, who is subject to a separate incentive program and is not eligible for LTI awards):</w:t>
      </w:r>
    </w:p>
    <w:tbl>
      <w:tblPr>
        <w:tblW w:w="5962"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367"/>
        <w:gridCol w:w="1633"/>
        <w:gridCol w:w="204"/>
        <w:gridCol w:w="109"/>
        <w:gridCol w:w="109"/>
        <w:gridCol w:w="109"/>
        <w:gridCol w:w="376"/>
        <w:gridCol w:w="376"/>
        <w:gridCol w:w="537"/>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2023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259,403</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64,850</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107,003</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42,542</w:t>
            </w:r>
          </w:p>
        </w:tc>
      </w:tr>
    </w:tbl>
    <w:p>
      <w:pPr>
        <w:pStyle w:val="TextBody"/>
        <w:bidi w:val="0"/>
        <w:spacing w:lineRule="auto" w:line="256"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awards took the form of restricted stock units with the following terms: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Performance will be measured over a three-year performance period (fiscal 2023, fiscal 2024 and fiscal 2025).</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Vesting for 80% of the units awarded is subject to performance measured against specified net income targets — 20% of the units are allocated to each of the three years in the performance period (with each year measured separately based on an annual Adjusted Net Income performance goal), and 20% of the units are subject to a cumulative performance goal based on Adjusted Net Income growth over the three-year performance period.</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Committee continues to consider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our stock price, closely aligning management’s interests with those of our shareholders; it is one of the three primary financial goals in the Company’s “Strategic Goals and Measures” framework; and it is less susceptible to manipulation, as EPS often is with debt-financed share buybacks that potentially put financial position at risk.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remaining 20% of the units are subject to time-based vesting, contingent only on continuous active employment through the end of the performance period.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of performance-based units (whether annual or cumulative) that will be available to vest at the end of the performance period will range from 50% (assuming minimum threshold performance is achieved) and 150%, depending on the level of performance target achievement. There is no “bonus” unit opportunity for the time-based units, and they will vest at 100% only if the continuous active employment condition is met; otherwise, they will be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believes that this LTI award structure (which was new for fiscal 2023) introduces two important features into the Company’s LTI awards. Since fiscal 2020, LTI performance has been measured on an annual basis, relying largely on the three-year cliff vest feature to add the necessary long-term focus. The Committee considered this structure to be appropriate during the height of the COVID pandemic when long-term forecasting was difficult if not impossible. With the post-COVID recovery now largely complete going into fiscal 2023, the Committee considered it appropriate to add in a multi-year performance measure, while at the same time retaining some portion of the separate annual performance feature. The Committee believes this structure aligns with the Company’s business strategy by maintaining executive focus on each year’s results but also driving long-term, multi-year performance. Additionally, the Committee determined, with the advice of its independent consultant, that the inclusion of a relatively small time-based element better aligns the Company’s equity awards with market comparables.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 of fiscal 2021 awards —</w:t>
      </w:r>
      <w:r>
        <w:rPr>
          <w:color w:val="000000"/>
        </w:rPr>
        <w:t xml:space="preserve"> </w:t>
      </w:r>
      <w:r>
        <w:rPr>
          <w:rFonts w:ascii="Arial Narrow;sans-serif" w:hAnsi="Arial Narrow;sans-serif"/>
          <w:b w:val="false"/>
          <w:color w:val="000000"/>
          <w:sz w:val="20"/>
        </w:rPr>
        <w:t>As described in our Annual Report on Form 10-K for the year ended September 30, 2021 (the “2021 Annual Report”), the fiscal 2021 LTI awards were approved in February 2021. The basic design of the fiscal 2021 awards is similar to the fiscal 2023 awards discussed above, except that 100% of the units awarded are subject to performance-based vesting (divided equally among the three years in the performance period, fiscal 2021, fiscal 2022 and fiscal 2023). As reported in our Annual Report on Form 10-K for the year ended September 30, 2022 (the “2022 Annual Report”), the Committee previously determined that 150% of the units allocated to each of fiscal 2021 and fiscal 2022 were available for vesting for those participants whose employment continued through fiscal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the Company’s Adjusted Net Income performance ($69.8 million) exceeded the specified performance goal at the target level, and in November 2023, the Committee determined that 135% of the units allocated to fiscal 2023 (along with the units allocated to fiscal 2021 and fiscal 2022 as described above) were vested for those participants whose employment continued through the end of fiscal 2023. The resulting vesting for the Named Executive Officers was as follows: Mr. Given, 172,962 units; Mr. Jugmans, 85,327 units; Mr. Powell, 86,482 units; and Ms. VanRoekel, 80,716 units.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Second-year performance of fiscal 2022 awards</w:t>
      </w:r>
      <w:r>
        <w:rPr>
          <w:color w:val="000000"/>
        </w:rPr>
        <w:t xml:space="preserve"> — </w:t>
      </w:r>
      <w:r>
        <w:rPr>
          <w:rFonts w:ascii="Arial Narrow;sans-serif" w:hAnsi="Arial Narrow;sans-serif"/>
          <w:b w:val="false"/>
          <w:color w:val="000000"/>
          <w:sz w:val="20"/>
        </w:rPr>
        <w:t>As described in our 2022 Annual Report, the fiscal 2022 LTI awards were approved in October 2021. The basic design of the fiscal 2022 awards is substantially similar to the fiscal 2021 awards discussed above, except that the three-year performance period consists of fiscal 2022, fiscal 2023 and fiscal 2024. As reported in the 2022 Annual Report, the Committee determined in November 2022 that 150% of the units allocated to fiscal 2022 were available for vesting for those participants whose employment continues through fiscal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the Company’s Adjusted Net Income performance ($69.8 million) exceeded the specified performance goal at the target level, and in November 2023, the Committee determined that 147% of the units allocated to fiscal 2023 were now available for vesting for those participants whose employment continued through the end of fiscal 2024. For the Named Executive Officers, this includes 80,654 units for Mr. Given (including 25,787 “bonus” units); 28,580 units for Mr. Jugmans (including 9,138 “bonus” units); 46,552 units for Mr. Powell (including 14,884 “bonus” units); and 20,354 units for Ms. VanRoekel (including 6,508 “bonus” units).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First-year performance of fiscal 2023 awards — </w:t>
      </w:r>
      <w:r>
        <w:rPr>
          <w:rFonts w:ascii="Arial Narrow;sans-serif" w:hAnsi="Arial Narrow;sans-serif"/>
          <w:b w:val="false"/>
          <w:color w:val="000000"/>
          <w:sz w:val="20"/>
        </w:rPr>
        <w:t>During fiscal 2023, the Company’s Adjusted Net Income performance ($69.8 million) exceeded the specified performance goal at the target level, and in November 2023, the Committee determined that 147% of the units allocated to fiscal 2023 are now available for vesting for those participants whose employment continued through the end of fiscal 2025. For the Named Executive Officers, this includes 76,265 units for Mr. Given (including 24,384 “bonus” units); 19,066 units for Mr. Jugmans (including 6,096 “bonus” units); 31,459 units for Mr. Powell (including 10,058 “bonus” units); and 12,508 units for Ms. VanRoekel (including 3,999 “bonus” units).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rPr>
        <w:t xml:space="preserve">Grant of fiscal 2024 Awards — </w:t>
      </w:r>
      <w:r>
        <w:rPr>
          <w:rFonts w:ascii="Arial Narrow;sans-serif" w:hAnsi="Arial Narrow;sans-serif"/>
          <w:b w:val="false"/>
          <w:color w:val="000000"/>
          <w:sz w:val="20"/>
        </w:rPr>
        <w:t xml:space="preserve">In October 2023, the Committee approved the plan design for the fiscal 2024 LTI awards. The approved design is substantially identical to the fiscal 2023 awards described above, except that the three-year performance period covers fiscal 2024, fiscal 2025 and fiscal 2026. The fiscal 2024 LTI awards were granted in November 2023 following approval by the Board. The number of units awarded to each participant was determined by dividing the participant’s designated LTI target amount by $8.25, the closing trading price of our Class A Non-Voting Common Stock on September 29, 2023. </w:t>
      </w:r>
      <w:r>
        <w:rPr>
          <w:rFonts w:ascii="Arial Narrow;sans-serif" w:hAnsi="Arial Narrow;sans-serif"/>
          <w:b w:val="false"/>
          <w:color w:val="000000"/>
          <w:sz w:val="20"/>
          <w:shd w:fill="FFFFFF" w:val="clear"/>
        </w:rPr>
        <w:t>The following table shows the fiscal 2024 LTI awards for the Named Executive Officers (other than Mr. Cohen, who is subject to a separate incentive program and is not eligible for LTI awards):</w:t>
      </w:r>
    </w:p>
    <w:tbl>
      <w:tblPr>
        <w:tblW w:w="6172"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67"/>
        <w:gridCol w:w="1633"/>
        <w:gridCol w:w="204"/>
        <w:gridCol w:w="109"/>
        <w:gridCol w:w="109"/>
        <w:gridCol w:w="109"/>
        <w:gridCol w:w="376"/>
        <w:gridCol w:w="376"/>
        <w:gridCol w:w="537"/>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2024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315,151</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84,848</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145,454</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rFonts w:ascii="Arial Narrow;sans-serif" w:hAnsi="Arial Narrow;sans-serif"/>
          <w:b w:val="false"/>
          <w:color w:val="000000"/>
          <w:sz w:val="16"/>
        </w:rPr>
        <w:t>(1)    </w:t>
      </w:r>
      <w:r>
        <w:rPr>
          <w:rFonts w:ascii="Arial Narrow;sans-serif" w:hAnsi="Arial Narrow;sans-serif"/>
          <w:b w:val="false"/>
          <w:color w:val="000000"/>
          <w:sz w:val="16"/>
          <w:shd w:fill="FFFFFF" w:val="clear"/>
        </w:rPr>
        <w:t xml:space="preserve">In October 2023, the Committee approved increases in the LTI target amounts for Mr. Given (from $2,000,000 to $2,600,000), Mr. Jugmans (from $500,000 to $700,000), Mr. Powell (from $825,000 to $1,200,000) and Ms. VanRoekel (from $328,000 to $350,000). These changes better align the executives’ long-term incentive compensation and total direct compensation with peer group executives in comparable positions (at the 25th percentile and 43rd percentile, respectively, for Mr. Given; below the 25th percentile and at the 41st percentile, respectively, for Mr. Jugmans; at the 50th percentile and 58th percentile, respectively, for Mr. Powell; and at the 34th percentile and 68th percentile, respectively, for Ms. VanRoekel), </w:t>
      </w:r>
      <w:r>
        <w:rPr>
          <w:rFonts w:ascii="Arial Narrow;sans-serif" w:hAnsi="Arial Narrow;sans-serif"/>
          <w:b w:val="false"/>
          <w:color w:val="000000"/>
          <w:sz w:val="16"/>
        </w:rPr>
        <w:t>and is consistent with the Company’s pay-for-performance philosophy and emphasis on long-term compensation.</w:t>
      </w:r>
    </w:p>
    <w:p>
      <w:pPr>
        <w:pStyle w:val="TextBody"/>
        <w:bidi w:val="0"/>
        <w:spacing w:lineRule="auto" w:line="288" w:before="180" w:after="283"/>
        <w:ind w:left="0" w:right="0" w:hanging="360"/>
        <w:jc w:val="left"/>
        <w:rPr>
          <w:rFonts w:ascii="Arial Narrow;sans-serif" w:hAnsi="Arial Narrow;sans-serif"/>
          <w:b w:val="false"/>
          <w:i/>
          <w:color w:val="000000"/>
          <w:sz w:val="20"/>
        </w:rPr>
      </w:pPr>
      <w:r>
        <w:rPr>
          <w:rFonts w:ascii="Arial Narrow;sans-serif" w:hAnsi="Arial Narrow;sans-serif"/>
          <w:b w:val="false"/>
          <w:i/>
          <w:color w:val="000000"/>
          <w:sz w:val="20"/>
        </w:rPr>
        <w:t>Executive Chairman Incentive Award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Executive Chairman, Mr. Cohen has an incentive compensation opportunity of $1,500,000 per year (100% of base salary), awarded in the form of cash-settled phantom stock units (“Units”) tied to the trading price of the Company’s Class A Common Stock, as follows: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Award</w:t>
      </w:r>
      <w:r>
        <w:rPr>
          <w:color w:val="000000"/>
        </w:rPr>
        <w:t xml:space="preserve"> — </w:t>
      </w:r>
      <w:r>
        <w:rPr>
          <w:rFonts w:ascii="Arial Narrow;sans-serif" w:hAnsi="Arial Narrow;sans-serif"/>
          <w:b w:val="false"/>
          <w:color w:val="000000"/>
          <w:sz w:val="20"/>
        </w:rPr>
        <w:t>At the beginning of a fiscal year (the “Performance Year”), the number of Units awarded is determined by dividing $1,500,000 by the stock price at the close of the immediately preceding fiscal year.</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w:t>
      </w:r>
      <w:r>
        <w:rPr>
          <w:color w:val="000000"/>
        </w:rPr>
        <w:t xml:space="preserve"> — </w:t>
      </w:r>
      <w:r>
        <w:rPr>
          <w:rFonts w:ascii="Arial Narrow;sans-serif" w:hAnsi="Arial Narrow;sans-serif"/>
          <w:b w:val="false"/>
          <w:color w:val="000000"/>
          <w:sz w:val="20"/>
        </w:rPr>
        <w:t>The awarded Units vest at the end of the Performance Year so long as the “Company Performance Gate” under the Company’s STI 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achievement of individual performance objectives. Conversely, if the Company Performance Gate is not achieved, the Committee in its discretion may choose to vest some or all of the Units based an evaluation of Mr. Cohen’s achievement of individual performance objectives.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Payout</w:t>
      </w:r>
      <w:r>
        <w:rPr>
          <w:color w:val="000000"/>
        </w:rPr>
        <w:t xml:space="preserve"> — </w:t>
      </w:r>
      <w:r>
        <w:rPr>
          <w:rFonts w:ascii="Arial Narrow;sans-serif" w:hAnsi="Arial Narrow;sans-serif"/>
          <w:b w:val="false"/>
          <w:color w:val="000000"/>
          <w:sz w:val="20"/>
        </w:rPr>
        <w:t>The vested Units will be paid out in two installments. The first installment will be paid as soon as practicable after the end of the 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the beginning of fiscal 2023, Mr. Cohen received 194,552 Units (the “FY23 Units”), which was calculated by dividing the bonus opportunity ($1,500,000) by $7.71, the closing trading price of our Class A Non-Voting Common Stock on September 30, 2022. In September 2023, the Committee reviewed and evaluated Mr. Cohen’s individual performance during fiscal 2023, noting Mr. Cohen’s valuable contributions in key strategic areas,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leadership and mentorship to the CEO, COO and CFO;</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advice on development and execution of strategic plan;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Providing direction, high-level involvement and support on key growth initiatives, including acquisitions, strategic investments and partnerships and denovo developments;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operational guidance to improve store-level performance and Team Member engagement;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thought leadership and guidance on financing and capital allocation strategies.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noted above, the Committee has determined that the Company Performance Gate under the fiscal 2023 STI plan has been achieved. See “Annual Short-Term Incentive” above. Consequently, and taking into consideration the Committee’s evaluation of Mr. Cohen’s individual performance, the Committee approved the vesting of 100% of the FY23 Units. Under the terms of Mr. Cohen’s incentive opportunity, 50% of those Units (or 97,276 Units) will be paid out on a per-Unit value of $8.25 (the closing trading price of our Class A Common Stock on September 29, 2023), translating to a cash payout of $802,527. The remaining 50% of the FY22 Units (92,976 Units) will be paid at the end of fiscal 2024 based on the closing trading price of our Class A Non-Voting Common Stock at that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October 2023, the Committee approved an increase in Mr. Cohen’s incentive compensation opportunity to $1,750,000, and for fiscal 2024, Mr. Cohen received 212,121 Units (the “FY24 Units”), which was calculated by dividing the bonus opportunity ($1,750,000) by $8.25, the closing trading price of our Class A Non-Voting Common Stock on September 29, 2023. The FY24 Units will be subject to the vesting and payout terms described above.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Supplemental Executive Retirement Plan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provide selected executives with a non-qualified Supplemental Executive Retirement Plan (“SERP”) to offer a competitive benefit and to assist in offsetting potential impacts of contribution limitations applicable to our 401(k) retirement savings plan. For fiscal 2023, the Committee approved SERP contributions for each of the executive officers equal to 10% of base salary. This resulted in the following SERP contributions for each of the Named Executive Officers (other than Mr. Cohen who is not eligible for SERP contributions):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tbl>
      <w:tblPr>
        <w:tblW w:w="4437"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449"/>
        <w:gridCol w:w="1487"/>
        <w:gridCol w:w="359"/>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2023 SERP Contribution</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Lachlan P. Given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Timothy K. Jugmans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John Blair Powell, Jr.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In October 2023, the Committee approved fiscal 2024 SERP contributions equal to </w:t>
      </w:r>
      <w:r>
        <w:rPr>
          <w:rFonts w:ascii="Arial Narrow;sans-serif" w:hAnsi="Arial Narrow;sans-serif"/>
          <w:b w:val="false"/>
          <w:color w:val="000000"/>
          <w:sz w:val="20"/>
        </w:rPr>
        <w:t>10% of base salary for each of the executive officers (other than Mr. Cohen). For the Named Executive Officers, those contributions were $75,000 for Mr. Given, $47,500 for Mr. Jugmans, $60,000 for Mr. Powell and $41,000 for Ms. VanRoekel.</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Other Benefits and Perquisites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executive officers participate in other benefit plans on the same terms as other Team Members. These plans include medical, dental, life insurance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Compensation Governance and Process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Composition of the People and Compensation Committee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People and Compensation Committee is comprised of four members — Mr. Lagos (Chair), Mr. Appel, Ms. Arnold and Mr. Tillett — each of whom is an independent director. See “Part III, Item 10 — Directors, Executive Officers and Corporate Governance — Board of Directors.”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Committee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Annually, the Committee sets the compensation for our executive officers, including objectives and awards under incentive plans (subject to approval of LTI awards by the Board of Directors). The Committee also reviews all other proposed LTI awards and makes recommendations to the Board of Directors on proposed LTI awards and the appropriate compensation for the non-employee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also oversees the Company’s human capital management (HCM) strategy, policies and activities, including succession planning and corresponding individual development in order to maintain the talent necessary to fulfill our operational and strategic objectives; diversity and inclusion initiatives; Team Member engagement; and assessing the overall effectiveness of our HCM programs.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receives data regarding compensation trends, succession plans, issues and recommendations from management. Members of management, including the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Independent Compensation Consultant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its charter, the Committee has sole authority to retain, terminate, obtain advice from, oversee and compensate its outside advisors, including its compensation consultant. We have provided appropriate funding to the Committee to do so.</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Since March 2020, the Committee has retained Mercer as its independent compensation consultant.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 Committee annually evaluates the independence of its independent compensation consultant </w:t>
      </w:r>
      <w:r>
        <w:rPr>
          <w:rFonts w:ascii="Arial Narrow;sans-serif" w:hAnsi="Arial Narrow;sans-serif"/>
          <w:b w:val="false"/>
          <w:color w:val="000000"/>
          <w:sz w:val="20"/>
        </w:rPr>
        <w:t>in providing executive compensation consulting services, and to date has found no conflict of interest with respect to Mercer.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2023, Mercer,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Compensation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continually monitors our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provides a balance of short-term and long-term incentives that reward achievement of profitable, consistent and sustainable results. These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Annual incentive compensation tied to achievement of profitable Company or business unit performance (as measured by consolidated and/or business unit EBITDA);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Meaningful long-term equity incentive opportunities that are substantially performance-based and provide an incentive to deliver long-term growth in stockholder value as a result of sustained earnings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the following policies to mitigate compensation risk: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Compensation Recovery Policy</w:t>
      </w:r>
      <w:r>
        <w:rPr>
          <w:color w:val="000000"/>
        </w:rPr>
        <w:t xml:space="preserve"> — </w:t>
      </w:r>
      <w:r>
        <w:rPr>
          <w:rFonts w:ascii="Arial Narrow;sans-serif" w:hAnsi="Arial Narrow;sans-serif"/>
          <w:b w:val="false"/>
          <w:color w:val="000000"/>
          <w:sz w:val="20"/>
        </w:rPr>
        <w:t>The Board of Directors has adopted a Compensation Recovery Policy that complies with the requirements of the Nasdaq Listing Rules. Under the policy, the Company generally is required to take reasonably prompt action to recover “Erroneously Awarded Compensation” from the persons subject to the policy (including the executive officers) if the Company is required to prepare an accounting restatement due to the Company’s material noncompliance with financial reporting requirements. “Erroneously Awarded Compensation” is the amount of incentive compensation received by a covered person in excess of the amount that would have been received had it been determined based on the restated amounts. A copy of the Compensation Recovery Policy, which became effective on August 1, 2023, is filed as Exhibit 97 to this Report.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Anti-Hedging Policy — </w:t>
      </w:r>
      <w:r>
        <w:rPr>
          <w:rFonts w:ascii="Arial Narrow;sans-serif" w:hAnsi="Arial Narrow;sans-serif"/>
          <w:b w:val="false"/>
          <w:color w:val="000000"/>
          <w:sz w:val="20"/>
        </w:rPr>
        <w:t>We maintain a policy prohibiting the trading of “derivative securities” related to, or engaging in “short sales” of, our stock 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Executive Share Retention Policy — </w:t>
      </w:r>
      <w:r>
        <w:rPr>
          <w:rFonts w:ascii="Arial Narrow;sans-serif" w:hAnsi="Arial Narrow;sans-serif"/>
          <w:b w:val="false"/>
          <w:color w:val="000000"/>
          <w:sz w:val="20"/>
          <w:shd w:fill="FFFFFF" w:val="clear"/>
        </w:rPr>
        <w:t>The Board of Directors has adopted stock ownership requirements applicable to the members 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All directors and executive officers are currently in compliance with the stock ownership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Executive Compensation Matters</w:t>
      </w:r>
    </w:p>
    <w:p>
      <w:pPr>
        <w:pStyle w:val="TextBody"/>
        <w:bidi w:val="0"/>
        <w:spacing w:lineRule="auto" w:line="288" w:before="180" w:after="283"/>
        <w:jc w:val="left"/>
        <w:rPr/>
      </w:pPr>
      <w:r>
        <w:rPr>
          <w:rFonts w:ascii="Arial Narrow;sans-serif" w:hAnsi="Arial Narrow;sans-serif"/>
          <w:b w:val="false"/>
          <w:i/>
          <w:color w:val="000000"/>
          <w:sz w:val="20"/>
        </w:rPr>
        <w:t>Change in Control Severance Plan</w:t>
      </w:r>
      <w:r>
        <w:rPr>
          <w:color w:val="000000"/>
        </w:rPr>
        <w:t xml:space="preserve"> — </w:t>
      </w:r>
      <w:r>
        <w:rPr>
          <w:rFonts w:ascii="Arial Narrow;sans-serif" w:hAnsi="Arial Narrow;sans-serif"/>
          <w:b w:val="false"/>
          <w:color w:val="000000"/>
          <w:sz w:val="20"/>
        </w:rPr>
        <w:t xml:space="preserve">The executive officers (other than Mr. Cohen) are participants in the EZCORP, Inc. Change in Control Severance Plan (the “CIC Severance Plan”), which was approved and adopted by the Board of Directors in November 2022. A participant in the CIC Severance Plan is entitled to receive certain severance benefits if both of the following events occur (a “double trigger”): The Company experiences a change in control </w:t>
      </w:r>
      <w:r>
        <w:rPr>
          <w:rFonts w:ascii="Arial Narrow;sans-serif" w:hAnsi="Arial Narrow;sans-serif"/>
          <w:b w:val="false"/>
          <w:i/>
          <w:color w:val="000000"/>
          <w:sz w:val="20"/>
          <w:u w:val="single"/>
        </w:rPr>
        <w:t>and</w:t>
      </w:r>
      <w:r>
        <w:rPr>
          <w:color w:val="000000"/>
        </w:rPr>
        <w:t xml:space="preserve"> </w:t>
      </w:r>
      <w:r>
        <w:rPr>
          <w:rFonts w:ascii="Arial Narrow;sans-serif" w:hAnsi="Arial Narrow;sans-serif"/>
          <w:b w:val="false"/>
          <w:color w:val="000000"/>
          <w:sz w:val="20"/>
        </w:rPr>
        <w:t>the executive’s employment is terminated within two years thereafter. The severance benefits include a cash payment equal to (1) a multiple of the participant’s annual base salary and target STI bonus plus (2) the participant’s prorated target bonus for the year in which the termination occurs. In addition, the Company will provide continued healthcare benefits for a number of years equal to the applicable multiple. The multiple referred to varies by executive officer, with the CEO, COO and CFO having multiples of 2.0 and the remaining executive officer participants having multiples of 1.5.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also approved amendments to the 2022 Long-Term Incentive Plan and all outstanding LTI awards to provide for the acceleration of vesting (at target levels, in the case of performance-based awards) upon the occurrence of a qualifying termination following a change in control. This acceleration of vesting benefit applies to the CIC Severance Plan participants, as well as all other holders of outstanding LTI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Generally, for purposes of the CIC Severance Plan, a change in control will be deemed to have occurred if a person or group acquires beneficial ownership of 50% or more of the combined voting power of the outstanding Company securities, either directly or through consummation of a business combination; provided, however, that any acquisition or beneficial ownership of voting securities by, or a transfer of voting securities to, Mr. Cohen, any of his heirs or any entity that is owned or controlled by Mr. Cohen or any of his heirs, shall not constitute a change in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foregoing is just a summary description of the principal terms of the CIC Severance Plan and is qualified in its entirety by reference to the full terms and provisions set forth in the plan document, which is filed as an exhibit to this Report.</w:t>
      </w:r>
    </w:p>
    <w:p>
      <w:pPr>
        <w:pStyle w:val="TextBody"/>
        <w:bidi w:val="0"/>
        <w:spacing w:lineRule="auto" w:line="288" w:before="180" w:after="283"/>
        <w:jc w:val="left"/>
        <w:rPr/>
      </w:pPr>
      <w:r>
        <w:rPr>
          <w:rFonts w:ascii="Arial Narrow;sans-serif" w:hAnsi="Arial Narrow;sans-serif"/>
          <w:b w:val="false"/>
          <w:i/>
          <w:color w:val="000000"/>
          <w:sz w:val="20"/>
        </w:rPr>
        <w:t xml:space="preserve">Other severance benefits </w:t>
      </w:r>
      <w:r>
        <w:rPr>
          <w:color w:val="000000"/>
        </w:rPr>
        <w:t xml:space="preserve">— </w:t>
      </w:r>
      <w:r>
        <w:rPr>
          <w:rFonts w:ascii="Arial Narrow;sans-serif" w:hAnsi="Arial Narrow;sans-serif"/>
          <w:b w:val="false"/>
          <w:color w:val="000000"/>
          <w:sz w:val="20"/>
        </w:rPr>
        <w:t xml:space="preserve">We provide the following other severance benefits to our executive officers (other than Mr. Cohen):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Unless severance benefits under the CIC Severance Plan are triggered, each of our executive officers will receive one year’s base salary (as a lump sum or in the form of salary continuation) if their employment is terminated by the Company without cause.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Generally, restricted stock and restricted stock unit awards, including those granted to the executive officers, provide for accelerated vesting of some or all of the unvested shares or units in the event of the holder's death or disability.</w:t>
      </w:r>
    </w:p>
    <w:p>
      <w:pPr>
        <w:pStyle w:val="TextBody"/>
        <w:bidi w:val="0"/>
        <w:spacing w:lineRule="auto" w:line="288" w:before="180" w:after="283"/>
        <w:jc w:val="left"/>
        <w:rPr/>
      </w:pPr>
      <w:r>
        <w:rPr>
          <w:rFonts w:ascii="Arial Narrow;sans-serif" w:hAnsi="Arial Narrow;sans-serif"/>
          <w:b w:val="false"/>
          <w:color w:val="000000"/>
          <w:sz w:val="20"/>
        </w:rPr>
        <w:t xml:space="preserve">More information on severance arrangements can be found under “Other Benefit Plans </w:t>
      </w:r>
      <w:r>
        <w:rPr>
          <w:color w:val="000000"/>
        </w:rPr>
        <w:t xml:space="preserve">— </w:t>
      </w:r>
      <w:r>
        <w:rPr>
          <w:rFonts w:ascii="Arial Narrow;sans-serif" w:hAnsi="Arial Narrow;sans-serif"/>
          <w:b w:val="false"/>
          <w:color w:val="000000"/>
          <w:sz w:val="20"/>
        </w:rPr>
        <w:t>Certain Termination Benefits” below. The Committee believes that these benefits provide important protection to the executive officers, are consistent with practice of the peer companies and are appropriate for attraction and retention of executive talent.</w:t>
      </w:r>
    </w:p>
    <w:p>
      <w:pPr>
        <w:pStyle w:val="TextBody"/>
        <w:bidi w:val="0"/>
        <w:spacing w:lineRule="auto" w:line="288" w:before="180" w:after="283"/>
        <w:jc w:val="left"/>
        <w:rPr/>
      </w:pPr>
      <w:r>
        <w:rPr>
          <w:rFonts w:ascii="Arial Narrow;sans-serif" w:hAnsi="Arial Narrow;sans-serif"/>
          <w:b w:val="false"/>
          <w:i/>
          <w:color w:val="000000"/>
          <w:sz w:val="20"/>
          <w:shd w:fill="FFFFFF" w:val="clear"/>
        </w:rPr>
        <w:t>Restrictive Covenant Agreements</w:t>
      </w:r>
      <w:r>
        <w:rPr>
          <w:color w:val="000000"/>
          <w:shd w:fill="FFFFFF" w:val="clear"/>
        </w:rPr>
        <w:t xml:space="preserve"> — </w:t>
      </w:r>
      <w:r>
        <w:rPr>
          <w:rFonts w:ascii="Arial Narrow;sans-serif" w:hAnsi="Arial Narrow;sans-serif"/>
          <w:b w:val="false"/>
          <w:color w:val="000000"/>
          <w:sz w:val="20"/>
          <w:shd w:fill="FFFFFF" w:val="clear"/>
        </w:rPr>
        <w:t>Each of our executive officers (other than Mr. Cohen), along with other key Team Members, has entered into a Restrictive 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they will not compete with the Compan</w:t>
      </w:r>
      <w:r>
        <w:rPr>
          <w:rFonts w:ascii="Arial Narrow;sans-serif" w:hAnsi="Arial Narrow;sans-serif"/>
          <w:b w:val="false"/>
          <w:color w:val="000000"/>
          <w:sz w:val="20"/>
        </w:rPr>
        <w:t>y (within a defined area) and will not solicit the Company's Team Members or suppliers.</w:t>
      </w:r>
    </w:p>
    <w:p>
      <w:pPr>
        <w:pStyle w:val="TextBody"/>
        <w:bidi w:val="0"/>
        <w:spacing w:lineRule="auto" w:line="288" w:before="180" w:after="283"/>
        <w:jc w:val="left"/>
        <w:rPr/>
      </w:pPr>
      <w:r>
        <w:rPr>
          <w:rFonts w:ascii="Arial Narrow;sans-serif" w:hAnsi="Arial Narrow;sans-serif"/>
          <w:b w:val="false"/>
          <w:i/>
          <w:color w:val="000000"/>
          <w:sz w:val="20"/>
        </w:rPr>
        <w:t>Employment Contract for Mr. Given</w:t>
      </w:r>
      <w:r>
        <w:rPr>
          <w:color w:val="000000"/>
        </w:rPr>
        <w:t xml:space="preserve"> — </w:t>
      </w:r>
      <w:r>
        <w:rPr>
          <w:rFonts w:ascii="Arial Narrow;sans-serif" w:hAnsi="Arial Narrow;sans-serif"/>
          <w:b w:val="false"/>
          <w:color w:val="000000"/>
          <w:sz w:val="20"/>
        </w:rPr>
        <w:t>On November 14, 2023, we entered into an Employment Contract with Mr. Given, our Chief Executive Officer, who resides in London, England. The Employment Contract was entered into to comply with U.K. employment laws and is not intended to alter the fundamental elements of Mr. Given’s employment relationship, including the compensatory arrangement as reflected in this Compensation Discussion and Analysis. The terms of the Employment Contract mirror as close as possible the terms of Mr. Given’s pre-existing U.S. employment, although certain modifications were necessary to adapt to a U.K. employment environment, particularly with regards to healthcare and other benefits. All compensation received by Mr. Given under the Employment Contract is reflected in the Summary Compensation Table below, including the “All Other Compensation” column, which includes healthcare and other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Report</w:t>
      </w:r>
    </w:p>
    <w:p>
      <w:pPr>
        <w:pStyle w:val="TextBody"/>
        <w:bidi w:val="0"/>
        <w:spacing w:lineRule="auto" w:line="288" w:before="180" w:after="283"/>
        <w:jc w:val="left"/>
        <w:rPr/>
      </w:pPr>
      <w:r>
        <w:rPr>
          <w:rFonts w:ascii="Arial Narrow;sans-serif" w:hAnsi="Arial Narrow;sans-serif"/>
          <w:b w:val="false"/>
          <w:color w:val="000000"/>
          <w:sz w:val="20"/>
        </w:rPr>
        <w:t xml:space="preserve">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w:t>
      </w:r>
      <w:r>
        <w:rPr>
          <w:rFonts w:ascii="Arial Narrow;sans-serif" w:hAnsi="Arial Narrow;sans-serif"/>
          <w:b w:val="false"/>
          <w:color w:val="000000"/>
          <w:sz w:val="20"/>
          <w:shd w:fill="FFFFFF" w:val="clear"/>
        </w:rPr>
        <w:t>September 30, 2023.</w:t>
      </w:r>
    </w:p>
    <w:tbl>
      <w:tblPr>
        <w:tblW w:w="2649"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 Chair</w:t>
              <w:br/>
              <w:t>Matthew W. Appel</w:t>
              <w:br/>
              <w:t>Zena Srivatsa Arnold</w:t>
              <w:br/>
              <w:t>Gary L. Tillett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None of the persons who served as members of the Compensation Committee during fiscal 2023 are or have ever been an officer of or employed by the Company, nor do they have any relationship that requires disclosure under Item 404 of Regulation S-K, the SEC’s rules requiring disclosure of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Summary Compensation Table</w:t>
      </w:r>
    </w:p>
    <w:p>
      <w:pPr>
        <w:pStyle w:val="TextBody"/>
        <w:bidi w:val="0"/>
        <w:spacing w:lineRule="auto" w:line="288" w:before="180" w:after="180"/>
        <w:jc w:val="left"/>
        <w:rPr/>
      </w:pPr>
      <w:r>
        <w:rPr>
          <w:rFonts w:ascii="Arial Narrow;sans-serif" w:hAnsi="Arial Narrow;sans-serif"/>
          <w:b w:val="false"/>
          <w:color w:val="000000"/>
          <w:sz w:val="20"/>
        </w:rPr>
        <w:t xml:space="preserve">The table below summarizes the total compensation for fiscal 2023, 2022 and 2021 for the Named Executive Officers. </w:t>
      </w:r>
      <w:r>
        <w:rPr>
          <w:rFonts w:ascii="Arial Narrow;sans-serif" w:hAnsi="Arial Narrow;sans-serif"/>
          <w:b w:val="false"/>
          <w:color w:val="000000"/>
          <w:sz w:val="20"/>
          <w:shd w:fill="FFFFFF" w:val="clear"/>
        </w:rPr>
        <w:t>The amounts shown reflect the compensation received by each of the Named Executive Officers for the positions in which they were serving during the fiscal years so noted, as follows:</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shd w:fill="FFFFFF" w:val="clear"/>
        </w:rPr>
        <w:t>Mr. Given served as Chief Strategy, M&amp;A and Strategic Funding Officer during fiscal 2021 and the first quarter of fiscal 2022. He was named Co-Interim Chief Executive Officer effective January 12, 2022 and appointed Chief Executive Officer on March 3, 2022.</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Jugmans was named Interim Chief Financial Officer in September 2020 and appointed Chief Financial Officer in May 2021.</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Powell served as President, US Pawn during fiscal 2021. He promoted to the position of President, Global Pawn in October 2021 and held that position until he was named Co-Interim Chief Executive Officer effective January 12, 2022. He was appointed Chief Operating Officer on March 3, 2022.</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rPr>
        <w:t xml:space="preserve">Ms. VanRoekel has served as Chief Human Resources Officer since joining the Company in January 2021. </w:t>
      </w:r>
    </w:p>
    <w:tbl>
      <w:tblPr>
        <w:tblW w:w="10662" w:type="dxa"/>
        <w:jc w:val="left"/>
        <w:tblInd w:w="0" w:type="dxa"/>
        <w:tblLayout w:type="fixed"/>
        <w:tblCellMar>
          <w:top w:w="28" w:type="dxa"/>
          <w:left w:w="28" w:type="dxa"/>
          <w:bottom w:w="28" w:type="dxa"/>
          <w:right w:w="28" w:type="dxa"/>
        </w:tblCellMar>
      </w:tblPr>
      <w:tblGrid>
        <w:gridCol w:w="482"/>
        <w:gridCol w:w="239"/>
        <w:gridCol w:w="240"/>
        <w:gridCol w:w="109"/>
        <w:gridCol w:w="109"/>
        <w:gridCol w:w="109"/>
        <w:gridCol w:w="170"/>
        <w:gridCol w:w="170"/>
        <w:gridCol w:w="171"/>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228"/>
        <w:gridCol w:w="754"/>
        <w:gridCol w:w="129"/>
        <w:gridCol w:w="109"/>
        <w:gridCol w:w="109"/>
        <w:gridCol w:w="109"/>
        <w:gridCol w:w="196"/>
        <w:gridCol w:w="87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Non-Equity Incentive Plan Compensation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All Other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Lachlan P. Given </w:t>
            </w:r>
            <w:r>
              <w:rPr>
                <w:rFonts w:ascii="Arial Narrow;sans-serif" w:hAnsi="Arial Narrow;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83,028 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Timothy K. Jugmans </w:t>
            </w:r>
            <w:r>
              <w:rPr>
                <w:rFonts w:ascii="Arial Narrow;sans-serif" w:hAnsi="Arial Narrow;sans-serif"/>
                <w:b w:val="false"/>
                <w:color w:val="000000"/>
                <w:sz w:val="20"/>
              </w:rPr>
              <w:t>(4)</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749,143 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553,500 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1,824,322 </w:t>
            </w:r>
          </w:p>
        </w:tc>
        <w:tc>
          <w:tcPr>
            <w:tcW w:w="15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Philip E. Cohen</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1,619,896 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3,141,493 </w:t>
            </w:r>
          </w:p>
        </w:tc>
        <w:tc>
          <w:tcPr>
            <w:tcW w:w="15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3,436,778 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3,179,576 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John Blair Powell, Jr.</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1,076,827 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676,500 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2,387,737 </w:t>
            </w:r>
          </w:p>
        </w:tc>
        <w:tc>
          <w:tcPr>
            <w:tcW w:w="15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2,122,811 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Lisa VanRoekel</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568,644 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302,580 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54,386 </w:t>
            </w:r>
          </w:p>
        </w:tc>
        <w:tc>
          <w:tcPr>
            <w:tcW w:w="1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1,335,610 </w:t>
            </w:r>
          </w:p>
        </w:tc>
        <w:tc>
          <w:tcPr>
            <w:tcW w:w="15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Human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Officer</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249,038 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100,000 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92,038 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262,500 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43,669 </w:t>
            </w:r>
          </w:p>
        </w:tc>
        <w:tc>
          <w:tcPr>
            <w:tcW w:w="12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747,245 </w:t>
            </w:r>
          </w:p>
        </w:tc>
        <w:tc>
          <w:tcPr>
            <w:tcW w:w="15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or restricted stock unit awards, computed in accordance with FASB ASC 718-10-25. See Note 10: Common Stock and Stock Compensation of Notes to Consolidated Financial Statements included in “Part II, Item 8 — Financial Statements and Supplemental Data.” The actual value realized by the Named Executive Officer with respect to stock awards will depend on whether the award vests and, if it vests,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For a description of these awards, see the “Grant of Plan-Based Awards” table under “Incentive Plan Based Awards” below. See also “Compensation Discussion and Analysis — Components of Compensation and Fiscal 2023 Executive Compensation Actions — Long-Term Incentives” above.</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(2)For Named Executive Officers other than Mr. Cohen, amounts represent the incentive bonuses paid pursuant to the Short-Term Incentive Compensation Plan. See “Compensation Discussion and Analysis — Components of Compensation and Fiscal 2023 Executive Compensation Actions — Annual Incentive Bonuses” above. For Mr. Cohen, amounts represent the incentive bonuses paid pursuant to the special incentive compensation arrangement described under “Compensation Discussion and Analysis — Components of Compensation and Fiscal 2023 Executive Compensation Actions — Executive Chairman Incentive Award.”</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(4)Mr. Given and Mr. Jugmans serve on the board of directors of Cash Converters International Limited, with Mr. Jugmans serving as non-executive chairman. The director fees paid to each of them during fiscal 2023 by Cash Converters International Limited were as follows: Mr. Given, AUD $95,000; and Mr. Jugmans, AUD $170,000. These amounts are not included in the Summary Compensation Table, as they were paid by Cash Converters International Limited, which is not controlled by EZCORP.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CEO Pay Ratio</w:t>
      </w:r>
    </w:p>
    <w:p>
      <w:pPr>
        <w:pStyle w:val="TextBody"/>
        <w:bidi w:val="0"/>
        <w:spacing w:lineRule="auto" w:line="288" w:before="180" w:after="283"/>
        <w:jc w:val="left"/>
        <w:rPr/>
      </w:pPr>
      <w:r>
        <w:rPr>
          <w:rFonts w:ascii="Arial Narrow;sans-serif" w:hAnsi="Arial Narrow;sans-serif"/>
          <w:b w:val="false"/>
          <w:color w:val="000000"/>
          <w:sz w:val="20"/>
          <w:shd w:fill="FFFFFF" w:val="clear"/>
        </w:rPr>
        <w:t>The fo</w:t>
      </w:r>
      <w:r>
        <w:rPr>
          <w:rFonts w:ascii="Arial Narrow;sans-serif" w:hAnsi="Arial Narrow;sans-serif"/>
          <w:b w:val="false"/>
          <w:color w:val="000000"/>
          <w:sz w:val="20"/>
        </w:rPr>
        <w:t>llowing information sets forth our calculation of the ratio between the annual total compensation of Lachlan P. Given, our Chief Executive Officer, and the annual total compensation of our median Team Member (“CEO Pay Ratio”).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Mr. Given’s total annual compensation for fiscal 2023 was $4,481,280</w:t>
      </w:r>
      <w:r>
        <w:rPr>
          <w:rFonts w:ascii="Arial Narrow;sans-serif" w:hAnsi="Arial Narrow;sans-serif"/>
          <w:b w:val="false"/>
          <w:color w:val="000000"/>
          <w:sz w:val="20"/>
          <w:shd w:fill="FFFFFF" w:val="clear"/>
        </w:rPr>
        <w:t>.</w:t>
      </w:r>
      <w:r>
        <w:rPr>
          <w:color w:val="000000"/>
        </w:rPr>
        <w:t xml:space="preserve"> </w:t>
      </w:r>
      <w:r>
        <w:rPr>
          <w:rFonts w:ascii="Arial Narrow;sans-serif" w:hAnsi="Arial Narrow;sans-serif"/>
          <w:b w:val="false"/>
          <w:color w:val="000000"/>
          <w:sz w:val="20"/>
        </w:rPr>
        <w:t xml:space="preserve">That number is derived from the numbers set forth in the Summary Compensation Table above.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Our median Team Member’s total annual compensation for fiscal 2023 was $18,208, consisting of gross annual wages, bonuses, overtime pay and other benefits.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Based on those numbers, our CEO Pay ratio for fiscal 2023 is 246:1.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CEO Pay Ratio is based on the following methodology: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When we identified our median Team Member, we selected gross wages paid during fiscal year 2023 as the most appropriate measure of compensation and applied that measure consistently across our global population. Gross wages generally include salary and wages (regular, hourly and overtime), commissions and bonuses. We annualized the compensation of all permanent full-time and part-time Team Members as of September 30,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calculated the median Team Member’s total annual compensation in accordance with the rules used to calculate the CEO’s compensation included in the Summary Compensation Table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Using this methodology, we determined that our median Team Member was a full-time certified store manager located in Mexico where Team Member wages and cost of living are significantly lower than the U.S.</w:t>
      </w:r>
    </w:p>
    <w:p>
      <w:pPr>
        <w:pStyle w:val="TextBody"/>
        <w:bidi w:val="0"/>
        <w:spacing w:lineRule="auto" w:line="288" w:before="180" w:after="283"/>
        <w:jc w:val="left"/>
        <w:rPr/>
      </w:pPr>
      <w:r>
        <w:rPr>
          <w:rFonts w:ascii="Arial Narrow;sans-serif" w:hAnsi="Arial Narrow;sans-serif"/>
          <w:b w:val="false"/>
          <w:color w:val="000000"/>
          <w:sz w:val="20"/>
        </w:rPr>
        <w:t>In calculating CEO pay ratios, companies are permitted to adopt a variety of methodologies, apply certain exclusions and make reasonable estimates and assumptions reflecting their unique employee populations. Therefore, our CEO Pay Ratio, as described above, may not be comparable to CEO pay ratios reported by other companies due to differences in industries and geographical dispersion of employees, as well as the different estimates, assumptions and meth</w:t>
      </w:r>
      <w:r>
        <w:rPr>
          <w:rFonts w:ascii="Arial Narrow;sans-serif" w:hAnsi="Arial Narrow;sans-serif"/>
          <w:b w:val="false"/>
          <w:color w:val="000000"/>
          <w:sz w:val="20"/>
          <w:shd w:fill="FFFFFF" w:val="clear"/>
        </w:rPr>
        <w:t>odologies applied by other companies in calculating their CEO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Incentive Plan Based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certain information about plan-based awards that we made to the Named Executive Officers during fiscal 2023. For information about the plans under which these awards were granted, see “Compensation Discussion and Analysis — Components of Compensation and Fiscal 2023 Compensation Actions — Annual Incentive Bonus” and “Compensation Discussion and Analysis — Components of Compensation and Fiscal 2023 Executive Compensation Actions — Long-Term Incentives” above.</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Grants of Plan-Based Awards</w:t>
      </w:r>
    </w:p>
    <w:tbl>
      <w:tblPr>
        <w:tblW w:w="10989" w:type="dxa"/>
        <w:jc w:val="center"/>
        <w:tblInd w:w="0" w:type="dxa"/>
        <w:tblLayout w:type="fixed"/>
        <w:tblCellMar>
          <w:top w:w="28" w:type="dxa"/>
          <w:left w:w="28" w:type="dxa"/>
          <w:bottom w:w="28" w:type="dxa"/>
          <w:right w:w="28" w:type="dxa"/>
        </w:tblCellMar>
      </w:tblPr>
      <w:tblGrid>
        <w:gridCol w:w="427"/>
        <w:gridCol w:w="190"/>
        <w:gridCol w:w="194"/>
        <w:gridCol w:w="109"/>
        <w:gridCol w:w="109"/>
        <w:gridCol w:w="109"/>
        <w:gridCol w:w="165"/>
        <w:gridCol w:w="165"/>
        <w:gridCol w:w="166"/>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270"/>
        <w:gridCol w:w="270"/>
        <w:gridCol w:w="271"/>
        <w:gridCol w:w="109"/>
        <w:gridCol w:w="109"/>
        <w:gridCol w:w="109"/>
        <w:gridCol w:w="323"/>
        <w:gridCol w:w="323"/>
        <w:gridCol w:w="181"/>
        <w:gridCol w:w="109"/>
        <w:gridCol w:w="109"/>
        <w:gridCol w:w="109"/>
        <w:gridCol w:w="285"/>
        <w:gridCol w:w="286"/>
        <w:gridCol w:w="261"/>
        <w:gridCol w:w="109"/>
        <w:gridCol w:w="109"/>
        <w:gridCol w:w="109"/>
        <w:gridCol w:w="181"/>
        <w:gridCol w:w="766"/>
        <w:gridCol w:w="109"/>
        <w:gridCol w:w="109"/>
        <w:gridCol w:w="109"/>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 Under</w:t>
              <w:br/>
              <w:t>Non-Equity Incentive Plan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Estimated Future Payouts Under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Equity Incentive 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br/>
              <w:t>Fair Value</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259,403 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27,434 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64,850 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9,721 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10/1/2022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15,835 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Lisa VanRoekel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249,804 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(1)These amounts represent the potential payouts under the fiscal 2023 Short-Term Incentive Compensation Plan. See “Compensation Discussion and Analysis — Components of Compensation and Fiscal 2023 Executive Compensation Actions — Annual Incentive Bonuses” above. The “Target” amount is the amount that would be paid if the specified performance goals are achieved at the target level (although the People and Compensation Committee may reduce any award if it chooses to do so). The “Threshold” reflects the amount that would be paid if the minimum performance goals are achieved, while the “Maximum” amount represents the maximum amount that would be paid if the maximum performance goals are achieved or exceeded. See the “Non-Equity Incentive Plan Compensation” column in the Summary Compensation Table above for the amount of the actual payout for each of the Named Executive Officers.</w:t>
      </w:r>
    </w:p>
    <w:p>
      <w:pPr>
        <w:pStyle w:val="TextBody"/>
        <w:bidi w:val="0"/>
        <w:spacing w:lineRule="auto" w:line="288" w:before="120" w:after="283"/>
        <w:ind w:left="0" w:right="0" w:hanging="360"/>
        <w:jc w:val="left"/>
        <w:rPr/>
      </w:pPr>
      <w:r>
        <w:rPr>
          <w:rFonts w:ascii="Arial Narrow;sans-serif" w:hAnsi="Arial Narrow;sans-serif"/>
          <w:b/>
          <w:color w:val="000000"/>
          <w:sz w:val="16"/>
        </w:rPr>
        <w:t>(2)</w:t>
      </w:r>
      <w:r>
        <w:rPr>
          <w:rFonts w:ascii="Arial Narrow;sans-serif" w:hAnsi="Arial Narrow;sans-serif"/>
          <w:b w:val="false"/>
          <w:color w:val="000000"/>
          <w:sz w:val="16"/>
        </w:rPr>
        <w:t>The amounts shown represent long-term incentive (LTI) awards (stated in number of units) under our Long-Term Incentive Plans. See “Compensation Discussion and Analysis — Components of Compensation and Fiscal 2023 Executive Compensation Actions — Long-Term Incentives.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(3)Represents the estimated grant date fair value of equity awards, assuming payout at “Target” level. This is the estimated amount of aggregate compensation cost we expect to recognize over the performance period, determined as of the grant date. Because of the structure of the fiscal 2023 awards (as described under “Compensation Discussion and Analysis — Components of Compensation and Fiscal 2023 Executive Compensation Actions — Long-Term Incentives — Fiscal 2023 Actions — Grant of Fiscal 2023 Awards” above), each annual tranche of the awards is treated as a separate award for accounting purposes. Consequently, the amount shown represents the grant date fair value of the first annual tranche (20% of the award) plus the grant date fair value of the cumulative three-year performance tranche (20% of the award) plus the grant date fair value of the time-based tranche (20% of the award). The grant date fair value of the second and third annual tranches will be reflected in future years when the performance conditions for those tranches are established and they are deemed to be granted for accounting purposes.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(4)Represents the grant date fair value of the “bonus” units awarded with respect to the second tranche of the fiscal 2021 LTI awards based on Adjusted Net Income performance during fiscal 2022, as discussed in our 2022 Annual Report under “Compensation Discussion and Analysis — Components of Compensation and Fiscal 2022 Executive Compensation Actions — Long-Term Incentives — Fiscal 2022 Actions — Second Year Performance of Fiscal 2021 LTI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(5)Represents the grant date fair value of the “bonus” units awarded with respect to the first tranche of the fiscal 2022 LTI awards based on Adjusted Net Income performance during fiscal 2022, as discussed in our 2022 Annual Report under “Compensation Discussion and Analysis — Components of Compensation and Fiscal 2022 Executive Compensation Actions — Long-Term Incentives — Fiscal 2022 Actions — First Year Performance of Fiscal 2022 LTI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(6)Represents the aggregate grant date fair value of the third tranche of the fiscal 2021 LTI awards and the second tranche of the fiscal 2022 LTI awards. Because of the structure of those awards, these tranches were treated as separate awards for accounting purposes granted at the beginning of fiscal 2023, even though the full number of units associated with the awards was included in the “Grants of Plan-Based Awards” table in the 2021 Annual Report and the 2022 Annual Report, respectively.</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certain information about outstanding stock awards held by the Named Executive Officers as of the end of fiscal 2023. None of the Named Executive Officers holds any stock options.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Outstanding Equity Awards at Fiscal Year-End</w:t>
      </w:r>
    </w:p>
    <w:tbl>
      <w:tblPr>
        <w:tblW w:w="7553" w:type="dxa"/>
        <w:jc w:val="center"/>
        <w:tblInd w:w="0" w:type="dxa"/>
        <w:tblLayout w:type="fixed"/>
        <w:tblCellMar>
          <w:top w:w="28" w:type="dxa"/>
          <w:left w:w="28" w:type="dxa"/>
          <w:bottom w:w="28" w:type="dxa"/>
          <w:right w:w="28" w:type="dxa"/>
        </w:tblCellMar>
      </w:tblPr>
      <w:tblGrid>
        <w:gridCol w:w="576"/>
        <w:gridCol w:w="511"/>
        <w:gridCol w:w="518"/>
        <w:gridCol w:w="109"/>
        <w:gridCol w:w="109"/>
        <w:gridCol w:w="109"/>
        <w:gridCol w:w="319"/>
        <w:gridCol w:w="319"/>
        <w:gridCol w:w="321"/>
        <w:gridCol w:w="109"/>
        <w:gridCol w:w="109"/>
        <w:gridCol w:w="109"/>
        <w:gridCol w:w="196"/>
        <w:gridCol w:w="196"/>
        <w:gridCol w:w="196"/>
        <w:gridCol w:w="368"/>
        <w:gridCol w:w="368"/>
        <w:gridCol w:w="196"/>
        <w:gridCol w:w="196"/>
        <w:gridCol w:w="196"/>
        <w:gridCol w:w="196"/>
        <w:gridCol w:w="109"/>
        <w:gridCol w:w="109"/>
        <w:gridCol w:w="109"/>
        <w:gridCol w:w="110"/>
        <w:gridCol w:w="110"/>
        <w:gridCol w:w="110"/>
        <w:gridCol w:w="199"/>
        <w:gridCol w:w="885"/>
        <w:gridCol w:w="110"/>
        <w:gridCol w:w="110"/>
        <w:gridCol w:w="110"/>
        <w:gridCol w:w="156"/>
      </w:tblGrid>
      <w:tr>
        <w:trPr/>
        <w:tc>
          <w:tcPr>
            <w:tcW w:w="5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Award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Shares or</w:t>
              <w:br/>
              <w:t>Units of Stock</w:t>
              <w:br/>
              <w:t>That Have Not Vested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Market Value of Shares or</w:t>
              <w:br/>
              <w:t>Units of Stock</w:t>
              <w:br/>
              <w:t>That Have Not Vested (2)</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164,018 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226,331 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2,140,075 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704,055 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164,018 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79,260 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984,093 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5,036,485 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9,808 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80,916 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80,916 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457,727 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485,480 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1,743,713 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9,941 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82,013 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130,631 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81,733 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492,047 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2,534,987 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9,278 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76,544 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350,972 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305,151 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1,363,117 </w:t>
            </w:r>
          </w:p>
        </w:tc>
        <w:tc>
          <w:tcPr>
            <w:tcW w:w="11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(1)Stated at target levels,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(2)Market value is based on the closing price of our Class A Common Stock on September 29, 2023, the last market trading day of fiscal 2023 ($8.25).</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(3)These units vested in November 2023 following approval by the People and Compensation Committee. See “Compensation Discussion and Analysis — Components of Compensation and Fiscal 2023 Executive Compensation Actions — Long-Term Incentives” above.</w:t>
      </w:r>
    </w:p>
    <w:p>
      <w:pPr>
        <w:pStyle w:val="TextBody"/>
        <w:bidi w:val="0"/>
        <w:spacing w:lineRule="auto" w:line="288" w:before="180" w:after="283"/>
        <w:jc w:val="center"/>
        <w:rPr>
          <w:rFonts w:ascii="Arial Narrow;sans-serif" w:hAnsi="Arial Narrow;sans-serif"/>
          <w:b/>
          <w:color w:val="000000"/>
          <w:sz w:val="20"/>
          <w:shd w:fill="FFFFFF" w:val="clear"/>
        </w:rPr>
      </w:pPr>
      <w:r>
        <w:rPr>
          <w:rFonts w:ascii="Arial Narrow;sans-serif" w:hAnsi="Arial Narrow;sans-serif"/>
          <w:b/>
          <w:color w:val="000000"/>
          <w:sz w:val="20"/>
          <w:shd w:fill="FFFFFF" w:val="clear"/>
        </w:rPr>
        <w:t>Stock Vested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with respect to each of the Named Executive Officers, certain information about restricted stock that vested during fiscal 2023:</w:t>
      </w:r>
    </w:p>
    <w:tbl>
      <w:tblPr>
        <w:tblW w:w="6132" w:type="dxa"/>
        <w:jc w:val="center"/>
        <w:tblInd w:w="0" w:type="dxa"/>
        <w:tblLayout w:type="fixed"/>
        <w:tblCellMar>
          <w:top w:w="28" w:type="dxa"/>
          <w:left w:w="28" w:type="dxa"/>
          <w:bottom w:w="28" w:type="dxa"/>
          <w:right w:w="28" w:type="dxa"/>
        </w:tblCellMar>
      </w:tblPr>
      <w:tblGrid>
        <w:gridCol w:w="662"/>
        <w:gridCol w:w="583"/>
        <w:gridCol w:w="585"/>
        <w:gridCol w:w="109"/>
        <w:gridCol w:w="109"/>
        <w:gridCol w:w="109"/>
        <w:gridCol w:w="109"/>
        <w:gridCol w:w="323"/>
        <w:gridCol w:w="323"/>
        <w:gridCol w:w="286"/>
        <w:gridCol w:w="286"/>
        <w:gridCol w:w="286"/>
        <w:gridCol w:w="295"/>
        <w:gridCol w:w="109"/>
        <w:gridCol w:w="109"/>
        <w:gridCol w:w="109"/>
        <w:gridCol w:w="109"/>
        <w:gridCol w:w="109"/>
        <w:gridCol w:w="109"/>
        <w:gridCol w:w="196"/>
        <w:gridCol w:w="736"/>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Shares</w:t>
              <w:br/>
              <w:t>Acquired on Vesting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Value Realized</w:t>
              <w:br/>
              <w:t>on Vesting (2)</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74,303 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731,885 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(1)Includes shares withheld to satisfy tax withholding obligations.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(2)Computed using the fair market value of the stock on the date of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Other Benefits and Perquisites</w:t>
      </w:r>
    </w:p>
    <w:p>
      <w:pPr>
        <w:pStyle w:val="TextBody"/>
        <w:bidi w:val="0"/>
        <w:spacing w:lineRule="auto" w:line="288" w:before="180" w:after="283"/>
        <w:jc w:val="left"/>
        <w:rPr/>
      </w:pPr>
      <w:r>
        <w:rPr>
          <w:rFonts w:ascii="Arial Narrow;sans-serif" w:hAnsi="Arial Narrow;sans-serif"/>
          <w:b w:val="false"/>
          <w:i/>
          <w:color w:val="000000"/>
          <w:sz w:val="20"/>
          <w:shd w:fill="FFFFFF" w:val="clear"/>
        </w:rPr>
        <w:t>401(k) Retirement Plan</w:t>
      </w:r>
      <w:r>
        <w:rPr>
          <w:color w:val="000000"/>
          <w:shd w:fill="FFFFFF" w:val="clear"/>
        </w:rPr>
        <w:t xml:space="preserve"> — </w:t>
      </w:r>
      <w:r>
        <w:rPr>
          <w:rFonts w:ascii="Arial Narrow;sans-serif" w:hAnsi="Arial Narrow;sans-serif"/>
          <w:b w:val="false"/>
          <w:color w:val="000000"/>
          <w:sz w:val="20"/>
          <w:shd w:fill="FFFFFF" w:val="clear"/>
        </w:rPr>
        <w:t>All U.S. Team Members are given an opportunity to participate in our 401(k) retirement savings plan (following a new-hire waiting period). Subject to statutory limits of the IRS, this plan allows participants to have pre-tax amounts withheld from their pay and provides for a discretionary employer matching contribution (historically, 25% up to 6% of salary). Matching contributions are made in the form of cas</w:t>
      </w:r>
      <w:r>
        <w:rPr>
          <w:rFonts w:ascii="Arial Narrow;sans-serif" w:hAnsi="Arial Narrow;sans-serif"/>
          <w:b w:val="false"/>
          <w:color w:val="000000"/>
          <w:sz w:val="20"/>
        </w:rPr>
        <w:t>h. Participants may invest their contributions in various fund options, but are prohibited from investing their contributions in our common stock. A parti</w:t>
      </w:r>
      <w:r>
        <w:rPr>
          <w:rFonts w:ascii="Arial Narrow;sans-serif" w:hAnsi="Arial Narrow;sans-serif"/>
          <w:b w:val="false"/>
          <w:color w:val="000000"/>
          <w:sz w:val="20"/>
          <w:shd w:fill="FFFFFF" w:val="clear"/>
        </w:rPr>
        <w:t>cipant vests in the matching contributions over the first three years of service, provided the hours worked requirement is met. A participant’s’ matching contributions vest 100% in the event of death, disability or termination of the plan due to a change in control.</w:t>
      </w:r>
    </w:p>
    <w:p>
      <w:pPr>
        <w:pStyle w:val="TextBody"/>
        <w:bidi w:val="0"/>
        <w:spacing w:lineRule="auto" w:line="288" w:before="180" w:after="283"/>
        <w:jc w:val="left"/>
        <w:rPr/>
      </w:pPr>
      <w:r>
        <w:rPr>
          <w:rFonts w:ascii="Arial Narrow;sans-serif" w:hAnsi="Arial Narrow;sans-serif"/>
          <w:b w:val="false"/>
          <w:i/>
          <w:color w:val="000000"/>
          <w:sz w:val="20"/>
          <w:shd w:fill="FFFFFF" w:val="clear"/>
        </w:rPr>
        <w:t>Supplemental Executive Retirement Plan</w:t>
      </w:r>
      <w:r>
        <w:rPr>
          <w:color w:val="000000"/>
          <w:shd w:fill="FFFFFF" w:val="clear"/>
        </w:rPr>
        <w:t xml:space="preserve"> — </w:t>
      </w:r>
      <w:r>
        <w:rPr>
          <w:rFonts w:ascii="Arial Narrow;sans-serif" w:hAnsi="Arial Narrow;sans-serif"/>
          <w:b w:val="false"/>
          <w:color w:val="000000"/>
          <w:sz w:val="20"/>
          <w:shd w:fill="FFFFFF" w:val="clear"/>
        </w:rPr>
        <w:t>We provide U.S. executive officers with a non-qualified Supplemental Executive Retirement Plan (“SERP”) to offer a competitive benefit and to assist in offsetting potential impacts of contribution limitations applicable to our 401(k) retirement savings plan. The SERP has similar investment options as are available under the 401(k) retirement savings plan. Company contributions to the SERP are formula-based, reviewed and approved by the People and Compensation Committee each year. For fiscal 2023, our annual contributions to the SERP were calculated as 10% of base salary. For fiscal 2024, the Company contributions to the SERP will continue at the same rates for executive officers. Under the terms of the SERP, participants are also allowed to voluntarily defer all or a portion of their salary and bonus payments into the SERP. There were eight participants during fiscal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or disability or the termination of the plan due to a change in control. In addition, all Company contributed SERP funds are 100% vested when a participant attains age 50 and five years of active service. All Company contributed SERP funds are forfeited, regardless of vesting status, if the participant’s employment is terminated for cause.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the SERP contributions, earnings and balance at the end of fiscal 2023 for each of the Named Executive Officers: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Nonqualified Deferred Compensation</w:t>
      </w:r>
    </w:p>
    <w:tbl>
      <w:tblPr>
        <w:tblW w:w="10205" w:type="dxa"/>
        <w:jc w:val="left"/>
        <w:tblInd w:w="0" w:type="dxa"/>
        <w:tblLayout w:type="fixed"/>
        <w:tblCellMar>
          <w:top w:w="28" w:type="dxa"/>
          <w:left w:w="28" w:type="dxa"/>
          <w:bottom w:w="28" w:type="dxa"/>
          <w:right w:w="28" w:type="dxa"/>
        </w:tblCellMar>
      </w:tblPr>
      <w:tblGrid>
        <w:gridCol w:w="463"/>
        <w:gridCol w:w="325"/>
        <w:gridCol w:w="328"/>
        <w:gridCol w:w="109"/>
        <w:gridCol w:w="109"/>
        <w:gridCol w:w="109"/>
        <w:gridCol w:w="310"/>
        <w:gridCol w:w="1027"/>
        <w:gridCol w:w="174"/>
        <w:gridCol w:w="109"/>
        <w:gridCol w:w="109"/>
        <w:gridCol w:w="109"/>
        <w:gridCol w:w="279"/>
        <w:gridCol w:w="922"/>
        <w:gridCol w:w="155"/>
        <w:gridCol w:w="109"/>
        <w:gridCol w:w="109"/>
        <w:gridCol w:w="109"/>
        <w:gridCol w:w="447"/>
        <w:gridCol w:w="927"/>
        <w:gridCol w:w="250"/>
        <w:gridCol w:w="109"/>
        <w:gridCol w:w="109"/>
        <w:gridCol w:w="109"/>
        <w:gridCol w:w="346"/>
        <w:gridCol w:w="720"/>
        <w:gridCol w:w="196"/>
        <w:gridCol w:w="109"/>
        <w:gridCol w:w="109"/>
        <w:gridCol w:w="109"/>
        <w:gridCol w:w="289"/>
        <w:gridCol w:w="1088"/>
        <w:gridCol w:w="161"/>
        <w:gridCol w:w="163"/>
      </w:tblGrid>
      <w:tr>
        <w:trPr/>
        <w:tc>
          <w:tcPr>
            <w:tcW w:w="46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Contributions in Fiscal 2023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Earnings in Fiscal 2023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Withdrawals/Distributions in Fiscal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Forfeitures in Fiscal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Balance at September 30, 2023 (3)</w:t>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779,005 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(1)These amounts were included in the Summary Compensation Table above in the column labeled “All Other Compensation.”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(2)These amounts were not included in the Summary Compensation Table as the earnings were not in excess of market rates.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(3)Of the Aggregate Balance at September 30, 2023, the following amounts were previously reported as compensation in the Summary Compensation Tables for prior years: $490,767 for Mr. Given; $81,153 for Mr. Jugmans; $119,473 for Mr. Powell, and $74,307 for Ms. VanRoekel.</w:t>
      </w:r>
    </w:p>
    <w:p>
      <w:pPr>
        <w:pStyle w:val="TextBody"/>
        <w:bidi w:val="0"/>
        <w:spacing w:lineRule="auto" w:line="288" w:before="180" w:after="283"/>
        <w:jc w:val="left"/>
        <w:rPr/>
      </w:pPr>
      <w:r>
        <w:rPr>
          <w:rFonts w:ascii="Arial Narrow;sans-serif" w:hAnsi="Arial Narrow;sans-serif"/>
          <w:b w:val="false"/>
          <w:i/>
          <w:color w:val="000000"/>
          <w:sz w:val="20"/>
        </w:rPr>
        <w:t>All Other Compensation</w:t>
      </w:r>
      <w:r>
        <w:rPr>
          <w:color w:val="000000"/>
        </w:rPr>
        <w:t xml:space="preserve"> — </w:t>
      </w:r>
      <w:r>
        <w:rPr>
          <w:rFonts w:ascii="Arial Narrow;sans-serif" w:hAnsi="Arial Narrow;sans-serif"/>
          <w:b w:val="false"/>
          <w:color w:val="000000"/>
          <w:sz w:val="20"/>
        </w:rPr>
        <w:t>The following table describes each component of the amounts shown in the “All Other Compensation” column in the Summary Compensation Table above.</w:t>
      </w:r>
    </w:p>
    <w:tbl>
      <w:tblPr>
        <w:tblW w:w="10205" w:type="dxa"/>
        <w:jc w:val="center"/>
        <w:tblInd w:w="0" w:type="dxa"/>
        <w:tblLayout w:type="fixed"/>
        <w:tblCellMar>
          <w:top w:w="28" w:type="dxa"/>
          <w:left w:w="28" w:type="dxa"/>
          <w:bottom w:w="28" w:type="dxa"/>
          <w:right w:w="28" w:type="dxa"/>
        </w:tblCellMar>
      </w:tblPr>
      <w:tblGrid>
        <w:gridCol w:w="474"/>
        <w:gridCol w:w="315"/>
        <w:gridCol w:w="316"/>
        <w:gridCol w:w="109"/>
        <w:gridCol w:w="109"/>
        <w:gridCol w:w="109"/>
        <w:gridCol w:w="154"/>
        <w:gridCol w:w="154"/>
        <w:gridCol w:w="158"/>
        <w:gridCol w:w="109"/>
        <w:gridCol w:w="109"/>
        <w:gridCol w:w="109"/>
        <w:gridCol w:w="294"/>
        <w:gridCol w:w="971"/>
        <w:gridCol w:w="165"/>
        <w:gridCol w:w="109"/>
        <w:gridCol w:w="109"/>
        <w:gridCol w:w="109"/>
        <w:gridCol w:w="364"/>
        <w:gridCol w:w="1036"/>
        <w:gridCol w:w="204"/>
        <w:gridCol w:w="109"/>
        <w:gridCol w:w="109"/>
        <w:gridCol w:w="109"/>
        <w:gridCol w:w="356"/>
        <w:gridCol w:w="1178"/>
        <w:gridCol w:w="200"/>
        <w:gridCol w:w="109"/>
        <w:gridCol w:w="109"/>
        <w:gridCol w:w="109"/>
        <w:gridCol w:w="218"/>
        <w:gridCol w:w="453"/>
        <w:gridCol w:w="121"/>
        <w:gridCol w:w="109"/>
        <w:gridCol w:w="109"/>
        <w:gridCol w:w="109"/>
        <w:gridCol w:w="196"/>
        <w:gridCol w:w="646"/>
        <w:gridCol w:w="109"/>
        <w:gridCol w:w="161"/>
      </w:tblGrid>
      <w:tr>
        <w:trPr/>
        <w:tc>
          <w:tcPr>
            <w:tcW w:w="4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Health Care Supplemental Insurance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Value of Supplemental Life Insurance Premiums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 Contributions to Defined Contribution Plans (3)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Other Benefits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70,767 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43,390 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(1)We provide a fully insured supplemental executive medical plan to certain executives, including all of the Named Executive Officers, to cover most healthcare costs in excess of amounts covered by our health insurance plans. The amounts shown (other than the fiscal 2023 amount for Mr. Given) represent the total premiums paid for the supplemental executive medical plan for each of the Named Executive Officers during each of the years presented. The fiscal 2023 amount for Mr. Given represents the amount we reimburse Mr. Given for a supplemental health policy in the U.K. that, along with his U.K. National Health Service coverage, provides Mr. Given with healthcare benefits that are comparable to the benefits provided to the other executive officers.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(2)Represents group life insurance premiums paid on behalf of the Named Executive Officers. The benefit provides life and accidental death and dismemberment coverage for the Named Executive Officers at three times annual salary up to a maximum of $1 million. The fiscal 2023 amount for Mr. Given represents the amount we paid for a rider to to the group term policy to provide Mr. Given with comparable benefits in the U.K.</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(3)Includes Company contributions to the 401(k) plan and the Supplemental Executive Retirement Plan.</w:t>
      </w:r>
    </w:p>
    <w:p>
      <w:pPr>
        <w:pStyle w:val="TextBody"/>
        <w:bidi w:val="0"/>
        <w:spacing w:lineRule="auto" w:line="288" w:before="180" w:after="283"/>
        <w:jc w:val="left"/>
        <w:rPr/>
      </w:pPr>
      <w:r>
        <w:rPr>
          <w:rFonts w:ascii="Arial Narrow;sans-serif" w:hAnsi="Arial Narrow;sans-serif"/>
          <w:b w:val="false"/>
          <w:i/>
          <w:color w:val="000000"/>
          <w:sz w:val="20"/>
          <w:shd w:fill="FFFFFF" w:val="clear"/>
        </w:rPr>
        <w:t xml:space="preserve">Certain Termination and Change-in-Control Benefits </w:t>
      </w:r>
      <w:r>
        <w:rPr>
          <w:color w:val="000000"/>
          <w:shd w:fill="FFFFFF" w:val="clear"/>
        </w:rPr>
        <w:t xml:space="preserve">— </w:t>
      </w:r>
      <w:r>
        <w:rPr>
          <w:rFonts w:ascii="Arial Narrow;sans-serif" w:hAnsi="Arial Narrow;sans-serif"/>
          <w:b w:val="false"/>
          <w:color w:val="000000"/>
          <w:sz w:val="20"/>
          <w:shd w:fill="FFFFFF" w:val="clear"/>
        </w:rPr>
        <w:t>The following is a summary of various agreements that provide for benefits to the continuing Named Executive Officers upon termination of employment or a change-in-control: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Restricted Stock Award Agreements </w:t>
      </w:r>
      <w:r>
        <w:rPr>
          <w:color w:val="000000"/>
          <w:shd w:fill="FFFFFF" w:val="clear"/>
        </w:rPr>
        <w:t xml:space="preserve">— </w:t>
      </w:r>
      <w:r>
        <w:rPr>
          <w:rFonts w:ascii="Arial Narrow;sans-serif" w:hAnsi="Arial Narrow;sans-serif"/>
          <w:b w:val="false"/>
          <w:color w:val="000000"/>
          <w:sz w:val="20"/>
          <w:shd w:fill="FFFFFF" w:val="clear"/>
        </w:rPr>
        <w:t>The standard restricted stock award agreement pursuant to which we grant restricted stock or restricted stock units to our Team Members generally provides that vesting is accelerated in the event of the holder’s death or disability.</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SERP Contributions</w:t>
      </w:r>
      <w:r>
        <w:rPr>
          <w:color w:val="000000"/>
          <w:shd w:fill="FFFFFF" w:val="clear"/>
        </w:rPr>
        <w:t xml:space="preserve"> — </w:t>
      </w:r>
      <w:r>
        <w:rPr>
          <w:rFonts w:ascii="Arial Narrow;sans-serif" w:hAnsi="Arial Narrow;sans-serif"/>
          <w:b w:val="false"/>
          <w:color w:val="000000"/>
          <w:sz w:val="20"/>
          <w:shd w:fill="FFFFFF" w:val="clear"/>
        </w:rPr>
        <w:t>For all executives who participate in the SERP (including the Named Executive Officers), any unvested Company contributions to the SERP will vest in the case of death or disability of the participant or a change in control.</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General Severance Benefits </w:t>
      </w:r>
      <w:r>
        <w:rPr>
          <w:color w:val="000000"/>
          <w:shd w:fill="FFFFFF" w:val="clear"/>
        </w:rPr>
        <w:t xml:space="preserve">— </w:t>
      </w:r>
      <w:r>
        <w:rPr>
          <w:rFonts w:ascii="Arial Narrow;sans-serif" w:hAnsi="Arial Narrow;sans-serif"/>
          <w:b w:val="false"/>
          <w:color w:val="000000"/>
          <w:sz w:val="20"/>
          <w:shd w:fill="FFFFFF" w:val="clear"/>
        </w:rPr>
        <w:t>We currently provide each of our executive officers (other than Mr. Cohen) with one-year salary continuation if his or her employment is terminated by the Company without cause. This severance benefit is reflected in the terms of Mr. Given’s U.K. Employment Contract. See “Compensation Discussion and Analysis — Other Executive Compensation Matters — Employment Contract for Mr. Given.”</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Change in Control Severance Benefits</w:t>
      </w:r>
      <w:r>
        <w:rPr>
          <w:color w:val="000000"/>
          <w:shd w:fill="FFFFFF" w:val="clear"/>
        </w:rPr>
        <w:t xml:space="preserve"> — </w:t>
      </w:r>
      <w:r>
        <w:rPr>
          <w:rFonts w:ascii="Arial Narrow;sans-serif" w:hAnsi="Arial Narrow;sans-serif"/>
          <w:b w:val="false"/>
          <w:color w:val="000000"/>
          <w:sz w:val="20"/>
          <w:shd w:fill="FFFFFF" w:val="clear"/>
        </w:rPr>
        <w:t xml:space="preserve">The executive officers (other than Mr. Cohen) are subject to the Change in Control Severance Plan, which provides them with certain severance benefits in the form cash payments and continued healthcare benefits in the event that their employment is terminated in connection with or within two years following a change in control of the Company. See “Compensation discussion and Analysis — Other Executive Compensation Matters — Change in Control Severance Plan.” In addition, </w:t>
      </w:r>
      <w:r>
        <w:rPr>
          <w:rFonts w:ascii="Arial Narrow;sans-serif" w:hAnsi="Arial Narrow;sans-serif"/>
          <w:b w:val="false"/>
          <w:color w:val="000000"/>
          <w:sz w:val="20"/>
        </w:rPr>
        <w:t>all outstanding LTI awards provide for the acceleration of vesting (at target levels, in the case of performance-based awards) upon the occurrence of a qualifying termination following a change in control.</w:t>
      </w:r>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sets forth the amounts of severance or termination benefits that would have been payable to each of the Named Executive Officers upon the occurrence of various events, assuming each of the events occurred on September 30, 2023:</w:t>
      </w:r>
    </w:p>
    <w:tbl>
      <w:tblPr>
        <w:tblW w:w="950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196"/>
        <w:gridCol w:w="871"/>
        <w:gridCol w:w="109"/>
        <w:gridCol w:w="109"/>
        <w:gridCol w:w="109"/>
        <w:gridCol w:w="109"/>
        <w:gridCol w:w="196"/>
        <w:gridCol w:w="871"/>
        <w:gridCol w:w="109"/>
        <w:gridCol w:w="109"/>
        <w:gridCol w:w="109"/>
        <w:gridCol w:w="109"/>
        <w:gridCol w:w="272"/>
        <w:gridCol w:w="1211"/>
        <w:gridCol w:w="151"/>
        <w:gridCol w:w="109"/>
        <w:gridCol w:w="109"/>
        <w:gridCol w:w="109"/>
        <w:gridCol w:w="303"/>
        <w:gridCol w:w="1139"/>
        <w:gridCol w:w="23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Incentive</w:t>
              <w:br/>
              <w:t>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Accelerated Vesting of</w:t>
              <w:br/>
              <w:t>Restricted</w:t>
              <w:br/>
              <w:t>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Accelerated Vesting of</w:t>
              <w:br/>
              <w:t>SERP</w:t>
              <w:br/>
              <w:t>Balance</w:t>
            </w:r>
          </w:p>
        </w:tc>
      </w:tr>
      <w:tr>
        <w:trPr/>
        <w:tc>
          <w:tcPr>
            <w:tcW w:w="2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Resignation for Good Reason: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Death or Disability: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5,036,485 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149,774 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1,743,713 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2,534,987 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1,363,117 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83,460 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Change in Control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5,036,485 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149,774 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1,743,713 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2,534,987 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1,363,117 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83,460 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 xml:space="preserve">(1)Represents the number of shares subject to accelerated vesting (as described above), multiplied by the closing sales price of the Class A Common Stock on September 30, 2023 ($8.25). </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(2)Mr. Powell was fully vested in his SERP account at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(3)Subject to the terms of the Change in Control Severance Plan. See “Compensation Discussion and Analysis — Other Executive Compensation Matters — Change in Control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Compensation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Each non-employee director receives a basic annual retainer fee, with the Lead Independent Director, the chair of the Audit Committee and the chair of the People and Compensation Committee each receiving an additional amount. During fiscal 2023 the basic annual retainer fee was $80,000, and additional amounts paid to the Lead Independent Director, the chair of the Audit Committee and the chair of the People and Compensation Committee were $40,000, $27,500 and $15,000, respectively. Annual retainer fees are paid in cash on a quarterly basis.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People and Compensation Committee. Historically, the directors have each received an annual restricted stock award with a grant date value equal to 2X the annual retainer fee. The annual award cycle is based on our Annual Meeting of Stockholders, which is generally held in February or March of each year, with the awards being granted on the date of the Annual Meeting of Stockholders and vesting on the day immediately preceding the date of the Annual Meeting of Stockholders held in the following year (but no later than March 31).</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following table sets forth the compensation paid to our non-employee directors for fiscal 2023. Mr. Cohen and Mr. Given are executive officers of the Company and do not receive any additional compensation for serving on the Board of Directors. </w:t>
      </w:r>
    </w:p>
    <w:tbl>
      <w:tblPr>
        <w:tblW w:w="7795" w:type="dxa"/>
        <w:jc w:val="left"/>
        <w:tblInd w:w="0" w:type="dxa"/>
        <w:tblLayout w:type="fixed"/>
        <w:tblCellMar>
          <w:top w:w="28" w:type="dxa"/>
          <w:left w:w="28" w:type="dxa"/>
          <w:bottom w:w="28" w:type="dxa"/>
          <w:right w:w="28" w:type="dxa"/>
        </w:tblCellMar>
      </w:tblPr>
      <w:tblGrid>
        <w:gridCol w:w="612"/>
        <w:gridCol w:w="539"/>
        <w:gridCol w:w="543"/>
        <w:gridCol w:w="109"/>
        <w:gridCol w:w="109"/>
        <w:gridCol w:w="109"/>
        <w:gridCol w:w="387"/>
        <w:gridCol w:w="1453"/>
        <w:gridCol w:w="215"/>
        <w:gridCol w:w="109"/>
        <w:gridCol w:w="109"/>
        <w:gridCol w:w="109"/>
        <w:gridCol w:w="372"/>
        <w:gridCol w:w="1400"/>
        <w:gridCol w:w="207"/>
        <w:gridCol w:w="109"/>
        <w:gridCol w:w="109"/>
        <w:gridCol w:w="109"/>
        <w:gridCol w:w="196"/>
        <w:gridCol w:w="73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Restricted 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107,500 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awards, computed in accordance with FASB ASC 718-10-25. See Note 10: Common Stock and Stock Compensation of Notes to Consolidated Financial Statements included in “Part II, Item 8 — Financial Statements and Supplemental Data”. The actual value realized by the director with respect to stock awards will depend on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Each of the non-employee directors received a grant of 18,038 shares of restricted stock on March 3, 2023. That amount was determined by dividing $160,000 (2X the annual director fee) by $8.87, the trading price of the Class A Common Stock at the time of grant. These shares are scheduled to vest immediately before the 2024 Annual Meeting of Stockholders (but no later than March 31, 2024).</w:t>
      </w:r>
    </w:p>
    <w:p>
      <w:pPr>
        <w:pStyle w:val="TextBody"/>
        <w:bidi w:val="0"/>
        <w:spacing w:lineRule="auto" w:line="288" w:before="12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As of September 30, 2023, each of the continuing non-employee directors held 18,038 shares of unvested restricted stock.</w:t>
      </w:r>
    </w:p>
    <w:p>
      <w:pPr>
        <w:pStyle w:val="TextBody"/>
        <w:bidi w:val="0"/>
        <w:spacing w:lineRule="auto" w:line="288" w:before="240" w:after="283"/>
        <w:jc w:val="left"/>
        <w:rPr/>
      </w:pPr>
      <w:r>
        <w:rPr>
          <w:rFonts w:ascii="Arial Narrow;sans-serif" w:hAnsi="Arial Narrow;sans-serif"/>
          <w:b w:val="false"/>
          <w:color w:val="000000"/>
          <w:sz w:val="20"/>
          <w:shd w:fill="FFFFFF" w:val="clear"/>
        </w:rPr>
        <w:t>The non-employee director compensation program for fiscal 2024 will generally be the same as the fiscal 2023</w:t>
      </w:r>
      <w:r>
        <w:rPr>
          <w:color w:val="000000"/>
        </w:rPr>
        <w:t xml:space="preserve"> </w:t>
      </w:r>
      <w:r>
        <w:rPr>
          <w:rFonts w:ascii="Arial Narrow;sans-serif" w:hAnsi="Arial Narrow;sans-serif"/>
          <w:b w:val="false"/>
          <w:color w:val="000000"/>
          <w:sz w:val="20"/>
        </w:rPr>
        <w:t>program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12. SECURITY OWNERSHIP OF CERTAIN BENEFICIAL OWNERS AND MANAGEMENT AND RELATED STOCKHOLDER MATTERS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Equity Compensation Plans</w:t>
      </w:r>
    </w:p>
    <w:p>
      <w:pPr>
        <w:pStyle w:val="TextBody"/>
        <w:bidi w:val="0"/>
        <w:spacing w:lineRule="auto" w:line="288" w:before="180" w:after="180"/>
        <w:jc w:val="left"/>
        <w:rPr/>
      </w:pPr>
      <w:r>
        <w:rPr>
          <w:rFonts w:ascii="Arial Narrow;sans-serif" w:hAnsi="Arial Narrow;sans-serif"/>
          <w:b w:val="false"/>
          <w:color w:val="000000"/>
          <w:sz w:val="20"/>
        </w:rPr>
        <w:t xml:space="preserve">We have two equity compensation plans that have been approved by stockholders — the 2010 Long-Term Incentive Plan (applicable to outstanding long-term incentive awards issued on or before December 31, 2021) and the 2022 Long-Term Incentive Plan (applicable to all new issuance of since January 1. 2022). New awards can be in the form of stock options, stock appreciation rights, stock bonuses, restricted stock, restricted stock units, performance units or performance shares although generally we issue only restricted stock and restricted stock unit awards. We do not have any equity compensation plans that were not approved by </w:t>
      </w:r>
      <w:r>
        <w:rPr>
          <w:rFonts w:ascii="Arial Narrow;sans-serif" w:hAnsi="Arial Narrow;sans-serif"/>
          <w:b w:val="false"/>
          <w:color w:val="000000"/>
          <w:sz w:val="20"/>
          <w:shd w:fill="FFFFFF" w:val="clear"/>
        </w:rPr>
        <w:t>stockholders. The following table summarizes information about our equity compensation plans as of September 30, 2023:</w:t>
      </w:r>
    </w:p>
    <w:tbl>
      <w:tblPr>
        <w:tblW w:w="10095" w:type="dxa"/>
        <w:jc w:val="left"/>
        <w:tblInd w:w="0" w:type="dxa"/>
        <w:tblLayout w:type="fixed"/>
        <w:tblCellMar>
          <w:top w:w="28" w:type="dxa"/>
          <w:left w:w="28" w:type="dxa"/>
          <w:bottom w:w="28" w:type="dxa"/>
          <w:right w:w="28" w:type="dxa"/>
        </w:tblCellMar>
      </w:tblPr>
      <w:tblGrid>
        <w:gridCol w:w="1410"/>
        <w:gridCol w:w="1239"/>
        <w:gridCol w:w="1250"/>
        <w:gridCol w:w="109"/>
        <w:gridCol w:w="109"/>
        <w:gridCol w:w="109"/>
        <w:gridCol w:w="599"/>
        <w:gridCol w:w="599"/>
        <w:gridCol w:w="601"/>
        <w:gridCol w:w="109"/>
        <w:gridCol w:w="109"/>
        <w:gridCol w:w="109"/>
        <w:gridCol w:w="509"/>
        <w:gridCol w:w="509"/>
        <w:gridCol w:w="511"/>
        <w:gridCol w:w="109"/>
        <w:gridCol w:w="109"/>
        <w:gridCol w:w="109"/>
        <w:gridCol w:w="323"/>
        <w:gridCol w:w="323"/>
        <w:gridCol w:w="279"/>
        <w:gridCol w:w="279"/>
        <w:gridCol w:w="279"/>
        <w:gridCol w:w="404"/>
      </w:tblGrid>
      <w:tr>
        <w:trPr/>
        <w:tc>
          <w:tcPr>
            <w:tcW w:w="14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 to</w:t>
              <w:br/>
              <w:t>be Issued Upon Exercise</w:t>
              <w:br/>
              <w:t>of Outstanding Options</w:t>
              <w:b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w:t>
              <w:br/>
              <w:t>Exercise Price of</w:t>
              <w:br/>
              <w:t>Outstanding Options</w:t>
              <w:b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w:t>
              <w:br/>
              <w:t>Remaining Available for</w:t>
              <w:br/>
              <w:t>Future Issuance Under</w:t>
              <w:br/>
              <w:t>Equity Compensation</w:t>
              <w:br/>
              <w:t>Plans (Excluding</w:t>
              <w:br/>
              <w:t>Securities Reflected in</w:t>
              <w:br/>
              <w:t>Column (a))</w:t>
              <w:br/>
              <w:t>(c)</w:t>
            </w:r>
          </w:p>
        </w:tc>
      </w:tr>
      <w:tr>
        <w:trPr/>
        <w:tc>
          <w:tcPr>
            <w:tcW w:w="3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475,196 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475,196 </w:t>
            </w:r>
          </w:p>
        </w:tc>
        <w:tc>
          <w:tcPr>
            <w:tcW w:w="27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bl>
    <w:p>
      <w:pPr>
        <w:pStyle w:val="TextBody"/>
        <w:bidi w:val="0"/>
        <w:spacing w:lineRule="auto" w:line="288"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Amount represents the number of shares available for issuance in the 2022 Long-Term Incentive Plan as of September 30, 2023. An additional 1.4 million shares were added to the plan on November 3, 2023 to cover the fiscal 2024 LTI awards to be issued in November 2023 which will leave 481,133 share for future issuances. The 2010 Long-Term Incentive Plan remains effective only to cover currently outstanding awards issued on or prior to December 31, 2021, as that plan was replaced by the 2022 Long-Term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Ownership</w:t>
      </w:r>
    </w:p>
    <w:p>
      <w:pPr>
        <w:pStyle w:val="TextBody"/>
        <w:bidi w:val="0"/>
        <w:spacing w:lineRule="auto" w:line="288" w:before="180" w:after="283"/>
        <w:jc w:val="left"/>
        <w:rPr/>
      </w:pPr>
      <w:r>
        <w:rPr>
          <w:rFonts w:ascii="Arial Narrow;sans-serif" w:hAnsi="Arial Narrow;sans-serif"/>
          <w:b w:val="false"/>
          <w:color w:val="000000"/>
          <w:sz w:val="20"/>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w:t>
      </w:r>
      <w:r>
        <w:rPr>
          <w:rFonts w:ascii="Arial Narrow;sans-serif" w:hAnsi="Arial Narrow;sans-serif"/>
          <w:b w:val="false"/>
          <w:color w:val="000000"/>
          <w:sz w:val="20"/>
          <w:shd w:fill="FFFFFF" w:val="clear"/>
        </w:rPr>
        <w:t xml:space="preserve">of November 1, 2023 (except as noted below) for (i) each person known to us to be the beneficial owner of more than 5% of the total number of shares </w:t>
      </w:r>
      <w:r>
        <w:rPr>
          <w:rFonts w:ascii="Arial Narrow;sans-serif" w:hAnsi="Arial Narrow;sans-serif"/>
          <w:b w:val="false"/>
          <w:color w:val="000000"/>
          <w:sz w:val="20"/>
        </w:rPr>
        <w:t>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1104"/>
        <w:gridCol w:w="946"/>
        <w:gridCol w:w="952"/>
        <w:gridCol w:w="383"/>
        <w:gridCol w:w="383"/>
        <w:gridCol w:w="216"/>
        <w:gridCol w:w="109"/>
        <w:gridCol w:w="109"/>
        <w:gridCol w:w="109"/>
        <w:gridCol w:w="109"/>
        <w:gridCol w:w="109"/>
        <w:gridCol w:w="109"/>
        <w:gridCol w:w="109"/>
        <w:gridCol w:w="109"/>
        <w:gridCol w:w="109"/>
        <w:gridCol w:w="247"/>
        <w:gridCol w:w="249"/>
        <w:gridCol w:w="324"/>
        <w:gridCol w:w="109"/>
        <w:gridCol w:w="109"/>
        <w:gridCol w:w="109"/>
        <w:gridCol w:w="109"/>
        <w:gridCol w:w="109"/>
        <w:gridCol w:w="109"/>
        <w:gridCol w:w="109"/>
        <w:gridCol w:w="109"/>
        <w:gridCol w:w="109"/>
        <w:gridCol w:w="383"/>
        <w:gridCol w:w="383"/>
        <w:gridCol w:w="216"/>
        <w:gridCol w:w="110"/>
        <w:gridCol w:w="110"/>
        <w:gridCol w:w="110"/>
        <w:gridCol w:w="203"/>
        <w:gridCol w:w="203"/>
        <w:gridCol w:w="324"/>
        <w:gridCol w:w="109"/>
        <w:gridCol w:w="109"/>
        <w:gridCol w:w="109"/>
        <w:gridCol w:w="248"/>
        <w:gridCol w:w="226"/>
        <w:gridCol w:w="596"/>
      </w:tblGrid>
      <w:tr>
        <w:trPr/>
        <w:tc>
          <w:tcPr>
            <w:tcW w:w="110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B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Beneficial Owner</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Voting Percent</w:t>
            </w:r>
          </w:p>
        </w:tc>
      </w:tr>
      <w:tr>
        <w:trPr/>
        <w:tc>
          <w:tcPr>
            <w:tcW w:w="3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MS Pawn Limited Partnership (a)</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MS Pawn Corporation</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Phillip Ean Cohen</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2500 Bee Cave Road </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Bldg One, Suite 200</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Rollingwood,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2,974,047 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Blackrock Inc.</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50 Hudson Yards</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New York, New York 10001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9,969,427 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360"/>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Dimensional Fund Advisors LP</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6300 Bee Cave Road, Building One</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Austin,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4,295,279 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Vanguard Group Inc.</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P.O. Box 2600, V26</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Valley Forge, Pennsylvania 19482-2600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3,265,706 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642,454 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215,102 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117,317 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Lisa VanRoekel</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Directors and executive officers as a group (14 persons)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5,179,716 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30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(a)MS Pawn Corporation is the general partner of MS Pawn Limited Partnership and has the sole right to vote its shares of Class B Common Stock and to direct their disposition. Mr. Cohen is the sole stockholder of MS Pawn Corporation.</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(b)The number of shares and percentage reflect Class A Common Stock, inclusive of Class B Common Stock, shares of which are convertible to Class A Common Stock on a one-to-one basis.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(c)As of September 30, 2023 based on Form 13F.</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(d)Includes 159,046 unvested restricted stock units expected to vest within 60 days of November 1, 2023.</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(e)114,017 of these shares are held by a revocable trust of which Mr, Kulas is a co-trustee. </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(f)Includes 78,462 unvested restricted stock units expected to vest within 60 days of November 1, 2023.</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(g)Includes 79,524 unvested restricted stock units expected to vest within 60 days of November 1, 2023.</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(h)Includes 74,222 unvested restricted stock units expected to vest within 60 days of November 1, 2023.</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(i)Group includes those persons who were serving as directors and executive officers on November 1, 2023. Number shown includes 661,547 unvested restricted stock units expected to vest within 60 days of November 1, 2023.</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Shares beneficially owned do not exceed one percent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13. CERTAIN RELATIONSHIPS AND RELATED TRANSACTIONS, AND DIRECTOR INDEPENDENCE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Related Party Transactions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Review and Approval of Transactions with Related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Employment arrangement with Nicholas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Nicholas Cohen, the son of Phillip E. Cohen, the beneficial owner of all of our Class B Voting Common Stock and our Executive Chairman, has been an employee of the Company since May 2018, currently serving in the position of Vice President, Business Development. The Company considers the employment relationship with Nicholas Cohen to be a related party transaction that is subject to the Company’s Policy for Review and Evaluation of Related Party Transactions. Accordingly, the Audit Committee reviews and approves all promotion opportunities and compensation changes for Nicholas Cohen.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has evaluated all relationships between the Company and each of the persons who served as a director during any portion of fiscal 2023 and has made the following determinations with respect to each director’s independence:</w:t>
      </w:r>
    </w:p>
    <w:tbl>
      <w:tblPr>
        <w:tblW w:w="3236"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402"/>
        <w:gridCol w:w="402"/>
        <w:gridCol w:w="57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Status (a)</w:t>
            </w:r>
          </w:p>
        </w:tc>
      </w:tr>
      <w:tr>
        <w:trPr/>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bl>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(a)The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(b)Mr. Cohen and Mr. Given were executive officers of the Company during all of fiscal 2023, and Mr. Kulas was an executive officer of the Company from February 2020 until January 2022. Therefore, they are not independent in accordance with the standards set forth in the Nasdaq Listing Rules.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14. PRINCIPAL ACCOUNTANT FEES AND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all fees we incurred in connection with professional services provided by BDO USA, P.C. for fiscal 2023 and 2022:</w:t>
      </w:r>
    </w:p>
    <w:tbl>
      <w:tblPr>
        <w:tblW w:w="9980" w:type="dxa"/>
        <w:jc w:val="left"/>
        <w:tblInd w:w="0" w:type="dxa"/>
        <w:tblLayout w:type="fixed"/>
        <w:tblCellMar>
          <w:top w:w="28" w:type="dxa"/>
          <w:left w:w="28" w:type="dxa"/>
          <w:bottom w:w="28" w:type="dxa"/>
          <w:right w:w="28" w:type="dxa"/>
        </w:tblCellMar>
      </w:tblPr>
      <w:tblGrid>
        <w:gridCol w:w="2595"/>
        <w:gridCol w:w="2281"/>
        <w:gridCol w:w="2293"/>
        <w:gridCol w:w="109"/>
        <w:gridCol w:w="109"/>
        <w:gridCol w:w="109"/>
        <w:gridCol w:w="181"/>
        <w:gridCol w:w="766"/>
        <w:gridCol w:w="109"/>
        <w:gridCol w:w="109"/>
        <w:gridCol w:w="109"/>
        <w:gridCol w:w="109"/>
        <w:gridCol w:w="181"/>
        <w:gridCol w:w="766"/>
        <w:gridCol w:w="154"/>
      </w:tblGrid>
      <w:tr>
        <w:trPr/>
        <w:tc>
          <w:tcPr>
            <w:tcW w:w="259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 Ended September 30,</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of financial statements and audit pursuant to section 404 of the Sarbanes-Oxley Act and quarterly reviews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1,767,000 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1,604,000 </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Audit Committee has adopted a policy requiring its pre-approval of all fees to be paid to our independent audit firm, regardless of the type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15. EXHIBITS AND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The following documents are filed as a part of this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consolidated financial statements of EZCORP, Inc. are included in “Part II — Item 8 — Financial Statements and Supplementary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Report of Independent Registered Public Accounting Firm (2023 and 2022) — BDO USA, P.C.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Balance Sheets as of September 30, 2023 and 2022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Operations for each of the three years in the period ended September 30,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Comprehensive Income for each of the three years in the period ended September 30,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Cash Flows for each of the three years in the period ended September 30,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Stockholders’ Equity for each of the three years in the period ended September 30,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Notes to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statement schedules are omitted because they are not required or are not applicable, or the required information is provided in the consolidated financial statements or notes described in Item 15(a)(1)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16. FORM 10-K SUMMARY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Exhibits</w:t>
      </w:r>
    </w:p>
    <w:tbl>
      <w:tblPr>
        <w:tblW w:w="10205" w:type="dxa"/>
        <w:jc w:val="left"/>
        <w:tblInd w:w="0" w:type="dxa"/>
        <w:tblLayout w:type="fixed"/>
        <w:tblCellMar>
          <w:top w:w="28" w:type="dxa"/>
          <w:left w:w="28" w:type="dxa"/>
          <w:bottom w:w="28" w:type="dxa"/>
          <w:right w:w="28" w:type="dxa"/>
        </w:tblCellMar>
      </w:tblPr>
      <w:tblGrid>
        <w:gridCol w:w="234"/>
        <w:gridCol w:w="205"/>
        <w:gridCol w:w="206"/>
        <w:gridCol w:w="1852"/>
        <w:gridCol w:w="1774"/>
        <w:gridCol w:w="1783"/>
        <w:gridCol w:w="109"/>
        <w:gridCol w:w="109"/>
        <w:gridCol w:w="109"/>
        <w:gridCol w:w="160"/>
        <w:gridCol w:w="160"/>
        <w:gridCol w:w="161"/>
        <w:gridCol w:w="218"/>
        <w:gridCol w:w="181"/>
        <w:gridCol w:w="150"/>
        <w:gridCol w:w="200"/>
        <w:gridCol w:w="200"/>
        <w:gridCol w:w="201"/>
        <w:gridCol w:w="402"/>
        <w:gridCol w:w="287"/>
        <w:gridCol w:w="268"/>
        <w:gridCol w:w="109"/>
        <w:gridCol w:w="109"/>
        <w:gridCol w:w="109"/>
        <w:gridCol w:w="264"/>
        <w:gridCol w:w="264"/>
        <w:gridCol w:w="38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18"/>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18"/>
                  <w:u w:val="single"/>
                </w:rPr>
                <w:t>Certificate of Amendment, dated March 25, 2014, to the Company’s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March 25,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18"/>
                  <w:u w:val="single"/>
                </w:rPr>
                <w:t>Amended and Restated By-Laws, effective July 20,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22,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Specimen of Class A Non-voting Common Stock Certificate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S-1</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33-41317</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August 23, 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18"/>
                  <w:u w:val="single"/>
                </w:rPr>
                <w:t>Description of EZCORP, Inc. Class A Non-voting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18"/>
                  <w:u w:val="single"/>
                </w:rPr>
                <w:t>Indenture, dated July 5, 2017, between EZCORP, Inc., and Wells Fargo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6,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18"/>
                  <w:u w:val="single"/>
                </w:rPr>
                <w:t>Indenture, dated May 14, 2018, between EZCORP, Inc., and Wells Fargo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18"/>
                  <w:u w:val="single"/>
                </w:rPr>
                <w:t>Successor Trustee Agreement, dated September 12, 2019, Between EZCORP, Inc., and Wells Fargo Bank, National Association, as prior trustee, and Branch Banking and Trust Company, as successor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7,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18"/>
                  <w:u w:val="single"/>
                </w:rPr>
                <w:t>Indenture, dated December 12, 2022, between EZCORP, Inc. and Truist Bank,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18"/>
                  <w:u w:val="single"/>
                </w:rPr>
                <w:t>EZCORP, Inc. Supplemental Executive Retirement Plan effective December 1, 2005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10.94</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18"/>
                  <w:u w:val="single"/>
                </w:rPr>
                <w:t>Amended and Restated EZCORP, Inc. 2010 Long-Term Incentive Plan, Effective November 28, 2018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29,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18"/>
                  <w:u w:val="single"/>
                </w:rPr>
                <w:t>Form of Protection of Sensitive Information, Noncompetition and Nonsolicitation Agreement between the Company and certain employees, including the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18"/>
                  <w:u w:val="single"/>
                </w:rPr>
                <w:t>Form of Restricted Stock Award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10.17</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18"/>
                  <w:u w:val="single"/>
                </w:rPr>
                <w:t>Amended and Restated EZCORP, Inc. 2022 Long-term Incentive Plan, Effective November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18"/>
                  <w:u w:val="single"/>
                </w:rPr>
                <w:t>EZCORP, Inc. Change in Control Severance Plan, Effective November 15,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18"/>
                  <w:u w:val="single"/>
                </w:rPr>
                <w:t>Amendment to Amended and Restated EZCORP, Inc. 2010 Long-Term Incentive Plan, Effective November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10.8*</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4lpgukemploymentcon.htm">
              <w:r>
                <w:rPr>
                  <w:rStyle w:val="InternetLink"/>
                  <w:rFonts w:ascii="Arial Narrow;sans-serif" w:hAnsi="Arial Narrow;sans-serif"/>
                  <w:b w:val="false"/>
                  <w:color w:val="000080"/>
                  <w:sz w:val="18"/>
                  <w:u w:val="single"/>
                </w:rPr>
                <w:t xml:space="preserve">Employment Contract, dated November </w:t>
              </w:r>
            </w:hyperlink>
            <w:hyperlink w:anchor="a2023-q4lpgukemploymentcon.htm">
              <w:r>
                <w:rPr>
                  <w:rStyle w:val="InternetLink"/>
                  <w:rFonts w:ascii="Arial Narrow;sans-serif" w:hAnsi="Arial Narrow;sans-serif"/>
                  <w:b w:val="false"/>
                  <w:color w:val="000080"/>
                  <w:sz w:val="18"/>
                  <w:u w:val="single"/>
                </w:rPr>
                <w:t>1</w:t>
              </w:r>
            </w:hyperlink>
            <w:hyperlink w:anchor="a2023-q4lpgukemploymentcon.htm">
              <w:r>
                <w:rPr>
                  <w:rStyle w:val="InternetLink"/>
                  <w:rFonts w:ascii="Arial Narrow;sans-serif" w:hAnsi="Arial Narrow;sans-serif"/>
                  <w:b w:val="false"/>
                  <w:color w:val="000080"/>
                  <w:sz w:val="18"/>
                  <w:u w:val="single"/>
                </w:rPr>
                <w:t>4</w:t>
              </w:r>
            </w:hyperlink>
            <w:hyperlink w:anchor="a2023-q4lpgukemploymentcon.htm">
              <w:r>
                <w:rPr>
                  <w:rStyle w:val="InternetLink"/>
                  <w:rFonts w:ascii="Arial Narrow;sans-serif" w:hAnsi="Arial Narrow;sans-serif"/>
                  <w:b w:val="false"/>
                  <w:color w:val="000080"/>
                  <w:sz w:val="18"/>
                  <w:u w:val="single"/>
                </w:rPr>
                <w:t>, 2023, between EZCORP UK Limited and Lachlan P. Given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410xkex211listofsub.htm">
              <w:r>
                <w:rPr>
                  <w:rStyle w:val="InternetLink"/>
                  <w:rFonts w:ascii="Arial Narrow;sans-serif" w:hAnsi="Arial Narrow;sans-serif"/>
                  <w:b w:val="false"/>
                  <w:color w:val="0000FF"/>
                  <w:sz w:val="18"/>
                  <w:u w:val="single"/>
                </w:rPr>
                <w:t>List of Subsidiaries of EZCORP,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410xqex231.htm">
              <w:r>
                <w:rPr>
                  <w:rStyle w:val="InternetLink"/>
                  <w:rFonts w:ascii="Arial Narrow;sans-serif" w:hAnsi="Arial Narrow;sans-serif"/>
                  <w:b w:val="false"/>
                  <w:color w:val="000080"/>
                  <w:sz w:val="18"/>
                  <w:u w:val="single"/>
                </w:rPr>
                <w:t xml:space="preserve">Consent of BDO USA, </w:t>
              </w:r>
            </w:hyperlink>
            <w:hyperlink w:anchor="a2023-q410xqex231.htm">
              <w:r>
                <w:rPr>
                  <w:rStyle w:val="InternetLink"/>
                  <w:rFonts w:ascii="Arial Narrow;sans-serif" w:hAnsi="Arial Narrow;sans-serif"/>
                  <w:b w:val="false"/>
                  <w:color w:val="000080"/>
                  <w:sz w:val="18"/>
                  <w:u w:val="single"/>
                </w:rPr>
                <w:t>P.C.</w:t>
              </w:r>
            </w:hyperlink>
            <w:hyperlink w:anchor="a2023-q410xqex231.htm">
              <w:r>
                <w:rPr>
                  <w:rStyle w:val="InternetLink"/>
                  <w:rFonts w:ascii="Arial Narrow;sans-serif" w:hAnsi="Arial Narrow;sans-serif"/>
                  <w:b w:val="false"/>
                  <w:color w:val="000080"/>
                  <w:sz w:val="18"/>
                  <w:u w:val="single"/>
                </w:rPr>
                <w:t>,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4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4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410xqex321.htm">
              <w:r>
                <w:rPr>
                  <w:rStyle w:val="InternetLink"/>
                  <w:rFonts w:ascii="Arial Narrow;sans-serif" w:hAnsi="Arial Narrow;sans-serif"/>
                  <w:b w:val="false"/>
                  <w:color w:val="0000FF"/>
                  <w:sz w:val="18"/>
                  <w:u w:val="single"/>
                </w:rPr>
                <w:t xml:space="preserve">Certification of the Principal Executive Officer and Principal Financial Officer pursuant to 18 U.S.C. Section 1350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Identifies Exhibit that consists of or includes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344145f0e3ac4919ba563ac29ddc2b3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889" w:type="dxa"/>
        <w:jc w:val="left"/>
        <w:tblInd w:w="0" w:type="dxa"/>
        <w:tblLayout w:type="fixed"/>
        <w:tblCellMar>
          <w:top w:w="28" w:type="dxa"/>
          <w:left w:w="28" w:type="dxa"/>
          <w:bottom w:w="28" w:type="dxa"/>
          <w:right w:w="28" w:type="dxa"/>
        </w:tblCellMar>
      </w:tblPr>
      <w:tblGrid>
        <w:gridCol w:w="627"/>
        <w:gridCol w:w="552"/>
        <w:gridCol w:w="560"/>
        <w:gridCol w:w="172"/>
        <w:gridCol w:w="172"/>
        <w:gridCol w:w="172"/>
        <w:gridCol w:w="473"/>
        <w:gridCol w:w="473"/>
        <w:gridCol w:w="688"/>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Date: November 15, 2023</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By: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r>
    </w:tbl>
    <w:p>
      <w:pPr>
        <w:pStyle w:val="TextBody"/>
        <w:bidi w:val="0"/>
        <w:spacing w:before="240" w:after="283"/>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23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148"/>
        <w:gridCol w:w="1148"/>
        <w:gridCol w:w="1168"/>
        <w:gridCol w:w="109"/>
        <w:gridCol w:w="109"/>
        <w:gridCol w:w="109"/>
        <w:gridCol w:w="402"/>
        <w:gridCol w:w="402"/>
        <w:gridCol w:w="57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Date</w:t>
            </w:r>
          </w:p>
        </w:tc>
      </w:tr>
      <w:tr>
        <w:trPr/>
        <w:tc>
          <w:tcPr>
            <w:tcW w:w="17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 (principal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Robbie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15, 2023</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Robert J.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111</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Dated 14 November 2023</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720"/>
        <w:jc w:val="center"/>
        <w:rPr>
          <w:rFonts w:ascii="Times New Roman;sans-serif" w:hAnsi="Times New Roman;sans-serif"/>
          <w:b/>
          <w:color w:val="000000"/>
          <w:sz w:val="22"/>
        </w:rPr>
      </w:pPr>
      <w:r>
        <w:rPr>
          <w:rFonts w:ascii="Times New Roman;sans-serif" w:hAnsi="Times New Roman;sans-serif"/>
          <w:b/>
          <w:color w:val="000000"/>
          <w:sz w:val="22"/>
        </w:rPr>
        <w:t>EZCORP UK LIMITED</w:t>
      </w:r>
    </w:p>
    <w:p>
      <w:pPr>
        <w:pStyle w:val="TextBody"/>
        <w:bidi w:val="0"/>
        <w:spacing w:lineRule="auto" w:line="240" w:before="0" w:after="72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40" w:before="0" w:after="720"/>
        <w:jc w:val="center"/>
        <w:rPr>
          <w:rFonts w:ascii="Times New Roman;sans-serif" w:hAnsi="Times New Roman;sans-serif"/>
          <w:b/>
          <w:color w:val="000000"/>
          <w:sz w:val="22"/>
        </w:rPr>
      </w:pPr>
      <w:r>
        <w:rPr>
          <w:rFonts w:ascii="Times New Roman;sans-serif" w:hAnsi="Times New Roman;sans-serif"/>
          <w:b/>
          <w:color w:val="000000"/>
          <w:sz w:val="22"/>
        </w:rPr>
        <w:t>Lachlan P. Given</w:t>
      </w:r>
    </w:p>
    <w:p>
      <w:pPr>
        <w:pStyle w:val="TextBody"/>
        <w:bidi w:val="0"/>
        <w:spacing w:before="0" w:after="72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________________________________________</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EMPLOYMENT CONTRACT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________________________________________</w:t>
      </w:r>
    </w:p>
    <w:p>
      <w:pPr>
        <w:pStyle w:val="TextBody"/>
        <w:bidi w:val="0"/>
        <w:spacing w:before="0" w:after="720"/>
        <w:jc w:val="center"/>
        <w:rPr/>
      </w:pPr>
      <w:r>
        <w:rPr/>
      </w:r>
    </w:p>
    <w:p>
      <w:pPr>
        <w:pStyle w:val="TextBody"/>
        <w:bidi w:val="0"/>
        <w:spacing w:before="0" w:after="720"/>
        <w:jc w:val="center"/>
        <w:rPr/>
      </w:pPr>
      <w:r>
        <w:rPr/>
      </w:r>
    </w:p>
    <w:p>
      <w:pPr>
        <w:pStyle w:val="TextBody"/>
        <w:bidi w:val="0"/>
        <w:spacing w:before="0" w:after="720"/>
        <w:jc w:val="center"/>
        <w:rPr/>
      </w:pPr>
      <w:r>
        <w:rPr/>
      </w:r>
    </w:p>
    <w:p>
      <w:pPr>
        <w:pStyle w:val="TextBody"/>
        <w:bidi w:val="0"/>
        <w:spacing w:before="0" w:after="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Clause    Page</w:t>
      </w:r>
    </w:p>
    <w:tbl>
      <w:tblPr>
        <w:tblW w:w="4845" w:type="dxa"/>
        <w:jc w:val="left"/>
        <w:tblInd w:w="0" w:type="dxa"/>
        <w:tblLayout w:type="fixed"/>
        <w:tblCellMar>
          <w:top w:w="28" w:type="dxa"/>
          <w:left w:w="28" w:type="dxa"/>
          <w:bottom w:w="28" w:type="dxa"/>
          <w:right w:w="28" w:type="dxa"/>
        </w:tblCellMar>
      </w:tblPr>
      <w:tblGrid>
        <w:gridCol w:w="1614"/>
        <w:gridCol w:w="1417"/>
        <w:gridCol w:w="1423"/>
        <w:gridCol w:w="114"/>
        <w:gridCol w:w="114"/>
        <w:gridCol w:w="163"/>
      </w:tblGrid>
      <w:tr>
        <w:trPr/>
        <w:tc>
          <w:tcPr>
            <w:tcW w:w="16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w:t>
            </w:r>
            <w:r>
              <w:rPr>
                <w:color w:val="000000"/>
              </w:rPr>
              <w:t>    </w:t>
            </w:r>
            <w:r>
              <w:rPr>
                <w:rFonts w:ascii="Times New Roman;sans-serif" w:hAnsi="Times New Roman;sans-serif"/>
                <w:b w:val="false"/>
                <w:color w:val="0000FF"/>
                <w:sz w:val="24"/>
                <w:u w:val="single"/>
              </w:rPr>
              <w:t>Definitions and 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w:t>
            </w:r>
            <w:r>
              <w:rPr>
                <w:color w:val="000000"/>
              </w:rPr>
              <w:t>    </w:t>
            </w:r>
            <w:r>
              <w:rPr>
                <w:rFonts w:ascii="Times New Roman;sans-serif" w:hAnsi="Times New Roman;sans-serif"/>
                <w:b w:val="false"/>
                <w:color w:val="0000FF"/>
                <w:sz w:val="24"/>
                <w:u w:val="single"/>
              </w:rPr>
              <w:t>Term of appointment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3.</w:t>
            </w:r>
            <w:r>
              <w:rPr>
                <w:color w:val="000000"/>
              </w:rPr>
              <w:t>    </w:t>
            </w:r>
            <w:r>
              <w:rPr>
                <w:rFonts w:ascii="Times New Roman;sans-serif" w:hAnsi="Times New Roman;sans-serif"/>
                <w:b w:val="false"/>
                <w:color w:val="0000FF"/>
                <w:sz w:val="24"/>
                <w:u w:val="single"/>
              </w:rPr>
              <w:t>Employee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4.</w:t>
            </w:r>
            <w:r>
              <w:rPr>
                <w:color w:val="000000"/>
              </w:rPr>
              <w:t>    </w:t>
            </w:r>
            <w:r>
              <w:rPr>
                <w:rFonts w:ascii="Times New Roman;sans-serif" w:hAnsi="Times New Roman;sans-serif"/>
                <w:b w:val="false"/>
                <w:color w:val="0000FF"/>
                <w:sz w:val="24"/>
                <w:u w:val="single"/>
              </w:rPr>
              <w:t>Duties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5.</w:t>
            </w:r>
            <w:r>
              <w:rPr>
                <w:color w:val="000000"/>
              </w:rPr>
              <w:t>    </w:t>
            </w:r>
            <w:r>
              <w:rPr>
                <w:rFonts w:ascii="Times New Roman;sans-serif" w:hAnsi="Times New Roman;sans-serif"/>
                <w:b w:val="false"/>
                <w:color w:val="0000FF"/>
                <w:sz w:val="24"/>
                <w:u w:val="single"/>
              </w:rPr>
              <w:t>Place of work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6.</w:t>
            </w:r>
            <w:r>
              <w:rPr>
                <w:color w:val="000000"/>
              </w:rPr>
              <w:t>    </w:t>
            </w:r>
            <w:r>
              <w:rPr>
                <w:rFonts w:ascii="Times New Roman;sans-serif" w:hAnsi="Times New Roman;sans-serif"/>
                <w:b w:val="false"/>
                <w:color w:val="0000FF"/>
                <w:sz w:val="24"/>
                <w:u w:val="single"/>
              </w:rPr>
              <w:t>Hours of work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7.</w:t>
            </w:r>
            <w:r>
              <w:rPr>
                <w:color w:val="000000"/>
              </w:rPr>
              <w:t>    </w:t>
            </w:r>
            <w:r>
              <w:rPr>
                <w:rFonts w:ascii="Times New Roman;sans-serif" w:hAnsi="Times New Roman;sans-serif"/>
                <w:b w:val="false"/>
                <w:color w:val="0000FF"/>
                <w:sz w:val="24"/>
                <w:u w:val="single"/>
              </w:rPr>
              <w:t>Salary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8.</w:t>
            </w:r>
            <w:r>
              <w:rPr>
                <w:color w:val="000000"/>
              </w:rPr>
              <w:t>    </w:t>
            </w:r>
            <w:r>
              <w:rPr>
                <w:rFonts w:ascii="Times New Roman;sans-serif" w:hAnsi="Times New Roman;sans-serif"/>
                <w:b w:val="false"/>
                <w:color w:val="0000FF"/>
                <w:sz w:val="24"/>
                <w:u w:val="single"/>
              </w:rPr>
              <w:t>Short Term Incentive Compensation Plan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9.</w:t>
            </w:r>
            <w:r>
              <w:rPr>
                <w:color w:val="000000"/>
              </w:rPr>
              <w:t>    </w:t>
            </w:r>
            <w:r>
              <w:rPr>
                <w:rFonts w:ascii="Times New Roman;sans-serif" w:hAnsi="Times New Roman;sans-serif"/>
                <w:b w:val="false"/>
                <w:color w:val="0000FF"/>
                <w:sz w:val="24"/>
                <w:u w:val="single"/>
              </w:rPr>
              <w:t>Long Term Incentive 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10.</w:t>
            </w:r>
            <w:r>
              <w:rPr>
                <w:color w:val="000000"/>
              </w:rPr>
              <w:t>    </w:t>
            </w:r>
            <w:r>
              <w:rPr>
                <w:rFonts w:ascii="Times New Roman;sans-serif" w:hAnsi="Times New Roman;sans-serif"/>
                <w:b w:val="false"/>
                <w:color w:val="0000FF"/>
                <w:sz w:val="24"/>
                <w:u w:val="single"/>
              </w:rPr>
              <w:t>Training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11.</w:t>
            </w:r>
            <w:r>
              <w:rPr>
                <w:color w:val="000000"/>
              </w:rPr>
              <w:t>    </w:t>
            </w:r>
            <w:r>
              <w:rPr>
                <w:rFonts w:ascii="Times New Roman;sans-serif" w:hAnsi="Times New Roman;sans-serif"/>
                <w:b w:val="false"/>
                <w:color w:val="0000FF"/>
                <w:sz w:val="24"/>
                <w:u w:val="single"/>
              </w:rPr>
              <w:t>Benefits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12.</w:t>
            </w:r>
            <w:r>
              <w:rPr>
                <w:color w:val="000000"/>
              </w:rPr>
              <w:t>    </w:t>
            </w:r>
            <w:r>
              <w:rPr>
                <w:rFonts w:ascii="Times New Roman;sans-serif" w:hAnsi="Times New Roman;sans-serif"/>
                <w:b w:val="false"/>
                <w:color w:val="0000FF"/>
                <w:sz w:val="24"/>
                <w:u w:val="single"/>
              </w:rPr>
              <w:t>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13.</w:t>
            </w:r>
            <w:r>
              <w:rPr>
                <w:color w:val="000000"/>
              </w:rPr>
              <w:t>    </w:t>
            </w:r>
            <w:r>
              <w:rPr>
                <w:rFonts w:ascii="Times New Roman;sans-serif" w:hAnsi="Times New Roman;sans-serif"/>
                <w:b w:val="false"/>
                <w:color w:val="0000FF"/>
                <w:sz w:val="24"/>
                <w:u w:val="single"/>
              </w:rPr>
              <w:t>Holidays and Other paid leave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14.</w:t>
            </w:r>
            <w:r>
              <w:rPr>
                <w:color w:val="000000"/>
              </w:rPr>
              <w:t>    </w:t>
            </w:r>
            <w:r>
              <w:rPr>
                <w:rFonts w:ascii="Times New Roman;sans-serif" w:hAnsi="Times New Roman;sans-serif"/>
                <w:b w:val="false"/>
                <w:color w:val="0000FF"/>
                <w:sz w:val="24"/>
                <w:u w:val="single"/>
              </w:rPr>
              <w:t>Incapacity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15.</w:t>
            </w:r>
            <w:r>
              <w:rPr>
                <w:color w:val="000000"/>
              </w:rPr>
              <w:t>    </w:t>
            </w:r>
            <w:r>
              <w:rPr>
                <w:rFonts w:ascii="Times New Roman;sans-serif" w:hAnsi="Times New Roman;sans-serif"/>
                <w:b w:val="false"/>
                <w:color w:val="0000FF"/>
                <w:sz w:val="24"/>
                <w:u w:val="single"/>
              </w:rPr>
              <w:t>Restrictive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16.</w:t>
            </w:r>
            <w:r>
              <w:rPr>
                <w:color w:val="000000"/>
              </w:rPr>
              <w:t>    </w:t>
            </w:r>
            <w:r>
              <w:rPr>
                <w:rFonts w:ascii="Times New Roman;sans-serif" w:hAnsi="Times New Roman;sans-serif"/>
                <w:b w:val="false"/>
                <w:color w:val="0000FF"/>
                <w:sz w:val="24"/>
                <w:u w:val="single"/>
              </w:rPr>
              <w:t>Payment in lieu of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17.</w:t>
            </w:r>
            <w:r>
              <w:rPr>
                <w:color w:val="000000"/>
              </w:rPr>
              <w:t>    </w:t>
            </w:r>
            <w:r>
              <w:rPr>
                <w:rFonts w:ascii="Times New Roman;sans-serif" w:hAnsi="Times New Roman;sans-serif"/>
                <w:b w:val="false"/>
                <w:color w:val="0000FF"/>
                <w:sz w:val="24"/>
                <w:u w:val="single"/>
              </w:rPr>
              <w:t>Severance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18.</w:t>
            </w:r>
            <w:r>
              <w:rPr>
                <w:color w:val="000000"/>
              </w:rPr>
              <w:t>    </w:t>
            </w:r>
            <w:r>
              <w:rPr>
                <w:rFonts w:ascii="Times New Roman;sans-serif" w:hAnsi="Times New Roman;sans-serif"/>
                <w:b w:val="false"/>
                <w:color w:val="0000FF"/>
                <w:sz w:val="24"/>
                <w:u w:val="single"/>
              </w:rPr>
              <w:t>Termination without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19.</w:t>
            </w:r>
            <w:r>
              <w:rPr>
                <w:color w:val="000000"/>
              </w:rPr>
              <w:t>    </w:t>
            </w:r>
            <w:r>
              <w:rPr>
                <w:rFonts w:ascii="Times New Roman;sans-serif" w:hAnsi="Times New Roman;sans-serif"/>
                <w:b w:val="false"/>
                <w:color w:val="0000FF"/>
                <w:sz w:val="24"/>
                <w:u w:val="single"/>
              </w:rPr>
              <w:t>Garden Leave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20.</w:t>
            </w:r>
            <w:r>
              <w:rPr>
                <w:color w:val="000000"/>
              </w:rPr>
              <w:t>    </w:t>
            </w:r>
            <w:r>
              <w:rPr>
                <w:rFonts w:ascii="Times New Roman;sans-serif" w:hAnsi="Times New Roman;sans-serif"/>
                <w:b w:val="false"/>
                <w:color w:val="0000FF"/>
                <w:sz w:val="24"/>
                <w:u w:val="single"/>
              </w:rPr>
              <w:t>Obligations on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21.</w:t>
            </w:r>
            <w:r>
              <w:rPr>
                <w:color w:val="000000"/>
              </w:rPr>
              <w:t>    </w:t>
            </w:r>
            <w:r>
              <w:rPr>
                <w:rFonts w:ascii="Times New Roman;sans-serif" w:hAnsi="Times New Roman;sans-serif"/>
                <w:b w:val="false"/>
                <w:color w:val="0000FF"/>
                <w:sz w:val="24"/>
                <w:u w:val="single"/>
              </w:rPr>
              <w:t>Disciplinary and grievance procedures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22.</w:t>
            </w:r>
            <w:r>
              <w:rPr>
                <w:color w:val="000000"/>
              </w:rPr>
              <w:t>    </w:t>
            </w:r>
            <w:r>
              <w:rPr>
                <w:rFonts w:ascii="Times New Roman;sans-serif" w:hAnsi="Times New Roman;sans-serif"/>
                <w:b w:val="false"/>
                <w:color w:val="0000FF"/>
                <w:sz w:val="24"/>
                <w:u w:val="single"/>
              </w:rPr>
              <w:t>Pensions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23.</w:t>
            </w:r>
            <w:r>
              <w:rPr>
                <w:color w:val="000000"/>
              </w:rPr>
              <w:t>    </w:t>
            </w:r>
            <w:r>
              <w:rPr>
                <w:rFonts w:ascii="Times New Roman;sans-serif" w:hAnsi="Times New Roman;sans-serif"/>
                <w:b w:val="false"/>
                <w:color w:val="0000FF"/>
                <w:sz w:val="24"/>
                <w:u w:val="single"/>
              </w:rPr>
              <w:t>Data protection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24.</w:t>
            </w:r>
            <w:r>
              <w:rPr>
                <w:color w:val="000000"/>
              </w:rPr>
              <w:t>    </w:t>
            </w:r>
            <w:r>
              <w:rPr>
                <w:rFonts w:ascii="Times New Roman;sans-serif" w:hAnsi="Times New Roman;sans-serif"/>
                <w:b w:val="false"/>
                <w:color w:val="0000FF"/>
                <w:sz w:val="24"/>
                <w:u w:val="single"/>
              </w:rPr>
              <w:t>Collective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25.</w:t>
            </w:r>
            <w:r>
              <w:rPr>
                <w:color w:val="000000"/>
              </w:rPr>
              <w:t>    </w:t>
            </w:r>
            <w:r>
              <w:rPr>
                <w:rFonts w:ascii="Times New Roman;sans-serif" w:hAnsi="Times New Roman;sans-serif"/>
                <w:b w:val="false"/>
                <w:color w:val="0000FF"/>
                <w:sz w:val="24"/>
                <w:u w:val="single"/>
              </w:rPr>
              <w:t>Reconstruction and amalgamation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26.</w:t>
            </w:r>
            <w:r>
              <w:rPr>
                <w:color w:val="000000"/>
              </w:rPr>
              <w:t>    </w:t>
            </w:r>
            <w:r>
              <w:rPr>
                <w:rFonts w:ascii="Times New Roman;sans-serif" w:hAnsi="Times New Roman;sans-serif"/>
                <w:b w:val="false"/>
                <w:color w:val="0000FF"/>
                <w:sz w:val="24"/>
                <w:u w:val="single"/>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27.</w:t>
            </w:r>
            <w:r>
              <w:rPr>
                <w:color w:val="000000"/>
              </w:rPr>
              <w:t>    </w:t>
            </w:r>
            <w:r>
              <w:rPr>
                <w:rFonts w:ascii="Times New Roman;sans-serif" w:hAnsi="Times New Roman;sans-serif"/>
                <w:b w:val="false"/>
                <w:color w:val="0000FF"/>
                <w:sz w:val="24"/>
                <w:u w:val="single"/>
              </w:rPr>
              <w:t>Entire agreement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28.</w:t>
            </w:r>
            <w:r>
              <w:rPr>
                <w:color w:val="000000"/>
              </w:rPr>
              <w:t>    </w:t>
            </w:r>
            <w:r>
              <w:rPr>
                <w:rFonts w:ascii="Times New Roman;sans-serif" w:hAnsi="Times New Roman;sans-serif"/>
                <w:b w:val="false"/>
                <w:color w:val="0000FF"/>
                <w:sz w:val="24"/>
                <w:u w:val="single"/>
              </w:rPr>
              <w:t>Variation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29.</w:t>
            </w:r>
            <w:r>
              <w:rPr>
                <w:color w:val="000000"/>
              </w:rPr>
              <w:t>    </w:t>
            </w:r>
            <w:r>
              <w:rPr>
                <w:rFonts w:ascii="Times New Roman;sans-serif" w:hAnsi="Times New Roman;sans-serif"/>
                <w:b w:val="false"/>
                <w:color w:val="0000FF"/>
                <w:sz w:val="24"/>
                <w:u w:val="single"/>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30.</w:t>
            </w:r>
            <w:r>
              <w:rPr>
                <w:color w:val="000000"/>
              </w:rPr>
              <w:t>    </w:t>
            </w:r>
            <w:r>
              <w:rPr>
                <w:rFonts w:ascii="Times New Roman;sans-serif" w:hAnsi="Times New Roman;sans-serif"/>
                <w:b w:val="false"/>
                <w:color w:val="0000FF"/>
                <w:sz w:val="24"/>
                <w:u w:val="single"/>
              </w:rPr>
              <w:t>Third party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31.</w:t>
            </w:r>
            <w:r>
              <w:rPr>
                <w:color w:val="000000"/>
              </w:rPr>
              <w:t>    </w:t>
            </w:r>
            <w:r>
              <w:rPr>
                <w:rFonts w:ascii="Times New Roman;sans-serif" w:hAnsi="Times New Roman;sans-serif"/>
                <w:b w:val="false"/>
                <w:color w:val="0000FF"/>
                <w:sz w:val="24"/>
                <w:u w:val="single"/>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FF"/>
                <w:sz w:val="24"/>
                <w:u w:val="single"/>
              </w:rPr>
              <w:t>32.</w:t>
            </w:r>
            <w:r>
              <w:rPr>
                <w:color w:val="000000"/>
              </w:rPr>
              <w:t>    </w:t>
            </w:r>
            <w:r>
              <w:rPr>
                <w:rFonts w:ascii="Times New Roman;sans-serif" w:hAnsi="Times New Roman;sans-serif"/>
                <w:b w:val="false"/>
                <w:color w:val="0000FF"/>
                <w:sz w:val="24"/>
                <w:u w:val="single"/>
              </w:rPr>
              <w:t>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120" w:after="120"/>
        <w:jc w:val="both"/>
        <w:rPr/>
      </w:pPr>
      <w:r>
        <w:rPr>
          <w:rFonts w:ascii="Times New Roman;sans-serif" w:hAnsi="Times New Roman;sans-serif"/>
          <w:b/>
          <w:color w:val="000000"/>
          <w:sz w:val="22"/>
        </w:rPr>
        <w:t>THIS AGREEMENT</w:t>
      </w:r>
      <w:r>
        <w:rPr>
          <w:color w:val="000000"/>
        </w:rPr>
        <w:t xml:space="preserve"> </w:t>
      </w:r>
      <w:r>
        <w:rPr>
          <w:rFonts w:ascii="Times New Roman;sans-serif" w:hAnsi="Times New Roman;sans-serif"/>
          <w:b w:val="false"/>
          <w:color w:val="000000"/>
          <w:sz w:val="22"/>
        </w:rPr>
        <w:t>is made on 14 November 2023</w:t>
      </w:r>
    </w:p>
    <w:p>
      <w:pPr>
        <w:pStyle w:val="TextBody"/>
        <w:bidi w:val="0"/>
        <w:spacing w:lineRule="auto" w:line="240" w:before="120" w:after="120"/>
        <w:jc w:val="both"/>
        <w:rPr/>
      </w:pPr>
      <w:r>
        <w:rPr>
          <w:rFonts w:ascii="Times New Roman;sans-serif" w:hAnsi="Times New Roman;sans-serif"/>
          <w:b/>
          <w:color w:val="000000"/>
          <w:sz w:val="22"/>
        </w:rPr>
        <w:t>BETWEEN</w:t>
      </w:r>
      <w:r>
        <w:rPr>
          <w:rFonts w:ascii="Times New Roman;sans-serif" w:hAnsi="Times New Roman;sans-serif"/>
          <w:b w:val="false"/>
          <w:color w:val="000000"/>
          <w:sz w:val="22"/>
        </w:rPr>
        <w:t>:</w:t>
      </w:r>
    </w:p>
    <w:p>
      <w:pPr>
        <w:pStyle w:val="TextBody"/>
        <w:bidi w:val="0"/>
        <w:spacing w:lineRule="auto" w:line="240" w:before="120" w:after="120"/>
        <w:ind w:left="0" w:right="0" w:hanging="720"/>
        <w:jc w:val="both"/>
        <w:rPr/>
      </w:pPr>
      <w:r>
        <w:rPr>
          <w:rFonts w:ascii="Times New Roman;sans-serif" w:hAnsi="Times New Roman;sans-serif"/>
          <w:b w:val="false"/>
          <w:color w:val="000000"/>
          <w:sz w:val="22"/>
        </w:rPr>
        <w:t>(1)EZCORP UK Limited, whose registered office is at 2 New Bailey, 6 Stanley Street, Salford, Greater Manchester, M3 5GS, United Kingdom (“</w:t>
      </w:r>
      <w:r>
        <w:rPr>
          <w:rFonts w:ascii="Times New Roman;sans-serif" w:hAnsi="Times New Roman;sans-serif"/>
          <w:b/>
          <w:color w:val="000000"/>
          <w:sz w:val="22"/>
        </w:rPr>
        <w:t>Employer 1</w:t>
      </w:r>
      <w:r>
        <w:rPr>
          <w:color w:val="000000"/>
        </w:rPr>
        <w:t>”</w:t>
      </w:r>
      <w:r>
        <w:rPr>
          <w:rFonts w:ascii="Times New Roman;sans-serif" w:hAnsi="Times New Roman;sans-serif"/>
          <w:b w:val="false"/>
          <w:color w:val="000000"/>
          <w:sz w:val="22"/>
        </w:rPr>
        <w:t>);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2"/>
        </w:rPr>
        <w:t>(2)</w:t>
      </w:r>
      <w:r>
        <w:rPr>
          <w:rFonts w:ascii="Times New Roman;sans-serif" w:hAnsi="Times New Roman;sans-serif"/>
          <w:b/>
          <w:color w:val="000000"/>
          <w:sz w:val="22"/>
        </w:rPr>
        <w:t>Lachlan P. Given</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shd w:fill="000000" w:val="clear"/>
        </w:rPr>
        <w:t>77 Elgin Crescent Notting Hill</w:t>
      </w:r>
      <w:r>
        <w:rPr>
          <w:rFonts w:ascii="Times New Roman;sans-serif" w:hAnsi="Times New Roman;sans-serif"/>
          <w:b w:val="false"/>
          <w:color w:val="000000"/>
          <w:sz w:val="22"/>
        </w:rPr>
        <w:t xml:space="preserve">, London </w:t>
      </w:r>
      <w:r>
        <w:rPr>
          <w:rFonts w:ascii="Times New Roman;sans-serif" w:hAnsi="Times New Roman;sans-serif"/>
          <w:b w:val="false"/>
          <w:color w:val="000000"/>
          <w:sz w:val="22"/>
          <w:shd w:fill="000000" w:val="clear"/>
        </w:rPr>
        <w:t>W112JE</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Employee</w:t>
      </w:r>
      <w:r>
        <w:rPr>
          <w:color w:val="000000"/>
        </w:rPr>
        <w:t>”</w:t>
      </w:r>
      <w:r>
        <w:rPr>
          <w:rFonts w:ascii="Times New Roman;sans-serif" w:hAnsi="Times New Roman;sans-serif"/>
          <w:b w:val="false"/>
          <w:color w:val="000000"/>
          <w:sz w:val="22"/>
        </w:rPr>
        <w:t>),</w:t>
      </w:r>
    </w:p>
    <w:p>
      <w:pPr>
        <w:pStyle w:val="TextBody"/>
        <w:bidi w:val="0"/>
        <w:spacing w:lineRule="auto" w:line="240" w:before="120" w:after="120"/>
        <w:jc w:val="both"/>
        <w:rPr/>
      </w:pPr>
      <w:r>
        <w:rPr>
          <w:rFonts w:ascii="Times New Roman;sans-serif" w:hAnsi="Times New Roman;sans-serif"/>
          <w:b w:val="false"/>
          <w:color w:val="000000"/>
          <w:sz w:val="22"/>
        </w:rPr>
        <w:t>(together,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lineRule="auto" w:line="240" w:before="120" w:after="120"/>
        <w:jc w:val="both"/>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Employer has agreed to employee the Employee on and subject to the terms of this Agreement.</w:t>
      </w:r>
    </w:p>
    <w:p>
      <w:pPr>
        <w:pStyle w:val="TextBody"/>
        <w:bidi w:val="0"/>
        <w:spacing w:lineRule="auto" w:line="240" w:before="120" w:after="120"/>
        <w:jc w:val="both"/>
        <w:rPr/>
      </w:pPr>
      <w:r>
        <w:rPr>
          <w:rFonts w:ascii="Times New Roman;sans-serif" w:hAnsi="Times New Roman;sans-serif"/>
          <w:b/>
          <w:color w:val="000000"/>
          <w:sz w:val="22"/>
        </w:rPr>
        <w:t>IT IS AGREED</w:t>
      </w:r>
      <w:r>
        <w:rPr>
          <w:color w:val="000000"/>
        </w:rPr>
        <w:t xml:space="preserve"> </w:t>
      </w:r>
      <w:r>
        <w:rPr>
          <w:rFonts w:ascii="Times New Roman;sans-serif" w:hAnsi="Times New Roman;sans-serif"/>
          <w:b w:val="false"/>
          <w:color w:val="000000"/>
          <w:sz w:val="22"/>
        </w:rPr>
        <w:t>as follows:</w:t>
      </w:r>
    </w:p>
    <w:p>
      <w:pPr>
        <w:pStyle w:val="TextBody"/>
        <w:bidi w:val="0"/>
        <w:spacing w:lineRule="auto" w:line="240" w:before="120" w:after="120"/>
        <w:ind w:left="0" w:right="0" w:hanging="720"/>
        <w:jc w:val="both"/>
        <w:rPr/>
      </w:pPr>
      <w:r>
        <w:rPr>
          <w:rFonts w:ascii="Times New Roman;sans-serif" w:hAnsi="Times New Roman;sans-serif"/>
          <w:b/>
          <w:color w:val="000000"/>
          <w:sz w:val="24"/>
        </w:rPr>
        <w:t>1.</w:t>
      </w:r>
      <w:r>
        <w:rPr>
          <w:rFonts w:ascii="Times New Roman;sans-serif" w:hAnsi="Times New Roman;sans-serif"/>
          <w:b/>
          <w:color w:val="000000"/>
          <w:sz w:val="22"/>
        </w:rPr>
        <w:t>DEFINITIONS AND INTERPRETATION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2"/>
        </w:rPr>
        <w:t>In this Agreement:</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Appointment</w:t>
      </w:r>
      <w:r>
        <w:rPr>
          <w:color w:val="000000"/>
        </w:rPr>
        <w:t>”</w:t>
      </w:r>
      <w:r>
        <w:rPr>
          <w:rFonts w:ascii="Times New Roman;sans-serif" w:hAnsi="Times New Roman;sans-serif"/>
          <w:b w:val="false"/>
          <w:color w:val="000000"/>
          <w:sz w:val="22"/>
        </w:rPr>
        <w:t>: the employment of the Employee by the Employer on the terms of this Agreement.</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Associated Employer</w:t>
      </w:r>
      <w:r>
        <w:rPr>
          <w:color w:val="000000"/>
        </w:rPr>
        <w:t>”</w:t>
      </w:r>
      <w:r>
        <w:rPr>
          <w:rFonts w:ascii="Times New Roman;sans-serif" w:hAnsi="Times New Roman;sans-serif"/>
          <w:b w:val="false"/>
          <w:color w:val="000000"/>
          <w:sz w:val="22"/>
        </w:rPr>
        <w:t>: has the meaning given to it in the Employment Rights Act 1996.</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the board of directors of EZCORP, Inc.</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Capacity</w:t>
      </w:r>
      <w:r>
        <w:rPr>
          <w:color w:val="000000"/>
        </w:rPr>
        <w:t>”</w:t>
      </w:r>
      <w:r>
        <w:rPr>
          <w:rFonts w:ascii="Times New Roman;sans-serif" w:hAnsi="Times New Roman;sans-serif"/>
          <w:b w:val="false"/>
          <w:color w:val="000000"/>
          <w:sz w:val="22"/>
        </w:rPr>
        <w:t>: as agent, consultant, director, employee, owner, partner, shareholder or in any other capacity.</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Commencement Date</w:t>
      </w:r>
      <w:r>
        <w:rPr>
          <w:color w:val="000000"/>
        </w:rPr>
        <w:t>”</w:t>
      </w:r>
      <w:r>
        <w:rPr>
          <w:rFonts w:ascii="Times New Roman;sans-serif" w:hAnsi="Times New Roman;sans-serif"/>
          <w:b w:val="false"/>
          <w:color w:val="000000"/>
          <w:sz w:val="22"/>
        </w:rPr>
        <w:t>: 6 April 2022.</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Garden Leave</w:t>
      </w:r>
      <w:r>
        <w:rPr>
          <w:color w:val="000000"/>
        </w:rPr>
        <w:t>”</w:t>
      </w:r>
      <w:r>
        <w:rPr>
          <w:rFonts w:ascii="Times New Roman;sans-serif" w:hAnsi="Times New Roman;sans-serif"/>
          <w:b w:val="false"/>
          <w:color w:val="000000"/>
          <w:sz w:val="22"/>
        </w:rPr>
        <w:t>: any period during which the Employer has exercised its rights under Clause 19 (</w:t>
      </w:r>
      <w:r>
        <w:rPr>
          <w:rFonts w:ascii="Times New Roman;sans-serif" w:hAnsi="Times New Roman;sans-serif"/>
          <w:b w:val="false"/>
          <w:i/>
          <w:color w:val="000000"/>
          <w:sz w:val="22"/>
        </w:rPr>
        <w:t>Garden Leave</w:t>
      </w:r>
      <w:r>
        <w:rPr>
          <w:rFonts w:ascii="Times New Roman;sans-serif" w:hAnsi="Times New Roman;sans-serif"/>
          <w:b w:val="false"/>
          <w:color w:val="000000"/>
          <w:sz w:val="22"/>
        </w:rPr>
        <w:t>).</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Group</w:t>
      </w:r>
      <w:r>
        <w:rPr>
          <w:color w:val="000000"/>
        </w:rPr>
        <w:t>”</w:t>
      </w:r>
      <w:r>
        <w:rPr>
          <w:rFonts w:ascii="Times New Roman;sans-serif" w:hAnsi="Times New Roman;sans-serif"/>
          <w:b w:val="false"/>
          <w:color w:val="000000"/>
          <w:sz w:val="22"/>
        </w:rPr>
        <w:t>: the Employer, its Subsidiaries or Holding Companies (including EZCORP, Inc.) from time to time and any Subsidiary of any Holding Company from time to time.</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Incapacity</w:t>
      </w:r>
      <w:r>
        <w:rPr>
          <w:color w:val="000000"/>
        </w:rPr>
        <w:t>”</w:t>
      </w:r>
      <w:r>
        <w:rPr>
          <w:rFonts w:ascii="Times New Roman;sans-serif" w:hAnsi="Times New Roman;sans-serif"/>
          <w:b w:val="false"/>
          <w:color w:val="000000"/>
          <w:sz w:val="22"/>
        </w:rPr>
        <w:t>: any sickness, injury or other medical disorder or condition which prevents the Employee from carrying out the Employee’s duties.</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Restricted Business</w:t>
      </w:r>
      <w:r>
        <w:rPr>
          <w:color w:val="000000"/>
        </w:rPr>
        <w:t>”</w:t>
      </w:r>
      <w:r>
        <w:rPr>
          <w:rFonts w:ascii="Times New Roman;sans-serif" w:hAnsi="Times New Roman;sans-serif"/>
          <w:b w:val="false"/>
          <w:color w:val="000000"/>
          <w:sz w:val="22"/>
        </w:rPr>
        <w:t>:</w:t>
      </w:r>
    </w:p>
    <w:p>
      <w:pPr>
        <w:pStyle w:val="TextBody"/>
        <w:bidi w:val="0"/>
        <w:spacing w:lineRule="auto" w:line="240" w:before="12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business of the Employer or any other member of the Group relating to pawn lending operations, including the provision and administration of pawn loans and the operation of pawn stores; and </w:t>
      </w:r>
    </w:p>
    <w:p>
      <w:pPr>
        <w:pStyle w:val="TextBody"/>
        <w:bidi w:val="0"/>
        <w:spacing w:lineRule="auto" w:line="240" w:before="12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(b)such other parts of the business of the Employer or any other member of the Group with which the Employee was involved to a material extent in the six (6) months before Termination.</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Restricted Person</w:t>
      </w:r>
      <w:r>
        <w:rPr>
          <w:color w:val="000000"/>
        </w:rPr>
        <w:t>”</w:t>
      </w:r>
      <w:r>
        <w:rPr>
          <w:rFonts w:ascii="Times New Roman;sans-serif" w:hAnsi="Times New Roman;sans-serif"/>
          <w:b w:val="false"/>
          <w:color w:val="000000"/>
          <w:sz w:val="22"/>
        </w:rPr>
        <w:t>: anyone employed or engaged by, or any person who is a director, officer, partner or member of, the Employer or any member of the Group:</w:t>
      </w:r>
    </w:p>
    <w:p>
      <w:pPr>
        <w:pStyle w:val="TextBody"/>
        <w:bidi w:val="0"/>
        <w:spacing w:lineRule="auto" w:line="240" w:before="0" w:after="2"/>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earning a basic annual salary of USD 100,000 (or equivalent in foreign currency) or</w:t>
      </w:r>
    </w:p>
    <w:p>
      <w:pPr>
        <w:pStyle w:val="TextBody"/>
        <w:bidi w:val="0"/>
        <w:spacing w:lineRule="auto" w:line="240" w:before="0" w:after="2"/>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above; or</w:t>
      </w:r>
    </w:p>
    <w:p>
      <w:pPr>
        <w:pStyle w:val="TextBody"/>
        <w:bidi w:val="0"/>
        <w:spacing w:lineRule="auto" w:line="240" w:before="12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who could materially damage the interests of the Employer or any member of the Group if they were involved in any Capacity in any business concern which competes with any Restricted Business.</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Restrictive Covenant Agreement</w:t>
      </w:r>
      <w:r>
        <w:rPr>
          <w:color w:val="000000"/>
        </w:rPr>
        <w:t>”</w:t>
      </w:r>
      <w:r>
        <w:rPr>
          <w:rFonts w:ascii="Times New Roman;sans-serif" w:hAnsi="Times New Roman;sans-serif"/>
          <w:b w:val="false"/>
          <w:color w:val="000000"/>
          <w:sz w:val="22"/>
        </w:rPr>
        <w:t>: that certain Protection of Sensitive Information, Noncompetition and Nonsolicitation Agreement, dated 6 February 2017, between Employee and EZCORP, Inc.</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SSP</w:t>
      </w:r>
      <w:r>
        <w:rPr>
          <w:color w:val="000000"/>
        </w:rPr>
        <w:t>”</w:t>
      </w:r>
      <w:r>
        <w:rPr>
          <w:rFonts w:ascii="Times New Roman;sans-serif" w:hAnsi="Times New Roman;sans-serif"/>
          <w:b w:val="false"/>
          <w:color w:val="000000"/>
          <w:sz w:val="22"/>
        </w:rPr>
        <w:t>: statutory sick pay.</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Staff Handbook</w:t>
      </w:r>
      <w:r>
        <w:rPr>
          <w:color w:val="000000"/>
        </w:rPr>
        <w:t>”</w:t>
      </w:r>
      <w:r>
        <w:rPr>
          <w:rFonts w:ascii="Times New Roman;sans-serif" w:hAnsi="Times New Roman;sans-serif"/>
          <w:b w:val="false"/>
          <w:color w:val="000000"/>
          <w:sz w:val="22"/>
        </w:rPr>
        <w:t>: any staff handbook that the Employer may have in effect from time to time, as amended from time to time.</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Subsidiary and Holding Company</w:t>
      </w:r>
      <w:r>
        <w:rPr>
          <w:color w:val="000000"/>
        </w:rPr>
        <w:t>”</w:t>
      </w:r>
      <w:r>
        <w:rPr>
          <w:rFonts w:ascii="Times New Roman;sans-serif" w:hAnsi="Times New Roman;sans-serif"/>
          <w:b w:val="false"/>
          <w:color w:val="000000"/>
          <w:sz w:val="22"/>
        </w:rPr>
        <w:t xml:space="preserve">: in relation to a company means “subsidiary” and “holding company” as defined in section 1159 of the Companies Act 2006 and a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pPr>
      <w:r>
        <w:rPr>
          <w:rFonts w:ascii="Times New Roman;sans-serif" w:hAnsi="Times New Roman;sans-serif"/>
          <w:b w:val="false"/>
          <w:color w:val="000000"/>
          <w:sz w:val="22"/>
        </w:rPr>
        <w:t xml:space="preserve">shall be treated, for the purposes only of the membership requirement contained in subsections 1159(1)(b) and (c), as a member of another company even if its shares in that other company are registered in the name of </w:t>
      </w: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2"/>
        </w:rPr>
        <w:t xml:space="preserve">another person (or its nominee), whether by way of security or in connection with the taking of security, or </w:t>
      </w: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2"/>
        </w:rPr>
        <w:t>a nominee.</w:t>
      </w:r>
    </w:p>
    <w:p>
      <w:pPr>
        <w:pStyle w:val="TextBody"/>
        <w:bidi w:val="0"/>
        <w:spacing w:lineRule="auto" w:line="240" w:before="120" w:after="120"/>
        <w:jc w:val="both"/>
        <w:rPr/>
      </w:pPr>
      <w:r>
        <w:rPr>
          <w:color w:val="000000"/>
        </w:rPr>
        <w:t>“</w:t>
      </w:r>
      <w:r>
        <w:rPr>
          <w:rFonts w:ascii="Times New Roman;sans-serif" w:hAnsi="Times New Roman;sans-serif"/>
          <w:b/>
          <w:color w:val="000000"/>
          <w:sz w:val="22"/>
        </w:rPr>
        <w:t>Termination</w:t>
      </w:r>
      <w:r>
        <w:rPr>
          <w:color w:val="000000"/>
        </w:rPr>
        <w:t>”</w:t>
      </w:r>
      <w:r>
        <w:rPr>
          <w:rFonts w:ascii="Times New Roman;sans-serif" w:hAnsi="Times New Roman;sans-serif"/>
          <w:b w:val="false"/>
          <w:color w:val="000000"/>
          <w:sz w:val="22"/>
        </w:rPr>
        <w:t>: the termination of the Employee’s employment with the Employer howsoever caused.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2"/>
        </w:rPr>
        <w:t>The headings in this Agreement are inserted for convenience only and shall not affect its construction.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2"/>
        </w:rPr>
        <w:t>A reference to a particular law is a reference to it as it is in force for the time being taking account of any amendment, extension, or re-enactment and includes any subordinate legislation for the time being in force made under it.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2"/>
        </w:rPr>
        <w:t>Unless the context otherwise requires, a reference to one gender shall include a reference to the other genders.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2"/>
        </w:rPr>
        <w:t>Unless the context otherwise requires, words in the singular include the plural and in the plural include the singular.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2"/>
        </w:rPr>
        <w:t>Any schedules to this Agreement form part of (and are incorporated into) this Agreement.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2"/>
        </w:rPr>
        <w:t>All payments and benefits provided to the Employee under this Agreement shall, to the extent applicable, be subject to deductions for income tax and National Insurance contributions or any other deductions or withholdings required by the laws of any jurisdiction.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2"/>
        </w:rPr>
        <w:t>Any payments (including salary and STI payments) earned by the Employee under this Agreement or any other plan or policy that are expressed in United States Dollars (USD) may be paid by the Employer in British Pounds Sterling pursuant to the prevailing United States Dollar to British Pounds Sterling exchange rate as selected by the Employer on or around the date of each payment.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2"/>
        </w:rPr>
        <w:t>The Parties acknowledge that they have participated jointly in the negotiation and drafting of this Agreement. In the event that a question of interpretation arises (including as to the intention of the Parties), no presumption or burden of proof shall arise in favour of or against any Party based on the authorship of any provisions.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2"/>
        </w:rPr>
        <w:t>In construing this Agreement the so-called “ejusdem generis” rule does not apply and accordingly the interpretation of general words is not restricted by (a) being preceded by words indicating a particular class of acts, matters or things, or (b) being followed by particular examples.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2"/>
        </w:rPr>
        <w:t>A reference to any agreement (including this Agreement) or to any specified provision of any agreement (including this Agreement) is to such agreement or provision as in force for the time being, as amended, modified, supplemented, varied, assigned or novated, from time to time.</w:t>
      </w:r>
    </w:p>
    <w:p>
      <w:pPr>
        <w:pStyle w:val="TextBody"/>
        <w:bidi w:val="0"/>
        <w:spacing w:lineRule="auto" w:line="240" w:before="120" w:after="120"/>
        <w:ind w:left="0" w:right="0" w:hanging="720"/>
        <w:jc w:val="both"/>
        <w:rPr/>
      </w:pPr>
      <w:r>
        <w:rPr>
          <w:rFonts w:ascii="Times New Roman;sans-serif" w:hAnsi="Times New Roman;sans-serif"/>
          <w:b/>
          <w:color w:val="000000"/>
          <w:sz w:val="24"/>
        </w:rPr>
        <w:t>2.</w:t>
      </w:r>
      <w:r>
        <w:rPr>
          <w:rFonts w:ascii="Times New Roman;sans-serif" w:hAnsi="Times New Roman;sans-serif"/>
          <w:b/>
          <w:color w:val="000000"/>
          <w:sz w:val="22"/>
        </w:rPr>
        <w:t>TERM OF APPOINTMENT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2"/>
        </w:rPr>
        <w:t>The Appointment shall commence on the Commencement Date and shall continue, subject to the remaining terms of this Agreement, until terminated by either Party giving the other not less than three (3) months’ prior notice in writing.</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2"/>
        </w:rPr>
        <w:t>The Employee’s prior employment with EZCORP, Inc. (or any wholly-owned subsidiary of EZCORP, Inc.), which commenced on 14 August 2014, counts towards the Employee’s period of continuous employment.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2"/>
        </w:rPr>
        <w:t>The Employee consents to the transfer of the Employee’s employment under this Agreement to an Associated Employer at any time during the Appointment.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2"/>
        </w:rPr>
        <w:t xml:space="preserve">No probationary period applies to the Employee’s employment. </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2"/>
        </w:rPr>
        <w:t xml:space="preserve">The parties acknowledge that the Employee is employed jointly by the Employer and EZCORP Services, Inc., a corporation organized under the laws of the State of Delaware, United States of America (USA) with its principal place of business at 2500 Bee Cave Road, Building One, Suite 200, Rollingwood, Texas USA 78746 and an Associated Employer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pPr>
      <w:r>
        <w:rPr>
          <w:rFonts w:ascii="Times New Roman;sans-serif" w:hAnsi="Times New Roman;sans-serif"/>
          <w:b w:val="false"/>
          <w:color w:val="000000"/>
          <w:sz w:val="22"/>
        </w:rPr>
        <w:t>(“</w:t>
      </w:r>
      <w:r>
        <w:rPr>
          <w:rFonts w:ascii="Times New Roman;sans-serif" w:hAnsi="Times New Roman;sans-serif"/>
          <w:b/>
          <w:color w:val="000000"/>
          <w:sz w:val="22"/>
        </w:rPr>
        <w:t>EZCORP Services</w:t>
      </w:r>
      <w:r>
        <w:rPr>
          <w:color w:val="000000"/>
        </w:rPr>
        <w:t>”</w:t>
      </w:r>
      <w:r>
        <w:rPr>
          <w:rFonts w:ascii="Times New Roman;sans-serif" w:hAnsi="Times New Roman;sans-serif"/>
          <w:b w:val="false"/>
          <w:color w:val="000000"/>
          <w:sz w:val="22"/>
        </w:rPr>
        <w:t xml:space="preserve">). The Employee is considered to be employed by EZCORP Services with respect to the Employee’s duties and responsibilities in the USA, and is considered to be employed by the Employer with respect to the Employee’s duties and responsibilities outside the USA. The Employer and EZCORP Services shall periodically “true up” the compensation payable to Employee under this Agreement (through reimbursements or otherwise) such that EZCORP Services is bearing the compensation related to the Employee’s USA duties and responsibilities and the Employer is bearing the compensation related to the Employee’s non-USA duties and responsibilities. Further, EZCORP Services may provide compensation opportunities to the Employee in addition to the compensation provided for in this Agreement. </w:t>
      </w:r>
    </w:p>
    <w:p>
      <w:pPr>
        <w:pStyle w:val="TextBody"/>
        <w:bidi w:val="0"/>
        <w:spacing w:lineRule="auto" w:line="240" w:before="120" w:after="120"/>
        <w:ind w:left="0" w:right="0" w:hanging="720"/>
        <w:jc w:val="both"/>
        <w:rPr/>
      </w:pPr>
      <w:r>
        <w:rPr>
          <w:rFonts w:ascii="Times New Roman;sans-serif" w:hAnsi="Times New Roman;sans-serif"/>
          <w:b/>
          <w:color w:val="000000"/>
          <w:sz w:val="24"/>
        </w:rPr>
        <w:t>3.</w:t>
      </w:r>
      <w:r>
        <w:rPr>
          <w:rFonts w:ascii="Times New Roman;sans-serif" w:hAnsi="Times New Roman;sans-serif"/>
          <w:b/>
          <w:color w:val="000000"/>
          <w:sz w:val="22"/>
        </w:rPr>
        <w:t>EMPLOYEE WARRANTIES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2"/>
        </w:rPr>
        <w:t>The Employee represents and warrants to the Employer that, by entering into this Agreement or performing any of the Employee’s obligations under it, the Employee will not be in breach of any court order or any express or implied terms of any contract or other obligation binding on the Employee.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2"/>
        </w:rPr>
        <w:t>The Employee represents and warrants to the Employer that the Employee is entitled to work in the United Kingdom without any additional approvals and will notify the Employer immediately if the Employee ceases to be so entitled during the Appointment.</w:t>
      </w:r>
    </w:p>
    <w:p>
      <w:pPr>
        <w:pStyle w:val="TextBody"/>
        <w:bidi w:val="0"/>
        <w:spacing w:lineRule="auto" w:line="240" w:before="120" w:after="120"/>
        <w:ind w:left="0" w:right="0" w:hanging="720"/>
        <w:jc w:val="both"/>
        <w:rPr/>
      </w:pPr>
      <w:r>
        <w:rPr>
          <w:rFonts w:ascii="Times New Roman;sans-serif" w:hAnsi="Times New Roman;sans-serif"/>
          <w:b/>
          <w:color w:val="000000"/>
          <w:sz w:val="24"/>
        </w:rPr>
        <w:t>4.</w:t>
      </w:r>
      <w:r>
        <w:rPr>
          <w:rFonts w:ascii="Times New Roman;sans-serif" w:hAnsi="Times New Roman;sans-serif"/>
          <w:b/>
          <w:color w:val="000000"/>
          <w:sz w:val="22"/>
        </w:rPr>
        <w:t>DUTIES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2"/>
        </w:rPr>
        <w:t>The Employee shall serve the Employer as Chief Executive Officer or such other role as the Employer considers appropriate. The Employee shall report to the Board.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2"/>
        </w:rPr>
        <w:t>During the Appointment, the Employee shall:</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unless prevented by Incapacity, devote the whole of the Employee’s time, attention and abilities to the business of the Employer and, to the extent required by the Employer, the businesses of any member of the Group;</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diligently exercise such powers and perform such duties as may from time to time be assigned to the Employee by the Employer together with such person or persons as the Employer may appoint to act jointly with him;</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comply with all reasonable and lawful directions given to the Employee by the Employer;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promptly make such reports to the Board in connection with the affairs of any member of the Group on such matters and at such times as are reasonably required;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report the Employee’s own wrongdoing and any wrongdoing or proposed wrongdoing of any other employee or director of any member of the Group to the Employee’s supervisor immediately on becoming aware of it;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use the Employee’s best endeavours to promote, protect, develop and extend the business of the members of the Group;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consent to the Employer monitoring and recording any use that the Employee makes of the Employer’s electronic communications systems for the purpose of ensuring that the Employer’s rules are being complied with and for legitimate business purposes.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2"/>
        </w:rPr>
        <w:t>The Employee shall comply with any anti-corruption and bribery policy and related procedures of the Employer at all times.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4.4</w:t>
      </w:r>
      <w:r>
        <w:rPr>
          <w:rFonts w:ascii="Times New Roman;sans-serif" w:hAnsi="Times New Roman;sans-serif"/>
          <w:b w:val="false"/>
          <w:color w:val="000000"/>
          <w:sz w:val="22"/>
        </w:rPr>
        <w:t>The Employer takes a zero-tolerance approach to tax evasion. The Employee must not engage in any form of facilitating tax evasion, whether under UK law or under the law of any foreign country. The Employee must immediately report to EZCORP’s Chief Legal Officer any request or demand from a third party to facilitate the evasion of tax or any concerns that such a request or demand may have been made. The Employee must at all times comply with any of the Employer’s policies in effect from time to time relating to anti-facilitation of tax evasion, anti-corruption or bribery.</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4.5</w:t>
      </w:r>
      <w:r>
        <w:rPr>
          <w:rFonts w:ascii="Times New Roman;sans-serif" w:hAnsi="Times New Roman;sans-serif"/>
          <w:b w:val="false"/>
          <w:color w:val="000000"/>
          <w:sz w:val="22"/>
        </w:rPr>
        <w:t>The Employee shall comply with any rules, policies and procedures set out in any Staff Handbook. The Staff Handbook (if any) does not form part of this Agreement and the Employer may amend it at any time. To the extent that there is any conflict between the terms of this Agreement and any Staff Handbook, this Agreement shall prevail.</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4.6</w:t>
      </w:r>
      <w:r>
        <w:rPr>
          <w:rFonts w:ascii="Times New Roman;sans-serif" w:hAnsi="Times New Roman;sans-serif"/>
          <w:b w:val="false"/>
          <w:color w:val="000000"/>
          <w:sz w:val="22"/>
        </w:rPr>
        <w:t>All documents, manuals, hardware and software provided for the Employee’s use by the Employer, and any data or documents (including copies) produced, maintained or stored on the Employer’s computer systems or other electronic equipment (including mobile phones), remain the property of the Employer.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4.7</w:t>
      </w:r>
      <w:r>
        <w:rPr>
          <w:rFonts w:ascii="Times New Roman;sans-serif" w:hAnsi="Times New Roman;sans-serif"/>
          <w:b w:val="false"/>
          <w:color w:val="000000"/>
          <w:sz w:val="22"/>
        </w:rPr>
        <w:t>If during the Appointment the Employee ceases to be a director of any member of the Group (otherwise than by reason of the Employee’s death, resignation or disqualification pursuant to the articles of association of the relevant Group member, as amended from time to time, or by statute or court order) the Appointment shall continue with the Employee as an employee only and the terms of this Agreement (other than those relating to the holding of the office of director) shall continue in full force and effect. The Employee shall have no claims in respect of such cessation of office</w:t>
      </w:r>
    </w:p>
    <w:p>
      <w:pPr>
        <w:pStyle w:val="TextBody"/>
        <w:bidi w:val="0"/>
        <w:spacing w:lineRule="auto" w:line="240" w:before="120" w:after="120"/>
        <w:ind w:left="0" w:right="0" w:hanging="720"/>
        <w:jc w:val="both"/>
        <w:rPr/>
      </w:pPr>
      <w:r>
        <w:rPr>
          <w:rFonts w:ascii="Times New Roman;sans-serif" w:hAnsi="Times New Roman;sans-serif"/>
          <w:b/>
          <w:color w:val="000000"/>
          <w:sz w:val="24"/>
        </w:rPr>
        <w:t>5.</w:t>
      </w:r>
      <w:r>
        <w:rPr>
          <w:rFonts w:ascii="Times New Roman;sans-serif" w:hAnsi="Times New Roman;sans-serif"/>
          <w:b/>
          <w:color w:val="000000"/>
          <w:sz w:val="22"/>
        </w:rPr>
        <w:t>PLACE OF WORK</w:t>
      </w:r>
    </w:p>
    <w:p>
      <w:pPr>
        <w:pStyle w:val="TextBody"/>
        <w:bidi w:val="0"/>
        <w:spacing w:lineRule="auto" w:line="268" w:before="0" w:after="0"/>
        <w:ind w:left="0" w:right="0" w:hanging="720"/>
        <w:jc w:val="left"/>
        <w:rPr/>
      </w:pPr>
      <w:r>
        <w:rPr>
          <w:rFonts w:ascii="Calibri;sans-serif" w:hAnsi="Calibri;sans-serif"/>
          <w:b w:val="false"/>
          <w:color w:val="000000"/>
          <w:sz w:val="20"/>
        </w:rPr>
        <w:t>5.1</w:t>
      </w:r>
      <w:r>
        <w:rPr>
          <w:rFonts w:ascii="Times New Roman;sans-serif" w:hAnsi="Times New Roman;sans-serif"/>
          <w:b w:val="false"/>
          <w:color w:val="000000"/>
          <w:sz w:val="22"/>
        </w:rPr>
        <w:t xml:space="preserve">The Employee’s normal place of work is the Employee’s home at </w:t>
      </w:r>
      <w:r>
        <w:rPr>
          <w:rFonts w:ascii="Times New Roman;sans-serif" w:hAnsi="Times New Roman;sans-serif"/>
          <w:b w:val="false"/>
          <w:color w:val="000000"/>
          <w:sz w:val="22"/>
          <w:shd w:fill="000000" w:val="clear"/>
        </w:rPr>
        <w:t xml:space="preserve">77 Elgin Crescent Notting Hill, </w:t>
      </w:r>
      <w:r>
        <w:rPr>
          <w:rFonts w:ascii="Times New Roman;sans-serif" w:hAnsi="Times New Roman;sans-serif"/>
          <w:b w:val="false"/>
          <w:color w:val="000000"/>
          <w:sz w:val="22"/>
        </w:rPr>
        <w:t xml:space="preserve">London </w:t>
      </w:r>
      <w:r>
        <w:rPr>
          <w:rFonts w:ascii="Times New Roman;sans-serif" w:hAnsi="Times New Roman;sans-serif"/>
          <w:b w:val="false"/>
          <w:color w:val="000000"/>
          <w:sz w:val="22"/>
          <w:shd w:fill="000000" w:val="clear"/>
        </w:rPr>
        <w:t>W112JE</w:t>
      </w:r>
      <w:r>
        <w:rPr>
          <w:color w:val="000000"/>
        </w:rPr>
        <w:t xml:space="preserve"> </w:t>
      </w:r>
      <w:r>
        <w:rPr>
          <w:rFonts w:ascii="Times New Roman;sans-serif" w:hAnsi="Times New Roman;sans-serif"/>
          <w:b w:val="false"/>
          <w:color w:val="000000"/>
          <w:sz w:val="22"/>
        </w:rPr>
        <w:t>or such other place within the London area which the Employer may reasonably require for the proper performance and exercise of the Employee’s duties.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5.2</w:t>
      </w:r>
      <w:r>
        <w:rPr>
          <w:rFonts w:ascii="Times New Roman;sans-serif" w:hAnsi="Times New Roman;sans-serif"/>
          <w:b w:val="false"/>
          <w:color w:val="000000"/>
          <w:sz w:val="22"/>
        </w:rPr>
        <w:t>The Employee agrees to travel to any member of the Group’s business (both within the United Kingdom or abroad, including the United States) as may be required for the proper performance of the Employee’s duties under the Appointment.</w:t>
      </w:r>
    </w:p>
    <w:p>
      <w:pPr>
        <w:pStyle w:val="TextBody"/>
        <w:bidi w:val="0"/>
        <w:spacing w:lineRule="auto" w:line="240" w:before="120" w:after="120"/>
        <w:ind w:left="0" w:right="0" w:hanging="720"/>
        <w:jc w:val="both"/>
        <w:rPr/>
      </w:pPr>
      <w:r>
        <w:rPr>
          <w:rFonts w:ascii="Times New Roman;sans-serif" w:hAnsi="Times New Roman;sans-serif"/>
          <w:b/>
          <w:color w:val="000000"/>
          <w:sz w:val="24"/>
        </w:rPr>
        <w:t>6.</w:t>
      </w:r>
      <w:r>
        <w:rPr>
          <w:rFonts w:ascii="Times New Roman;sans-serif" w:hAnsi="Times New Roman;sans-serif"/>
          <w:b/>
          <w:color w:val="000000"/>
          <w:sz w:val="22"/>
        </w:rPr>
        <w:t>HOURS OF WORK</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Employee’s normal working hours shall be 9:00am to 6:00pm on Mondays to Fridays inclusive. These normal hours of work are not variable unless a variation is approved in writing by the Employer. The Employee shall also work such additional hours as are necessary for the proper performance of the Employee’s duties. The Employee acknowledges that the Employee shall not receive further remuneration in respect of such additional hours. </w:t>
      </w:r>
    </w:p>
    <w:p>
      <w:pPr>
        <w:pStyle w:val="TextBody"/>
        <w:bidi w:val="0"/>
        <w:spacing w:lineRule="auto" w:line="240" w:before="120" w:after="120"/>
        <w:ind w:left="0" w:right="0" w:hanging="720"/>
        <w:jc w:val="both"/>
        <w:rPr/>
      </w:pPr>
      <w:r>
        <w:rPr>
          <w:rFonts w:ascii="Times New Roman;sans-serif" w:hAnsi="Times New Roman;sans-serif"/>
          <w:b/>
          <w:color w:val="000000"/>
          <w:sz w:val="24"/>
        </w:rPr>
        <w:t>7.</w:t>
      </w:r>
      <w:r>
        <w:rPr>
          <w:rFonts w:ascii="Times New Roman;sans-serif" w:hAnsi="Times New Roman;sans-serif"/>
          <w:b/>
          <w:color w:val="000000"/>
          <w:sz w:val="22"/>
        </w:rPr>
        <w:t>SALARY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7.1</w:t>
      </w:r>
      <w:r>
        <w:rPr>
          <w:rFonts w:ascii="Times New Roman;sans-serif" w:hAnsi="Times New Roman;sans-serif"/>
          <w:b w:val="false"/>
          <w:color w:val="000000"/>
          <w:sz w:val="22"/>
        </w:rPr>
        <w:t>The Employee shall be entitled to an initial salary equivalent to USD 750,000 per annum (inclusive of any fees due to the Employee by any member of the Group as an officer of any member of the Group, if applicable).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7.2</w:t>
      </w:r>
      <w:r>
        <w:rPr>
          <w:rFonts w:ascii="Times New Roman;sans-serif" w:hAnsi="Times New Roman;sans-serif"/>
          <w:b w:val="false"/>
          <w:color w:val="000000"/>
          <w:sz w:val="22"/>
        </w:rPr>
        <w:t xml:space="preserve">The Employee’s salary shall accrue from day to day at a rate of 1/260 of the Employee’s annual salary and be payable monthly in arrears on or about the last day of each month directly into the Employee’s bank or building society. </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7.3</w:t>
      </w:r>
      <w:r>
        <w:rPr>
          <w:rFonts w:ascii="Times New Roman;sans-serif" w:hAnsi="Times New Roman;sans-serif"/>
          <w:b w:val="false"/>
          <w:color w:val="000000"/>
          <w:sz w:val="22"/>
        </w:rPr>
        <w:t>The Employee’s salary shall be reviewed by the Employer annually, anticipated to be on or about 1 October. The Employer is under no obligation to award an increase following a salary review. There will be no review of the salary after notice has been given by either Party to terminate the Appointment.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7.4</w:t>
      </w:r>
      <w:r>
        <w:rPr>
          <w:rFonts w:ascii="Times New Roman;sans-serif" w:hAnsi="Times New Roman;sans-serif"/>
          <w:b w:val="false"/>
          <w:color w:val="000000"/>
          <w:sz w:val="22"/>
        </w:rPr>
        <w:t>The Employer may deduct from the salary, or any other sums owed to the Employee, any money owed to any member of the Group by the Employee.</w:t>
      </w:r>
    </w:p>
    <w:p>
      <w:pPr>
        <w:pStyle w:val="TextBody"/>
        <w:bidi w:val="0"/>
        <w:spacing w:lineRule="auto" w:line="240" w:before="120" w:after="120"/>
        <w:ind w:left="0" w:right="0" w:hanging="720"/>
        <w:jc w:val="both"/>
        <w:rPr/>
      </w:pPr>
      <w:r>
        <w:rPr>
          <w:rFonts w:ascii="Times New Roman;sans-serif" w:hAnsi="Times New Roman;sans-serif"/>
          <w:b/>
          <w:color w:val="000000"/>
          <w:sz w:val="24"/>
        </w:rPr>
        <w:t>8.</w:t>
      </w:r>
      <w:r>
        <w:rPr>
          <w:rFonts w:ascii="Times New Roman;sans-serif" w:hAnsi="Times New Roman;sans-serif"/>
          <w:b/>
          <w:color w:val="000000"/>
          <w:sz w:val="22"/>
        </w:rPr>
        <w:t>SHORT TERM INCENTIVE COMPENSATION PLAN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8.1</w:t>
      </w:r>
      <w:r>
        <w:rPr>
          <w:rFonts w:ascii="Times New Roman;sans-serif" w:hAnsi="Times New Roman;sans-serif"/>
          <w:b w:val="false"/>
          <w:color w:val="000000"/>
          <w:sz w:val="22"/>
        </w:rPr>
        <w:t>During the Appointment, the Employee shall be eligible to participate in, and may be eligible to receive payments from the Employer pursuant to and subject to the terms and conditions of, the EZCORP Short Term Incentive Compensation Plan (“</w:t>
      </w:r>
      <w:r>
        <w:rPr>
          <w:rFonts w:ascii="Times New Roman;sans-serif" w:hAnsi="Times New Roman;sans-serif"/>
          <w:b/>
          <w:color w:val="000000"/>
          <w:sz w:val="22"/>
        </w:rPr>
        <w:t>STI</w:t>
      </w:r>
      <w:r>
        <w:rPr>
          <w:color w:val="000000"/>
        </w:rPr>
        <w:t>”</w:t>
      </w:r>
      <w:r>
        <w:rPr>
          <w:rFonts w:ascii="Times New Roman;sans-serif" w:hAnsi="Times New Roman;sans-serif"/>
          <w:b w:val="false"/>
          <w:color w:val="000000"/>
          <w:sz w:val="22"/>
        </w:rPr>
        <w:t>) for each year during the Appointment, as any such plan may be modified, altered or suspended by EZCORP, Inc. in its discretion from time to time.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8.2</w:t>
      </w:r>
      <w:r>
        <w:rPr>
          <w:rFonts w:ascii="Times New Roman;sans-serif" w:hAnsi="Times New Roman;sans-serif"/>
          <w:b w:val="false"/>
          <w:color w:val="000000"/>
          <w:sz w:val="22"/>
        </w:rPr>
        <w:t>Any STI payment shall not be pensionable.</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color w:val="000000"/>
          <w:sz w:val="24"/>
        </w:rPr>
        <w:t>9.</w:t>
      </w:r>
      <w:r>
        <w:rPr>
          <w:rFonts w:ascii="Times New Roman;sans-serif" w:hAnsi="Times New Roman;sans-serif"/>
          <w:b/>
          <w:color w:val="000000"/>
          <w:sz w:val="22"/>
        </w:rPr>
        <w:t>LONG TERM INCENTIVE COMPENSATION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9.1</w:t>
      </w:r>
      <w:r>
        <w:rPr>
          <w:rFonts w:ascii="Times New Roman;sans-serif" w:hAnsi="Times New Roman;sans-serif"/>
          <w:b w:val="false"/>
          <w:color w:val="000000"/>
          <w:sz w:val="22"/>
        </w:rPr>
        <w:t>During the Appointment, the Employee shall be eligible to participate in, and may be eligible to receive awards from the Employer pursuant to and subject to the terms and conditions of, the EZCORP 2022 Long-Term Incentive Plan (“</w:t>
      </w:r>
      <w:r>
        <w:rPr>
          <w:rFonts w:ascii="Times New Roman;sans-serif" w:hAnsi="Times New Roman;sans-serif"/>
          <w:b/>
          <w:color w:val="000000"/>
          <w:sz w:val="22"/>
        </w:rPr>
        <w:t>LTI</w:t>
      </w:r>
      <w:r>
        <w:rPr>
          <w:color w:val="000000"/>
        </w:rPr>
        <w:t>”</w:t>
      </w:r>
      <w:r>
        <w:rPr>
          <w:rFonts w:ascii="Times New Roman;sans-serif" w:hAnsi="Times New Roman;sans-serif"/>
          <w:b w:val="false"/>
          <w:color w:val="000000"/>
          <w:sz w:val="22"/>
        </w:rPr>
        <w:t>), as such plan may be modified, altered or suspended by EZCORP, Inc. in its discretion from time to time. The amount and timing of any LTI awards shall be determined by the Employer in its discretion.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9.2</w:t>
      </w:r>
      <w:r>
        <w:rPr>
          <w:rFonts w:ascii="Times New Roman;sans-serif" w:hAnsi="Times New Roman;sans-serif"/>
          <w:b w:val="false"/>
          <w:color w:val="000000"/>
          <w:sz w:val="22"/>
        </w:rPr>
        <w:t>Any LTI award shall not be pensionable.</w:t>
      </w:r>
    </w:p>
    <w:p>
      <w:pPr>
        <w:pStyle w:val="TextBody"/>
        <w:bidi w:val="0"/>
        <w:spacing w:lineRule="auto" w:line="240" w:before="120" w:after="120"/>
        <w:ind w:left="0" w:right="0" w:hanging="720"/>
        <w:jc w:val="both"/>
        <w:rPr/>
      </w:pPr>
      <w:r>
        <w:rPr>
          <w:rFonts w:ascii="Times New Roman;sans-serif" w:hAnsi="Times New Roman;sans-serif"/>
          <w:b/>
          <w:color w:val="000000"/>
          <w:sz w:val="24"/>
        </w:rPr>
        <w:t>10.</w:t>
      </w:r>
      <w:r>
        <w:rPr>
          <w:rFonts w:ascii="Times New Roman;sans-serif" w:hAnsi="Times New Roman;sans-serif"/>
          <w:b/>
          <w:color w:val="000000"/>
          <w:sz w:val="22"/>
        </w:rPr>
        <w:t>TRAINING</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10.1</w:t>
      </w:r>
      <w:r>
        <w:rPr>
          <w:rFonts w:ascii="Times New Roman;sans-serif" w:hAnsi="Times New Roman;sans-serif"/>
          <w:b w:val="false"/>
          <w:color w:val="000000"/>
          <w:sz w:val="22"/>
        </w:rPr>
        <w:t>The Employee may be required to undertake certain training during the course of their employment. The costs of any such required training will be paid by the Employer, subject to prior written approval by the Employer. The Employee is also entitled to take part in various training courses which the Employer may provide from time to time in-house.</w:t>
      </w:r>
    </w:p>
    <w:p>
      <w:pPr>
        <w:pStyle w:val="TextBody"/>
        <w:bidi w:val="0"/>
        <w:spacing w:lineRule="auto" w:line="240" w:before="120" w:after="120"/>
        <w:ind w:left="0" w:right="0" w:hanging="720"/>
        <w:jc w:val="both"/>
        <w:rPr/>
      </w:pPr>
      <w:r>
        <w:rPr>
          <w:rFonts w:ascii="Times New Roman;sans-serif" w:hAnsi="Times New Roman;sans-serif"/>
          <w:b/>
          <w:color w:val="000000"/>
          <w:sz w:val="24"/>
        </w:rPr>
        <w:t>11.</w:t>
      </w:r>
      <w:r>
        <w:rPr>
          <w:rFonts w:ascii="Times New Roman;sans-serif" w:hAnsi="Times New Roman;sans-serif"/>
          <w:b/>
          <w:color w:val="000000"/>
          <w:sz w:val="22"/>
        </w:rPr>
        <w:t>BENEFITS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2"/>
        </w:rPr>
        <w:t>The Employee may participate in the Employer’s benefit schemes that are made available from time to time to similarly-situated employees based in the same country as the Employee.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2"/>
        </w:rPr>
        <w:t>The Employee’s participation in any benefit scheme shall be subject in each case to the terms of any applicable insurance policy (as amended from time to time), the rules of the relevant scheme (as amended from time to time), and the Employee (and, where appropriate, the Employee’s spouse or civil partner and children) being eligible to participate in or benefit from such schemes pursuant to their rules at a cost and on terms which are acceptable to the Employer.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2"/>
        </w:rPr>
        <w:t>The Employer may amend, replace or withdraw any benefit schemes at any time.</w:t>
      </w:r>
    </w:p>
    <w:p>
      <w:pPr>
        <w:pStyle w:val="TextBody"/>
        <w:bidi w:val="0"/>
        <w:spacing w:lineRule="auto" w:line="240" w:before="120" w:after="120"/>
        <w:ind w:left="0" w:right="0" w:hanging="720"/>
        <w:jc w:val="both"/>
        <w:rPr/>
      </w:pPr>
      <w:r>
        <w:rPr>
          <w:rFonts w:ascii="Times New Roman;sans-serif" w:hAnsi="Times New Roman;sans-serif"/>
          <w:b/>
          <w:color w:val="000000"/>
          <w:sz w:val="24"/>
        </w:rPr>
        <w:t>12.</w:t>
      </w:r>
      <w:r>
        <w:rPr>
          <w:rFonts w:ascii="Times New Roman;sans-serif" w:hAnsi="Times New Roman;sans-serif"/>
          <w:b/>
          <w:color w:val="000000"/>
          <w:sz w:val="22"/>
        </w:rPr>
        <w:t>EXPENSES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12.1</w:t>
      </w:r>
      <w:r>
        <w:rPr>
          <w:rFonts w:ascii="Times New Roman;sans-serif" w:hAnsi="Times New Roman;sans-serif"/>
          <w:b w:val="false"/>
          <w:color w:val="000000"/>
          <w:sz w:val="22"/>
        </w:rPr>
        <w:t>The Employer shall reimburse (or procure the reimbursement of) all reasonable expenses wholly, properly and necessarily incurred by the Employee in the course of the Appointment, subject to production of VAT receipts or other appropriate evidence of payment.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12.2</w:t>
      </w:r>
      <w:r>
        <w:rPr>
          <w:rFonts w:ascii="Times New Roman;sans-serif" w:hAnsi="Times New Roman;sans-serif"/>
          <w:b w:val="false"/>
          <w:color w:val="000000"/>
          <w:sz w:val="22"/>
        </w:rPr>
        <w:t>The Employee shall abide by the Employer’s policies on expenses as in effect from time to time.</w:t>
      </w:r>
    </w:p>
    <w:p>
      <w:pPr>
        <w:pStyle w:val="TextBody"/>
        <w:bidi w:val="0"/>
        <w:spacing w:lineRule="auto" w:line="240" w:before="120" w:after="120"/>
        <w:ind w:left="0" w:right="0" w:hanging="720"/>
        <w:jc w:val="both"/>
        <w:rPr/>
      </w:pPr>
      <w:r>
        <w:rPr>
          <w:rFonts w:ascii="Times New Roman;sans-serif" w:hAnsi="Times New Roman;sans-serif"/>
          <w:b/>
          <w:color w:val="000000"/>
          <w:sz w:val="24"/>
        </w:rPr>
        <w:t>13.</w:t>
      </w:r>
      <w:r>
        <w:rPr>
          <w:rFonts w:ascii="Times New Roman;sans-serif" w:hAnsi="Times New Roman;sans-serif"/>
          <w:b/>
          <w:color w:val="000000"/>
          <w:sz w:val="22"/>
        </w:rPr>
        <w:t>HOLIDAYS AND OTHER PAID LEAVE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13.1</w:t>
      </w:r>
      <w:r>
        <w:rPr>
          <w:rFonts w:ascii="Times New Roman;sans-serif" w:hAnsi="Times New Roman;sans-serif"/>
          <w:b w:val="false"/>
          <w:color w:val="000000"/>
          <w:sz w:val="22"/>
        </w:rPr>
        <w:t>The Employer’s holiday year runs between 1 January and 31 December. If the Appointment commences or terminates part way through a holiday year, the Employee’s entitlement during that holiday year shall be calculated on a pro-rata basis rounded up to the nearest half day.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13.2</w:t>
      </w:r>
      <w:r>
        <w:rPr>
          <w:rFonts w:ascii="Times New Roman;sans-serif" w:hAnsi="Times New Roman;sans-serif"/>
          <w:b w:val="false"/>
          <w:color w:val="000000"/>
          <w:sz w:val="22"/>
        </w:rPr>
        <w:t>The Employee shall be entitled to twenty-eight (28) days’ paid holiday in each holiday year, inclusive of the usual public holidays in England and Wales.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13.3</w:t>
      </w:r>
      <w:r>
        <w:rPr>
          <w:rFonts w:ascii="Times New Roman;sans-serif" w:hAnsi="Times New Roman;sans-serif"/>
          <w:b w:val="false"/>
          <w:color w:val="000000"/>
          <w:sz w:val="22"/>
        </w:rPr>
        <w:t>Holiday shall be taken at such time or times as shall be approved in advance by the Employee’s supervisor. The Employee shall not carry forward any accrued but untaken holiday entitlement to a subsequent holiday year unless the Employee has been prevented from taking it in the relevant holiday year by one of the following: a period of sickness absence or statutory maternity leave, paternity, adoption, parental or shared parental leave. In cases of sickness absence, carry-over is limited to four (4) weeks’ holiday per year less any leave taken during the holiday year that has just ended. Any such carried over holiday which is not taken within eighteen (18) months of the end of the relevant holiday year will be lost.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13.4</w:t>
      </w:r>
      <w:r>
        <w:rPr>
          <w:rFonts w:ascii="Times New Roman;sans-serif" w:hAnsi="Times New Roman;sans-serif"/>
          <w:b w:val="false"/>
          <w:color w:val="000000"/>
          <w:sz w:val="22"/>
        </w:rPr>
        <w:t>The Employee shall have no entitlement to any payment in lieu of accrued but untaken holiday, except on termination of the Appointment. Subject to Clause 13.5, the amount of such payment in lieu shall be 1/260th of the Employee’s salary for each untaken day of the entitlement..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13.5</w:t>
      </w:r>
      <w:r>
        <w:rPr>
          <w:rFonts w:ascii="Times New Roman;sans-serif" w:hAnsi="Times New Roman;sans-serif"/>
          <w:b w:val="false"/>
          <w:color w:val="000000"/>
          <w:sz w:val="22"/>
        </w:rPr>
        <w:t>If the Employer has terminated or would be entitled to terminate the Appointment under Clause 18 (</w:t>
      </w:r>
      <w:r>
        <w:rPr>
          <w:rFonts w:ascii="Times New Roman;sans-serif" w:hAnsi="Times New Roman;sans-serif"/>
          <w:b w:val="false"/>
          <w:i/>
          <w:color w:val="000000"/>
          <w:sz w:val="22"/>
        </w:rPr>
        <w:t>Termination without notice</w:t>
      </w:r>
      <w:r>
        <w:rPr>
          <w:rFonts w:ascii="Times New Roman;sans-serif" w:hAnsi="Times New Roman;sans-serif"/>
          <w:b w:val="false"/>
          <w:color w:val="000000"/>
          <w:sz w:val="22"/>
        </w:rPr>
        <w:t xml:space="preserve">) or if the Employee has terminated the Appointment in breach of this Agreement, any payment due under Clause 13.4 shall be limited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Employee’s statutory entitlement under the Working Time Regulations 1998 (SI 1998/1833) and any paid holidays (including paid public holidays) taken shall be deemed first to have been taken in satisfaction of that statutory entitlement.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13.6</w:t>
      </w:r>
      <w:r>
        <w:rPr>
          <w:rFonts w:ascii="Times New Roman;sans-serif" w:hAnsi="Times New Roman;sans-serif"/>
          <w:b w:val="false"/>
          <w:color w:val="000000"/>
          <w:sz w:val="22"/>
        </w:rPr>
        <w:t>If on termination of the Appointment the Employee has taken more holiday than the Employee’s accrued holiday entitlement, the Employer shall be entitled to deduct the excess holiday pay from any payments due to the Employee calculated at 1/260th of the Employee’s salary for each excess day.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13.7</w:t>
      </w:r>
      <w:r>
        <w:rPr>
          <w:rFonts w:ascii="Times New Roman;sans-serif" w:hAnsi="Times New Roman;sans-serif"/>
          <w:b w:val="false"/>
          <w:color w:val="000000"/>
          <w:sz w:val="22"/>
        </w:rPr>
        <w:t>If either Party has served notice to terminate the Appointment, the Employer may require the Employee to take any accrued but unused holiday entitlement during the notice period. Any accrued but unused holiday entitlement shall be deemed to be taken during any period of Garden Leave.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13.8</w:t>
      </w:r>
      <w:r>
        <w:rPr>
          <w:rFonts w:ascii="Times New Roman;sans-serif" w:hAnsi="Times New Roman;sans-serif"/>
          <w:b w:val="false"/>
          <w:color w:val="000000"/>
          <w:sz w:val="22"/>
        </w:rPr>
        <w:t>The Employee may be eligible to take the following types of paid leave, subject to any statutory eligibility requirements or conditions and the Employer’s rules applicable to each type of leave in force from time to time: statutory paternity leave, statutory adoption leave, shared parental leave, and parental bereavement leave.</w:t>
      </w:r>
    </w:p>
    <w:p>
      <w:pPr>
        <w:pStyle w:val="TextBody"/>
        <w:bidi w:val="0"/>
        <w:spacing w:lineRule="auto" w:line="240" w:before="120" w:after="120"/>
        <w:ind w:left="0" w:right="0" w:hanging="720"/>
        <w:jc w:val="both"/>
        <w:rPr/>
      </w:pPr>
      <w:r>
        <w:rPr>
          <w:rFonts w:ascii="Times New Roman;sans-serif" w:hAnsi="Times New Roman;sans-serif"/>
          <w:b/>
          <w:color w:val="000000"/>
          <w:sz w:val="24"/>
        </w:rPr>
        <w:t>14.</w:t>
      </w:r>
      <w:r>
        <w:rPr>
          <w:rFonts w:ascii="Times New Roman;sans-serif" w:hAnsi="Times New Roman;sans-serif"/>
          <w:b/>
          <w:color w:val="000000"/>
          <w:sz w:val="22"/>
        </w:rPr>
        <w:t>INCAPACITY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14.1</w:t>
      </w:r>
      <w:r>
        <w:rPr>
          <w:rFonts w:ascii="Times New Roman;sans-serif" w:hAnsi="Times New Roman;sans-serif"/>
          <w:b w:val="false"/>
          <w:color w:val="000000"/>
          <w:sz w:val="22"/>
        </w:rPr>
        <w:t>If the Employee is absent from work due to Incapacity, the Employee shall notify the Employee’s supervisor of the reason for the absence as soon as possible but no later than 10 a.m. on the first day of absence.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14.2</w:t>
      </w:r>
      <w:r>
        <w:rPr>
          <w:rFonts w:ascii="Times New Roman;sans-serif" w:hAnsi="Times New Roman;sans-serif"/>
          <w:b w:val="false"/>
          <w:color w:val="000000"/>
          <w:sz w:val="22"/>
        </w:rPr>
        <w:t>The Employee shall certify the Employee’s absence in accordance with the Employer sickness policy in effect from time to time.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14.3</w:t>
      </w:r>
      <w:r>
        <w:rPr>
          <w:rFonts w:ascii="Times New Roman;sans-serif" w:hAnsi="Times New Roman;sans-serif"/>
          <w:b w:val="false"/>
          <w:color w:val="000000"/>
          <w:sz w:val="22"/>
        </w:rPr>
        <w:t>The Employee’s qualifying days for SSP purposes are Monday to Friday. Subject to the Employee’s compliance with this Agreement and subject to Clause 14.4, the Employee shall be entitled to receive contractual sick pay. Contractual sick pay is inclusive of any SSP that may be due for the same period and is paid for up to eighteen (18) weeks’ at full pay in any twelve 12 month period.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14.4</w:t>
      </w:r>
      <w:r>
        <w:rPr>
          <w:rFonts w:ascii="Times New Roman;sans-serif" w:hAnsi="Times New Roman;sans-serif"/>
          <w:b w:val="false"/>
          <w:color w:val="000000"/>
          <w:sz w:val="22"/>
        </w:rPr>
        <w:t>If the Employee has been on long term sick leave continuously for more than a year, the Employee will not qualify for sick pay again until the Employee has returned to work for a total of 26 weeks.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14.5</w:t>
      </w:r>
      <w:r>
        <w:rPr>
          <w:rFonts w:ascii="Times New Roman;sans-serif" w:hAnsi="Times New Roman;sans-serif"/>
          <w:b w:val="false"/>
          <w:color w:val="000000"/>
          <w:sz w:val="22"/>
        </w:rPr>
        <w:t>The Employee agrees to consent to medical examinations (at the Employer’s expense) by a doctor nominated by the Employer should the Employer so require.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14.6</w:t>
      </w:r>
      <w:r>
        <w:rPr>
          <w:rFonts w:ascii="Times New Roman;sans-serif" w:hAnsi="Times New Roman;sans-serif"/>
          <w:b w:val="false"/>
          <w:color w:val="000000"/>
          <w:sz w:val="22"/>
        </w:rPr>
        <w:t>If the Incapacity is or appears to be occasioned by actionable negligence, nuisance or breach of any statutory duty on the part of a third party in respect of which damages are or may be recoverable, the Employee shall immediately notify the Employer of that fact and of any claim, settlement or judgment made or awarded in connection with it and all relevant particulars that the Employer may reasonably require. The Employee shall if required by the Employer, co-operate in any related legal proceedings and refund to the Employer that part of any damages or compensation recovered by the Employee relating to the loss of earnings for the period of the Incapacity as the Employer may reasonably determine less any costs borne by the Employee in connection with the recovery of such damages or compensation, provided that the amount to be refunded shall not exceed the total amount paid to the Employee by the Employer in respect of the period of Incapacity.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14.7</w:t>
      </w:r>
      <w:r>
        <w:rPr>
          <w:rFonts w:ascii="Times New Roman;sans-serif" w:hAnsi="Times New Roman;sans-serif"/>
          <w:b w:val="false"/>
          <w:color w:val="000000"/>
          <w:sz w:val="22"/>
        </w:rPr>
        <w:t>The rights of the Employer to terminate the Appointment under the terms of this Agreement apply even when such termination would or might cause the Employee to forfeit any entitlement to sick pay, permanent health insurance or other benefits.</w:t>
      </w:r>
    </w:p>
    <w:p>
      <w:pPr>
        <w:pStyle w:val="TextBody"/>
        <w:bidi w:val="0"/>
        <w:spacing w:lineRule="auto" w:line="240" w:before="120" w:after="120"/>
        <w:ind w:left="0" w:right="0" w:hanging="720"/>
        <w:jc w:val="both"/>
        <w:rPr/>
      </w:pPr>
      <w:r>
        <w:rPr>
          <w:rFonts w:ascii="Times New Roman;sans-serif" w:hAnsi="Times New Roman;sans-serif"/>
          <w:b/>
          <w:color w:val="000000"/>
          <w:sz w:val="24"/>
        </w:rPr>
        <w:t>15.</w:t>
      </w:r>
      <w:r>
        <w:rPr>
          <w:rFonts w:ascii="Times New Roman;sans-serif" w:hAnsi="Times New Roman;sans-serif"/>
          <w:b/>
          <w:color w:val="000000"/>
          <w:sz w:val="22"/>
        </w:rPr>
        <w:t>RESTRICTIVE COVENANTS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15.1</w:t>
      </w:r>
      <w:r>
        <w:rPr>
          <w:rFonts w:ascii="Times New Roman;sans-serif" w:hAnsi="Times New Roman;sans-serif"/>
          <w:b w:val="false"/>
          <w:color w:val="000000"/>
          <w:sz w:val="22"/>
        </w:rPr>
        <w:t xml:space="preserve">The Employee acknowledges his obligations under the Restrictive Covenant Agreement and agrees that those obligations will continue through the course of his employment with the Employer and, to the extent provided for under the terms of the Restrictive Covenant Agreement, following the termination of such employment. The Employee further agrees that the Employer may enforce the obligations under the Restrictive Covenant Agreement as if it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were a specific party to such agreement and that EZCORP, Inc. or any of its subsidiaries (including the Employer) may, in its discretion, enforce any of the terms of the Restrictive Covenant Agreement and obtain relief or remedies for any breach of the Restrictive Covenant Agreement in the courts of England and Wales. </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15.2</w:t>
      </w:r>
      <w:r>
        <w:rPr>
          <w:rFonts w:ascii="Times New Roman;sans-serif" w:hAnsi="Times New Roman;sans-serif"/>
          <w:b w:val="false"/>
          <w:color w:val="000000"/>
          <w:sz w:val="22"/>
        </w:rPr>
        <w:t>In addition to and without limiting any of the terms of the Restrictive Covenant Agreement, in order to further protect the confidential and propriety information, business connections and other legitimate business interests of the Group, the Employee covenants with the Employer (for itself and as trustee and agent for each member of the Group) that the Employee shall not: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for twelve (12) months after Termination in the course of any business concern which is in competition with any Restricted Business, offer to employ or engage or otherwise endeavour to entice away from the Employer or any member of the Group any Restricted Person; or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for twelve (12) months after Termination in the course of any business concern which is in competition with any Restricted Business, employ or engage or otherwise facilitate the employment or engagement of any Restricted Person, whether or not such person would be in breach of contract as a result of such employment or engagement.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15.3</w:t>
      </w:r>
      <w:r>
        <w:rPr>
          <w:rFonts w:ascii="Times New Roman;sans-serif" w:hAnsi="Times New Roman;sans-serif"/>
          <w:b w:val="false"/>
          <w:color w:val="000000"/>
          <w:sz w:val="22"/>
        </w:rPr>
        <w:t>The restrictions imposed on the Employee by Clause 15.2 apply to the Employee acting:</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directly or indirectly;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on the Employee’s own behalf or on behalf of, or in conjunction with, any firm, company or person.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15.4</w:t>
      </w:r>
      <w:r>
        <w:rPr>
          <w:rFonts w:ascii="Times New Roman;sans-serif" w:hAnsi="Times New Roman;sans-serif"/>
          <w:b w:val="false"/>
          <w:color w:val="000000"/>
          <w:sz w:val="22"/>
        </w:rPr>
        <w:t>The periods for which the restrictions in Section 3 of the Restrictive Covenant Agreement and Clause 15.2 of this Agreement apply shall be reduced by any period that the Employee spends on Garden Leave immediately before Termination.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15.5</w:t>
      </w:r>
      <w:r>
        <w:rPr>
          <w:rFonts w:ascii="Times New Roman;sans-serif" w:hAnsi="Times New Roman;sans-serif"/>
          <w:b w:val="false"/>
          <w:color w:val="000000"/>
          <w:sz w:val="22"/>
        </w:rPr>
        <w:t>Each of the restrictions in Clause 15.2 is intended to be separate and severable. If any of the restrictions shall be held to be void but would be valid if part of their wording were deleted, such restriction shall apply with such deletion as may be necessary to make it valid or effective.</w:t>
      </w:r>
    </w:p>
    <w:p>
      <w:pPr>
        <w:pStyle w:val="TextBody"/>
        <w:bidi w:val="0"/>
        <w:spacing w:lineRule="auto" w:line="240" w:before="120" w:after="120"/>
        <w:ind w:left="0" w:right="0" w:hanging="720"/>
        <w:jc w:val="both"/>
        <w:rPr/>
      </w:pPr>
      <w:r>
        <w:rPr>
          <w:rFonts w:ascii="Times New Roman;sans-serif" w:hAnsi="Times New Roman;sans-serif"/>
          <w:b/>
          <w:color w:val="000000"/>
          <w:sz w:val="24"/>
        </w:rPr>
        <w:t>16.</w:t>
      </w:r>
      <w:r>
        <w:rPr>
          <w:rFonts w:ascii="Times New Roman;sans-serif" w:hAnsi="Times New Roman;sans-serif"/>
          <w:b/>
          <w:color w:val="000000"/>
          <w:sz w:val="22"/>
        </w:rPr>
        <w:t>PAYMENT IN LIEU OF NOTICE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16.1</w:t>
      </w:r>
      <w:r>
        <w:rPr>
          <w:rFonts w:ascii="Times New Roman;sans-serif" w:hAnsi="Times New Roman;sans-serif"/>
          <w:b w:val="false"/>
          <w:color w:val="000000"/>
          <w:sz w:val="22"/>
        </w:rPr>
        <w:t>Notwithstanding Clause 2 (</w:t>
      </w:r>
      <w:r>
        <w:rPr>
          <w:rFonts w:ascii="Times New Roman;sans-serif" w:hAnsi="Times New Roman;sans-serif"/>
          <w:b w:val="false"/>
          <w:i/>
          <w:color w:val="000000"/>
          <w:sz w:val="22"/>
        </w:rPr>
        <w:t>Term of appointment</w:t>
      </w:r>
      <w:r>
        <w:rPr>
          <w:rFonts w:ascii="Times New Roman;sans-serif" w:hAnsi="Times New Roman;sans-serif"/>
          <w:b w:val="false"/>
          <w:color w:val="000000"/>
          <w:sz w:val="22"/>
        </w:rPr>
        <w:t>), the Employer may, in its sole and absolute discretion, terminate the Appointment at any time and with immediate effect by notifying the Employee that the Employer is exercising its right under this Clause 16 and that it will make within 28 days a payment in lieu of notice (Payment in Lieu), or the first instalment of any Payment in Lieu, to the Employee. This Payment in Lieu will be equal to the basic salary (as at the date of termination) which the Employee would have been entitled to receive under this Agreement during the three (3) month notice period referred to in Clause 2 (</w:t>
      </w:r>
      <w:r>
        <w:rPr>
          <w:rFonts w:ascii="Times New Roman;sans-serif" w:hAnsi="Times New Roman;sans-serif"/>
          <w:b w:val="false"/>
          <w:i/>
          <w:color w:val="000000"/>
          <w:sz w:val="22"/>
        </w:rPr>
        <w:t>Term of appointment</w:t>
      </w:r>
      <w:r>
        <w:rPr>
          <w:rFonts w:ascii="Times New Roman;sans-serif" w:hAnsi="Times New Roman;sans-serif"/>
          <w:b w:val="false"/>
          <w:color w:val="000000"/>
          <w:sz w:val="22"/>
        </w:rPr>
        <w:t>) (or, if notice has already been given, during the remainder of the notice period). For the avoidance of doubt, the Payment in Lieu shall not include any element in relation to:</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any bonus or commission payments that might otherwise have been due during the period for which the Payment in Lieu is made;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any payment in respect of benefits which the Employee would have been entitled to receive during the period for which the Payment in Lieu is made;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any payment in respect of any holiday entitlement that would have accrued during the period for which the Payment in Lieu is made.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16.2</w:t>
      </w:r>
      <w:r>
        <w:rPr>
          <w:rFonts w:ascii="Times New Roman;sans-serif" w:hAnsi="Times New Roman;sans-serif"/>
          <w:b w:val="false"/>
          <w:color w:val="000000"/>
          <w:sz w:val="22"/>
        </w:rPr>
        <w:t>The Employer may pay any sums due under Clause 16.1 in equal monthly instalments until the date on which the notice period referred to in Clause 2 (</w:t>
      </w:r>
      <w:r>
        <w:rPr>
          <w:rFonts w:ascii="Times New Roman;sans-serif" w:hAnsi="Times New Roman;sans-serif"/>
          <w:b w:val="false"/>
          <w:i/>
          <w:color w:val="000000"/>
          <w:sz w:val="22"/>
        </w:rPr>
        <w:t>Term of appointment</w:t>
      </w:r>
      <w:r>
        <w:rPr>
          <w:rFonts w:ascii="Times New Roman;sans-serif" w:hAnsi="Times New Roman;sans-serif"/>
          <w:b w:val="false"/>
          <w:color w:val="000000"/>
          <w:sz w:val="22"/>
        </w:rPr>
        <w:t xml:space="preserve">) would have expired if notice had been given. </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16.3</w:t>
      </w:r>
      <w:r>
        <w:rPr>
          <w:rFonts w:ascii="Times New Roman;sans-serif" w:hAnsi="Times New Roman;sans-serif"/>
          <w:b w:val="false"/>
          <w:color w:val="000000"/>
          <w:sz w:val="22"/>
        </w:rPr>
        <w:t>The Employee shall have no right to receive a Payment in Lieu unless the Employer has exercised its discretion in Clause 16.1. Nothing in this Clause 16 shall prevent the Employer from terminating the Appointment in breach.</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16.4</w:t>
      </w:r>
      <w:r>
        <w:rPr>
          <w:rFonts w:ascii="Times New Roman;sans-serif" w:hAnsi="Times New Roman;sans-serif"/>
          <w:b w:val="false"/>
          <w:color w:val="000000"/>
          <w:sz w:val="22"/>
        </w:rPr>
        <w:t>Notwithstanding Clause 16.1, the Employee shall not be entitled to any Payment in Lieu if the Employer would otherwise have been entitled to terminate the Appointment without notice in accordance with Clause 18 (</w:t>
      </w:r>
      <w:r>
        <w:rPr>
          <w:rFonts w:ascii="Times New Roman;sans-serif" w:hAnsi="Times New Roman;sans-serif"/>
          <w:b w:val="false"/>
          <w:i/>
          <w:color w:val="000000"/>
          <w:sz w:val="22"/>
        </w:rPr>
        <w:t>Termination without notice</w:t>
      </w:r>
      <w:r>
        <w:rPr>
          <w:rFonts w:ascii="Times New Roman;sans-serif" w:hAnsi="Times New Roman;sans-serif"/>
          <w:b w:val="false"/>
          <w:color w:val="000000"/>
          <w:sz w:val="22"/>
        </w:rPr>
        <w:t>). In that case the Employer shall also be entitled to recover from the Employee any Payment in Lieu (or instalments thereof) already made.</w:t>
      </w:r>
    </w:p>
    <w:p>
      <w:pPr>
        <w:pStyle w:val="TextBody"/>
        <w:bidi w:val="0"/>
        <w:spacing w:lineRule="auto" w:line="240" w:before="120" w:after="120"/>
        <w:ind w:left="0" w:right="0" w:hanging="720"/>
        <w:jc w:val="both"/>
        <w:rPr/>
      </w:pPr>
      <w:r>
        <w:rPr>
          <w:rFonts w:ascii="Times New Roman;sans-serif" w:hAnsi="Times New Roman;sans-serif"/>
          <w:b/>
          <w:color w:val="000000"/>
          <w:sz w:val="24"/>
        </w:rPr>
        <w:t>17.</w:t>
      </w:r>
      <w:r>
        <w:rPr>
          <w:rFonts w:ascii="Times New Roman;sans-serif" w:hAnsi="Times New Roman;sans-serif"/>
          <w:b/>
          <w:color w:val="000000"/>
          <w:sz w:val="22"/>
        </w:rPr>
        <w:t>SEVERANCE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17.1</w:t>
      </w:r>
      <w:r>
        <w:rPr>
          <w:rFonts w:ascii="Times New Roman;sans-serif" w:hAnsi="Times New Roman;sans-serif"/>
          <w:b w:val="false"/>
          <w:color w:val="000000"/>
          <w:sz w:val="22"/>
        </w:rPr>
        <w:t>If the Employee’s employment is terminated by the Employer, the Employee will be eligible to receive a payment in an amount equal to nine (9) months worth of the Employee’s base salary (less the amount, if any, payable under Clause 13.4) (the “</w:t>
      </w:r>
      <w:r>
        <w:rPr>
          <w:rFonts w:ascii="Times New Roman;sans-serif" w:hAnsi="Times New Roman;sans-serif"/>
          <w:b/>
          <w:color w:val="000000"/>
          <w:sz w:val="22"/>
        </w:rPr>
        <w:t>Severance Payment</w:t>
      </w:r>
      <w:r>
        <w:rPr>
          <w:color w:val="000000"/>
        </w:rPr>
        <w:t>”</w:t>
      </w:r>
      <w:r>
        <w:rPr>
          <w:rFonts w:ascii="Times New Roman;sans-serif" w:hAnsi="Times New Roman;sans-serif"/>
          <w:b w:val="false"/>
          <w:color w:val="000000"/>
          <w:sz w:val="22"/>
        </w:rPr>
        <w:t xml:space="preserve">), as long as: (a) the termination by the Employer is for any reason other than under Clause 18; (b) the Employee first executes and satisfies the terms of a settlement agreement in a form satisfactory to the Employer, which settlement agreement shall release each member of the Group and their respective affiliates, and the foregoing entities’ respective shareholders, members, partners, officers, managers, directors, predecessors, successors, fiduciaries, employees, representatives, agents and benefit plans (and fiduciaries of such plans) from any and all claims, including any and all causes of action arising out of the Employee’s employment with EZCORP, Inc., the Employer or any other member of the Group or the termination of such employment; and (c) the Employee continues to abide by the terms of the Restrictive Covenant Agreement. </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17.2</w:t>
      </w:r>
      <w:r>
        <w:rPr>
          <w:rFonts w:ascii="Times New Roman;sans-serif" w:hAnsi="Times New Roman;sans-serif"/>
          <w:b w:val="false"/>
          <w:color w:val="000000"/>
          <w:sz w:val="22"/>
        </w:rPr>
        <w:t xml:space="preserve">The Severance Payment will be paid in a single lump sum or in substantially equal instalments over a nine (9) month period following the Termination, at the election of the Employer in its sole discretion. No Severance Payment will be paid in the event the Employee resigns or retires for any reason, the Employee is terminated under Clause 18, or the Employee’s employment terminates by reason of the Employee’ death. </w:t>
      </w:r>
    </w:p>
    <w:p>
      <w:pPr>
        <w:pStyle w:val="TextBody"/>
        <w:bidi w:val="0"/>
        <w:spacing w:lineRule="auto" w:line="240" w:before="12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17.3The Employer and the Employee acknowledge and agree that the Employee shall continue to participate in the EZCORP Change in Control Severance Plan and shall be entitled to all severance benefits specified therein in the event of a change in control of EZCORP, Inc. If applicable, severance benefits paid or payable under the Change in Control Severance Plan shall be in lieu of the payments described in this Clause 17.</w:t>
      </w:r>
    </w:p>
    <w:p>
      <w:pPr>
        <w:pStyle w:val="TextBody"/>
        <w:bidi w:val="0"/>
        <w:spacing w:lineRule="auto" w:line="240" w:before="120" w:after="120"/>
        <w:ind w:left="0" w:right="0" w:hanging="720"/>
        <w:jc w:val="both"/>
        <w:rPr/>
      </w:pPr>
      <w:r>
        <w:rPr>
          <w:rFonts w:ascii="Times New Roman;sans-serif" w:hAnsi="Times New Roman;sans-serif"/>
          <w:b/>
          <w:color w:val="000000"/>
          <w:sz w:val="24"/>
        </w:rPr>
        <w:t>18.</w:t>
      </w:r>
      <w:r>
        <w:rPr>
          <w:rFonts w:ascii="Times New Roman;sans-serif" w:hAnsi="Times New Roman;sans-serif"/>
          <w:b/>
          <w:color w:val="000000"/>
          <w:sz w:val="22"/>
        </w:rPr>
        <w:t>TERMINATION WITHOUT NOTICE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18.1</w:t>
      </w:r>
      <w:r>
        <w:rPr>
          <w:rFonts w:ascii="Times New Roman;sans-serif" w:hAnsi="Times New Roman;sans-serif"/>
          <w:b w:val="false"/>
          <w:color w:val="000000"/>
          <w:sz w:val="22"/>
        </w:rPr>
        <w:t>The Employer may also terminate the Appointment with immediate effect without notice and with no liability to make any further payment to the Employee (other than in respect of amounts accrued due at the date of termination) if the Employee: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is guilty of any gross misconduct affecting the business of any member of the Group;</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commits any serious or repeated breach or non-observance of any of the provisions of this Agreement or refuses or neglects to comply with any reasonable and lawful directions of the Employer or the Board;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is, in the reasonable opinion of the Board (acting without the Employee, if applicable), negligent and incompetent in the performance of the Employee’s duties;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is declared bankrupt or makes any arrangement with or for the benefit of the Employee’s creditors or has a county court administration order made against the Employee under the County Court Act 1984;</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is convicted of any criminal offence (other than an offence under any road traffic legislation in the United Kingdom or elsewhere for which a fine or non-custodial penalty is imposed);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is, in the opinion of a medical practitioner physically or mentally incapable of performing their duties and may remain so for more than three (3) months and the medical practitioner has given a medical opinion to the Employer to that effect;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ceases to be eligible to work in the United Kingdom;</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rPr>
        <w:t>is guilty of any fraud or dishonesty or acts in any manner which in the opinion of the Employer brings or is likely to bring the Employee or any member of the Group into disrepute or is materially adverse to the interests of any member of the Group;</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is in breach of the Employer’s anti-corruption and bribery policy or any related procedures;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(j)</w:t>
      </w:r>
      <w:r>
        <w:rPr>
          <w:rFonts w:ascii="Times New Roman;sans-serif" w:hAnsi="Times New Roman;sans-serif"/>
          <w:b w:val="false"/>
          <w:color w:val="000000"/>
          <w:sz w:val="22"/>
        </w:rPr>
        <w:t>is in breach of their obligations under Clause 4.4 or the Employer’s anti-facilitation of tax evasion policy;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(k)</w:t>
      </w:r>
      <w:r>
        <w:rPr>
          <w:rFonts w:ascii="Times New Roman;sans-serif" w:hAnsi="Times New Roman;sans-serif"/>
          <w:b w:val="false"/>
          <w:color w:val="000000"/>
          <w:sz w:val="22"/>
        </w:rPr>
        <w:t>is guilty of a serious breach of any rules issued by the Employer from time to time regarding its electronic communications systems; or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(l)</w:t>
      </w:r>
      <w:r>
        <w:rPr>
          <w:rFonts w:ascii="Times New Roman;sans-serif" w:hAnsi="Times New Roman;sans-serif"/>
          <w:b w:val="false"/>
          <w:color w:val="000000"/>
          <w:sz w:val="22"/>
        </w:rPr>
        <w:t>is unable by reason of Incapacity to perform the Employee’s duties under this Agreement for an aggregate period of eighteen (18) weeks in any 52-week period.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18.2</w:t>
      </w:r>
      <w:r>
        <w:rPr>
          <w:rFonts w:ascii="Times New Roman;sans-serif" w:hAnsi="Times New Roman;sans-serif"/>
          <w:b w:val="false"/>
          <w:color w:val="000000"/>
          <w:sz w:val="22"/>
        </w:rPr>
        <w:t>The rights of the Employer under Clause 18.1 are without prejudice to any other rights that it might have at law to terminate the Appointment or to accept any breach of this Agreement by the Employee as having brought the agreement to an end. Any delay by the Employer in exercising its rights to terminate shall not constitute a waiver thereof.</w:t>
      </w:r>
    </w:p>
    <w:p>
      <w:pPr>
        <w:pStyle w:val="TextBody"/>
        <w:bidi w:val="0"/>
        <w:spacing w:lineRule="auto" w:line="240" w:before="120" w:after="120"/>
        <w:ind w:left="0" w:right="0" w:hanging="720"/>
        <w:jc w:val="both"/>
        <w:rPr/>
      </w:pPr>
      <w:r>
        <w:rPr>
          <w:rFonts w:ascii="Times New Roman;sans-serif" w:hAnsi="Times New Roman;sans-serif"/>
          <w:b/>
          <w:color w:val="000000"/>
          <w:sz w:val="24"/>
        </w:rPr>
        <w:t>19.</w:t>
      </w:r>
      <w:r>
        <w:rPr>
          <w:rFonts w:ascii="Times New Roman;sans-serif" w:hAnsi="Times New Roman;sans-serif"/>
          <w:b/>
          <w:color w:val="000000"/>
          <w:sz w:val="22"/>
        </w:rPr>
        <w:t>GARDEN LEAVE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19.1</w:t>
      </w:r>
      <w:r>
        <w:rPr>
          <w:rFonts w:ascii="Times New Roman;sans-serif" w:hAnsi="Times New Roman;sans-serif"/>
          <w:b w:val="false"/>
          <w:color w:val="000000"/>
          <w:sz w:val="22"/>
        </w:rPr>
        <w:t>Following service of notice to terminate the Appointment by either party, or if the Employee purports to terminate the Appointment in breach of contract, the Employer may by written notice place the Employee on Garden Leave for the whole or part of the remainder of the Appointment.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19.2</w:t>
      </w:r>
      <w:r>
        <w:rPr>
          <w:rFonts w:ascii="Times New Roman;sans-serif" w:hAnsi="Times New Roman;sans-serif"/>
          <w:b w:val="false"/>
          <w:color w:val="000000"/>
          <w:sz w:val="22"/>
        </w:rPr>
        <w:t>During any period of Garden Leave: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the Employer shall be under no obligation to provide any work to the Employee and may revoke any powers the Employee holds on behalf of the Employer or any member of the Group;</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the Employer may require the Employee to carry out alternative duties or to only perform such specific duties as are expressly assigned to the Employee, at such location (including the Employee’s home) as the Employer may decide;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the Employee shall continue to receive the Employee’s basic salary and all contractual benefits in the usual way and subject to the terms of any benefit arrangement;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the Employee shall remain an employee of the Employer and bound by the terms of this Agreement (including any implied duties of good faith and fidelity);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the Employee shall ensure that the Board knows where the Employee will be and how the Employee can be contacted during each working day (except during any periods taken as holiday in the usual way);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the Employer may exclude the Employee from any premises of the Employer or any member of the Group;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the Employer may require the Employee not to contact or deal with (or attempt to contact or deal with) any officer, employee, consultant, client, customer, supplier, agent, distributor, shareholder, adviser or other business contact of the Employer or any member of the Group.</w:t>
      </w:r>
    </w:p>
    <w:p>
      <w:pPr>
        <w:pStyle w:val="TextBody"/>
        <w:bidi w:val="0"/>
        <w:spacing w:lineRule="auto" w:line="240" w:before="120" w:after="120"/>
        <w:ind w:left="0" w:right="0" w:hanging="720"/>
        <w:jc w:val="both"/>
        <w:rPr/>
      </w:pPr>
      <w:r>
        <w:rPr>
          <w:rFonts w:ascii="Times New Roman;sans-serif" w:hAnsi="Times New Roman;sans-serif"/>
          <w:b/>
          <w:color w:val="000000"/>
          <w:sz w:val="24"/>
        </w:rPr>
        <w:t>20.</w:t>
      </w:r>
      <w:r>
        <w:rPr>
          <w:rFonts w:ascii="Times New Roman;sans-serif" w:hAnsi="Times New Roman;sans-serif"/>
          <w:b/>
          <w:color w:val="000000"/>
          <w:sz w:val="22"/>
        </w:rPr>
        <w:t>OBLIGATIONS ON TERMINATION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20.1</w:t>
      </w:r>
      <w:r>
        <w:rPr>
          <w:rFonts w:ascii="Times New Roman;sans-serif" w:hAnsi="Times New Roman;sans-serif"/>
          <w:b w:val="false"/>
          <w:color w:val="000000"/>
          <w:sz w:val="22"/>
        </w:rPr>
        <w:t>On termination of the Appointment (however arising) or, if earlier, at the start of a period of Garden Leave, the Employee shall:</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resign immediately without compensation from any directorship or other office that the Employee holds in or on behalf of any member of the Group;</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immediately deliver to the Employer all documents, books, materials, records, correspondence, papers and information (on whatever media and wherever located)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relating to the business or affairs of any member of the Group or their respective business contacts, any keys, credit card and any other property of any member of the Group, which is in the Employee’s possession or under the Employee’s control;</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irretrievably delete any information relating to the business of any member of the Group stored on any magnetic or optical disk or memory and all matter derived from such sources which is in the Employee’s possession or under the Employee’s control outside the Employer’s premises;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provide a signed statement that the Employee has complied fully with the Employee’s obligations under this Clause 20.1 (together with such reasonable evidence of compliance as the Employer may request).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20.2</w:t>
      </w:r>
      <w:r>
        <w:rPr>
          <w:rFonts w:ascii="Times New Roman;sans-serif" w:hAnsi="Times New Roman;sans-serif"/>
          <w:b w:val="false"/>
          <w:color w:val="000000"/>
          <w:sz w:val="22"/>
        </w:rPr>
        <w:t>On termination of the Appointment however arising, the Employee shall not be entitled to any compensation for the loss of any rights or benefits under any share option, bonus, long-term incentive plan or other profit sharing scheme operated by any member of the Group in which the Employee may participate.</w:t>
      </w:r>
    </w:p>
    <w:p>
      <w:pPr>
        <w:pStyle w:val="TextBody"/>
        <w:bidi w:val="0"/>
        <w:spacing w:lineRule="auto" w:line="240" w:before="120" w:after="120"/>
        <w:ind w:left="0" w:right="0" w:hanging="720"/>
        <w:jc w:val="both"/>
        <w:rPr/>
      </w:pPr>
      <w:r>
        <w:rPr>
          <w:rFonts w:ascii="Times New Roman;sans-serif" w:hAnsi="Times New Roman;sans-serif"/>
          <w:b/>
          <w:color w:val="000000"/>
          <w:sz w:val="24"/>
        </w:rPr>
        <w:t>21.</w:t>
      </w:r>
      <w:r>
        <w:rPr>
          <w:rFonts w:ascii="Times New Roman;sans-serif" w:hAnsi="Times New Roman;sans-serif"/>
          <w:b/>
          <w:color w:val="000000"/>
          <w:sz w:val="22"/>
        </w:rPr>
        <w:t>DISCIPLINARY AND GRIEVANCE PROCEDURES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21.1</w:t>
      </w:r>
      <w:r>
        <w:rPr>
          <w:rFonts w:ascii="Times New Roman;sans-serif" w:hAnsi="Times New Roman;sans-serif"/>
          <w:b w:val="false"/>
          <w:color w:val="000000"/>
          <w:sz w:val="22"/>
        </w:rPr>
        <w:t>The Employee shall subject to any disciplinary and grievance procedures that may be adopted by the Employer from time to time, copies of which. Such procedures (if any) do not form part of the Employee’s contract of employment.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21.2</w:t>
      </w:r>
      <w:r>
        <w:rPr>
          <w:rFonts w:ascii="Times New Roman;sans-serif" w:hAnsi="Times New Roman;sans-serif"/>
          <w:b w:val="false"/>
          <w:color w:val="000000"/>
          <w:sz w:val="22"/>
        </w:rPr>
        <w:t>If the Employee wants to raise a grievance, the Employee may apply in writing to the Executive Chairman of the Board.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21.3</w:t>
      </w:r>
      <w:r>
        <w:rPr>
          <w:rFonts w:ascii="Times New Roman;sans-serif" w:hAnsi="Times New Roman;sans-serif"/>
          <w:b w:val="false"/>
          <w:color w:val="000000"/>
          <w:sz w:val="22"/>
        </w:rPr>
        <w:t>If the Employee wishes to appeal against a disciplinary decision, the Employee may apply in writing to the Executive Chairman of the Board.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21.4</w:t>
      </w:r>
      <w:r>
        <w:rPr>
          <w:rFonts w:ascii="Times New Roman;sans-serif" w:hAnsi="Times New Roman;sans-serif"/>
          <w:b w:val="false"/>
          <w:color w:val="000000"/>
          <w:sz w:val="22"/>
        </w:rPr>
        <w:t>The Employer may suspend the Employee from any or all of the Employee’s duties for no longer than is necessary to investigate any disciplinary matter involving the Employee or so long as is otherwise reasonable while any disciplinary procedure against the Employee is outstanding.</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21.5</w:t>
      </w:r>
      <w:r>
        <w:rPr>
          <w:rFonts w:ascii="Times New Roman;sans-serif" w:hAnsi="Times New Roman;sans-serif"/>
          <w:b w:val="false"/>
          <w:color w:val="000000"/>
          <w:sz w:val="22"/>
        </w:rPr>
        <w:t>During any period of suspension: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the Employee shall continue to receive the Employee’s basic salary and all contractual benefits in the usual way and subject to the terms of any benefit arrangement;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the Employee shall remain an employee of the Employer and bound by the terms of this Agreement;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the Employee shall ensure that the Board knows where the Employee will be and how the Employee can be contacted during each working day (except during any periods taken as holiday in the usual way);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the Employer may exclude the Employee from the Employee’s place of work or any other premises of the Employer or any member of the Group;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the Employer may require the Employee not to contact or deal with (or attempt to contact or deal with) any officer, employee, consultant, client, customer, supplier, agent, distributor, shareholder, adviser or other business contact of the Employer or any member of the Group.</w:t>
      </w:r>
    </w:p>
    <w:p>
      <w:pPr>
        <w:pStyle w:val="TextBody"/>
        <w:bidi w:val="0"/>
        <w:spacing w:lineRule="auto" w:line="240" w:before="120" w:after="120"/>
        <w:ind w:left="0" w:right="0" w:hanging="720"/>
        <w:jc w:val="both"/>
        <w:rPr/>
      </w:pPr>
      <w:r>
        <w:rPr>
          <w:rFonts w:ascii="Times New Roman;sans-serif" w:hAnsi="Times New Roman;sans-serif"/>
          <w:b/>
          <w:color w:val="000000"/>
          <w:sz w:val="24"/>
        </w:rPr>
        <w:t>22.</w:t>
      </w:r>
      <w:r>
        <w:rPr>
          <w:rFonts w:ascii="Times New Roman;sans-serif" w:hAnsi="Times New Roman;sans-serif"/>
          <w:b/>
          <w:color w:val="000000"/>
          <w:sz w:val="22"/>
        </w:rPr>
        <w:t>PENSIONS</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Employer will comply with the employer pension duties in accordance with Part 1 of the Pensions Act 2008.</w:t>
      </w:r>
    </w:p>
    <w:p>
      <w:pPr>
        <w:pStyle w:val="TextBody"/>
        <w:bidi w:val="0"/>
        <w:spacing w:lineRule="auto" w:line="240" w:before="120" w:after="120"/>
        <w:ind w:left="0" w:right="0" w:hanging="720"/>
        <w:jc w:val="both"/>
        <w:rPr/>
      </w:pPr>
      <w:r>
        <w:rPr>
          <w:rFonts w:ascii="Times New Roman;sans-serif" w:hAnsi="Times New Roman;sans-serif"/>
          <w:b/>
          <w:color w:val="000000"/>
          <w:sz w:val="24"/>
        </w:rPr>
        <w:t>23.</w:t>
      </w:r>
      <w:r>
        <w:rPr>
          <w:rFonts w:ascii="Times New Roman;sans-serif" w:hAnsi="Times New Roman;sans-serif"/>
          <w:b/>
          <w:color w:val="000000"/>
          <w:sz w:val="22"/>
        </w:rPr>
        <w:t>DATA PROTECTION</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23.1</w:t>
      </w:r>
      <w:r>
        <w:rPr>
          <w:rFonts w:ascii="Times New Roman;sans-serif" w:hAnsi="Times New Roman;sans-serif"/>
          <w:b w:val="false"/>
          <w:color w:val="000000"/>
          <w:sz w:val="22"/>
        </w:rPr>
        <w:t>The Employee shall comply with any data protection policies of the Employer when handling personal data in the course of employment including personal data relating to any employee, worker, contractor, customer, client, supplier or agent of the Employer.</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23.2</w:t>
      </w:r>
      <w:r>
        <w:rPr>
          <w:rFonts w:ascii="Times New Roman;sans-serif" w:hAnsi="Times New Roman;sans-serif"/>
          <w:b w:val="false"/>
          <w:color w:val="000000"/>
          <w:sz w:val="22"/>
        </w:rPr>
        <w:t>Failure to comply with the data protection policy may be dealt with under our disciplinary procedure and, in serious cases, may be treated as gross misconduct leading to summary dismissal.</w:t>
      </w:r>
    </w:p>
    <w:p>
      <w:pPr>
        <w:pStyle w:val="TextBody"/>
        <w:bidi w:val="0"/>
        <w:spacing w:lineRule="auto" w:line="240" w:before="120" w:after="120"/>
        <w:ind w:left="0" w:right="0" w:hanging="720"/>
        <w:jc w:val="both"/>
        <w:rPr/>
      </w:pPr>
      <w:r>
        <w:rPr>
          <w:rFonts w:ascii="Times New Roman;sans-serif" w:hAnsi="Times New Roman;sans-serif"/>
          <w:b/>
          <w:color w:val="000000"/>
          <w:sz w:val="24"/>
        </w:rPr>
        <w:t>24.</w:t>
      </w:r>
      <w:r>
        <w:rPr>
          <w:rFonts w:ascii="Times New Roman;sans-serif" w:hAnsi="Times New Roman;sans-serif"/>
          <w:b/>
          <w:color w:val="000000"/>
          <w:sz w:val="22"/>
        </w:rPr>
        <w:t>COLLECTIVE AGREEMENTS</w:t>
      </w:r>
    </w:p>
    <w:p>
      <w:pPr>
        <w:pStyle w:val="TextBody"/>
        <w:bidi w:val="0"/>
        <w:spacing w:lineRule="auto" w:line="240"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is no collective agreement which directly affects the Appointment.</w:t>
      </w:r>
    </w:p>
    <w:p>
      <w:pPr>
        <w:pStyle w:val="TextBody"/>
        <w:bidi w:val="0"/>
        <w:spacing w:lineRule="auto" w:line="240" w:before="120" w:after="120"/>
        <w:ind w:left="0" w:right="0" w:hanging="720"/>
        <w:jc w:val="both"/>
        <w:rPr/>
      </w:pPr>
      <w:r>
        <w:rPr>
          <w:rFonts w:ascii="Times New Roman;sans-serif" w:hAnsi="Times New Roman;sans-serif"/>
          <w:b/>
          <w:color w:val="000000"/>
          <w:sz w:val="24"/>
        </w:rPr>
        <w:t>25.</w:t>
      </w:r>
      <w:r>
        <w:rPr>
          <w:rFonts w:ascii="Times New Roman;sans-serif" w:hAnsi="Times New Roman;sans-serif"/>
          <w:b/>
          <w:color w:val="000000"/>
          <w:sz w:val="22"/>
        </w:rPr>
        <w:t>RECONSTRUCTION AND AMALGAMATION</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the Appointment is terminated at any time by reason of any reconstruction or amalgamation of the Employer or any member of the Group, whether by winding up or otherwise, and the Employee is offered employment with any concern or undertaking involved in or resulting from the reconstruction or amalgamation on terms which (considered in their entirety) are no less favourable to any material extent than the terms of this Agreement, the Employee shall have no claim against the Employer or any such undertaking arising out of or connected with the termination.</w:t>
      </w:r>
    </w:p>
    <w:p>
      <w:pPr>
        <w:pStyle w:val="TextBody"/>
        <w:bidi w:val="0"/>
        <w:spacing w:lineRule="auto" w:line="240" w:before="120" w:after="120"/>
        <w:ind w:left="0" w:right="0" w:hanging="720"/>
        <w:jc w:val="both"/>
        <w:rPr/>
      </w:pPr>
      <w:r>
        <w:rPr>
          <w:rFonts w:ascii="Times New Roman;sans-serif" w:hAnsi="Times New Roman;sans-serif"/>
          <w:b/>
          <w:color w:val="000000"/>
          <w:sz w:val="24"/>
        </w:rPr>
        <w:t>26.</w:t>
      </w:r>
      <w:r>
        <w:rPr>
          <w:rFonts w:ascii="Times New Roman;sans-serif" w:hAnsi="Times New Roman;sans-serif"/>
          <w:b/>
          <w:color w:val="000000"/>
          <w:sz w:val="22"/>
        </w:rPr>
        <w:t>NOTICES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26.1</w:t>
      </w:r>
      <w:r>
        <w:rPr>
          <w:rFonts w:ascii="Times New Roman;sans-serif" w:hAnsi="Times New Roman;sans-serif"/>
          <w:b w:val="false"/>
          <w:color w:val="000000"/>
          <w:sz w:val="22"/>
        </w:rPr>
        <w:t>A notice given to a party under this Agreement shall be in writing in the English language and signed by or on behalf of the party giving it. It shall be delivered by hand or sent to the party at the address given in this Agreement or as otherwise notified in writing to the other party. A copy of any notice given to the Employer must be sent simultaneously to EZCORP’s Chief Legal Officer at 2500 Bee Cave Road, Building One, Suite 200, Austin, Texas USA 78746.</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26.2</w:t>
      </w:r>
      <w:r>
        <w:rPr>
          <w:rFonts w:ascii="Times New Roman;sans-serif" w:hAnsi="Times New Roman;sans-serif"/>
          <w:b w:val="false"/>
          <w:color w:val="000000"/>
          <w:sz w:val="22"/>
        </w:rPr>
        <w:t>Any such notice shall be deemed to have been received: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if delivered by hand, at the time the notice is left at the address or given to the addressee;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in the case of pre-paid first class UK post or other next working day delivery service, at 9.00 am on the second business day after posting or at the time recorded by the delivery service; or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in the case of pre-paid airmail, 9.00 am on the fifth Business Day after posting or at the time recorded by the delivery service.</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26.3</w:t>
      </w:r>
      <w:r>
        <w:rPr>
          <w:rFonts w:ascii="Times New Roman;sans-serif" w:hAnsi="Times New Roman;sans-serif"/>
          <w:b w:val="false"/>
          <w:color w:val="000000"/>
          <w:sz w:val="22"/>
        </w:rPr>
        <w:t>A notice shall have effect from the earlier of its actual or deemed receipt by the addressee. For the purpose of calculating deemed receipt: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all references to time are to local time in the place of deemed receipt; and</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if deemed receipt would occur on a Saturday or Sunday or a public holiday when banks are not open for business, deemed receipt is at 9.00 am on the next business day.</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26.4</w:t>
      </w:r>
      <w:r>
        <w:rPr>
          <w:rFonts w:ascii="Times New Roman;sans-serif" w:hAnsi="Times New Roman;sans-serif"/>
          <w:b w:val="false"/>
          <w:color w:val="000000"/>
          <w:sz w:val="22"/>
        </w:rPr>
        <w:t>A notice required to be given under this Agreement by the Employee to the Employer shall be validly given if sent by e-mail to the following email address: tom_welch@excorp.com.</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26.5</w:t>
      </w:r>
      <w:r>
        <w:rPr>
          <w:rFonts w:ascii="Times New Roman;sans-serif" w:hAnsi="Times New Roman;sans-serif"/>
          <w:b w:val="false"/>
          <w:color w:val="000000"/>
          <w:sz w:val="22"/>
        </w:rPr>
        <w:t>This clause does not apply to the service of any proceedings or other documents in any legal action.</w:t>
      </w:r>
    </w:p>
    <w:p>
      <w:pPr>
        <w:pStyle w:val="TextBody"/>
        <w:bidi w:val="0"/>
        <w:spacing w:lineRule="auto" w:line="240" w:before="120" w:after="120"/>
        <w:ind w:left="0" w:right="0" w:hanging="720"/>
        <w:jc w:val="both"/>
        <w:rPr/>
      </w:pPr>
      <w:r>
        <w:rPr>
          <w:rFonts w:ascii="Times New Roman;sans-serif" w:hAnsi="Times New Roman;sans-serif"/>
          <w:b/>
          <w:color w:val="000000"/>
          <w:sz w:val="24"/>
        </w:rPr>
        <w:t>27.</w:t>
      </w:r>
      <w:r>
        <w:rPr>
          <w:rFonts w:ascii="Times New Roman;sans-serif" w:hAnsi="Times New Roman;sans-serif"/>
          <w:b/>
          <w:color w:val="000000"/>
          <w:sz w:val="22"/>
        </w:rPr>
        <w:t>ENTIRE AGREEMENT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27.1</w:t>
      </w:r>
      <w:r>
        <w:rPr>
          <w:rFonts w:ascii="Times New Roman;sans-serif" w:hAnsi="Times New Roman;sans-serif"/>
          <w:b w:val="false"/>
          <w:color w:val="000000"/>
          <w:sz w:val="22"/>
        </w:rPr>
        <w:t>This Agreement constitutes the entire agreement between the Parties and their respective affiliates (including, with respect to the Employer and the other members of the Group), representatives and agents, and supersedes and extinguishes all previous agreements, promises, assurances, warranties, representations and understandings between them, whether written or oral, relating to its subject matter.</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27.2</w:t>
      </w:r>
      <w:r>
        <w:rPr>
          <w:rFonts w:ascii="Times New Roman;sans-serif" w:hAnsi="Times New Roman;sans-serif"/>
          <w:b w:val="false"/>
          <w:color w:val="000000"/>
          <w:sz w:val="22"/>
        </w:rPr>
        <w:t>Each party acknowledges that in entering into this Agreement it does not rely on, and shall have no remedies in respect of, any statement, representation, assurance or warranty (whether made innocently or negligently) that is not set out in this Agreement.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27.3</w:t>
      </w:r>
      <w:r>
        <w:rPr>
          <w:rFonts w:ascii="Times New Roman;sans-serif" w:hAnsi="Times New Roman;sans-serif"/>
          <w:b w:val="false"/>
          <w:color w:val="000000"/>
          <w:sz w:val="22"/>
        </w:rPr>
        <w:t>Each party agrees that it shall have no claim for innocent or negligent misrepresentation or negligent misstatement based on any statement in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27.4</w:t>
      </w:r>
      <w:r>
        <w:rPr>
          <w:rFonts w:ascii="Times New Roman;sans-serif" w:hAnsi="Times New Roman;sans-serif"/>
          <w:b w:val="false"/>
          <w:color w:val="000000"/>
          <w:sz w:val="22"/>
        </w:rPr>
        <w:t>Nothing in this clause shall limit or exclude any liability for fraud.</w:t>
      </w:r>
    </w:p>
    <w:p>
      <w:pPr>
        <w:pStyle w:val="TextBody"/>
        <w:bidi w:val="0"/>
        <w:spacing w:lineRule="auto" w:line="240" w:before="120" w:after="120"/>
        <w:ind w:left="0" w:right="0" w:hanging="720"/>
        <w:jc w:val="both"/>
        <w:rPr/>
      </w:pPr>
      <w:r>
        <w:rPr>
          <w:rFonts w:ascii="Times New Roman;sans-serif" w:hAnsi="Times New Roman;sans-serif"/>
          <w:b/>
          <w:color w:val="000000"/>
          <w:sz w:val="24"/>
        </w:rPr>
        <w:t>28.</w:t>
      </w:r>
      <w:r>
        <w:rPr>
          <w:rFonts w:ascii="Times New Roman;sans-serif" w:hAnsi="Times New Roman;sans-serif"/>
          <w:b/>
          <w:color w:val="000000"/>
          <w:sz w:val="22"/>
        </w:rPr>
        <w:t>VARIATION</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 variation or agreed termination of this Agreement shall be effective unless it is in writing and signed by the Parties (or their authorised representatives).</w:t>
      </w:r>
    </w:p>
    <w:p>
      <w:pPr>
        <w:pStyle w:val="TextBody"/>
        <w:bidi w:val="0"/>
        <w:spacing w:lineRule="auto" w:line="240" w:before="120" w:after="120"/>
        <w:ind w:left="0" w:right="0" w:hanging="720"/>
        <w:jc w:val="both"/>
        <w:rPr/>
      </w:pPr>
      <w:r>
        <w:rPr>
          <w:rFonts w:ascii="Times New Roman;sans-serif" w:hAnsi="Times New Roman;sans-serif"/>
          <w:b/>
          <w:color w:val="000000"/>
          <w:sz w:val="24"/>
        </w:rPr>
        <w:t>29.</w:t>
      </w:r>
      <w:r>
        <w:rPr>
          <w:rFonts w:ascii="Times New Roman;sans-serif" w:hAnsi="Times New Roman;sans-serif"/>
          <w:b/>
          <w:color w:val="000000"/>
          <w:sz w:val="22"/>
        </w:rPr>
        <w:t>COUNTERPARTS</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29.1</w:t>
      </w:r>
      <w:r>
        <w:rPr>
          <w:rFonts w:ascii="Times New Roman;sans-serif" w:hAnsi="Times New Roman;sans-serif"/>
          <w:b w:val="false"/>
          <w:color w:val="000000"/>
          <w:sz w:val="22"/>
        </w:rPr>
        <w:t>This Agreement may be executed in any number of counterparts, each of which when executed shall constitute a duplicate original, but all the counterparts shall together constitute the one agreement.</w:t>
      </w:r>
    </w:p>
    <w:p>
      <w:pPr>
        <w:pStyle w:val="TextBody"/>
        <w:bidi w:val="0"/>
        <w:spacing w:lineRule="auto" w:line="240" w:before="120" w:after="120"/>
        <w:ind w:left="0" w:right="0" w:hanging="720"/>
        <w:jc w:val="both"/>
        <w:rPr/>
      </w:pPr>
      <w:r>
        <w:rPr>
          <w:rFonts w:ascii="Times New Roman;sans-serif" w:hAnsi="Times New Roman;sans-serif"/>
          <w:b w:val="false"/>
          <w:color w:val="000000"/>
          <w:sz w:val="24"/>
        </w:rPr>
        <w:t>29.2</w:t>
      </w:r>
      <w:r>
        <w:rPr>
          <w:rFonts w:ascii="Times New Roman;sans-serif" w:hAnsi="Times New Roman;sans-serif"/>
          <w:b w:val="false"/>
          <w:color w:val="000000"/>
          <w:sz w:val="22"/>
        </w:rPr>
        <w:t>No counterpart shall be effective until each Party has executed at least one counterpart.</w:t>
      </w:r>
    </w:p>
    <w:p>
      <w:pPr>
        <w:pStyle w:val="TextBody"/>
        <w:bidi w:val="0"/>
        <w:spacing w:lineRule="auto" w:line="240" w:before="120" w:after="120"/>
        <w:ind w:left="0" w:right="0" w:hanging="720"/>
        <w:jc w:val="both"/>
        <w:rPr/>
      </w:pPr>
      <w:r>
        <w:rPr>
          <w:rFonts w:ascii="Times New Roman;sans-serif" w:hAnsi="Times New Roman;sans-serif"/>
          <w:b/>
          <w:color w:val="000000"/>
          <w:sz w:val="24"/>
        </w:rPr>
        <w:t>30.</w:t>
      </w:r>
      <w:r>
        <w:rPr>
          <w:rFonts w:ascii="Times New Roman;sans-serif" w:hAnsi="Times New Roman;sans-serif"/>
          <w:b/>
          <w:color w:val="000000"/>
          <w:sz w:val="22"/>
        </w:rPr>
        <w:t>THIRD PARTY RIGHTS</w:t>
      </w:r>
    </w:p>
    <w:p>
      <w:pPr>
        <w:pStyle w:val="TextBody"/>
        <w:bidi w:val="0"/>
        <w:spacing w:lineRule="auto" w:line="240" w:before="120" w:after="120"/>
        <w:jc w:val="both"/>
        <w:rPr/>
      </w:pPr>
      <w:r>
        <w:rPr>
          <w:rFonts w:ascii="Times New Roman;sans-serif" w:hAnsi="Times New Roman;sans-serif"/>
          <w:b w:val="false"/>
          <w:color w:val="000000"/>
          <w:sz w:val="22"/>
        </w:rPr>
        <w:t>No one other than a party to this Agreement shall have any right to enforce any of its terms. Notwithstanding the foregoing, each member of the Group may, as a third party beneficiary, enforce any benefits conferred by this Agreement on it, provided that the Parties to this Agreement may amend, vary, waive, terminate or rescind this Agreement at any time and in any way pursuant to Clause 28 (</w:t>
      </w:r>
      <w:r>
        <w:rPr>
          <w:rFonts w:ascii="Times New Roman;sans-serif" w:hAnsi="Times New Roman;sans-serif"/>
          <w:b w:val="false"/>
          <w:i/>
          <w:color w:val="000000"/>
          <w:sz w:val="22"/>
        </w:rPr>
        <w:t>Variation</w:t>
      </w:r>
      <w:r>
        <w:rPr>
          <w:rFonts w:ascii="Times New Roman;sans-serif" w:hAnsi="Times New Roman;sans-serif"/>
          <w:b w:val="false"/>
          <w:color w:val="000000"/>
          <w:sz w:val="22"/>
        </w:rPr>
        <w:t>) without the consent of any such third party.</w:t>
      </w:r>
    </w:p>
    <w:p>
      <w:pPr>
        <w:pStyle w:val="TextBody"/>
        <w:bidi w:val="0"/>
        <w:spacing w:lineRule="auto" w:line="240" w:before="120" w:after="120"/>
        <w:ind w:left="0" w:right="0" w:hanging="720"/>
        <w:jc w:val="both"/>
        <w:rPr/>
      </w:pPr>
      <w:r>
        <w:rPr>
          <w:rFonts w:ascii="Times New Roman;sans-serif" w:hAnsi="Times New Roman;sans-serif"/>
          <w:b/>
          <w:color w:val="000000"/>
          <w:sz w:val="24"/>
        </w:rPr>
        <w:t>31.</w:t>
      </w:r>
      <w:r>
        <w:rPr>
          <w:rFonts w:ascii="Times New Roman;sans-serif" w:hAnsi="Times New Roman;sans-serif"/>
          <w:b/>
          <w:color w:val="000000"/>
          <w:sz w:val="22"/>
        </w:rPr>
        <w:t>GOVERNING LAW</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and any dispute or claim arising out of or in connection with it or its subject matter or formation (including non-contractual disputes or claims) shall be governed by and construed in accordance with the law of England and Wales.</w:t>
      </w:r>
    </w:p>
    <w:p>
      <w:pPr>
        <w:pStyle w:val="TextBody"/>
        <w:bidi w:val="0"/>
        <w:spacing w:lineRule="auto" w:line="240" w:before="120" w:after="120"/>
        <w:ind w:left="0" w:right="0" w:hanging="720"/>
        <w:jc w:val="both"/>
        <w:rPr/>
      </w:pPr>
      <w:r>
        <w:rPr>
          <w:rFonts w:ascii="Times New Roman;sans-serif" w:hAnsi="Times New Roman;sans-serif"/>
          <w:b/>
          <w:color w:val="000000"/>
          <w:sz w:val="24"/>
        </w:rPr>
        <w:t>32.</w:t>
      </w:r>
      <w:r>
        <w:rPr>
          <w:rFonts w:ascii="Times New Roman;sans-serif" w:hAnsi="Times New Roman;sans-serif"/>
          <w:b/>
          <w:color w:val="000000"/>
          <w:sz w:val="22"/>
        </w:rPr>
        <w:t>JURISDICTION</w:t>
      </w:r>
    </w:p>
    <w:p>
      <w:pPr>
        <w:pStyle w:val="TextBody"/>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irrevocably agrees that the courts of England and Wales shall have non-exclusive jurisdiction to settle any dispute or claim arising out of or in connection with this Agreement or its subject matter or formation (including non-contractual disputes or claims).</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2"/>
        </w:rPr>
        <w:t>IN WITNESS</w:t>
      </w:r>
      <w:r>
        <w:rPr>
          <w:color w:val="000000"/>
        </w:rPr>
        <w:t xml:space="preserve"> </w:t>
      </w:r>
      <w:r>
        <w:rPr>
          <w:rFonts w:ascii="Times New Roman;sans-serif" w:hAnsi="Times New Roman;sans-serif"/>
          <w:b w:val="false"/>
          <w:color w:val="000000"/>
          <w:sz w:val="22"/>
        </w:rPr>
        <w:t>whereof this Agreement has been executed as a deed and is delivered and takes effect on the date stated at the beginning of it.</w:t>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2868"/>
        <w:gridCol w:w="2517"/>
        <w:gridCol w:w="2528"/>
        <w:gridCol w:w="109"/>
        <w:gridCol w:w="109"/>
        <w:gridCol w:w="109"/>
        <w:gridCol w:w="573"/>
        <w:gridCol w:w="573"/>
        <w:gridCol w:w="819"/>
      </w:tblGrid>
      <w:tr>
        <w:trPr/>
        <w:tc>
          <w:tcPr>
            <w:tcW w:w="2868"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7913" w:type="dxa"/>
            <w:gridSpan w:val="3"/>
            <w:tcBorders/>
            <w:tcMar>
              <w:top w:w="0" w:type="dxa"/>
              <w:left w:w="0" w:type="dxa"/>
              <w:bottom w:w="0" w:type="dxa"/>
              <w:right w:w="0" w:type="dxa"/>
            </w:tcMar>
            <w:vAlign w:val="center"/>
          </w:tcPr>
          <w:p>
            <w:pPr>
              <w:pStyle w:val="TableContents"/>
              <w:bidi w:val="0"/>
              <w:spacing w:lineRule="auto" w:line="379"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Executed as a deed by EZCORP UK LIMITED acting by Ellen Bryant in the presence of:</w:t>
            </w:r>
          </w:p>
          <w:p>
            <w:pPr>
              <w:pStyle w:val="TableContents"/>
              <w:bidi w:val="0"/>
              <w:spacing w:before="0" w:after="120"/>
              <w:jc w:val="left"/>
              <w:rPr/>
            </w:pPr>
            <w:r>
              <w:rPr/>
            </w:r>
          </w:p>
          <w:p>
            <w:pPr>
              <w:pStyle w:val="TableContents"/>
              <w:bidi w:val="0"/>
              <w:spacing w:lineRule="auto" w:line="379"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Witness signature: </w:t>
            </w:r>
          </w:p>
          <w:p>
            <w:pPr>
              <w:pStyle w:val="TableContents"/>
              <w:bidi w:val="0"/>
              <w:spacing w:before="0" w:after="120"/>
              <w:jc w:val="left"/>
              <w:rPr/>
            </w:pPr>
            <w:r>
              <w:rPr/>
            </w:r>
          </w:p>
          <w:p>
            <w:pPr>
              <w:pStyle w:val="TableContents"/>
              <w:bidi w:val="0"/>
              <w:spacing w:lineRule="auto" w:line="379" w:before="0" w:after="12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Carrie Putnam</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name: Carrie Putnam</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Witness address: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 Bee Cave Rd., Bldg 1, Ste 200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Rollingwood, TX 78746 USA</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occupation: Paralegal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379" w:before="0" w:after="12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Ellen Bryant</w:t>
            </w:r>
          </w:p>
          <w:p>
            <w:pPr>
              <w:pStyle w:val="TableContents"/>
              <w:bidi w:val="0"/>
              <w:spacing w:lineRule="auto" w:line="379"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w:t>
            </w:r>
          </w:p>
        </w:tc>
      </w:tr>
      <w:tr>
        <w:trPr/>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3" w:type="dxa"/>
            <w:gridSpan w:val="3"/>
            <w:tcBorders/>
            <w:tcMar>
              <w:top w:w="0" w:type="dxa"/>
              <w:left w:w="0" w:type="dxa"/>
              <w:bottom w:w="0" w:type="dxa"/>
              <w:right w:w="0" w:type="dxa"/>
            </w:tcMar>
            <w:vAlign w:val="center"/>
          </w:tcPr>
          <w:p>
            <w:pPr>
              <w:pStyle w:val="TableContents"/>
              <w:bidi w:val="0"/>
              <w:spacing w:lineRule="auto" w:line="379" w:before="0" w:after="120"/>
              <w:jc w:val="left"/>
              <w:rPr/>
            </w:pPr>
            <w:r>
              <w:rPr>
                <w:rFonts w:ascii="Times New Roman;sans-serif" w:hAnsi="Times New Roman;sans-serif"/>
                <w:b w:val="false"/>
                <w:color w:val="000000"/>
                <w:sz w:val="22"/>
              </w:rPr>
              <w:t xml:space="preserve">Signed as a deed by </w:t>
            </w:r>
            <w:r>
              <w:rPr>
                <w:rFonts w:ascii="Times New Roman;sans-serif" w:hAnsi="Times New Roman;sans-serif"/>
                <w:b/>
                <w:color w:val="000000"/>
                <w:sz w:val="22"/>
              </w:rPr>
              <w:t>Lachlan P. Given</w:t>
            </w:r>
            <w:r>
              <w:rPr>
                <w:color w:val="000000"/>
              </w:rPr>
              <w:t xml:space="preserve"> </w:t>
            </w:r>
            <w:r>
              <w:rPr>
                <w:rFonts w:ascii="Times New Roman;sans-serif" w:hAnsi="Times New Roman;sans-serif"/>
                <w:b w:val="false"/>
                <w:color w:val="000000"/>
                <w:sz w:val="22"/>
              </w:rPr>
              <w:t>in the presence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379" w:before="0" w:after="12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Lachlan P. Given</w:t>
            </w:r>
          </w:p>
          <w:p>
            <w:pPr>
              <w:pStyle w:val="TableContents"/>
              <w:bidi w:val="0"/>
              <w:spacing w:lineRule="auto" w:line="379"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w:t>
            </w:r>
          </w:p>
        </w:tc>
      </w:tr>
      <w:tr>
        <w:trPr/>
        <w:tc>
          <w:tcPr>
            <w:tcW w:w="7913" w:type="dxa"/>
            <w:gridSpan w:val="3"/>
            <w:tcBorders/>
            <w:tcMar>
              <w:top w:w="0" w:type="dxa"/>
              <w:left w:w="0" w:type="dxa"/>
              <w:bottom w:w="0" w:type="dxa"/>
              <w:right w:w="0" w:type="dxa"/>
            </w:tcMar>
            <w:vAlign w:val="center"/>
          </w:tcPr>
          <w:p>
            <w:pPr>
              <w:pStyle w:val="TableContents"/>
              <w:bidi w:val="0"/>
              <w:spacing w:lineRule="auto" w:line="379"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Witness signature: </w:t>
            </w:r>
          </w:p>
          <w:p>
            <w:pPr>
              <w:pStyle w:val="TableContents"/>
              <w:bidi w:val="0"/>
              <w:spacing w:before="0" w:after="120"/>
              <w:jc w:val="left"/>
              <w:rPr/>
            </w:pPr>
            <w:r>
              <w:rPr/>
            </w:r>
          </w:p>
          <w:p>
            <w:pPr>
              <w:pStyle w:val="TableContents"/>
              <w:bidi w:val="0"/>
              <w:spacing w:lineRule="auto" w:line="379" w:before="0" w:after="12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Carrie Putnam</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name: Carrie Putnam</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Witness address: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 Bee Cave Rd., Bldg 1, Ste 200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Rollingwood, TX 78746 USA</w:t>
            </w:r>
          </w:p>
          <w:p>
            <w:pPr>
              <w:pStyle w:val="TableContents"/>
              <w:bidi w:val="0"/>
              <w:spacing w:lineRule="auto" w:line="37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occupation: Paralegal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360"/>
        <w:jc w:val="right"/>
        <w:rPr>
          <w:rFonts w:ascii="Times New Roman;sans-serif" w:hAnsi="Times New Roman;sans-serif"/>
          <w:b/>
          <w:color w:val="000000"/>
          <w:sz w:val="20"/>
        </w:rPr>
      </w:pPr>
      <w:r>
        <w:rPr>
          <w:rFonts w:ascii="Times New Roman;sans-serif" w:hAnsi="Times New Roman;sans-serif"/>
          <w:b/>
          <w:color w:val="000000"/>
          <w:sz w:val="20"/>
        </w:rPr>
        <w:t>Exhibit 21.1</w:t>
      </w:r>
    </w:p>
    <w:tbl>
      <w:tblPr>
        <w:tblW w:w="6780" w:type="dxa"/>
        <w:jc w:val="center"/>
        <w:tblInd w:w="0" w:type="dxa"/>
        <w:tblLayout w:type="fixed"/>
        <w:tblCellMar>
          <w:top w:w="28" w:type="dxa"/>
          <w:left w:w="28" w:type="dxa"/>
          <w:bottom w:w="28" w:type="dxa"/>
          <w:right w:w="28" w:type="dxa"/>
        </w:tblCellMar>
      </w:tblPr>
      <w:tblGrid>
        <w:gridCol w:w="1529"/>
        <w:gridCol w:w="1343"/>
        <w:gridCol w:w="1343"/>
        <w:gridCol w:w="749"/>
        <w:gridCol w:w="749"/>
        <w:gridCol w:w="1067"/>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7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SUBSIDIARIES OF EZCORP, INC.</w:t>
            </w:r>
          </w:p>
        </w:tc>
      </w:tr>
      <w:tr>
        <w:trPr/>
        <w:tc>
          <w:tcPr>
            <w:tcW w:w="421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w:t>
            </w:r>
          </w:p>
        </w:tc>
        <w:tc>
          <w:tcPr>
            <w:tcW w:w="256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42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Honduras, S.A. de C.V.</w:t>
            </w:r>
          </w:p>
        </w:tc>
        <w:tc>
          <w:tcPr>
            <w:tcW w:w="25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Honduras</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S.A.</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Camira Administration Corp</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 City Holdings, LLC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Capital International Holdings, B.V.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Capital Mexico Holdings,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Americas, LLC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Latin America Coöperatief, U.A</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Pennsylvania,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EGreen Financial,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Online Sales,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Talent S. de R.L.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Transfers S.A.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(2015) Asia-Pacific PTE, LTD</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FS Holdings,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Global, B.V.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Global Holdings,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International,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International Holdings, LLC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Latin America Coöperatief, U.A.</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Services,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UK Limited</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USA,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Canada Holdings,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Canada,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Tario,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Alabama,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Arizona,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Arkansas,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Colorado,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Florida,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Georgia,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Holdings,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Illinois,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Indiana,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Iowa,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Management Mexico, S. de R.L.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Mexico Holdings, LLC.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Mexico Ltd., LLC.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Minnesota,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Nevada,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top w:val="dotted" w:sz="4" w:space="0" w:color="000000"/>
              <w:bottom w:val="dotted"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Oklahoma, Inc.</w:t>
            </w:r>
          </w:p>
        </w:tc>
        <w:tc>
          <w:tcPr>
            <w:tcW w:w="2565" w:type="dxa"/>
            <w:gridSpan w:val="3"/>
            <w:tcBorders>
              <w:top w:val="dotted" w:sz="4" w:space="0" w:color="000000"/>
              <w:bottom w:val="dotted"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200" w:after="20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90" w:type="dxa"/>
        <w:jc w:val="center"/>
        <w:tblInd w:w="0" w:type="dxa"/>
        <w:tblLayout w:type="fixed"/>
        <w:tblCellMar>
          <w:top w:w="28" w:type="dxa"/>
          <w:left w:w="28" w:type="dxa"/>
          <w:bottom w:w="28" w:type="dxa"/>
          <w:right w:w="28" w:type="dxa"/>
        </w:tblCellMar>
      </w:tblPr>
      <w:tblGrid>
        <w:gridCol w:w="1387"/>
        <w:gridCol w:w="1219"/>
        <w:gridCol w:w="1219"/>
        <w:gridCol w:w="749"/>
        <w:gridCol w:w="749"/>
        <w:gridCol w:w="1067"/>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SUBSIDIARIES OF EZCORP, INC.</w:t>
            </w:r>
          </w:p>
        </w:tc>
      </w:tr>
      <w:tr>
        <w:trPr/>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Oregon,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Services Mexico, S. de R.L.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Tennessee,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Utah,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Honduras,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Honduras</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S.A.</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Khoper Advisors, Ltd.</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Madras Investments Corp.</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Maxiprestamos. S.A.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Miravet Planning Corp</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Mister Money Holdings,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 Luxury, LLC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Operadora de Servicios, S.A.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Parkway Insurance,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PLO Del Bajio S. de R.L.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Prenda Aval,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Renueva Comercial, S.A.P.I. de C.V.</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Salvaprenda, S.A. de C.V.</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EZPAWN, L.P.</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EZPAWN Management, Inc.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Unicode Market, Inc.</w:t>
            </w:r>
          </w:p>
        </w:tc>
        <w:tc>
          <w:tcPr>
            <w:tcW w:w="2565"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382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Pawn &amp; Jewelry Co. XI, LLC</w:t>
            </w:r>
          </w:p>
        </w:tc>
        <w:tc>
          <w:tcPr>
            <w:tcW w:w="2565" w:type="dxa"/>
            <w:gridSpan w:val="3"/>
            <w:tcBorders>
              <w:top w:val="dotted"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825" w:type="dxa"/>
            <w:gridSpan w:val="3"/>
            <w:tcBorders>
              <w:top w:val="dotted" w:sz="4" w:space="0" w:color="000000"/>
              <w:bottom w:val="dotted"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Pawn &amp; Jewelry Co. 19, LLC</w:t>
            </w:r>
          </w:p>
        </w:tc>
        <w:tc>
          <w:tcPr>
            <w:tcW w:w="2565" w:type="dxa"/>
            <w:gridSpan w:val="3"/>
            <w:tcBorders>
              <w:top w:val="dotted" w:sz="4" w:space="0" w:color="000000"/>
              <w:bottom w:val="dotted"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77520"/>
                <wp:effectExtent l="0" t="0" r="0" b="0"/>
                <wp:wrapNone/>
                <wp:docPr id="136" name="Frame12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200" w:after="200"/>
                        <w:jc w:val="center"/>
                        <w:rPr/>
                      </w:pPr>
                      <w:r>
                        <w:rPr/>
                      </w:r>
                    </w:p>
                  </w:txbxContent>
                </v:textbox>
                <w10:wrap type="none"/>
              </v:rect>
            </w:pict>
          </mc:Fallback>
        </mc:AlternateContent>
      </w:r>
    </w:p>
    <w:p>
      <w:pPr>
        <w:pStyle w:val="TextBody"/>
        <w:bidi w:val="0"/>
        <w:spacing w:lineRule="auto" w:line="288" w:before="240" w:after="283"/>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br/>
        <w:br/>
        <w:t>We hereby consent to the incorporation by reference in the Registration Statements on Form S-4 (No. 333-202627), Form S-8 (No. 333-267814), Form S-8 (333-266551), Form S-8 (333-263308), Form S-8 (No. 333-228618), Form S-8 (No. 333-221996), Form S-8 (No. 333-215294), Form S-8 (No. 333-210647), Form S-8 (No. 333-209088), Form S-8 (No. 333-202628), Form S-8 (No. 333-191677), Form S-8 (No. 333-275304) of EZCORP, Inc. of our reports dated November 15, 2023, relating to the consolidated financial statements, and the effectiveness of EZCORP, Inc.’s internal control over financial reporting, which appear in this Form 10-K.</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(Signed manually)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BDO USA, P.C.</w:t>
        <w:br/>
        <w:t>Dallas, Texas</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 xml:space="preserve">November 15,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Lachlan P. Given, Chief Executive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Lachlan P. Given,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15, 2023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Timothy K. Jugmans, Chief Financial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Timothy K. Jugmans,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15, 2023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EZCORP, Inc. hereby certify that (a) EZCORP’s Annual Report on Form 10-K for the year ended September 30, 2023,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4312" w:type="dxa"/>
        <w:jc w:val="left"/>
        <w:tblInd w:w="0" w:type="dxa"/>
        <w:tblLayout w:type="fixed"/>
        <w:tblCellMar>
          <w:top w:w="28" w:type="dxa"/>
          <w:left w:w="28" w:type="dxa"/>
          <w:bottom w:w="28" w:type="dxa"/>
          <w:right w:w="28" w:type="dxa"/>
        </w:tblCellMar>
      </w:tblPr>
      <w:tblGrid>
        <w:gridCol w:w="813"/>
        <w:gridCol w:w="716"/>
        <w:gridCol w:w="720"/>
        <w:gridCol w:w="219"/>
        <w:gridCol w:w="219"/>
        <w:gridCol w:w="219"/>
        <w:gridCol w:w="219"/>
        <w:gridCol w:w="219"/>
        <w:gridCol w:w="219"/>
        <w:gridCol w:w="219"/>
        <w:gridCol w:w="219"/>
        <w:gridCol w:w="311"/>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15, 2023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tbl>
      <w:tblPr>
        <w:tblW w:w="4380" w:type="dxa"/>
        <w:jc w:val="left"/>
        <w:tblInd w:w="0" w:type="dxa"/>
        <w:tblLayout w:type="fixed"/>
        <w:tblCellMar>
          <w:top w:w="28" w:type="dxa"/>
          <w:left w:w="28" w:type="dxa"/>
          <w:bottom w:w="28" w:type="dxa"/>
          <w:right w:w="28" w:type="dxa"/>
        </w:tblCellMar>
      </w:tblPr>
      <w:tblGrid>
        <w:gridCol w:w="836"/>
        <w:gridCol w:w="735"/>
        <w:gridCol w:w="739"/>
        <w:gridCol w:w="220"/>
        <w:gridCol w:w="220"/>
        <w:gridCol w:w="220"/>
        <w:gridCol w:w="220"/>
        <w:gridCol w:w="220"/>
        <w:gridCol w:w="220"/>
        <w:gridCol w:w="220"/>
        <w:gridCol w:w="220"/>
        <w:gridCol w:w="31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Date: November 15, 2023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www.sec.gov/Archives/edgar/data/876523/000087652313000045/a31ezmergecoincarcertifica.htm" TargetMode="External"/><Relationship Id="rId11" Type="http://schemas.openxmlformats.org/officeDocument/2006/relationships/hyperlink" Target="http://www.sec.gov/Archives/edgar/data/876523/000087652314000035/certificateofamendmentdate.htm" TargetMode="External"/><Relationship Id="rId12" Type="http://schemas.openxmlformats.org/officeDocument/2006/relationships/hyperlink" Target="http://www.sec.gov/Archives/edgar/data/876523/000087652314000072/ex32-amendedandrestatedbyl.htm" TargetMode="External"/><Relationship Id="rId13" Type="http://schemas.openxmlformats.org/officeDocument/2006/relationships/hyperlink" Target="http://www.sec.gov/Archives/edgar/data/876523/000087652313000045/a41descriptionofcapitalsto.htm" TargetMode="External"/><Relationship Id="rId14" Type="http://schemas.openxmlformats.org/officeDocument/2006/relationships/hyperlink" Target="http://www.sec.gov/Archives/edgar/data/876523/000087652317000082/a2017-q4projecteaglexinden.htm" TargetMode="External"/><Relationship Id="rId15" Type="http://schemas.openxmlformats.org/officeDocument/2006/relationships/hyperlink" Target="http://www.sec.gov/Archives/edgar/data/876523/000087652318000033/a2018-q3projectcowboyxinde.htm" TargetMode="External"/><Relationship Id="rId16" Type="http://schemas.openxmlformats.org/officeDocument/2006/relationships/hyperlink" Target="http://www.sec.gov/Archives/edgar/data/876523/000087652319000055/a2020-q1successortrusteeag.htm" TargetMode="External"/><Relationship Id="rId17" Type="http://schemas.openxmlformats.org/officeDocument/2006/relationships/hyperlink" Target="https://www.sec.gov/Archives/edgar/data/876523/000087652322000090/ex_41ezpwconvert-indenture.htm" TargetMode="External"/><Relationship Id="rId18" Type="http://schemas.openxmlformats.org/officeDocument/2006/relationships/hyperlink" Target="http://www.sec.gov/Archives/edgar/data/876523/000095013405022476/d30926exv10w94.txt" TargetMode="External"/><Relationship Id="rId19" Type="http://schemas.openxmlformats.org/officeDocument/2006/relationships/hyperlink" Target="http://www.sec.gov/Archives/edgar/data/876523/000087652318000062/a2019-q1exx101ltipamendmen.htm" TargetMode="External"/><Relationship Id="rId20" Type="http://schemas.openxmlformats.org/officeDocument/2006/relationships/hyperlink" Target="http://www.sec.gov/Archives/edgar/data/876523/000095012310108591/d77971exv10w15.htm" TargetMode="External"/><Relationship Id="rId21" Type="http://schemas.openxmlformats.org/officeDocument/2006/relationships/hyperlink" Target="http://www.sec.gov/Archives/edgar/data/876523/000095012310108591/d77971exv10w17.htm" TargetMode="External"/><Relationship Id="rId22" Type="http://schemas.openxmlformats.org/officeDocument/2006/relationships/hyperlink" Target="https://www.sec.gov/Archives/edgar/data/876523/000087652322000071/a2022-q410xkex10506x2b2022.htm" TargetMode="External"/><Relationship Id="rId23" Type="http://schemas.openxmlformats.org/officeDocument/2006/relationships/hyperlink" Target="https://www.sec.gov/Archives/edgar/data/876523/000087652322000071/a2022-q410xkex10606x2achan.htm" TargetMode="External"/><Relationship Id="rId24" Type="http://schemas.openxmlformats.org/officeDocument/2006/relationships/hyperlink" Target="https://www.sec.gov/Archives/edgar/data/876523/000087652322000071/a2022-q410xkex10706x2c2010.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72022</Words>
  <Characters>397961</Characters>
  <CharactersWithSpaces>466328</CharactersWithSpaces>
  <Paragraphs>7112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