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9,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20" w:type="dxa"/>
            <w:vAlign w:val="bottom"/>
          </w:tcPr>
          <w:p>
            <w:pPr>
              <w:spacing w:after="0"/>
              <w:rPr>
                <w:sz w:val="20"/>
                <w:szCs w:val="20"/>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r>
        <w:trPr>
          <w:trHeight w:val="702"/>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582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2500 Bee Cave Road, Building 1, Suite 200, Rollingwood, Texas 78746</w:t>
            </w:r>
          </w:p>
        </w:tc>
        <w:tc>
          <w:tcPr>
            <w:tcW w:w="1420" w:type="dxa"/>
            <w:vAlign w:val="bottom"/>
          </w:tcPr>
          <w:p>
            <w:pPr>
              <w:spacing w:after="0"/>
              <w:rPr>
                <w:sz w:val="24"/>
                <w:szCs w:val="24"/>
                <w:color w:val="auto"/>
              </w:rPr>
            </w:pPr>
          </w:p>
        </w:tc>
      </w:tr>
      <w:tr>
        <w:trPr>
          <w:trHeight w:val="488"/>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20" w:type="dxa"/>
            <w:vAlign w:val="bottom"/>
          </w:tcPr>
          <w:p>
            <w:pPr>
              <w:spacing w:after="0"/>
              <w:rPr>
                <w:sz w:val="24"/>
                <w:szCs w:val="24"/>
                <w:color w:val="auto"/>
              </w:rPr>
            </w:pPr>
          </w:p>
        </w:tc>
      </w:tr>
      <w:tr>
        <w:trPr>
          <w:trHeight w:val="539"/>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2015, EZCORP, Inc. (the "Company") issued a press release announcing the filing of its Amended Annual Report on Form 10-K/A for fiscal 2014, Amended Quarterly Report on Form 10-Q/A for the first quarter of fiscal 2015 and Quarterly Reports on Form 10-Q for the second and third quarters of fiscal 2015. A copy of that press release is furnished as Exhibit 99.1 to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EZCORP, Inc. Press Release issued on November 9, 2015.</w:t>
      </w:r>
    </w:p>
    <w:p>
      <w:pPr>
        <w:sectPr>
          <w:pgSz w:w="11900" w:h="16838" w:orient="portrait"/>
          <w:cols w:equalWidth="0" w:num="1">
            <w:col w:w="11420"/>
          </w:cols>
          <w:pgMar w:left="240" w:top="742"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20"/>
          </w:cols>
          <w:pgMar w:left="240" w:top="74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24"/>
                <w:szCs w:val="24"/>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426"/>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EZCORP, Inc. Press Release issued on November 9, 2015.</w:t>
            </w:r>
          </w:p>
        </w:tc>
      </w:tr>
    </w:tbl>
    <w:p>
      <w:pPr>
        <w:sectPr>
          <w:pgSz w:w="11900" w:h="16838" w:orient="portrait"/>
          <w:cols w:equalWidth="0" w:num="1">
            <w:col w:w="11420"/>
          </w:cols>
          <w:pgMar w:left="240" w:top="74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Impact at Lower End of Previous Estimates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Expects to Regain Compliance with NASDAQ Listing Rules</w:t>
      </w:r>
    </w:p>
    <w:p>
      <w:pPr>
        <w:spacing w:after="0" w:line="313"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color w:val="auto"/>
        </w:rPr>
        <w:t xml:space="preserve">AUSTIN, Texas (November 9, 2015) - </w:t>
      </w:r>
      <w:r>
        <w:rPr>
          <w:rFonts w:ascii="Arial" w:cs="Arial" w:eastAsia="Arial" w:hAnsi="Arial"/>
          <w:sz w:val="20"/>
          <w:szCs w:val="20"/>
          <w:color w:val="auto"/>
        </w:rPr>
        <w:t>EZCORP, Inc. (Nasdaq: EZPW) today filed its amended and past due periodic reports with the U.S.</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and Exchange Commission. Those reports contain restated financial information for fiscal 2014, 2013 and 2012 and the first quarter of fiscal 2015. The company had previously announced that it was restating its financial statements for those periods to correct certain accounting errors associated with its Grupo Finmart loan portfolio.</w:t>
      </w:r>
    </w:p>
    <w:p>
      <w:pPr>
        <w:spacing w:after="0" w:line="10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filed reports include an amended annual report for fiscal 2014, an amended quarterly report for the first quarter of fiscal 2015 and quarterly reports for the second and third quarters of fiscal 2015.</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The company believes that, with the filing of these reports, it will achieve compliance with NASDAQ's continued listing requirements, and expects that NASDAQ will send the company an acknowledgement to that effect in the near future. In addition, with the filing of these reports, the company is able to cure the filing default under its Cash Convertible Notes, which will stop the accrual of additional interest on the notes.</w:t>
      </w:r>
    </w:p>
    <w:p>
      <w:pPr>
        <w:spacing w:after="0" w:line="71"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Stuart Grimshaw, EZCORP’s Chief Executive Officer, said: “Today’s filings complete an exhaustive process to identify the nature, extent and impact of the accounting issues associated with our Grupo Finmart loan portfolio. We are highly conscious of the need to ensure controls and procedures across all our businesses meet high standards, and we will work with our Audit Committee to achieve and maintain those standards.”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Restatement</w:t>
      </w:r>
    </w:p>
    <w:p>
      <w:pPr>
        <w:spacing w:after="0" w:line="141"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The restatement adjustments correct the accounting treatment of structured asset sales completed by Grupo Finmart in fiscal 2014 and the first quarter of fiscal 2015 and errors relating to the accrued interest revenue and bad debt reserves associated with Grupo Finmart’s “non-performing” loans, as well as certain other accounting errors identified during the restatement process.</w:t>
      </w:r>
    </w:p>
    <w:p>
      <w:pPr>
        <w:spacing w:after="0" w:line="89" w:lineRule="exact"/>
        <w:rPr>
          <w:sz w:val="20"/>
          <w:szCs w:val="20"/>
          <w:color w:val="auto"/>
        </w:rPr>
      </w:pPr>
    </w:p>
    <w:p>
      <w:pPr>
        <w:ind w:right="500"/>
        <w:spacing w:after="0" w:line="250" w:lineRule="auto"/>
        <w:rPr>
          <w:sz w:val="20"/>
          <w:szCs w:val="20"/>
          <w:color w:val="auto"/>
        </w:rPr>
      </w:pPr>
      <w:r>
        <w:rPr>
          <w:rFonts w:ascii="Arial" w:cs="Arial" w:eastAsia="Arial" w:hAnsi="Arial"/>
          <w:sz w:val="20"/>
          <w:szCs w:val="20"/>
          <w:color w:val="auto"/>
        </w:rPr>
        <w:t>The aggregate restatement adjustments reduce net income for each of the restated periods. The table below shows the reduction in pre-tax income and the after-tax consolidated reduction in net income attributable to EZCORP (after excluding amounts attributable to the non-controlling minority interest in Grupo Finmart).</w:t>
      </w:r>
    </w:p>
    <w:p>
      <w:pPr>
        <w:spacing w:after="0" w:line="257" w:lineRule="exact"/>
        <w:rPr>
          <w:sz w:val="20"/>
          <w:szCs w:val="20"/>
          <w:color w:val="auto"/>
        </w:rPr>
      </w:pPr>
    </w:p>
    <w:tbl>
      <w:tblPr>
        <w:tblLayout w:type="fixed"/>
        <w:tblInd w:w="530" w:type="dxa"/>
        <w:tblCellMar>
          <w:top w:w="0" w:type="dxa"/>
          <w:left w:w="0" w:type="dxa"/>
          <w:bottom w:w="0" w:type="dxa"/>
          <w:right w:w="0" w:type="dxa"/>
        </w:tblCellMar>
      </w:tblPr>
      <w:tr>
        <w:trPr>
          <w:trHeight w:val="247"/>
        </w:trPr>
        <w:tc>
          <w:tcPr>
            <w:tcW w:w="2840" w:type="dxa"/>
            <w:vAlign w:val="bottom"/>
            <w:tcBorders>
              <w:left w:val="single" w:sz="8" w:color="auto"/>
              <w:right w:val="single" w:sz="8" w:color="auto"/>
            </w:tcBorders>
            <w:shd w:val="clear" w:color="auto" w:fill="000000"/>
          </w:tcPr>
          <w:p>
            <w:pPr>
              <w:spacing w:after="0"/>
              <w:rPr>
                <w:sz w:val="21"/>
                <w:szCs w:val="21"/>
                <w:color w:val="auto"/>
              </w:rPr>
            </w:pPr>
          </w:p>
        </w:tc>
        <w:tc>
          <w:tcPr>
            <w:tcW w:w="3740" w:type="dxa"/>
            <w:vAlign w:val="bottom"/>
            <w:tcBorders>
              <w:right w:val="single" w:sz="8" w:color="auto"/>
            </w:tcBorders>
            <w:shd w:val="clear" w:color="auto" w:fill="000000"/>
          </w:tcPr>
          <w:p>
            <w:pPr>
              <w:spacing w:after="0"/>
              <w:rPr>
                <w:sz w:val="21"/>
                <w:szCs w:val="21"/>
                <w:color w:val="auto"/>
              </w:rPr>
            </w:pPr>
          </w:p>
        </w:tc>
        <w:tc>
          <w:tcPr>
            <w:tcW w:w="38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91"/>
              </w:rPr>
              <w:t>Reduction in Net Income Attributable to</w:t>
            </w:r>
          </w:p>
        </w:tc>
      </w:tr>
      <w:tr>
        <w:trPr>
          <w:trHeight w:val="230"/>
        </w:trPr>
        <w:tc>
          <w:tcPr>
            <w:tcW w:w="2840" w:type="dxa"/>
            <w:vAlign w:val="bottom"/>
            <w:tcBorders>
              <w:left w:val="single" w:sz="8" w:color="auto"/>
              <w:right w:val="single" w:sz="8" w:color="auto"/>
            </w:tcBorders>
            <w:shd w:val="clear" w:color="auto" w:fill="000000"/>
          </w:tcPr>
          <w:p>
            <w:pPr>
              <w:ind w:left="1120"/>
              <w:spacing w:after="0"/>
              <w:rPr>
                <w:sz w:val="20"/>
                <w:szCs w:val="20"/>
                <w:color w:val="auto"/>
              </w:rPr>
            </w:pPr>
            <w:r>
              <w:rPr>
                <w:rFonts w:ascii="Arial" w:cs="Arial" w:eastAsia="Arial" w:hAnsi="Arial"/>
                <w:sz w:val="20"/>
                <w:szCs w:val="20"/>
                <w:b w:val="1"/>
                <w:bCs w:val="1"/>
                <w:color w:val="FFFFFF"/>
              </w:rPr>
              <w:t>Period</w:t>
            </w:r>
          </w:p>
        </w:tc>
        <w:tc>
          <w:tcPr>
            <w:tcW w:w="37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89"/>
              </w:rPr>
              <w:t>Reduction in Pre-Tax Income</w:t>
            </w:r>
          </w:p>
        </w:tc>
        <w:tc>
          <w:tcPr>
            <w:tcW w:w="38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98"/>
              </w:rPr>
              <w:t>EZCORP</w:t>
            </w:r>
          </w:p>
        </w:tc>
      </w:tr>
      <w:tr>
        <w:trPr>
          <w:trHeight w:val="273"/>
        </w:trPr>
        <w:tc>
          <w:tcPr>
            <w:tcW w:w="2840" w:type="dxa"/>
            <w:vAlign w:val="bottom"/>
            <w:tcBorders>
              <w:left w:val="single" w:sz="8" w:color="auto"/>
              <w:bottom w:val="single" w:sz="8" w:color="auto"/>
              <w:right w:val="single" w:sz="8" w:color="auto"/>
            </w:tcBorders>
            <w:shd w:val="clear" w:color="auto" w:fill="000000"/>
          </w:tcPr>
          <w:p>
            <w:pPr>
              <w:spacing w:after="0"/>
              <w:rPr>
                <w:sz w:val="23"/>
                <w:szCs w:val="23"/>
                <w:color w:val="auto"/>
              </w:rPr>
            </w:pPr>
          </w:p>
        </w:tc>
        <w:tc>
          <w:tcPr>
            <w:tcW w:w="37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90"/>
              </w:rPr>
              <w:t>(in millions)</w:t>
            </w:r>
          </w:p>
        </w:tc>
        <w:tc>
          <w:tcPr>
            <w:tcW w:w="38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90"/>
              </w:rPr>
              <w:t>(in millions)</w:t>
            </w:r>
          </w:p>
        </w:tc>
      </w:tr>
      <w:tr>
        <w:trPr>
          <w:trHeight w:val="26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2012</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$13.0</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$6.9</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4"/>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2013</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$22.0</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$11.8</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4"/>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2014</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$47.5</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$19.0</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4"/>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2015 (first quarter)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$8.2</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$3.6</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bl>
    <w:p>
      <w:pPr>
        <w:spacing w:after="0" w:line="118" w:lineRule="exact"/>
        <w:rPr>
          <w:sz w:val="20"/>
          <w:szCs w:val="20"/>
          <w:color w:val="auto"/>
        </w:rPr>
      </w:pPr>
    </w:p>
    <w:p>
      <w:pPr>
        <w:jc w:val="both"/>
        <w:ind w:right="480"/>
        <w:spacing w:after="0" w:line="260" w:lineRule="auto"/>
        <w:rPr>
          <w:sz w:val="20"/>
          <w:szCs w:val="20"/>
          <w:color w:val="auto"/>
        </w:rPr>
      </w:pPr>
      <w:r>
        <w:rPr>
          <w:rFonts w:ascii="Arial" w:cs="Arial" w:eastAsia="Arial" w:hAnsi="Arial"/>
          <w:sz w:val="20"/>
          <w:szCs w:val="20"/>
          <w:color w:val="auto"/>
        </w:rPr>
        <w:t>The reduction in pre-tax income for each period is slightly below, or at the lower end of, the estimated range previously announced by the company on October 20, 2015.</w:t>
      </w:r>
    </w:p>
    <w:p>
      <w:pPr>
        <w:spacing w:after="0" w:line="231"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color w:val="auto"/>
        </w:rPr>
        <w:t>A significant portion of the adjustments reflects the timing of income recognition, with negative adjustments in past periods and positive adjustments expected in future periods. Other than the costs associated with the restatement process itself, the restatements have no cash impact.</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Information about the restatement adjustments can be found in the company’s Amended Annual Report on Form 10-K/A for the fiscal year ended September 30, 2014 and Amended Quarterly Report on Form 10-Q/A for the quarter ended December 31, 2014, both filed today with the Securities and Exchange Commission.</w:t>
      </w:r>
    </w:p>
    <w:p>
      <w:pPr>
        <w:sectPr>
          <w:pgSz w:w="11900" w:h="16838" w:orient="portrait"/>
          <w:cols w:equalWidth="0" w:num="1">
            <w:col w:w="11400"/>
          </w:cols>
          <w:pgMar w:left="240" w:top="1252" w:right="2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EZCORP</w:t>
      </w:r>
    </w:p>
    <w:p>
      <w:pPr>
        <w:spacing w:after="0" w:line="141"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This announcement contains certain forward-looking statements regarding the affect of the restatement.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and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EZCORP Investor Relations</w:t>
      </w: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2020-01-25T02:20:49Z</dcterms:created>
  <dcterms:modified xsi:type="dcterms:W3CDTF">2020-01-25T02:20:49Z</dcterms:modified>
</cp:coreProperties>
</file>