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February 3, 2020 (February 3, 2020)</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67"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1"/>
              </w:rPr>
              <w:t>Delaware</w:t>
            </w:r>
          </w:p>
        </w:tc>
        <w:tc>
          <w:tcPr>
            <w:tcW w:w="578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40" w:type="dxa"/>
            <w:vAlign w:val="bottom"/>
          </w:tcPr>
          <w:p>
            <w:pPr>
              <w:jc w:val="center"/>
              <w:ind w:left="24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of incorporation)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60" w:type="dxa"/>
            <w:vAlign w:val="bottom"/>
          </w:tcPr>
          <w:p>
            <w:pPr>
              <w:spacing w:after="0"/>
              <w:rPr>
                <w:sz w:val="18"/>
                <w:szCs w:val="18"/>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40" w:type="dxa"/>
            <w:vAlign w:val="bottom"/>
          </w:tcPr>
          <w:p>
            <w:pPr>
              <w:spacing w:after="0"/>
              <w:rPr>
                <w:sz w:val="18"/>
                <w:szCs w:val="18"/>
                <w:color w:val="auto"/>
              </w:rPr>
            </w:pPr>
          </w:p>
        </w:tc>
      </w:tr>
      <w:tr>
        <w:trPr>
          <w:trHeight w:val="186"/>
        </w:trPr>
        <w:tc>
          <w:tcPr>
            <w:tcW w:w="1860" w:type="dxa"/>
            <w:vAlign w:val="bottom"/>
          </w:tcPr>
          <w:p>
            <w:pPr>
              <w:spacing w:after="0"/>
              <w:rPr>
                <w:sz w:val="16"/>
                <w:szCs w:val="16"/>
                <w:color w:val="auto"/>
              </w:rPr>
            </w:pPr>
          </w:p>
        </w:tc>
        <w:tc>
          <w:tcPr>
            <w:tcW w:w="578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40" w:type="dxa"/>
            <w:vAlign w:val="bottom"/>
          </w:tcPr>
          <w:p>
            <w:pPr>
              <w:spacing w:after="0"/>
              <w:rPr>
                <w:sz w:val="16"/>
                <w:szCs w:val="16"/>
                <w:color w:val="auto"/>
              </w:rPr>
            </w:pPr>
          </w:p>
        </w:tc>
      </w:tr>
      <w:tr>
        <w:trPr>
          <w:trHeight w:val="377"/>
        </w:trPr>
        <w:tc>
          <w:tcPr>
            <w:tcW w:w="1860" w:type="dxa"/>
            <w:vAlign w:val="bottom"/>
          </w:tcPr>
          <w:p>
            <w:pPr>
              <w:spacing w:after="0"/>
              <w:rPr>
                <w:sz w:val="24"/>
                <w:szCs w:val="24"/>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40" w:type="dxa"/>
            <w:vAlign w:val="bottom"/>
          </w:tcPr>
          <w:p>
            <w:pPr>
              <w:spacing w:after="0"/>
              <w:rPr>
                <w:sz w:val="24"/>
                <w:szCs w:val="24"/>
                <w:color w:val="auto"/>
              </w:rPr>
            </w:pPr>
          </w:p>
        </w:tc>
      </w:tr>
      <w:tr>
        <w:trPr>
          <w:trHeight w:val="284"/>
        </w:trPr>
        <w:tc>
          <w:tcPr>
            <w:tcW w:w="1860" w:type="dxa"/>
            <w:vAlign w:val="bottom"/>
          </w:tcPr>
          <w:p>
            <w:pPr>
              <w:spacing w:after="0"/>
              <w:rPr>
                <w:sz w:val="24"/>
                <w:szCs w:val="24"/>
                <w:color w:val="auto"/>
              </w:rPr>
            </w:pPr>
          </w:p>
        </w:tc>
        <w:tc>
          <w:tcPr>
            <w:tcW w:w="578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40" w:type="dxa"/>
            <w:vAlign w:val="bottom"/>
          </w:tcPr>
          <w:p>
            <w:pPr>
              <w:spacing w:after="0"/>
              <w:rPr>
                <w:sz w:val="24"/>
                <w:szCs w:val="24"/>
                <w:color w:val="auto"/>
              </w:rPr>
            </w:pPr>
          </w:p>
        </w:tc>
      </w:tr>
    </w:tbl>
    <w:p>
      <w:pPr>
        <w:spacing w:after="0" w:line="6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20" w:type="dxa"/>
            <w:vAlign w:val="bottom"/>
            <w:gridSpan w:val="2"/>
          </w:tcPr>
          <w:p>
            <w:pPr>
              <w:ind w:left="40"/>
              <w:spacing w:after="0"/>
              <w:rPr>
                <w:sz w:val="20"/>
                <w:szCs w:val="20"/>
                <w:color w:val="auto"/>
              </w:rPr>
            </w:pPr>
            <w:r>
              <w:rPr>
                <w:rFonts w:ascii="Arial" w:cs="Arial" w:eastAsia="Arial" w:hAnsi="Arial"/>
                <w:sz w:val="18"/>
                <w:szCs w:val="18"/>
                <w:b w:val="1"/>
                <w:bCs w:val="1"/>
                <w:color w:val="auto"/>
              </w:rPr>
              <w:t>Title of each class</w:t>
            </w:r>
          </w:p>
        </w:tc>
        <w:tc>
          <w:tcPr>
            <w:tcW w:w="1940" w:type="dxa"/>
            <w:vAlign w:val="bottom"/>
            <w:gridSpan w:val="2"/>
          </w:tcPr>
          <w:p>
            <w:pPr>
              <w:ind w:left="20"/>
              <w:spacing w:after="0"/>
              <w:rPr>
                <w:sz w:val="20"/>
                <w:szCs w:val="20"/>
                <w:color w:val="auto"/>
              </w:rPr>
            </w:pPr>
            <w:r>
              <w:rPr>
                <w:rFonts w:ascii="Arial" w:cs="Arial" w:eastAsia="Arial" w:hAnsi="Arial"/>
                <w:sz w:val="18"/>
                <w:szCs w:val="18"/>
                <w:b w:val="1"/>
                <w:bCs w:val="1"/>
                <w:color w:val="auto"/>
              </w:rPr>
              <w:t>Trading Symbol(s)</w:t>
            </w:r>
          </w:p>
        </w:tc>
        <w:tc>
          <w:tcPr>
            <w:tcW w:w="46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373"/>
        </w:trPr>
        <w:tc>
          <w:tcPr>
            <w:tcW w:w="4820" w:type="dxa"/>
            <w:vAlign w:val="bottom"/>
            <w:gridSpan w:val="2"/>
          </w:tcPr>
          <w:p>
            <w:pPr>
              <w:ind w:left="40"/>
              <w:spacing w:after="0"/>
              <w:rPr>
                <w:sz w:val="20"/>
                <w:szCs w:val="20"/>
                <w:color w:val="auto"/>
              </w:rPr>
            </w:pPr>
            <w:r>
              <w:rPr>
                <w:rFonts w:ascii="Arial" w:cs="Arial" w:eastAsia="Arial" w:hAnsi="Arial"/>
                <w:sz w:val="14"/>
                <w:szCs w:val="14"/>
                <w:b w:val="1"/>
                <w:bCs w:val="1"/>
                <w:color w:val="auto"/>
              </w:rPr>
              <w:t>Class A Non-voting Common Stock, par value $.01 per share</w:t>
            </w:r>
          </w:p>
        </w:tc>
        <w:tc>
          <w:tcPr>
            <w:tcW w:w="1940" w:type="dxa"/>
            <w:vAlign w:val="bottom"/>
            <w:gridSpan w:val="2"/>
          </w:tcPr>
          <w:p>
            <w:pPr>
              <w:ind w:left="20"/>
              <w:spacing w:after="0"/>
              <w:rPr>
                <w:sz w:val="20"/>
                <w:szCs w:val="20"/>
                <w:color w:val="auto"/>
              </w:rPr>
            </w:pPr>
            <w:r>
              <w:rPr>
                <w:rFonts w:ascii="Arial" w:cs="Arial" w:eastAsia="Arial" w:hAnsi="Arial"/>
                <w:sz w:val="14"/>
                <w:szCs w:val="14"/>
                <w:b w:val="1"/>
                <w:bCs w:val="1"/>
                <w:color w:val="auto"/>
              </w:rPr>
              <w:t>EZPW</w:t>
            </w:r>
          </w:p>
        </w:tc>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NASDAQ Stock Market</w:t>
            </w:r>
          </w:p>
        </w:tc>
        <w:tc>
          <w:tcPr>
            <w:tcW w:w="2900" w:type="dxa"/>
            <w:vAlign w:val="bottom"/>
          </w:tcPr>
          <w:p>
            <w:pPr>
              <w:ind w:left="240"/>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7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88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76" w:lineRule="exact"/>
        <w:rPr>
          <w:sz w:val="24"/>
          <w:szCs w:val="24"/>
          <w:color w:val="auto"/>
        </w:rPr>
      </w:pPr>
    </w:p>
    <w:p>
      <w:pPr>
        <w:ind w:right="2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274"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February 3, 2020, EZCORP, Inc. issued a press release announcing its results of operations and financial condition for the quarter ended December 31, 2019. A copy of that press release is attached as Exhibit 99.1.</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to the financial information prepared in conformity with accounting principles generally accepted in the United States ("GAAP"), we provide certain other non-GAAP financial information on a constant currency ("constant currency") and adjusted basis. We use constant currency results to evaluate our Latin America Pawn operations, which are denominated primarily in Mexican pesos, Guatemalan quetzals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spacing w:after="0" w:line="13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A copy of the presentation materials that management will review during the Company’s first quarter fiscal 2020 earnings conference call (to be held on February 3, 2020) will be posted in the Investor Relations section of the company’s website at </w:t>
      </w:r>
      <w:r>
        <w:rPr>
          <w:rFonts w:ascii="Arial" w:cs="Arial" w:eastAsia="Arial" w:hAnsi="Arial"/>
          <w:sz w:val="18"/>
          <w:szCs w:val="18"/>
          <w:u w:val="single" w:color="auto"/>
          <w:color w:val="0000FF"/>
        </w:rPr>
        <w:t>www.ezcorp.com</w:t>
      </w:r>
      <w:r>
        <w:rPr>
          <w:rFonts w:ascii="Arial" w:cs="Arial" w:eastAsia="Arial" w:hAnsi="Arial"/>
          <w:sz w:val="18"/>
          <w:szCs w:val="18"/>
          <w:color w:val="auto"/>
        </w:rPr>
        <w:t>.</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information set forth, or referred to, in this Item 7.01 shall not be deemed "filed" for purposes of the Securities Exchange Act of 1934 or otherwise subject to the liabilities of that section, and shall not be deemed to be incorporated by reference into any registration statement or other filing made by EZCORP under the Securities Act of 1933 or the Securities Exchange Act of 1934, unless such subsequent filing specifically references this Item 7.01 of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37" w:lineRule="exact"/>
        <w:rPr>
          <w:sz w:val="20"/>
          <w:szCs w:val="20"/>
          <w:color w:val="auto"/>
        </w:rPr>
      </w:pPr>
    </w:p>
    <w:p>
      <w:pPr>
        <w:ind w:left="880" w:hanging="52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8" w:lineRule="exact"/>
        <w:rPr>
          <w:sz w:val="20"/>
          <w:szCs w:val="20"/>
          <w:color w:val="auto"/>
        </w:rPr>
      </w:pPr>
    </w:p>
    <w:p>
      <w:pPr>
        <w:ind w:left="1120" w:right="620" w:hanging="562"/>
        <w:spacing w:after="0" w:line="277" w:lineRule="auto"/>
        <w:tabs>
          <w:tab w:leader="none" w:pos="1100" w:val="left"/>
        </w:tabs>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4">
        <w:r>
          <w:rPr>
            <w:rFonts w:ascii="Arial" w:cs="Arial" w:eastAsia="Arial" w:hAnsi="Arial"/>
            <w:sz w:val="18"/>
            <w:szCs w:val="18"/>
            <w:u w:val="single" w:color="auto"/>
            <w:color w:val="0000FF"/>
          </w:rPr>
          <w:t>Press Release, dated February 3, 2020, announcing EZCORP, Inc.’s results of operations and financial condition for the quarter ended</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December 31, 2019</w:t>
        </w:r>
      </w:hyperlink>
    </w:p>
    <w:p>
      <w:pPr>
        <w:sectPr>
          <w:pgSz w:w="11900" w:h="16838" w:orient="portrait"/>
          <w:cols w:equalWidth="0" w:num="1">
            <w:col w:w="11360"/>
          </w:cols>
          <w:pgMar w:left="240" w:top="715" w:right="29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February 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M. Chism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Daniel M. Chism</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715" w:right="4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2781935</wp:posOffset>
            </wp:positionH>
            <wp:positionV relativeFrom="page">
              <wp:posOffset>363220</wp:posOffset>
            </wp:positionV>
            <wp:extent cx="2006600"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EZCORP Reports First Quarter Fiscal Year 2020 Results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Austin, Texas (February 3, 2020) — </w:t>
      </w:r>
      <w:r>
        <w:rPr>
          <w:rFonts w:ascii="Arial" w:cs="Arial" w:eastAsia="Arial" w:hAnsi="Arial"/>
          <w:sz w:val="17"/>
          <w:szCs w:val="17"/>
          <w:color w:val="auto"/>
        </w:rPr>
        <w:t>EZCORP, Inc. (NASDAQ: EZPW) today announced results for its first quarter ended December 31, 2019.</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All amounts in this release are from EZCORP continuing operations and in conformity with U.S. generally accepted accounting principles ("GAAP") unless otherwise noted.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Comparisons shown in this release are to the same period in the prior year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FOR FIRST QUARTER OF FISCAL 2020</w:t>
      </w:r>
    </w:p>
    <w:p>
      <w:pPr>
        <w:spacing w:after="0" w:line="175" w:lineRule="exact"/>
        <w:rPr>
          <w:sz w:val="20"/>
          <w:szCs w:val="20"/>
          <w:color w:val="auto"/>
        </w:rPr>
      </w:pPr>
    </w:p>
    <w:p>
      <w:pPr>
        <w:ind w:left="660" w:right="1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revenues for the quarter were up 3% to $222.4 million, reflecting record revenues in our pawn business. Merchandise sales increased 5% from the prior-year quarter, complemented by 1% growth in pawn service charge (PSC) revenue.</w:t>
      </w:r>
    </w:p>
    <w:p>
      <w:pPr>
        <w:spacing w:after="0" w:line="116" w:lineRule="exact"/>
        <w:rPr>
          <w:rFonts w:ascii="Arial" w:cs="Arial" w:eastAsia="Arial" w:hAnsi="Arial"/>
          <w:sz w:val="18"/>
          <w:szCs w:val="18"/>
          <w:color w:val="auto"/>
        </w:rPr>
      </w:pPr>
    </w:p>
    <w:p>
      <w:pPr>
        <w:ind w:left="660" w:right="1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anticipated, efforts to rebalance our inventory profile to drive long-term profitability depressed merchandise sales margin by approximately 260 basis points to 34%, slightly below our target range of 35-38%. Aged general merchandise in U.S. Pawn was reduced 23% from the prior-year quarter, resulting in a $1.3 million, or 3%, decrease in merchandise sales gross profit.</w:t>
      </w:r>
    </w:p>
    <w:p>
      <w:pPr>
        <w:spacing w:after="0" w:line="127" w:lineRule="exact"/>
        <w:rPr>
          <w:rFonts w:ascii="Arial" w:cs="Arial" w:eastAsia="Arial" w:hAnsi="Arial"/>
          <w:sz w:val="18"/>
          <w:szCs w:val="18"/>
          <w:color w:val="auto"/>
        </w:rPr>
      </w:pPr>
    </w:p>
    <w:p>
      <w:pPr>
        <w:ind w:left="660" w:right="62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Latin America segment contribution improved 20% to $8.1 million, with a 21% increase in merchandise sales and a 15% growth in total revenues. PSC increased 7% on a 74 basis point improvement in monthly yield reflecting the quality of the loan portfolio.</w:t>
      </w:r>
    </w:p>
    <w:p>
      <w:pPr>
        <w:spacing w:after="0" w:line="9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focus on expense control drove a $0.2 million improvement in operations expenses despite a 2% growth in store count since the prior-year quarter. Corporate expense increased $4.3 million, including $2.0 million of costs not expected to recur in future periods.</w:t>
      </w:r>
    </w:p>
    <w:p>
      <w:pPr>
        <w:spacing w:after="0" w:line="116" w:lineRule="exact"/>
        <w:rPr>
          <w:rFonts w:ascii="Arial" w:cs="Arial" w:eastAsia="Arial" w:hAnsi="Arial"/>
          <w:sz w:val="18"/>
          <w:szCs w:val="18"/>
          <w:color w:val="auto"/>
        </w:rPr>
      </w:pPr>
    </w:p>
    <w:p>
      <w:pPr>
        <w:ind w:left="660" w:right="160" w:hanging="328"/>
        <w:spacing w:after="0" w:line="275"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Income from continuing operations before income taxes was $3.0 million, up $7.7 million compared to a $4.7 million loss in the prior-year quarter, and diluted earnings per share were $0.02 versus a loss of $0.06 in the prior-year quarter. Year-over-year comparisons were impacted by charges of $7.1 million in the current quarter and $2.9 million in the prior-year quarter for our portion of legal settlements reached by Cash Converters International Limited and a $13.3 million impairment of the Cash Converters investment in the prior-year quarter. Excluding those items and adjusting for constant currency</w:t>
      </w:r>
      <w:r>
        <w:rPr>
          <w:rFonts w:ascii="Arial" w:cs="Arial" w:eastAsia="Arial" w:hAnsi="Arial"/>
          <w:sz w:val="22"/>
          <w:szCs w:val="22"/>
          <w:color w:val="auto"/>
          <w:vertAlign w:val="superscript"/>
        </w:rPr>
        <w:t>1</w:t>
      </w:r>
      <w:r>
        <w:rPr>
          <w:rFonts w:ascii="Arial" w:cs="Arial" w:eastAsia="Arial" w:hAnsi="Arial"/>
          <w:sz w:val="16"/>
          <w:szCs w:val="16"/>
          <w:color w:val="auto"/>
        </w:rPr>
        <w:t>, adjusted</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income from continuing operations before income taxes was $13.4 million compared to $20.2 million in the prior-year quarter, and adjusted diluted earnings per share were $0.16 versus $0.28 in the prior-year quarter.</w:t>
      </w:r>
    </w:p>
    <w:p>
      <w:pPr>
        <w:spacing w:after="0" w:line="114" w:lineRule="exact"/>
        <w:rPr>
          <w:rFonts w:ascii="Arial" w:cs="Arial" w:eastAsia="Arial" w:hAnsi="Arial"/>
          <w:sz w:val="16"/>
          <w:szCs w:val="16"/>
          <w:color w:val="auto"/>
        </w:rPr>
      </w:pPr>
    </w:p>
    <w:p>
      <w:pPr>
        <w:ind w:left="660" w:right="1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opened four additional stores in Latin America in the current quarter; Latin America store count has increased by 21 net new stores, or 5%, over the last twelve months.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completed the rollout of our new POS system to all U.S. and Mexico stores.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successfully completed the initial launch of the Lana digital platform in December 2019.</w:t>
      </w:r>
    </w:p>
    <w:p>
      <w:pPr>
        <w:spacing w:after="0" w:line="171" w:lineRule="exact"/>
        <w:rPr>
          <w:rFonts w:ascii="Arial" w:cs="Arial" w:eastAsia="Arial" w:hAnsi="Arial"/>
          <w:sz w:val="18"/>
          <w:szCs w:val="18"/>
          <w:color w:val="auto"/>
        </w:rPr>
      </w:pPr>
    </w:p>
    <w:p>
      <w:pPr>
        <w:ind w:left="660" w:right="8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repurchased almost $1.0 million of Class A Common Stock by December 31, 2019 and an additional $1.7 million after quarter-end for approximately $2.7 million since program inception.</w:t>
      </w:r>
    </w:p>
    <w:p>
      <w:pPr>
        <w:sectPr>
          <w:pgSz w:w="11900" w:h="16838" w:orient="portrait"/>
          <w:cols w:equalWidth="0" w:num="1">
            <w:col w:w="11420"/>
          </w:cols>
          <w:pgMar w:left="240" w:top="144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CEO COMMENTARY AND OUTLOOK</w:t>
      </w:r>
    </w:p>
    <w:p>
      <w:pPr>
        <w:spacing w:after="0" w:line="17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Chief Executive Officer Stuart Grimshaw commented, "Underlying results reflect the current management focus of reducing aged inventory levels at a time when our customers have excess cash in their hands. In Latin America we saw strong sales growth of 18% year-over-year, which was offset to a degree by the anticipated reduction in merchandise margin and loan balances. U.S. Pawn has also been focused on the efficient disposition of aged inventory with expected lower merchandise margins attached to this activity. Total consolidated revenues improved 3%, while we gained efficiencies in our operations expenses and effectively managed aged inventory. While our ongoing efforts to optimize inventory and upgrade systems, as well as the more recent government social welfare programs in Mexico, impact near-term results and loan balances, we remain focused on driving operating efficiencies, free cash flow and higher returns on earning assets, and reducing corporate expense.</w:t>
      </w:r>
    </w:p>
    <w:p>
      <w:pPr>
        <w:spacing w:after="0" w:line="120"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In December, we introduced our differentiated digital platform, Lana, to customers in select stores in Florida, and completed the rollout of our new point-of-sale system in the U.S. and Mexico. We expect both these initiatives to enhance customer acquisition and retention, optimize lending decisions and expand earnings through improved loan redemption rates, resulting pawn service charge revenues and sales margins.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Importantly, we began repurchasing shares under the three-year, $60 million program that the Board approved in December 2019. We repurchased almost</w:t>
      </w:r>
    </w:p>
    <w:p>
      <w:pPr>
        <w:spacing w:after="0" w:line="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$1.0 million worth of stock by the end of the quarter, and to date we have repurchased approximately 415,000 shares for $2.7 million. Looking ahead, our free cash flow and strong balance sheet will enable us to enhance growth via new store openings, M&amp;A opportunities that meet our strategic and financial criteria, and ongoing reinvestments, as well as return capital to shareholders through repurchasing publicly traded Class A shares under the share repurchase program.”</w:t>
      </w:r>
    </w:p>
    <w:p>
      <w:pPr>
        <w:sectPr>
          <w:pgSz w:w="11900" w:h="16838" w:orient="portrait"/>
          <w:cols w:equalWidth="0" w:num="1">
            <w:col w:w="11420"/>
          </w:cols>
          <w:pgMar w:left="240" w:top="71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Arial" w:cs="Arial" w:eastAsia="Arial" w:hAnsi="Arial"/>
                <w:sz w:val="18"/>
                <w:szCs w:val="18"/>
                <w:b w:val="1"/>
                <w:bCs w:val="1"/>
                <w:color w:val="auto"/>
              </w:rPr>
              <w:t>CONSOLIDATED RESULTS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18"/>
        </w:trPr>
        <w:tc>
          <w:tcPr>
            <w:tcW w:w="6180" w:type="dxa"/>
            <w:vAlign w:val="bottom"/>
          </w:tcPr>
          <w:p>
            <w:pPr>
              <w:spacing w:after="0"/>
              <w:rPr>
                <w:sz w:val="20"/>
                <w:szCs w:val="20"/>
                <w:color w:val="auto"/>
              </w:rPr>
            </w:pPr>
            <w:r>
              <w:rPr>
                <w:rFonts w:ascii="Arial" w:cs="Arial" w:eastAsia="Arial" w:hAnsi="Arial"/>
                <w:sz w:val="18"/>
                <w:szCs w:val="18"/>
                <w:b w:val="1"/>
                <w:bCs w:val="1"/>
                <w:color w:val="auto"/>
              </w:rPr>
              <w:t>Three Months Ended December 31</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i w:val="1"/>
                <w:iCs w:val="1"/>
                <w:color w:val="auto"/>
              </w:rPr>
              <w:t>in millions, except per share amounts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05"/>
        </w:trPr>
        <w:tc>
          <w:tcPr>
            <w:tcW w:w="6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5"/>
          </w:tcPr>
          <w:p>
            <w:pPr>
              <w:ind w:left="480"/>
              <w:spacing w:after="0"/>
              <w:rPr>
                <w:sz w:val="20"/>
                <w:szCs w:val="20"/>
                <w:color w:val="auto"/>
              </w:rPr>
            </w:pPr>
            <w:r>
              <w:rPr>
                <w:rFonts w:ascii="Arial" w:cs="Arial" w:eastAsia="Arial" w:hAnsi="Arial"/>
                <w:sz w:val="18"/>
                <w:szCs w:val="18"/>
                <w:b w:val="1"/>
                <w:bCs w:val="1"/>
                <w:color w:val="auto"/>
              </w:rPr>
              <w:t>As Reported</w:t>
            </w:r>
          </w:p>
        </w:tc>
        <w:tc>
          <w:tcPr>
            <w:tcW w:w="26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Adjusted</w:t>
            </w:r>
            <w:r>
              <w:rPr>
                <w:rFonts w:ascii="Arial" w:cs="Arial" w:eastAsia="Arial" w:hAnsi="Arial"/>
                <w:sz w:val="25"/>
                <w:szCs w:val="25"/>
                <w:b w:val="1"/>
                <w:bCs w:val="1"/>
                <w:color w:val="auto"/>
                <w:vertAlign w:val="superscript"/>
              </w:rPr>
              <w:t>1</w:t>
            </w:r>
          </w:p>
        </w:tc>
        <w:tc>
          <w:tcPr>
            <w:tcW w:w="780" w:type="dxa"/>
            <w:vAlign w:val="bottom"/>
          </w:tcPr>
          <w:p>
            <w:pPr>
              <w:spacing w:after="0"/>
              <w:rPr>
                <w:sz w:val="24"/>
                <w:szCs w:val="24"/>
                <w:color w:val="auto"/>
              </w:rPr>
            </w:pPr>
          </w:p>
        </w:tc>
      </w:tr>
      <w:tr>
        <w:trPr>
          <w:trHeight w:val="237"/>
        </w:trPr>
        <w:tc>
          <w:tcPr>
            <w:tcW w:w="61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2018</w:t>
            </w:r>
          </w:p>
        </w:tc>
      </w:tr>
      <w:tr>
        <w:trPr>
          <w:trHeight w:val="27"/>
        </w:trPr>
        <w:tc>
          <w:tcPr>
            <w:tcW w:w="6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358"/>
        </w:trPr>
        <w:tc>
          <w:tcPr>
            <w:tcW w:w="61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222.4</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215.7</w:t>
            </w:r>
          </w:p>
        </w:tc>
        <w:tc>
          <w:tcPr>
            <w:tcW w:w="44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221.1</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215.7</w:t>
            </w: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130.0</w:t>
            </w:r>
          </w:p>
        </w:tc>
        <w:tc>
          <w:tcPr>
            <w:tcW w:w="44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130.0</w:t>
            </w: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Tax</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44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20.2</w:t>
            </w: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color w:val="auto"/>
              </w:rPr>
              <w:t>Net Income from Continuing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44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15.5</w:t>
            </w: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color w:val="auto"/>
              </w:rPr>
              <w:t>Diluted Earnings Per Share from Continuing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(0.06)</w:t>
            </w:r>
          </w:p>
        </w:tc>
        <w:tc>
          <w:tcPr>
            <w:tcW w:w="44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0.28</w:t>
            </w:r>
          </w:p>
        </w:tc>
      </w:tr>
      <w:tr>
        <w:trPr>
          <w:trHeight w:val="368"/>
        </w:trPr>
        <w:tc>
          <w:tcPr>
            <w:tcW w:w="6180" w:type="dxa"/>
            <w:vAlign w:val="bottom"/>
          </w:tcPr>
          <w:p>
            <w:pPr>
              <w:ind w:left="40"/>
              <w:spacing w:after="0"/>
              <w:rPr>
                <w:sz w:val="20"/>
                <w:szCs w:val="20"/>
                <w:color w:val="auto"/>
              </w:rPr>
            </w:pPr>
            <w:r>
              <w:rPr>
                <w:rFonts w:ascii="Arial" w:cs="Arial" w:eastAsia="Arial" w:hAnsi="Arial"/>
                <w:sz w:val="18"/>
                <w:szCs w:val="18"/>
                <w:color w:val="auto"/>
              </w:rPr>
              <w:t>Adjusted EBITDA</w:t>
            </w:r>
            <w:r>
              <w:rPr>
                <w:rFonts w:ascii="Arial" w:cs="Arial" w:eastAsia="Arial" w:hAnsi="Arial"/>
                <w:sz w:val="25"/>
                <w:szCs w:val="25"/>
                <w:color w:val="auto"/>
                <w:vertAlign w:val="superscript"/>
              </w:rPr>
              <w:t>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44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28.3</w:t>
            </w:r>
          </w:p>
        </w:tc>
      </w:tr>
    </w:tbl>
    <w:p>
      <w:pPr>
        <w:spacing w:after="0" w:line="76" w:lineRule="exact"/>
        <w:rPr>
          <w:sz w:val="20"/>
          <w:szCs w:val="20"/>
          <w:color w:val="auto"/>
        </w:rPr>
      </w:pPr>
    </w:p>
    <w:p>
      <w:pPr>
        <w:ind w:left="660" w:right="4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revenues grew 3% to $222.4 million. PSC was up 1% to $84.7 million largely reflecting an improvement in pawn loan yield. Merchandise sales grew 5% and scrap sales were up 3%.</w:t>
      </w:r>
    </w:p>
    <w:p>
      <w:pPr>
        <w:spacing w:after="0" w:line="116"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revenues were flat versus the prior-year quarter at $130.1 million. Consolidated merchandise sales gross profit declined 3% to $42.7 million, with a 5% increase in merchandise sales more than offset by higher cost of goods sold. Ongoing efforts to enhance inventory management impacted merchandise margins, down approximately 260 basis points to 34%.</w:t>
      </w:r>
    </w:p>
    <w:p>
      <w:pPr>
        <w:spacing w:after="0" w:line="127" w:lineRule="exact"/>
        <w:rPr>
          <w:rFonts w:ascii="Arial" w:cs="Arial" w:eastAsia="Arial" w:hAnsi="Arial"/>
          <w:sz w:val="18"/>
          <w:szCs w:val="18"/>
          <w:color w:val="auto"/>
        </w:rPr>
      </w:pPr>
    </w:p>
    <w:p>
      <w:pPr>
        <w:ind w:left="660" w:right="20" w:hanging="247"/>
        <w:spacing w:after="0" w:line="277"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Consolidated operations expenses improved slightly. Total store count increased 2%, consisting of a net 21 stores acquired or opened since the end of the prior-year quarter.</w:t>
      </w:r>
    </w:p>
    <w:p>
      <w:pPr>
        <w:spacing w:after="0" w:line="116" w:lineRule="exact"/>
        <w:rPr>
          <w:rFonts w:ascii="Arial" w:cs="Arial" w:eastAsia="Arial" w:hAnsi="Arial"/>
          <w:sz w:val="18"/>
          <w:szCs w:val="18"/>
          <w:color w:val="auto"/>
        </w:rPr>
      </w:pPr>
    </w:p>
    <w:p>
      <w:pPr>
        <w:ind w:left="660" w:hanging="247"/>
        <w:spacing w:after="0" w:line="277"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Administrative expense increased 33% to $17.5 million, including approximately $2.0 million not expected to recur and lower capitalization rates for IT personnel reflecting the nature of the specific work performed in the quarter.</w:t>
      </w:r>
    </w:p>
    <w:p>
      <w:pPr>
        <w:spacing w:after="0" w:line="116" w:lineRule="exact"/>
        <w:rPr>
          <w:rFonts w:ascii="Arial" w:cs="Arial" w:eastAsia="Arial" w:hAnsi="Arial"/>
          <w:sz w:val="18"/>
          <w:szCs w:val="18"/>
          <w:color w:val="auto"/>
        </w:rPr>
      </w:pPr>
    </w:p>
    <w:p>
      <w:pPr>
        <w:ind w:left="660" w:right="160" w:hanging="247"/>
        <w:spacing w:after="0" w:line="277"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Gross interest expense decreased $3.5 million reflecting the June 2019 repayment of $195.0 million of cash convertible debt. Gross interest income decreased $2.5 million due to collections on notes receivable since the prior-year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U.S. Pawn</w:t>
      </w:r>
    </w:p>
    <w:p>
      <w:pPr>
        <w:spacing w:after="0" w:line="171" w:lineRule="exact"/>
        <w:rPr>
          <w:sz w:val="20"/>
          <w:szCs w:val="20"/>
          <w:color w:val="auto"/>
        </w:rPr>
      </w:pPr>
    </w:p>
    <w:p>
      <w:pPr>
        <w:ind w:left="660" w:right="340" w:hanging="328"/>
        <w:spacing w:after="0" w:line="342" w:lineRule="auto"/>
        <w:tabs>
          <w:tab w:leader="none" w:pos="660" w:val="left"/>
        </w:tabs>
        <w:numPr>
          <w:ilvl w:val="0"/>
          <w:numId w:val="5"/>
        </w:numPr>
        <w:rPr>
          <w:rFonts w:ascii="Arial" w:cs="Arial" w:eastAsia="Arial" w:hAnsi="Arial"/>
          <w:sz w:val="16"/>
          <w:szCs w:val="16"/>
          <w:b w:val="1"/>
          <w:bCs w:val="1"/>
          <w:i w:val="1"/>
          <w:iCs w:val="1"/>
          <w:color w:val="auto"/>
        </w:rPr>
      </w:pPr>
      <w:r>
        <w:rPr>
          <w:rFonts w:ascii="Arial" w:cs="Arial" w:eastAsia="Arial" w:hAnsi="Arial"/>
          <w:sz w:val="16"/>
          <w:szCs w:val="16"/>
          <w:color w:val="auto"/>
        </w:rPr>
        <w:t>PSC was essentially flat on a year-over-year basis, as a slightly lower balance of pawn loans outstanding (PLO) for the quarter was offset by a modest improvement in yield. PLO per store ended the period at $303,000, down 1% compared to the average for the fiscal first quarter of 2019.</w:t>
      </w:r>
    </w:p>
    <w:p>
      <w:pPr>
        <w:spacing w:after="0" w:line="69" w:lineRule="exact"/>
        <w:rPr>
          <w:rFonts w:ascii="Arial" w:cs="Arial" w:eastAsia="Arial" w:hAnsi="Arial"/>
          <w:sz w:val="16"/>
          <w:szCs w:val="16"/>
          <w:b w:val="1"/>
          <w:bCs w:val="1"/>
          <w:i w:val="1"/>
          <w:iCs w:val="1"/>
          <w:color w:val="auto"/>
        </w:rPr>
      </w:pPr>
    </w:p>
    <w:p>
      <w:pPr>
        <w:jc w:val="both"/>
        <w:ind w:left="660" w:right="260" w:hanging="328"/>
        <w:spacing w:after="0" w:line="31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Merchandise margins declined from 37.8% a year ago to 35.6%, as management focused on the effective liquidation of aged general merchandise inventory, which improved to 6.8% of total general merchandise inventory at the end of the quarter compared to 8.9% at the end of the prior-year quarter. Jewelry scrapping gross profit increased 31%, with related margins up approximately 640 basis points to 22% on higher gold prices.</w:t>
      </w:r>
    </w:p>
    <w:p>
      <w:pPr>
        <w:spacing w:after="0" w:line="92" w:lineRule="exact"/>
        <w:rPr>
          <w:rFonts w:ascii="Arial" w:cs="Arial" w:eastAsia="Arial" w:hAnsi="Arial"/>
          <w:sz w:val="16"/>
          <w:szCs w:val="16"/>
          <w:color w:val="auto"/>
        </w:rPr>
      </w:pPr>
    </w:p>
    <w:p>
      <w:pPr>
        <w:ind w:left="660" w:right="40" w:hanging="328"/>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Net revenues declined 2% to $99.5 million, while segment contribution increased 4% to $28.6 million on lower expenses. Prior-year results included a $2.9 million charge for an uncollectible receivable balance from a bankrupt refining partner with no comparable charge in the current period.</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margin expanded approximately 150 basis points to 31.6%.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Latin America Pawn</w:t>
      </w:r>
    </w:p>
    <w:p>
      <w:pPr>
        <w:spacing w:after="0" w:line="171" w:lineRule="exact"/>
        <w:rPr>
          <w:sz w:val="20"/>
          <w:szCs w:val="20"/>
          <w:color w:val="auto"/>
        </w:rPr>
      </w:pPr>
    </w:p>
    <w:p>
      <w:pPr>
        <w:ind w:left="660" w:right="3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revenues increased 8% to $29.7 million ($29.1 million on a constant currency basis) reflecting growth in same-store loan balances, new and acquired stores and expansion in pawn loan yield.</w:t>
      </w:r>
    </w:p>
    <w:p>
      <w:pPr>
        <w:sectPr>
          <w:pgSz w:w="11900" w:h="16838" w:orient="portrait"/>
          <w:cols w:equalWidth="0" w:num="1">
            <w:col w:w="11420"/>
          </w:cols>
          <w:pgMar w:left="240" w:top="715" w:right="239" w:bottom="1440" w:gutter="0" w:footer="0" w:header="0"/>
        </w:sectPr>
      </w:pPr>
    </w:p>
    <w:bookmarkStart w:id="6" w:name="page7"/>
    <w:bookmarkEnd w:id="6"/>
    <w:p>
      <w:pPr>
        <w:ind w:left="660" w:right="6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PSC rose 7% to $20.6 million ($20.2 million on a constant currency basis). Ending PLO grew 4% to $40.3 million (1% to $39.2 million on a constant currency basis), with ending PLO per store of $83,000, down 1% from the prior-year quarter.</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Merchandise sales increased 21%, or $5.5 million (18% or $4.6 million constant currency). Merchandise margins declined to 28% driven by ongoing efforts to generate cash and reduce aged inventory.</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Operations expenses increased 10% to $20.0 million primarily a function of expenses from new and expanded stores and higher same-store licensing requirements and utilities.</w:t>
      </w:r>
    </w:p>
    <w:p>
      <w:pPr>
        <w:spacing w:after="0" w:line="116"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Latin America Pawn added four de novo stores in the quarter. New store openings typically pressure earnings in the short term as they ramp up but drive higher profitability over time.</w:t>
      </w:r>
    </w:p>
    <w:p>
      <w:pPr>
        <w:spacing w:after="0" w:line="116"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Segment contribution increased 20% to $8.1 million (16% on a constant currency basis) primarily reflecting higher net revenues. EBITDA margin expanded approximately 400 basis points to 32.5%.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EZCORP will host a conference call on Monday, February 3, 2020, at 4:00 pm Central Time to discuss first quarter results. Analysts and institutional investors may participate on the conference call by dialing (877) 201-0168, Conference ID: 5299243, or internationally by dialing (647) 788-4901. The conference call will be webcast simultaneously to the public through this link: </w:t>
      </w:r>
      <w:r>
        <w:rPr>
          <w:rFonts w:ascii="Arial" w:cs="Arial" w:eastAsia="Arial" w:hAnsi="Arial"/>
          <w:sz w:val="18"/>
          <w:szCs w:val="18"/>
          <w:u w:val="single" w:color="auto"/>
          <w:color w:val="0000FF"/>
        </w:rPr>
        <w:t>http://investors.ezcorp.com/</w:t>
      </w:r>
      <w:r>
        <w:rPr>
          <w:rFonts w:ascii="Arial" w:cs="Arial" w:eastAsia="Arial" w:hAnsi="Arial"/>
          <w:sz w:val="18"/>
          <w:szCs w:val="18"/>
          <w:color w:val="auto"/>
        </w:rPr>
        <w:t xml:space="preserve">. A replay of the conference call will be available online at </w:t>
      </w:r>
      <w:r>
        <w:rPr>
          <w:rFonts w:ascii="Arial" w:cs="Arial" w:eastAsia="Arial" w:hAnsi="Arial"/>
          <w:sz w:val="18"/>
          <w:szCs w:val="18"/>
          <w:u w:val="single" w:color="auto"/>
          <w:color w:val="0000FF"/>
        </w:rPr>
        <w:t>http://investors.ezcorp.com/</w:t>
      </w:r>
      <w:r>
        <w:rPr>
          <w:rFonts w:ascii="Arial" w:cs="Arial" w:eastAsia="Arial" w:hAnsi="Arial"/>
          <w:sz w:val="18"/>
          <w:szCs w:val="18"/>
          <w:color w:val="auto"/>
        </w:rPr>
        <w:t xml:space="preserve"> shortly after the end of the call.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7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Formed in 1989, EZCORP has grown into a leading provider of pawn loans in the United States and Latin America. It also sells merchandise, primarily collateral forfeited from pawn lending operations and used merchandise purchased from customers. We are dedicated to satisfying the short-term cash needs of consumers who are both cash and credit constrained, focusing on an industry-leading customer experience. EZCORP is traded on NASDAQ under the symbol EZPW and is a member of the Russell 2000 Index, S&amp;P SmallCap 600 Index, S&amp;P 1000 Index and Nasdaq Composite Index.</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w:t>
      </w:r>
    </w:p>
    <w:p>
      <w:pPr>
        <w:spacing w:after="0" w:line="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Actual results for future periods may differ materially from those expressed or implied by these forward-looking statements due to a number of uncertainties and other factors, including operating risks, liquidity risks, legislative or regulatory developments, market factors or current or future litigation.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Email: Investor_Relations@ezcorp.com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(512) 314-2220</w:t>
      </w:r>
    </w:p>
    <w:p>
      <w:pPr>
        <w:spacing w:after="0" w:line="206" w:lineRule="exact"/>
        <w:rPr>
          <w:sz w:val="20"/>
          <w:szCs w:val="20"/>
          <w:color w:val="auto"/>
        </w:rPr>
      </w:pPr>
    </w:p>
    <w:p>
      <w:pPr>
        <w:ind w:right="120"/>
        <w:spacing w:after="0" w:line="257" w:lineRule="auto"/>
        <w:rPr>
          <w:sz w:val="20"/>
          <w:szCs w:val="20"/>
          <w:color w:val="auto"/>
        </w:rPr>
      </w:pPr>
      <w:r>
        <w:rPr>
          <w:rFonts w:ascii="Arial" w:cs="Arial" w:eastAsia="Arial" w:hAnsi="Arial"/>
          <w:sz w:val="9"/>
          <w:szCs w:val="9"/>
          <w:i w:val="1"/>
          <w:iCs w:val="1"/>
          <w:color w:val="auto"/>
        </w:rPr>
        <w:t>1</w:t>
      </w:r>
      <w:r>
        <w:rPr>
          <w:rFonts w:ascii="Arial" w:cs="Arial" w:eastAsia="Arial" w:hAnsi="Arial"/>
          <w:sz w:val="14"/>
          <w:szCs w:val="14"/>
          <w:i w:val="1"/>
          <w:iCs w:val="1"/>
          <w:color w:val="auto"/>
        </w:rPr>
        <w:t>Adjusted basis, which is a non-GAAP measure, excludes certain items.“Constant currency” basis, which is a non-GAAP measure, excludes the impact of foreign currency exchange rate</w:t>
      </w:r>
      <w:r>
        <w:rPr>
          <w:rFonts w:ascii="Arial" w:cs="Arial" w:eastAsia="Arial" w:hAnsi="Arial"/>
          <w:sz w:val="9"/>
          <w:szCs w:val="9"/>
          <w:i w:val="1"/>
          <w:iCs w:val="1"/>
          <w:color w:val="auto"/>
        </w:rPr>
        <w:t xml:space="preserve"> </w:t>
      </w:r>
      <w:r>
        <w:rPr>
          <w:rFonts w:ascii="Arial" w:cs="Arial" w:eastAsia="Arial" w:hAnsi="Arial"/>
          <w:sz w:val="14"/>
          <w:szCs w:val="14"/>
          <w:i w:val="1"/>
          <w:iCs w:val="1"/>
          <w:color w:val="auto"/>
        </w:rPr>
        <w:t>fluctuations. For additional information about these calculations, as well as a reconciliation to the most comparable GAAP financial measures, see “Non-GAAP Financial Information” at the end of this release.</w:t>
      </w:r>
    </w:p>
    <w:p>
      <w:pPr>
        <w:sectPr>
          <w:pgSz w:w="11900" w:h="16838" w:orient="portrait"/>
          <w:cols w:equalWidth="0" w:num="1">
            <w:col w:w="11400"/>
          </w:cols>
          <w:pgMar w:left="240" w:top="719" w:right="25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center"/>
              <w:ind w:right="139"/>
              <w:spacing w:after="0"/>
              <w:rPr>
                <w:sz w:val="20"/>
                <w:szCs w:val="20"/>
                <w:color w:val="auto"/>
              </w:rPr>
            </w:pPr>
            <w:r>
              <w:rPr>
                <w:rFonts w:ascii="Arial" w:cs="Arial" w:eastAsia="Arial" w:hAnsi="Arial"/>
                <w:sz w:val="14"/>
                <w:szCs w:val="14"/>
                <w:b w:val="1"/>
                <w:bCs w:val="1"/>
                <w:color w:val="auto"/>
                <w:w w:val="93"/>
              </w:rPr>
              <w:t>Three Months Ended December 31,</w:t>
            </w:r>
          </w:p>
        </w:tc>
      </w:tr>
      <w:tr>
        <w:trPr>
          <w:trHeight w:val="264"/>
        </w:trPr>
        <w:tc>
          <w:tcPr>
            <w:tcW w:w="83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r>
      <w:tr>
        <w:trPr>
          <w:trHeight w:val="379"/>
        </w:trPr>
        <w:tc>
          <w:tcPr>
            <w:tcW w:w="8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gridSpan w:val="3"/>
          </w:tcPr>
          <w:p>
            <w:pPr>
              <w:jc w:val="center"/>
              <w:ind w:left="720"/>
              <w:spacing w:after="0"/>
              <w:rPr>
                <w:sz w:val="20"/>
                <w:szCs w:val="20"/>
                <w:color w:val="auto"/>
              </w:rPr>
            </w:pPr>
            <w:r>
              <w:rPr>
                <w:rFonts w:ascii="Arial" w:cs="Arial" w:eastAsia="Arial" w:hAnsi="Arial"/>
                <w:sz w:val="14"/>
                <w:szCs w:val="14"/>
                <w:b w:val="1"/>
                <w:bCs w:val="1"/>
                <w:color w:val="auto"/>
                <w:w w:val="95"/>
              </w:rPr>
              <w:t>(Unaudited)</w:t>
            </w:r>
          </w:p>
        </w:tc>
        <w:tc>
          <w:tcPr>
            <w:tcW w:w="1020" w:type="dxa"/>
            <w:vAlign w:val="bottom"/>
          </w:tcPr>
          <w:p>
            <w:pPr>
              <w:spacing w:after="0"/>
              <w:rPr>
                <w:sz w:val="24"/>
                <w:szCs w:val="24"/>
                <w:color w:val="auto"/>
              </w:rPr>
            </w:pPr>
          </w:p>
        </w:tc>
      </w:tr>
      <w:tr>
        <w:trPr>
          <w:trHeight w:val="203"/>
        </w:trPr>
        <w:tc>
          <w:tcPr>
            <w:tcW w:w="8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40" w:type="dxa"/>
            <w:vAlign w:val="bottom"/>
            <w:gridSpan w:val="4"/>
          </w:tcPr>
          <w:p>
            <w:pPr>
              <w:jc w:val="center"/>
              <w:ind w:right="139"/>
              <w:spacing w:after="0"/>
              <w:rPr>
                <w:sz w:val="20"/>
                <w:szCs w:val="20"/>
                <w:color w:val="auto"/>
              </w:rPr>
            </w:pPr>
            <w:r>
              <w:rPr>
                <w:rFonts w:ascii="Arial" w:cs="Arial" w:eastAsia="Arial" w:hAnsi="Arial"/>
                <w:sz w:val="14"/>
                <w:szCs w:val="14"/>
                <w:i w:val="1"/>
                <w:iCs w:val="1"/>
                <w:color w:val="auto"/>
                <w:w w:val="92"/>
              </w:rPr>
              <w:t>(in thousands, except per share amounts)</w:t>
            </w:r>
          </w:p>
        </w:tc>
      </w:tr>
      <w:tr>
        <w:trPr>
          <w:trHeight w:val="249"/>
        </w:trPr>
        <w:tc>
          <w:tcPr>
            <w:tcW w:w="8300" w:type="dxa"/>
            <w:vAlign w:val="bottom"/>
          </w:tcPr>
          <w:p>
            <w:pPr>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Merchandise sales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126,728</w:t>
            </w:r>
          </w:p>
        </w:tc>
        <w:tc>
          <w:tcPr>
            <w:tcW w:w="120" w:type="dxa"/>
            <w:vAlign w:val="bottom"/>
          </w:tcPr>
          <w:p>
            <w:pPr>
              <w:spacing w:after="0"/>
              <w:rPr>
                <w:sz w:val="23"/>
                <w:szCs w:val="23"/>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121,024</w:t>
            </w: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Jewelry scrapping sales</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9,528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9,281</w:t>
            </w: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Pawn service charges</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84,725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83,519</w:t>
            </w: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Other revenues</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1,454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1,871</w:t>
            </w:r>
          </w:p>
        </w:tc>
      </w:tr>
      <w:tr>
        <w:trPr>
          <w:trHeight w:val="33"/>
        </w:trPr>
        <w:tc>
          <w:tcPr>
            <w:tcW w:w="8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830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24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222,435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215,695</w:t>
            </w: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Merchandise cost of goods sold</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84,076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77,112</w:t>
            </w: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Jewelry scrapping cost of goods sold</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7,754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8,050</w:t>
            </w: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Other cost of revenues</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536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484</w:t>
            </w:r>
          </w:p>
        </w:tc>
      </w:tr>
      <w:tr>
        <w:trPr>
          <w:trHeight w:val="33"/>
        </w:trPr>
        <w:tc>
          <w:tcPr>
            <w:tcW w:w="8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8300" w:type="dxa"/>
            <w:vAlign w:val="bottom"/>
          </w:tcPr>
          <w:p>
            <w:pPr>
              <w:ind w:left="460"/>
              <w:spacing w:after="0"/>
              <w:rPr>
                <w:sz w:val="20"/>
                <w:szCs w:val="20"/>
                <w:color w:val="auto"/>
              </w:rPr>
            </w:pPr>
            <w:r>
              <w:rPr>
                <w:rFonts w:ascii="Arial" w:cs="Arial" w:eastAsia="Arial" w:hAnsi="Arial"/>
                <w:sz w:val="16"/>
                <w:szCs w:val="16"/>
                <w:color w:val="auto"/>
              </w:rPr>
              <w:t>Net revenues</w:t>
            </w:r>
          </w:p>
        </w:tc>
        <w:tc>
          <w:tcPr>
            <w:tcW w:w="24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130,069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130,049</w:t>
            </w: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Operations</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90,625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90,853</w:t>
            </w: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Administrative</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17,489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13,165</w:t>
            </w: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7,733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6,848</w:t>
            </w: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Loss on sale or disposal of assets and other</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744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4,442</w:t>
            </w:r>
          </w:p>
        </w:tc>
      </w:tr>
      <w:tr>
        <w:trPr>
          <w:trHeight w:val="33"/>
        </w:trPr>
        <w:tc>
          <w:tcPr>
            <w:tcW w:w="8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8300" w:type="dxa"/>
            <w:vAlign w:val="bottom"/>
          </w:tcPr>
          <w:p>
            <w:pPr>
              <w:ind w:left="460"/>
              <w:spacing w:after="0"/>
              <w:rPr>
                <w:sz w:val="20"/>
                <w:szCs w:val="20"/>
                <w:color w:val="auto"/>
              </w:rPr>
            </w:pPr>
            <w:r>
              <w:rPr>
                <w:rFonts w:ascii="Arial" w:cs="Arial" w:eastAsia="Arial" w:hAnsi="Arial"/>
                <w:sz w:val="16"/>
                <w:szCs w:val="16"/>
                <w:color w:val="auto"/>
              </w:rPr>
              <w:t>Total operating expenses</w:t>
            </w:r>
          </w:p>
        </w:tc>
        <w:tc>
          <w:tcPr>
            <w:tcW w:w="24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116,591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115,308</w:t>
            </w:r>
          </w:p>
        </w:tc>
      </w:tr>
      <w:tr>
        <w:trPr>
          <w:trHeight w:val="33"/>
        </w:trPr>
        <w:tc>
          <w:tcPr>
            <w:tcW w:w="8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8300" w:type="dxa"/>
            <w:vAlign w:val="bottom"/>
          </w:tcPr>
          <w:p>
            <w:pPr>
              <w:ind w:left="68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13,478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14,741</w:t>
            </w: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5,329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8,791</w:t>
            </w: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(843)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(3,339)</w:t>
            </w: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Equity in net loss of unconsolidated affiliates</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5,897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1,119</w:t>
            </w: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Impairment of investment in unconsolidated affiliates</w:t>
            </w:r>
          </w:p>
        </w:tc>
        <w:tc>
          <w:tcPr>
            <w:tcW w:w="240" w:type="dxa"/>
            <w:vAlign w:val="bottom"/>
          </w:tcPr>
          <w:p>
            <w:pPr>
              <w:spacing w:after="0"/>
              <w:rPr>
                <w:sz w:val="23"/>
                <w:szCs w:val="23"/>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13,274</w:t>
            </w: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Other expense (income)</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(386)</w:t>
            </w:r>
          </w:p>
        </w:tc>
      </w:tr>
      <w:tr>
        <w:trPr>
          <w:trHeight w:val="33"/>
        </w:trPr>
        <w:tc>
          <w:tcPr>
            <w:tcW w:w="8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8300" w:type="dxa"/>
            <w:vAlign w:val="bottom"/>
          </w:tcPr>
          <w:p>
            <w:pPr>
              <w:spacing w:after="0"/>
              <w:rPr>
                <w:sz w:val="20"/>
                <w:szCs w:val="20"/>
                <w:color w:val="auto"/>
              </w:rPr>
            </w:pPr>
            <w:r>
              <w:rPr>
                <w:rFonts w:ascii="Arial" w:cs="Arial" w:eastAsia="Arial" w:hAnsi="Arial"/>
                <w:sz w:val="16"/>
                <w:szCs w:val="16"/>
                <w:color w:val="auto"/>
              </w:rPr>
              <w:t>Income (loss) from continuing operations before income taxes</w:t>
            </w:r>
          </w:p>
        </w:tc>
        <w:tc>
          <w:tcPr>
            <w:tcW w:w="24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3,024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(4,718)</w:t>
            </w: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1,759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(1,058)</w:t>
            </w:r>
          </w:p>
        </w:tc>
      </w:tr>
      <w:tr>
        <w:trPr>
          <w:trHeight w:val="33"/>
        </w:trPr>
        <w:tc>
          <w:tcPr>
            <w:tcW w:w="8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8300" w:type="dxa"/>
            <w:vAlign w:val="bottom"/>
          </w:tcPr>
          <w:p>
            <w:pPr>
              <w:spacing w:after="0"/>
              <w:rPr>
                <w:sz w:val="20"/>
                <w:szCs w:val="20"/>
                <w:color w:val="auto"/>
              </w:rPr>
            </w:pPr>
            <w:r>
              <w:rPr>
                <w:rFonts w:ascii="Arial" w:cs="Arial" w:eastAsia="Arial" w:hAnsi="Arial"/>
                <w:sz w:val="16"/>
                <w:szCs w:val="16"/>
                <w:color w:val="auto"/>
              </w:rPr>
              <w:t>Income (loss) from continuing operations, net of tax</w:t>
            </w:r>
          </w:p>
        </w:tc>
        <w:tc>
          <w:tcPr>
            <w:tcW w:w="24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1,265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(3,660)</w:t>
            </w: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Loss from discontinued operations, net of tax</w:t>
            </w: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(183)</w:t>
            </w:r>
          </w:p>
        </w:tc>
      </w:tr>
      <w:tr>
        <w:trPr>
          <w:trHeight w:val="33"/>
        </w:trPr>
        <w:tc>
          <w:tcPr>
            <w:tcW w:w="8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8300" w:type="dxa"/>
            <w:vAlign w:val="bottom"/>
          </w:tcPr>
          <w:p>
            <w:pPr>
              <w:spacing w:after="0"/>
              <w:rPr>
                <w:sz w:val="20"/>
                <w:szCs w:val="20"/>
                <w:color w:val="auto"/>
              </w:rPr>
            </w:pPr>
            <w:r>
              <w:rPr>
                <w:rFonts w:ascii="Arial" w:cs="Arial" w:eastAsia="Arial" w:hAnsi="Arial"/>
                <w:sz w:val="16"/>
                <w:szCs w:val="16"/>
                <w:color w:val="auto"/>
              </w:rPr>
              <w:t>Net income (loss)</w:t>
            </w:r>
          </w:p>
        </w:tc>
        <w:tc>
          <w:tcPr>
            <w:tcW w:w="24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1,238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(3,843)</w:t>
            </w: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Net loss attributable to noncontrolling interest</w:t>
            </w:r>
          </w:p>
        </w:tc>
        <w:tc>
          <w:tcPr>
            <w:tcW w:w="240" w:type="dxa"/>
            <w:vAlign w:val="bottom"/>
          </w:tcPr>
          <w:p>
            <w:pPr>
              <w:spacing w:after="0"/>
              <w:rPr>
                <w:sz w:val="23"/>
                <w:szCs w:val="23"/>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(477)</w:t>
            </w:r>
          </w:p>
        </w:tc>
      </w:tr>
      <w:tr>
        <w:trPr>
          <w:trHeight w:val="33"/>
        </w:trPr>
        <w:tc>
          <w:tcPr>
            <w:tcW w:w="8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00" w:type="dxa"/>
            <w:vAlign w:val="bottom"/>
          </w:tcPr>
          <w:p>
            <w:pPr>
              <w:spacing w:after="0"/>
              <w:rPr>
                <w:sz w:val="20"/>
                <w:szCs w:val="20"/>
                <w:color w:val="auto"/>
              </w:rPr>
            </w:pPr>
            <w:r>
              <w:rPr>
                <w:rFonts w:ascii="Arial" w:cs="Arial" w:eastAsia="Arial" w:hAnsi="Arial"/>
                <w:sz w:val="16"/>
                <w:szCs w:val="16"/>
                <w:color w:val="auto"/>
              </w:rPr>
              <w:t>Net income (loss) attributable to EZCORP, Inc.</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1,238</w:t>
            </w:r>
          </w:p>
        </w:tc>
        <w:tc>
          <w:tcPr>
            <w:tcW w:w="120" w:type="dxa"/>
            <w:vAlign w:val="bottom"/>
          </w:tcPr>
          <w:p>
            <w:pPr>
              <w:spacing w:after="0"/>
              <w:rPr>
                <w:sz w:val="21"/>
                <w:szCs w:val="21"/>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(3,366)</w:t>
            </w:r>
          </w:p>
        </w:tc>
      </w:tr>
      <w:tr>
        <w:trPr>
          <w:trHeight w:val="20"/>
        </w:trPr>
        <w:tc>
          <w:tcPr>
            <w:tcW w:w="8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94"/>
        </w:trPr>
        <w:tc>
          <w:tcPr>
            <w:tcW w:w="8300" w:type="dxa"/>
            <w:vAlign w:val="bottom"/>
          </w:tcPr>
          <w:p>
            <w:pPr>
              <w:spacing w:after="0"/>
              <w:rPr>
                <w:sz w:val="20"/>
                <w:szCs w:val="20"/>
                <w:color w:val="auto"/>
              </w:rPr>
            </w:pPr>
            <w:r>
              <w:rPr>
                <w:rFonts w:ascii="Arial" w:cs="Arial" w:eastAsia="Arial" w:hAnsi="Arial"/>
                <w:sz w:val="16"/>
                <w:szCs w:val="16"/>
                <w:color w:val="auto"/>
              </w:rPr>
              <w:t>Basic earnings (loss) per share attributable to EZCORP, Inc. — continuing operations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4"/>
                <w:szCs w:val="24"/>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(0.06)</w:t>
            </w: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Diluted earnings (loss) per share attributable to EZCORP, Inc. — continuing operations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3"/>
                <w:szCs w:val="23"/>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(0.06)</w:t>
            </w:r>
          </w:p>
        </w:tc>
      </w:tr>
      <w:tr>
        <w:trPr>
          <w:trHeight w:val="540"/>
        </w:trPr>
        <w:tc>
          <w:tcPr>
            <w:tcW w:w="8300" w:type="dxa"/>
            <w:vAlign w:val="bottom"/>
          </w:tcPr>
          <w:p>
            <w:pPr>
              <w:spacing w:after="0"/>
              <w:rPr>
                <w:sz w:val="20"/>
                <w:szCs w:val="20"/>
                <w:color w:val="auto"/>
              </w:rPr>
            </w:pPr>
            <w:r>
              <w:rPr>
                <w:rFonts w:ascii="Arial" w:cs="Arial" w:eastAsia="Arial" w:hAnsi="Arial"/>
                <w:sz w:val="16"/>
                <w:szCs w:val="16"/>
                <w:color w:val="auto"/>
              </w:rPr>
              <w:t>Weighted-average basic shares outstanding</w:t>
            </w:r>
          </w:p>
        </w:tc>
        <w:tc>
          <w:tcPr>
            <w:tcW w:w="240" w:type="dxa"/>
            <w:vAlign w:val="bottom"/>
          </w:tcPr>
          <w:p>
            <w:pPr>
              <w:spacing w:after="0"/>
              <w:rPr>
                <w:sz w:val="24"/>
                <w:szCs w:val="24"/>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55,666</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55,032</w:t>
            </w: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Weighted-average diluted shares outstanding</w:t>
            </w:r>
          </w:p>
        </w:tc>
        <w:tc>
          <w:tcPr>
            <w:tcW w:w="24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55,687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55,032</w:t>
            </w:r>
          </w:p>
        </w:tc>
      </w:tr>
    </w:tbl>
    <w:p>
      <w:pPr>
        <w:sectPr>
          <w:pgSz w:w="11900" w:h="16838" w:orient="portrait"/>
          <w:cols w:equalWidth="0" w:num="1">
            <w:col w:w="11380"/>
          </w:cols>
          <w:pgMar w:left="280" w:top="963" w:right="2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3"/>
                <w:szCs w:val="13"/>
                <w:color w:val="auto"/>
              </w:rPr>
            </w:pPr>
          </w:p>
        </w:tc>
        <w:tc>
          <w:tcPr>
            <w:tcW w:w="1000" w:type="dxa"/>
            <w:vAlign w:val="bottom"/>
          </w:tcPr>
          <w:p>
            <w:pPr>
              <w:jc w:val="right"/>
              <w:ind w:right="129"/>
              <w:spacing w:after="0"/>
              <w:rPr>
                <w:sz w:val="20"/>
                <w:szCs w:val="20"/>
                <w:color w:val="auto"/>
              </w:rPr>
            </w:pPr>
            <w:r>
              <w:rPr>
                <w:rFonts w:ascii="Arial" w:cs="Arial" w:eastAsia="Arial" w:hAnsi="Arial"/>
                <w:sz w:val="13"/>
                <w:szCs w:val="13"/>
                <w:b w:val="1"/>
                <w:bCs w:val="1"/>
                <w:color w:val="auto"/>
                <w:w w:val="87"/>
              </w:rPr>
              <w:t>September 30,</w:t>
            </w:r>
          </w:p>
        </w:tc>
        <w:tc>
          <w:tcPr>
            <w:tcW w:w="0" w:type="dxa"/>
            <w:vAlign w:val="bottom"/>
          </w:tcPr>
          <w:p>
            <w:pPr>
              <w:spacing w:after="0"/>
              <w:rPr>
                <w:sz w:val="1"/>
                <w:szCs w:val="1"/>
                <w:color w:val="auto"/>
              </w:rPr>
            </w:pPr>
          </w:p>
        </w:tc>
      </w:tr>
      <w:tr>
        <w:trPr>
          <w:trHeight w:val="174"/>
        </w:trPr>
        <w:tc>
          <w:tcPr>
            <w:tcW w:w="7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376"/>
        </w:trPr>
        <w:tc>
          <w:tcPr>
            <w:tcW w:w="7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gridSpan w:val="5"/>
          </w:tcPr>
          <w:p>
            <w:pPr>
              <w:ind w:left="760"/>
              <w:spacing w:after="0"/>
              <w:rPr>
                <w:sz w:val="20"/>
                <w:szCs w:val="20"/>
                <w:color w:val="auto"/>
              </w:rPr>
            </w:pPr>
            <w:r>
              <w:rPr>
                <w:rFonts w:ascii="Arial" w:cs="Arial" w:eastAsia="Arial" w:hAnsi="Arial"/>
                <w:sz w:val="13"/>
                <w:szCs w:val="13"/>
                <w:b w:val="1"/>
                <w:bCs w:val="1"/>
                <w:color w:val="auto"/>
              </w:rPr>
              <w:t>(Unaudited)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7740" w:type="dxa"/>
            <w:vAlign w:val="bottom"/>
          </w:tcPr>
          <w:p>
            <w:pPr>
              <w:spacing w:after="0"/>
              <w:rPr>
                <w:sz w:val="20"/>
                <w:szCs w:val="20"/>
                <w:color w:val="auto"/>
              </w:rPr>
            </w:pPr>
            <w:r>
              <w:rPr>
                <w:rFonts w:ascii="Arial" w:cs="Arial" w:eastAsia="Arial" w:hAnsi="Arial"/>
                <w:sz w:val="14"/>
                <w:szCs w:val="14"/>
                <w:color w:val="auto"/>
              </w:rPr>
              <w:t>Assets:</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143,141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297,031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157,567</w:t>
            </w: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Pawn loans</w:t>
            </w:r>
          </w:p>
        </w:tc>
        <w:tc>
          <w:tcPr>
            <w:tcW w:w="14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195,586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193,984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199,058</w:t>
            </w: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Pawn service charges receivable, net</w:t>
            </w:r>
          </w:p>
        </w:tc>
        <w:tc>
          <w:tcPr>
            <w:tcW w:w="14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32,250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31,558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31,802</w:t>
            </w: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Inventory, net</w:t>
            </w:r>
          </w:p>
        </w:tc>
        <w:tc>
          <w:tcPr>
            <w:tcW w:w="14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187,369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175,422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179,355</w:t>
            </w: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Notes receivable, net</w:t>
            </w:r>
          </w:p>
        </w:tc>
        <w:tc>
          <w:tcPr>
            <w:tcW w:w="14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7,450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26,711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7,182</w:t>
            </w:r>
          </w:p>
        </w:tc>
        <w:tc>
          <w:tcPr>
            <w:tcW w:w="0" w:type="dxa"/>
            <w:vAlign w:val="bottom"/>
          </w:tcPr>
          <w:p>
            <w:pPr>
              <w:spacing w:after="0"/>
              <w:rPr>
                <w:sz w:val="1"/>
                <w:szCs w:val="1"/>
                <w:color w:val="auto"/>
              </w:rPr>
            </w:pPr>
          </w:p>
        </w:tc>
      </w:tr>
      <w:tr>
        <w:trPr>
          <w:trHeight w:val="276"/>
        </w:trPr>
        <w:tc>
          <w:tcPr>
            <w:tcW w:w="7740" w:type="dxa"/>
            <w:vAlign w:val="bottom"/>
          </w:tcPr>
          <w:p>
            <w:pPr>
              <w:ind w:left="46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36,142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31,483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30,796</w:t>
            </w:r>
          </w:p>
        </w:tc>
        <w:tc>
          <w:tcPr>
            <w:tcW w:w="0" w:type="dxa"/>
            <w:vAlign w:val="bottom"/>
          </w:tcPr>
          <w:p>
            <w:pPr>
              <w:spacing w:after="0"/>
              <w:rPr>
                <w:sz w:val="1"/>
                <w:szCs w:val="1"/>
                <w:color w:val="auto"/>
              </w:rPr>
            </w:pPr>
          </w:p>
        </w:tc>
      </w:tr>
      <w:tr>
        <w:trPr>
          <w:trHeight w:val="244"/>
        </w:trPr>
        <w:tc>
          <w:tcPr>
            <w:tcW w:w="774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140" w:type="dxa"/>
            <w:vAlign w:val="bottom"/>
          </w:tcPr>
          <w:p>
            <w:pPr>
              <w:spacing w:after="0"/>
              <w:rPr>
                <w:sz w:val="21"/>
                <w:szCs w:val="21"/>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601,938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756,189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605,760</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Investments in unconsolidated affiliates</w:t>
            </w:r>
          </w:p>
        </w:tc>
        <w:tc>
          <w:tcPr>
            <w:tcW w:w="14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29,272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35,511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34,516</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Property and equipment, net</w:t>
            </w:r>
          </w:p>
        </w:tc>
        <w:tc>
          <w:tcPr>
            <w:tcW w:w="14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65,246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69,770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67,357</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Lease right of use asset</w:t>
            </w:r>
          </w:p>
        </w:tc>
        <w:tc>
          <w:tcPr>
            <w:tcW w:w="14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225,950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301,282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296,638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300,527</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Intangible assets, net</w:t>
            </w:r>
          </w:p>
        </w:tc>
        <w:tc>
          <w:tcPr>
            <w:tcW w:w="14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68,995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55,956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68,044</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Notes receivable, net</w:t>
            </w:r>
          </w:p>
        </w:tc>
        <w:tc>
          <w:tcPr>
            <w:tcW w:w="14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1,124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4,599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1,117</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Deferred tax asset, net</w:t>
            </w:r>
          </w:p>
        </w:tc>
        <w:tc>
          <w:tcPr>
            <w:tcW w:w="14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2,123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10,104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1,998</w:t>
            </w:r>
          </w:p>
        </w:tc>
        <w:tc>
          <w:tcPr>
            <w:tcW w:w="0" w:type="dxa"/>
            <w:vAlign w:val="bottom"/>
          </w:tcPr>
          <w:p>
            <w:pPr>
              <w:spacing w:after="0"/>
              <w:rPr>
                <w:sz w:val="1"/>
                <w:szCs w:val="1"/>
                <w:color w:val="auto"/>
              </w:rPr>
            </w:pPr>
          </w:p>
        </w:tc>
      </w:tr>
      <w:tr>
        <w:trPr>
          <w:trHeight w:val="276"/>
        </w:trPr>
        <w:tc>
          <w:tcPr>
            <w:tcW w:w="7740" w:type="dxa"/>
            <w:vAlign w:val="bottom"/>
          </w:tcPr>
          <w:p>
            <w:pPr>
              <w:ind w:left="240"/>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5,012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4,442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4,383</w:t>
            </w:r>
          </w:p>
        </w:tc>
        <w:tc>
          <w:tcPr>
            <w:tcW w:w="0" w:type="dxa"/>
            <w:vAlign w:val="bottom"/>
          </w:tcPr>
          <w:p>
            <w:pPr>
              <w:spacing w:after="0"/>
              <w:rPr>
                <w:sz w:val="1"/>
                <w:szCs w:val="1"/>
                <w:color w:val="auto"/>
              </w:rPr>
            </w:pPr>
          </w:p>
        </w:tc>
      </w:tr>
      <w:tr>
        <w:trPr>
          <w:trHeight w:val="243"/>
        </w:trPr>
        <w:tc>
          <w:tcPr>
            <w:tcW w:w="7740" w:type="dxa"/>
            <w:vAlign w:val="bottom"/>
          </w:tcPr>
          <w:p>
            <w:pPr>
              <w:spacing w:after="0"/>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1,300,942</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1,233,209</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1,083,702</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4"/>
                <w:szCs w:val="14"/>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77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Current maturities of long-term debt, net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215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190,238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Accounts payable, accrued expenses and other current liabilities</w:t>
            </w:r>
          </w:p>
        </w:tc>
        <w:tc>
          <w:tcPr>
            <w:tcW w:w="14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51,621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57,380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77,957</w:t>
            </w: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Customer layaway deposits</w:t>
            </w:r>
          </w:p>
        </w:tc>
        <w:tc>
          <w:tcPr>
            <w:tcW w:w="14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12,548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11,747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12,915</w:t>
            </w:r>
          </w:p>
        </w:tc>
        <w:tc>
          <w:tcPr>
            <w:tcW w:w="0" w:type="dxa"/>
            <w:vAlign w:val="bottom"/>
          </w:tcPr>
          <w:p>
            <w:pPr>
              <w:spacing w:after="0"/>
              <w:rPr>
                <w:sz w:val="1"/>
                <w:szCs w:val="1"/>
                <w:color w:val="auto"/>
              </w:rPr>
            </w:pPr>
          </w:p>
        </w:tc>
      </w:tr>
      <w:tr>
        <w:trPr>
          <w:trHeight w:val="276"/>
        </w:trPr>
        <w:tc>
          <w:tcPr>
            <w:tcW w:w="7740" w:type="dxa"/>
            <w:vAlign w:val="bottom"/>
          </w:tcPr>
          <w:p>
            <w:pPr>
              <w:ind w:left="460"/>
              <w:spacing w:after="0"/>
              <w:rPr>
                <w:sz w:val="20"/>
                <w:szCs w:val="20"/>
                <w:color w:val="auto"/>
              </w:rPr>
            </w:pPr>
            <w:r>
              <w:rPr>
                <w:rFonts w:ascii="Arial" w:cs="Arial" w:eastAsia="Arial" w:hAnsi="Arial"/>
                <w:sz w:val="14"/>
                <w:szCs w:val="14"/>
                <w:color w:val="auto"/>
              </w:rPr>
              <w:t>Lease liability</w:t>
            </w:r>
          </w:p>
        </w:tc>
        <w:tc>
          <w:tcPr>
            <w:tcW w:w="140" w:type="dxa"/>
            <w:vAlign w:val="bottom"/>
          </w:tcPr>
          <w:p>
            <w:pPr>
              <w:spacing w:after="0"/>
              <w:rPr>
                <w:sz w:val="24"/>
                <w:szCs w:val="24"/>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48,052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7740" w:type="dxa"/>
            <w:vAlign w:val="bottom"/>
          </w:tcPr>
          <w:p>
            <w:pPr>
              <w:ind w:left="680"/>
              <w:spacing w:after="0"/>
              <w:rPr>
                <w:sz w:val="20"/>
                <w:szCs w:val="20"/>
                <w:color w:val="auto"/>
              </w:rPr>
            </w:pPr>
            <w:r>
              <w:rPr>
                <w:rFonts w:ascii="Arial" w:cs="Arial" w:eastAsia="Arial" w:hAnsi="Arial"/>
                <w:sz w:val="14"/>
                <w:szCs w:val="14"/>
                <w:color w:val="auto"/>
              </w:rPr>
              <w:t>Total current liabilities</w:t>
            </w: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112,436</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259,365</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91,086</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Long-term debt, net</w:t>
            </w:r>
          </w:p>
        </w:tc>
        <w:tc>
          <w:tcPr>
            <w:tcW w:w="14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241,209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229,928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238,380</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Deferred tax liability, net</w:t>
            </w:r>
          </w:p>
        </w:tc>
        <w:tc>
          <w:tcPr>
            <w:tcW w:w="14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2,119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9,617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1,985</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Lease liability</w:t>
            </w:r>
          </w:p>
        </w:tc>
        <w:tc>
          <w:tcPr>
            <w:tcW w:w="14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186,352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740" w:type="dxa"/>
            <w:vAlign w:val="bottom"/>
          </w:tcPr>
          <w:p>
            <w:pPr>
              <w:ind w:left="240"/>
              <w:spacing w:after="0"/>
              <w:rPr>
                <w:sz w:val="20"/>
                <w:szCs w:val="20"/>
                <w:color w:val="auto"/>
              </w:rPr>
            </w:pPr>
            <w:r>
              <w:rPr>
                <w:rFonts w:ascii="Arial" w:cs="Arial" w:eastAsia="Arial" w:hAnsi="Arial"/>
                <w:sz w:val="14"/>
                <w:szCs w:val="14"/>
                <w:color w:val="auto"/>
              </w:rPr>
              <w:t>Other long-term liabilities</w:t>
            </w: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7,226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6,150</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7,302</w:t>
            </w:r>
          </w:p>
        </w:tc>
        <w:tc>
          <w:tcPr>
            <w:tcW w:w="0" w:type="dxa"/>
            <w:vAlign w:val="bottom"/>
          </w:tcPr>
          <w:p>
            <w:pPr>
              <w:spacing w:after="0"/>
              <w:rPr>
                <w:sz w:val="1"/>
                <w:szCs w:val="1"/>
                <w:color w:val="auto"/>
              </w:rPr>
            </w:pPr>
          </w:p>
        </w:tc>
      </w:tr>
      <w:tr>
        <w:trPr>
          <w:trHeight w:val="244"/>
        </w:trPr>
        <w:tc>
          <w:tcPr>
            <w:tcW w:w="7740" w:type="dxa"/>
            <w:vAlign w:val="bottom"/>
          </w:tcPr>
          <w:p>
            <w:pPr>
              <w:ind w:left="680"/>
              <w:spacing w:after="0"/>
              <w:rPr>
                <w:sz w:val="20"/>
                <w:szCs w:val="20"/>
                <w:color w:val="auto"/>
              </w:rPr>
            </w:pPr>
            <w:r>
              <w:rPr>
                <w:rFonts w:ascii="Arial" w:cs="Arial" w:eastAsia="Arial" w:hAnsi="Arial"/>
                <w:sz w:val="14"/>
                <w:szCs w:val="14"/>
                <w:color w:val="auto"/>
              </w:rPr>
              <w:t>Total liabilities</w:t>
            </w:r>
          </w:p>
        </w:tc>
        <w:tc>
          <w:tcPr>
            <w:tcW w:w="140" w:type="dxa"/>
            <w:vAlign w:val="bottom"/>
          </w:tcPr>
          <w:p>
            <w:pPr>
              <w:spacing w:after="0"/>
              <w:rPr>
                <w:sz w:val="21"/>
                <w:szCs w:val="21"/>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549,342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505,060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338,753</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Commitments and contingencies</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Stockholders’ equity:</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740" w:type="dxa"/>
            <w:vAlign w:val="bottom"/>
          </w:tcPr>
          <w:p>
            <w:pPr>
              <w:ind w:left="460"/>
              <w:spacing w:after="0"/>
              <w:rPr>
                <w:sz w:val="20"/>
                <w:szCs w:val="20"/>
                <w:color w:val="auto"/>
              </w:rPr>
            </w:pPr>
            <w:r>
              <w:rPr>
                <w:rFonts w:ascii="Arial" w:cs="Arial" w:eastAsia="Arial" w:hAnsi="Arial"/>
                <w:sz w:val="14"/>
                <w:szCs w:val="14"/>
                <w:color w:val="auto"/>
                <w:w w:val="99"/>
              </w:rPr>
              <w:t>Class A Non-voting Common Stock, par value $.01 per share; shares authorized: 100 million; issued and outstanding:</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740" w:type="dxa"/>
            <w:vAlign w:val="bottom"/>
          </w:tcPr>
          <w:p>
            <w:pPr>
              <w:ind w:left="460"/>
              <w:spacing w:after="0"/>
              <w:rPr>
                <w:sz w:val="20"/>
                <w:szCs w:val="20"/>
                <w:color w:val="auto"/>
              </w:rPr>
            </w:pPr>
            <w:r>
              <w:rPr>
                <w:rFonts w:ascii="Arial" w:cs="Arial" w:eastAsia="Arial" w:hAnsi="Arial"/>
                <w:sz w:val="14"/>
                <w:szCs w:val="14"/>
                <w:color w:val="auto"/>
                <w:w w:val="98"/>
              </w:rPr>
              <w:t>52,886,122 as of December 31, 2019; 52,475,070 as of December 31, 2018; and 52,565,064 as of September 30, 2019</w:t>
            </w:r>
          </w:p>
        </w:tc>
        <w:tc>
          <w:tcPr>
            <w:tcW w:w="14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529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524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169"/>
        </w:trPr>
        <w:tc>
          <w:tcPr>
            <w:tcW w:w="7740" w:type="dxa"/>
            <w:vAlign w:val="bottom"/>
          </w:tcPr>
          <w:p>
            <w:pPr>
              <w:ind w:left="460"/>
              <w:spacing w:after="0"/>
              <w:rPr>
                <w:sz w:val="20"/>
                <w:szCs w:val="20"/>
                <w:color w:val="auto"/>
              </w:rPr>
            </w:pPr>
            <w:r>
              <w:rPr>
                <w:rFonts w:ascii="Arial" w:cs="Arial" w:eastAsia="Arial" w:hAnsi="Arial"/>
                <w:sz w:val="14"/>
                <w:szCs w:val="14"/>
                <w:color w:val="auto"/>
                <w:w w:val="95"/>
              </w:rPr>
              <w:t>Class B Voting Common Stock, convertible, par value $.01 per share; shares authorized: 3 million; issued and outstanding:</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740" w:type="dxa"/>
            <w:vAlign w:val="bottom"/>
          </w:tcPr>
          <w:p>
            <w:pPr>
              <w:ind w:left="460"/>
              <w:spacing w:after="0"/>
              <w:rPr>
                <w:sz w:val="20"/>
                <w:szCs w:val="20"/>
                <w:color w:val="auto"/>
              </w:rPr>
            </w:pPr>
            <w:r>
              <w:rPr>
                <w:rFonts w:ascii="Arial" w:cs="Arial" w:eastAsia="Arial" w:hAnsi="Arial"/>
                <w:sz w:val="14"/>
                <w:szCs w:val="14"/>
                <w:color w:val="auto"/>
              </w:rPr>
              <w:t>2,970,171</w:t>
            </w:r>
          </w:p>
        </w:tc>
        <w:tc>
          <w:tcPr>
            <w:tcW w:w="14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Additional paid-in capital</w:t>
            </w:r>
          </w:p>
        </w:tc>
        <w:tc>
          <w:tcPr>
            <w:tcW w:w="14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407,440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400,081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407,628</w:t>
            </w: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Retained earnings</w:t>
            </w:r>
          </w:p>
        </w:tc>
        <w:tc>
          <w:tcPr>
            <w:tcW w:w="14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389,928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383,256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389,163</w:t>
            </w:r>
          </w:p>
        </w:tc>
        <w:tc>
          <w:tcPr>
            <w:tcW w:w="0" w:type="dxa"/>
            <w:vAlign w:val="bottom"/>
          </w:tcPr>
          <w:p>
            <w:pPr>
              <w:spacing w:after="0"/>
              <w:rPr>
                <w:sz w:val="1"/>
                <w:szCs w:val="1"/>
                <w:color w:val="auto"/>
              </w:rPr>
            </w:pPr>
          </w:p>
        </w:tc>
      </w:tr>
      <w:tr>
        <w:trPr>
          <w:trHeight w:val="276"/>
        </w:trPr>
        <w:tc>
          <w:tcPr>
            <w:tcW w:w="7740" w:type="dxa"/>
            <w:vAlign w:val="bottom"/>
          </w:tcPr>
          <w:p>
            <w:pPr>
              <w:ind w:left="460"/>
              <w:spacing w:after="0"/>
              <w:rPr>
                <w:sz w:val="20"/>
                <w:szCs w:val="20"/>
                <w:color w:val="auto"/>
              </w:rPr>
            </w:pPr>
            <w:r>
              <w:rPr>
                <w:rFonts w:ascii="Arial" w:cs="Arial" w:eastAsia="Arial" w:hAnsi="Arial"/>
                <w:sz w:val="14"/>
                <w:szCs w:val="14"/>
                <w:color w:val="auto"/>
              </w:rPr>
              <w:t>Accumulated other comprehensive loss</w:t>
            </w: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(46,327)</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(48,739)</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(52,398)</w:t>
            </w:r>
          </w:p>
        </w:tc>
        <w:tc>
          <w:tcPr>
            <w:tcW w:w="0" w:type="dxa"/>
            <w:vAlign w:val="bottom"/>
          </w:tcPr>
          <w:p>
            <w:pPr>
              <w:spacing w:after="0"/>
              <w:rPr>
                <w:sz w:val="1"/>
                <w:szCs w:val="1"/>
                <w:color w:val="auto"/>
              </w:rPr>
            </w:pPr>
          </w:p>
        </w:tc>
      </w:tr>
      <w:tr>
        <w:trPr>
          <w:trHeight w:val="244"/>
        </w:trPr>
        <w:tc>
          <w:tcPr>
            <w:tcW w:w="7740" w:type="dxa"/>
            <w:vAlign w:val="bottom"/>
          </w:tcPr>
          <w:p>
            <w:pPr>
              <w:ind w:left="680"/>
              <w:spacing w:after="0"/>
              <w:rPr>
                <w:sz w:val="20"/>
                <w:szCs w:val="20"/>
                <w:color w:val="auto"/>
              </w:rPr>
            </w:pPr>
            <w:r>
              <w:rPr>
                <w:rFonts w:ascii="Arial" w:cs="Arial" w:eastAsia="Arial" w:hAnsi="Arial"/>
                <w:sz w:val="14"/>
                <w:szCs w:val="14"/>
                <w:color w:val="auto"/>
              </w:rPr>
              <w:t>EZCORP, Inc. stockholders’ equity</w:t>
            </w:r>
          </w:p>
        </w:tc>
        <w:tc>
          <w:tcPr>
            <w:tcW w:w="140" w:type="dxa"/>
            <w:vAlign w:val="bottom"/>
          </w:tcPr>
          <w:p>
            <w:pPr>
              <w:spacing w:after="0"/>
              <w:rPr>
                <w:sz w:val="21"/>
                <w:szCs w:val="21"/>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751,600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735,152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744,949</w:t>
            </w:r>
          </w:p>
        </w:tc>
        <w:tc>
          <w:tcPr>
            <w:tcW w:w="0" w:type="dxa"/>
            <w:vAlign w:val="bottom"/>
          </w:tcPr>
          <w:p>
            <w:pPr>
              <w:spacing w:after="0"/>
              <w:rPr>
                <w:sz w:val="1"/>
                <w:szCs w:val="1"/>
                <w:color w:val="auto"/>
              </w:rPr>
            </w:pPr>
          </w:p>
        </w:tc>
      </w:tr>
      <w:tr>
        <w:trPr>
          <w:trHeight w:val="276"/>
        </w:trPr>
        <w:tc>
          <w:tcPr>
            <w:tcW w:w="7740" w:type="dxa"/>
            <w:vAlign w:val="bottom"/>
          </w:tcPr>
          <w:p>
            <w:pPr>
              <w:ind w:left="460"/>
              <w:spacing w:after="0"/>
              <w:rPr>
                <w:sz w:val="20"/>
                <w:szCs w:val="20"/>
                <w:color w:val="auto"/>
              </w:rPr>
            </w:pPr>
            <w:r>
              <w:rPr>
                <w:rFonts w:ascii="Arial" w:cs="Arial" w:eastAsia="Arial" w:hAnsi="Arial"/>
                <w:sz w:val="14"/>
                <w:szCs w:val="14"/>
                <w:color w:val="auto"/>
              </w:rPr>
              <w:t>Noncontrolling interest</w:t>
            </w:r>
          </w:p>
        </w:tc>
        <w:tc>
          <w:tcPr>
            <w:tcW w:w="14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(7,003)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7740" w:type="dxa"/>
            <w:vAlign w:val="bottom"/>
          </w:tcPr>
          <w:p>
            <w:pPr>
              <w:ind w:left="680"/>
              <w:spacing w:after="0"/>
              <w:rPr>
                <w:sz w:val="20"/>
                <w:szCs w:val="20"/>
                <w:color w:val="auto"/>
              </w:rPr>
            </w:pPr>
            <w:r>
              <w:rPr>
                <w:rFonts w:ascii="Arial" w:cs="Arial" w:eastAsia="Arial" w:hAnsi="Arial"/>
                <w:sz w:val="14"/>
                <w:szCs w:val="14"/>
                <w:color w:val="auto"/>
              </w:rPr>
              <w:t>Total equity</w:t>
            </w: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751,600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728,149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744,949</w:t>
            </w:r>
          </w:p>
        </w:tc>
        <w:tc>
          <w:tcPr>
            <w:tcW w:w="0" w:type="dxa"/>
            <w:vAlign w:val="bottom"/>
          </w:tcPr>
          <w:p>
            <w:pPr>
              <w:spacing w:after="0"/>
              <w:rPr>
                <w:sz w:val="1"/>
                <w:szCs w:val="1"/>
                <w:color w:val="auto"/>
              </w:rPr>
            </w:pPr>
          </w:p>
        </w:tc>
      </w:tr>
      <w:tr>
        <w:trPr>
          <w:trHeight w:val="243"/>
        </w:trPr>
        <w:tc>
          <w:tcPr>
            <w:tcW w:w="7740" w:type="dxa"/>
            <w:vAlign w:val="bottom"/>
          </w:tcPr>
          <w:p>
            <w:pPr>
              <w:spacing w:after="0"/>
              <w:rPr>
                <w:sz w:val="20"/>
                <w:szCs w:val="20"/>
                <w:color w:val="auto"/>
              </w:rPr>
            </w:pPr>
            <w:r>
              <w:rPr>
                <w:rFonts w:ascii="Arial" w:cs="Arial" w:eastAsia="Arial" w:hAnsi="Arial"/>
                <w:sz w:val="14"/>
                <w:szCs w:val="14"/>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1,300,942</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1,233,209</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1,083,702</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747" w:right="2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center"/>
              <w:ind w:right="179"/>
              <w:spacing w:after="0"/>
              <w:rPr>
                <w:sz w:val="20"/>
                <w:szCs w:val="20"/>
                <w:color w:val="auto"/>
              </w:rPr>
            </w:pPr>
            <w:r>
              <w:rPr>
                <w:rFonts w:ascii="Arial" w:cs="Arial" w:eastAsia="Arial" w:hAnsi="Arial"/>
                <w:sz w:val="14"/>
                <w:szCs w:val="14"/>
                <w:b w:val="1"/>
                <w:bCs w:val="1"/>
                <w:color w:val="auto"/>
                <w:w w:val="93"/>
              </w:rPr>
              <w:t>Three Months Ended December 31,</w:t>
            </w:r>
          </w:p>
        </w:tc>
        <w:tc>
          <w:tcPr>
            <w:tcW w:w="0" w:type="dxa"/>
            <w:vAlign w:val="bottom"/>
          </w:tcPr>
          <w:p>
            <w:pPr>
              <w:spacing w:after="0"/>
              <w:rPr>
                <w:sz w:val="1"/>
                <w:szCs w:val="1"/>
                <w:color w:val="auto"/>
              </w:rPr>
            </w:pPr>
          </w:p>
        </w:tc>
      </w:tr>
      <w:tr>
        <w:trPr>
          <w:trHeight w:val="264"/>
        </w:trPr>
        <w:tc>
          <w:tcPr>
            <w:tcW w:w="83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379"/>
        </w:trPr>
        <w:tc>
          <w:tcPr>
            <w:tcW w:w="8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gridSpan w:val="3"/>
          </w:tcPr>
          <w:p>
            <w:pPr>
              <w:jc w:val="center"/>
              <w:ind w:left="660"/>
              <w:spacing w:after="0"/>
              <w:rPr>
                <w:sz w:val="20"/>
                <w:szCs w:val="20"/>
                <w:color w:val="auto"/>
              </w:rPr>
            </w:pPr>
            <w:r>
              <w:rPr>
                <w:rFonts w:ascii="Arial" w:cs="Arial" w:eastAsia="Arial" w:hAnsi="Arial"/>
                <w:sz w:val="14"/>
                <w:szCs w:val="14"/>
                <w:b w:val="1"/>
                <w:bCs w:val="1"/>
                <w:color w:val="auto"/>
                <w:w w:val="95"/>
              </w:rPr>
              <w:t>(Unaudited)</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gridSpan w:val="3"/>
          </w:tcPr>
          <w:p>
            <w:pPr>
              <w:jc w:val="center"/>
              <w:ind w:left="660"/>
              <w:spacing w:after="0"/>
              <w:rPr>
                <w:sz w:val="20"/>
                <w:szCs w:val="20"/>
                <w:color w:val="auto"/>
              </w:rPr>
            </w:pPr>
            <w:r>
              <w:rPr>
                <w:rFonts w:ascii="Arial" w:cs="Arial" w:eastAsia="Arial" w:hAnsi="Arial"/>
                <w:sz w:val="14"/>
                <w:szCs w:val="14"/>
                <w:i w:val="1"/>
                <w:iCs w:val="1"/>
                <w:color w:val="auto"/>
                <w:w w:val="92"/>
              </w:rPr>
              <w:t>(in thousands)</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300" w:type="dxa"/>
            <w:vAlign w:val="bottom"/>
          </w:tcPr>
          <w:p>
            <w:pPr>
              <w:spacing w:after="0"/>
              <w:rPr>
                <w:sz w:val="20"/>
                <w:szCs w:val="20"/>
                <w:color w:val="auto"/>
              </w:rPr>
            </w:pPr>
            <w:r>
              <w:rPr>
                <w:rFonts w:ascii="Arial" w:cs="Arial" w:eastAsia="Arial" w:hAnsi="Arial"/>
                <w:sz w:val="16"/>
                <w:szCs w:val="16"/>
                <w:color w:val="auto"/>
              </w:rPr>
              <w:t>Operating activities: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Net income (loss)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1,238</w:t>
            </w:r>
          </w:p>
        </w:tc>
        <w:tc>
          <w:tcPr>
            <w:tcW w:w="120" w:type="dxa"/>
            <w:vAlign w:val="bottom"/>
          </w:tcPr>
          <w:p>
            <w:pPr>
              <w:spacing w:after="0"/>
              <w:rPr>
                <w:sz w:val="23"/>
                <w:szCs w:val="23"/>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(3,843)</w:t>
            </w:r>
          </w:p>
        </w:tc>
        <w:tc>
          <w:tcPr>
            <w:tcW w:w="0" w:type="dxa"/>
            <w:vAlign w:val="bottom"/>
          </w:tcPr>
          <w:p>
            <w:pPr>
              <w:spacing w:after="0"/>
              <w:rPr>
                <w:sz w:val="1"/>
                <w:szCs w:val="1"/>
                <w:color w:val="auto"/>
              </w:rPr>
            </w:pP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Adjustments to reconcile net income (loss) to net cash flows from operating activities:</w:t>
            </w: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7,733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6,848</w:t>
            </w:r>
          </w:p>
        </w:tc>
        <w:tc>
          <w:tcPr>
            <w:tcW w:w="0" w:type="dxa"/>
            <w:vAlign w:val="bottom"/>
          </w:tcPr>
          <w:p>
            <w:pPr>
              <w:spacing w:after="0"/>
              <w:rPr>
                <w:sz w:val="1"/>
                <w:szCs w:val="1"/>
                <w:color w:val="auto"/>
              </w:rPr>
            </w:pP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Amortization of debt discount and deferred financing costs</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3,229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5,585</w:t>
            </w:r>
          </w:p>
        </w:tc>
        <w:tc>
          <w:tcPr>
            <w:tcW w:w="0" w:type="dxa"/>
            <w:vAlign w:val="bottom"/>
          </w:tcPr>
          <w:p>
            <w:pPr>
              <w:spacing w:after="0"/>
              <w:rPr>
                <w:sz w:val="1"/>
                <w:szCs w:val="1"/>
                <w:color w:val="auto"/>
              </w:rPr>
            </w:pP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Amortization of lease right-of-use asset</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11,474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Accretion of notes receivable discount and deferred compensation fee</w:t>
            </w: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(1,376)</w:t>
            </w:r>
          </w:p>
        </w:tc>
        <w:tc>
          <w:tcPr>
            <w:tcW w:w="0" w:type="dxa"/>
            <w:vAlign w:val="bottom"/>
          </w:tcPr>
          <w:p>
            <w:pPr>
              <w:spacing w:after="0"/>
              <w:rPr>
                <w:sz w:val="1"/>
                <w:szCs w:val="1"/>
                <w:color w:val="auto"/>
              </w:rPr>
            </w:pP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Impairment of investment in unconsolidated affiliate</w:t>
            </w:r>
          </w:p>
        </w:tc>
        <w:tc>
          <w:tcPr>
            <w:tcW w:w="28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13,274</w:t>
            </w:r>
          </w:p>
        </w:tc>
        <w:tc>
          <w:tcPr>
            <w:tcW w:w="0" w:type="dxa"/>
            <w:vAlign w:val="bottom"/>
          </w:tcPr>
          <w:p>
            <w:pPr>
              <w:spacing w:after="0"/>
              <w:rPr>
                <w:sz w:val="1"/>
                <w:szCs w:val="1"/>
                <w:color w:val="auto"/>
              </w:rPr>
            </w:pP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Other adjustments</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1,298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5,052</w:t>
            </w:r>
          </w:p>
        </w:tc>
        <w:tc>
          <w:tcPr>
            <w:tcW w:w="0" w:type="dxa"/>
            <w:vAlign w:val="bottom"/>
          </w:tcPr>
          <w:p>
            <w:pPr>
              <w:spacing w:after="0"/>
              <w:rPr>
                <w:sz w:val="1"/>
                <w:szCs w:val="1"/>
                <w:color w:val="auto"/>
              </w:rPr>
            </w:pP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Stock compensation expense</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1,695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2,238</w:t>
            </w:r>
          </w:p>
        </w:tc>
        <w:tc>
          <w:tcPr>
            <w:tcW w:w="0" w:type="dxa"/>
            <w:vAlign w:val="bottom"/>
          </w:tcPr>
          <w:p>
            <w:pPr>
              <w:spacing w:after="0"/>
              <w:rPr>
                <w:sz w:val="1"/>
                <w:szCs w:val="1"/>
                <w:color w:val="auto"/>
              </w:rPr>
            </w:pP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Loss from investments in unconsolidated affiliates</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5,897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1,119</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Changes in operating assets and liabilities, net of business acquisitions:</w:t>
            </w: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Service charges and fees receivable</w:t>
            </w: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Inventory</w:t>
            </w: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(1,592)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685</w:t>
            </w:r>
          </w:p>
        </w:tc>
        <w:tc>
          <w:tcPr>
            <w:tcW w:w="0" w:type="dxa"/>
            <w:vAlign w:val="bottom"/>
          </w:tcPr>
          <w:p>
            <w:pPr>
              <w:spacing w:after="0"/>
              <w:rPr>
                <w:sz w:val="1"/>
                <w:szCs w:val="1"/>
                <w:color w:val="auto"/>
              </w:rPr>
            </w:pP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Prepaid expenses, other current assets and other assets</w:t>
            </w: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(9,649)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(1,564)</w:t>
            </w:r>
          </w:p>
        </w:tc>
        <w:tc>
          <w:tcPr>
            <w:tcW w:w="0" w:type="dxa"/>
            <w:vAlign w:val="bottom"/>
          </w:tcPr>
          <w:p>
            <w:pPr>
              <w:spacing w:after="0"/>
              <w:rPr>
                <w:sz w:val="1"/>
                <w:szCs w:val="1"/>
                <w:color w:val="auto"/>
              </w:rPr>
            </w:pP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Accounts payable, accrued expenses and other liabilities</w:t>
            </w: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(29,966)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(836)</w:t>
            </w:r>
          </w:p>
        </w:tc>
        <w:tc>
          <w:tcPr>
            <w:tcW w:w="0" w:type="dxa"/>
            <w:vAlign w:val="bottom"/>
          </w:tcPr>
          <w:p>
            <w:pPr>
              <w:spacing w:after="0"/>
              <w:rPr>
                <w:sz w:val="1"/>
                <w:szCs w:val="1"/>
                <w:color w:val="auto"/>
              </w:rPr>
            </w:pP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Customer layaway deposits</w:t>
            </w: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Income taxes</w:t>
            </w: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(1,188)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(3,445)</w:t>
            </w:r>
          </w:p>
        </w:tc>
        <w:tc>
          <w:tcPr>
            <w:tcW w:w="0" w:type="dxa"/>
            <w:vAlign w:val="bottom"/>
          </w:tcPr>
          <w:p>
            <w:pPr>
              <w:spacing w:after="0"/>
              <w:rPr>
                <w:sz w:val="1"/>
                <w:szCs w:val="1"/>
                <w:color w:val="auto"/>
              </w:rPr>
            </w:pPr>
          </w:p>
        </w:tc>
      </w:tr>
      <w:tr>
        <w:trPr>
          <w:trHeight w:val="33"/>
        </w:trPr>
        <w:tc>
          <w:tcPr>
            <w:tcW w:w="8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300" w:type="dxa"/>
            <w:vAlign w:val="bottom"/>
          </w:tcPr>
          <w:p>
            <w:pPr>
              <w:ind w:left="780"/>
              <w:spacing w:after="0"/>
              <w:rPr>
                <w:sz w:val="20"/>
                <w:szCs w:val="20"/>
                <w:color w:val="auto"/>
              </w:rPr>
            </w:pPr>
            <w:r>
              <w:rPr>
                <w:rFonts w:ascii="Arial" w:cs="Arial" w:eastAsia="Arial" w:hAnsi="Arial"/>
                <w:sz w:val="16"/>
                <w:szCs w:val="16"/>
                <w:color w:val="auto"/>
              </w:rPr>
              <w:t>Net cash (used in) provided by operating activities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(10,918)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23,381</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Investing activities:</w:t>
            </w: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Loans made</w:t>
            </w: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(187,362)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(186,588)</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Loans repaid</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109,623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106,643</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76,515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70,594</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Additions to property and equipment, net</w:t>
            </w: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(5,574)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(5,880)</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Acquisitions, net of cash acquired</w:t>
            </w:r>
          </w:p>
        </w:tc>
        <w:tc>
          <w:tcPr>
            <w:tcW w:w="28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Principal collections on notes receivable</w:t>
            </w:r>
          </w:p>
        </w:tc>
        <w:tc>
          <w:tcPr>
            <w:tcW w:w="28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7,284</w:t>
            </w:r>
          </w:p>
        </w:tc>
        <w:tc>
          <w:tcPr>
            <w:tcW w:w="0" w:type="dxa"/>
            <w:vAlign w:val="bottom"/>
          </w:tcPr>
          <w:p>
            <w:pPr>
              <w:spacing w:after="0"/>
              <w:rPr>
                <w:sz w:val="1"/>
                <w:szCs w:val="1"/>
                <w:color w:val="auto"/>
              </w:rPr>
            </w:pPr>
          </w:p>
        </w:tc>
      </w:tr>
      <w:tr>
        <w:trPr>
          <w:trHeight w:val="33"/>
        </w:trPr>
        <w:tc>
          <w:tcPr>
            <w:tcW w:w="8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300" w:type="dxa"/>
            <w:vAlign w:val="bottom"/>
          </w:tcPr>
          <w:p>
            <w:pPr>
              <w:ind w:left="78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(6,798)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(8,279)</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Financing activities:</w:t>
            </w: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Taxes paid related to net share settlement of equity awards</w:t>
            </w: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(1,395)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(3,288)</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Payout of deferred consideration</w:t>
            </w: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Proceeds from borrowings, net of issuance costs</w:t>
            </w: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743</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Payments on borrowings</w:t>
            </w: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Repurchase of common stock</w:t>
            </w: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(963)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300" w:type="dxa"/>
            <w:vAlign w:val="bottom"/>
          </w:tcPr>
          <w:p>
            <w:pPr>
              <w:ind w:left="78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(2,934)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(2,612)</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1,349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(782)</w:t>
            </w:r>
          </w:p>
        </w:tc>
        <w:tc>
          <w:tcPr>
            <w:tcW w:w="0" w:type="dxa"/>
            <w:vAlign w:val="bottom"/>
          </w:tcPr>
          <w:p>
            <w:pPr>
              <w:spacing w:after="0"/>
              <w:rPr>
                <w:sz w:val="1"/>
                <w:szCs w:val="1"/>
                <w:color w:val="auto"/>
              </w:rPr>
            </w:pPr>
          </w:p>
        </w:tc>
      </w:tr>
      <w:tr>
        <w:trPr>
          <w:trHeight w:val="33"/>
        </w:trPr>
        <w:tc>
          <w:tcPr>
            <w:tcW w:w="8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300" w:type="dxa"/>
            <w:vAlign w:val="bottom"/>
          </w:tcPr>
          <w:p>
            <w:pPr>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(19,301)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11,708</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162,442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285,578</w:t>
            </w:r>
          </w:p>
        </w:tc>
        <w:tc>
          <w:tcPr>
            <w:tcW w:w="0" w:type="dxa"/>
            <w:vAlign w:val="bottom"/>
          </w:tcPr>
          <w:p>
            <w:pPr>
              <w:spacing w:after="0"/>
              <w:rPr>
                <w:sz w:val="1"/>
                <w:szCs w:val="1"/>
                <w:color w:val="auto"/>
              </w:rPr>
            </w:pPr>
          </w:p>
        </w:tc>
      </w:tr>
      <w:tr>
        <w:trPr>
          <w:trHeight w:val="33"/>
        </w:trPr>
        <w:tc>
          <w:tcPr>
            <w:tcW w:w="8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00" w:type="dxa"/>
            <w:vAlign w:val="bottom"/>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143,141</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297,286</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6"/>
                <w:szCs w:val="16"/>
                <w:color w:val="auto"/>
              </w:rPr>
              <w:t>Non-cash investing and financing activities:</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83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Pawn loans forfeited and transferred to inventory</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82,878</w:t>
            </w:r>
          </w:p>
        </w:tc>
        <w:tc>
          <w:tcPr>
            <w:tcW w:w="120" w:type="dxa"/>
            <w:vAlign w:val="bottom"/>
          </w:tcPr>
          <w:p>
            <w:pPr>
              <w:spacing w:after="0"/>
              <w:rPr>
                <w:sz w:val="23"/>
                <w:szCs w:val="23"/>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80,301</w:t>
            </w:r>
          </w:p>
        </w:tc>
        <w:tc>
          <w:tcPr>
            <w:tcW w:w="0" w:type="dxa"/>
            <w:vAlign w:val="bottom"/>
          </w:tcPr>
          <w:p>
            <w:pPr>
              <w:spacing w:after="0"/>
              <w:rPr>
                <w:sz w:val="1"/>
                <w:szCs w:val="1"/>
                <w:color w:val="auto"/>
              </w:rPr>
            </w:pPr>
          </w:p>
        </w:tc>
      </w:tr>
    </w:tbl>
    <w:p>
      <w:pPr>
        <w:sectPr>
          <w:pgSz w:w="11900" w:h="16838" w:orient="portrait"/>
          <w:cols w:equalWidth="0" w:num="1">
            <w:col w:w="11380"/>
          </w:cols>
          <w:pgMar w:left="280" w:top="909" w:right="2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OPERATING SEGMENT RESULTS</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(Unaudited and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3"/>
              </w:rPr>
              <w:t>Three Months Ended December 31, 2019</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Latin</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4"/>
              </w:rPr>
              <w:t>U.S. Pawn</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America</w:t>
            </w:r>
          </w:p>
        </w:tc>
        <w:tc>
          <w:tcPr>
            <w:tcW w:w="200" w:type="dxa"/>
            <w:vAlign w:val="bottom"/>
          </w:tcPr>
          <w:p>
            <w:pPr>
              <w:spacing w:after="0"/>
              <w:rPr>
                <w:sz w:val="12"/>
                <w:szCs w:val="12"/>
                <w:color w:val="auto"/>
              </w:rPr>
            </w:pPr>
          </w:p>
        </w:tc>
        <w:tc>
          <w:tcPr>
            <w:tcW w:w="7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Lana</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2"/>
              </w:rPr>
              <w:t>Pawn</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center"/>
              <w:ind w:left="153"/>
              <w:spacing w:after="0"/>
              <w:rPr>
                <w:sz w:val="20"/>
                <w:szCs w:val="20"/>
                <w:color w:val="auto"/>
              </w:rPr>
            </w:pPr>
            <w:r>
              <w:rPr>
                <w:rFonts w:ascii="Arial" w:cs="Arial" w:eastAsia="Arial" w:hAnsi="Arial"/>
                <w:sz w:val="14"/>
                <w:szCs w:val="14"/>
                <w:i w:val="1"/>
                <w:iCs w:val="1"/>
                <w:color w:val="auto"/>
                <w:w w:val="92"/>
              </w:rPr>
              <w:t>(in thousands)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300" w:type="dxa"/>
            <w:vAlign w:val="bottom"/>
          </w:tcPr>
          <w:p>
            <w:pPr>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240"/>
              <w:spacing w:after="0"/>
              <w:rPr>
                <w:sz w:val="20"/>
                <w:szCs w:val="20"/>
                <w:color w:val="auto"/>
              </w:rPr>
            </w:pPr>
            <w:r>
              <w:rPr>
                <w:rFonts w:ascii="Arial" w:cs="Arial" w:eastAsia="Arial" w:hAnsi="Arial"/>
                <w:sz w:val="18"/>
                <w:szCs w:val="18"/>
                <w:color w:val="auto"/>
              </w:rPr>
              <w:t>Merchandise sales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95,354</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31,374</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126,728</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126,728</w:t>
            </w:r>
          </w:p>
        </w:tc>
        <w:tc>
          <w:tcPr>
            <w:tcW w:w="0" w:type="dxa"/>
            <w:vAlign w:val="bottom"/>
          </w:tcPr>
          <w:p>
            <w:pPr>
              <w:spacing w:after="0"/>
              <w:rPr>
                <w:sz w:val="1"/>
                <w:szCs w:val="1"/>
                <w:color w:val="auto"/>
              </w:rPr>
            </w:pPr>
          </w:p>
        </w:tc>
      </w:tr>
      <w:tr>
        <w:trPr>
          <w:trHeight w:val="270"/>
        </w:trPr>
        <w:tc>
          <w:tcPr>
            <w:tcW w:w="3300" w:type="dxa"/>
            <w:vAlign w:val="bottom"/>
          </w:tcPr>
          <w:p>
            <w:pPr>
              <w:ind w:left="240"/>
              <w:spacing w:after="0"/>
              <w:rPr>
                <w:sz w:val="20"/>
                <w:szCs w:val="20"/>
                <w:color w:val="auto"/>
              </w:rPr>
            </w:pPr>
            <w:r>
              <w:rPr>
                <w:rFonts w:ascii="Arial" w:cs="Arial" w:eastAsia="Arial" w:hAnsi="Arial"/>
                <w:sz w:val="18"/>
                <w:szCs w:val="18"/>
                <w:color w:val="auto"/>
              </w:rPr>
              <w:t>Jewelry scrapping sales</w:t>
            </w:r>
          </w:p>
        </w:tc>
        <w:tc>
          <w:tcPr>
            <w:tcW w:w="120" w:type="dxa"/>
            <w:vAlign w:val="bottom"/>
          </w:tcPr>
          <w:p>
            <w:pPr>
              <w:spacing w:after="0"/>
              <w:rPr>
                <w:sz w:val="23"/>
                <w:szCs w:val="23"/>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6,117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3,411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9,528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9,528</w:t>
            </w:r>
          </w:p>
        </w:tc>
        <w:tc>
          <w:tcPr>
            <w:tcW w:w="0" w:type="dxa"/>
            <w:vAlign w:val="bottom"/>
          </w:tcPr>
          <w:p>
            <w:pPr>
              <w:spacing w:after="0"/>
              <w:rPr>
                <w:sz w:val="1"/>
                <w:szCs w:val="1"/>
                <w:color w:val="auto"/>
              </w:rPr>
            </w:pPr>
          </w:p>
        </w:tc>
      </w:tr>
      <w:tr>
        <w:trPr>
          <w:trHeight w:val="270"/>
        </w:trPr>
        <w:tc>
          <w:tcPr>
            <w:tcW w:w="3300" w:type="dxa"/>
            <w:vAlign w:val="bottom"/>
          </w:tcPr>
          <w:p>
            <w:pPr>
              <w:ind w:left="240"/>
              <w:spacing w:after="0"/>
              <w:rPr>
                <w:sz w:val="20"/>
                <w:szCs w:val="20"/>
                <w:color w:val="auto"/>
              </w:rPr>
            </w:pPr>
            <w:r>
              <w:rPr>
                <w:rFonts w:ascii="Arial" w:cs="Arial" w:eastAsia="Arial" w:hAnsi="Arial"/>
                <w:sz w:val="18"/>
                <w:szCs w:val="18"/>
                <w:color w:val="auto"/>
              </w:rPr>
              <w:t>Pawn service charges</w:t>
            </w:r>
          </w:p>
        </w:tc>
        <w:tc>
          <w:tcPr>
            <w:tcW w:w="120" w:type="dxa"/>
            <w:vAlign w:val="bottom"/>
          </w:tcPr>
          <w:p>
            <w:pPr>
              <w:spacing w:after="0"/>
              <w:rPr>
                <w:sz w:val="23"/>
                <w:szCs w:val="23"/>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64,090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20,635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84,725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84,725</w:t>
            </w:r>
          </w:p>
        </w:tc>
        <w:tc>
          <w:tcPr>
            <w:tcW w:w="0" w:type="dxa"/>
            <w:vAlign w:val="bottom"/>
          </w:tcPr>
          <w:p>
            <w:pPr>
              <w:spacing w:after="0"/>
              <w:rPr>
                <w:sz w:val="1"/>
                <w:szCs w:val="1"/>
                <w:color w:val="auto"/>
              </w:rPr>
            </w:pPr>
          </w:p>
        </w:tc>
      </w:tr>
      <w:tr>
        <w:trPr>
          <w:trHeight w:val="270"/>
        </w:trPr>
        <w:tc>
          <w:tcPr>
            <w:tcW w:w="3300" w:type="dxa"/>
            <w:vAlign w:val="bottom"/>
          </w:tcPr>
          <w:p>
            <w:pPr>
              <w:ind w:left="240"/>
              <w:spacing w:after="0"/>
              <w:rPr>
                <w:sz w:val="20"/>
                <w:szCs w:val="20"/>
                <w:color w:val="auto"/>
              </w:rPr>
            </w:pPr>
            <w:r>
              <w:rPr>
                <w:rFonts w:ascii="Arial" w:cs="Arial" w:eastAsia="Arial" w:hAnsi="Arial"/>
                <w:sz w:val="18"/>
                <w:szCs w:val="18"/>
                <w:color w:val="auto"/>
              </w:rPr>
              <w:t>Other revenues</w:t>
            </w:r>
          </w:p>
        </w:tc>
        <w:tc>
          <w:tcPr>
            <w:tcW w:w="120" w:type="dxa"/>
            <w:vAlign w:val="bottom"/>
          </w:tcPr>
          <w:p>
            <w:pPr>
              <w:spacing w:after="0"/>
              <w:rPr>
                <w:sz w:val="23"/>
                <w:szCs w:val="23"/>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0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12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165,597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55,445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222,435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222,435</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Merchandise cost of goods sold</w:t>
            </w:r>
          </w:p>
        </w:tc>
        <w:tc>
          <w:tcPr>
            <w:tcW w:w="120" w:type="dxa"/>
            <w:vAlign w:val="bottom"/>
          </w:tcPr>
          <w:p>
            <w:pPr>
              <w:spacing w:after="0"/>
              <w:rPr>
                <w:sz w:val="23"/>
                <w:szCs w:val="23"/>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61,364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22,712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84,076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84,076</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Jewelry scrapping cost of goods sold</w:t>
            </w:r>
          </w:p>
        </w:tc>
        <w:tc>
          <w:tcPr>
            <w:tcW w:w="120" w:type="dxa"/>
            <w:vAlign w:val="bottom"/>
          </w:tcPr>
          <w:p>
            <w:pPr>
              <w:spacing w:after="0"/>
              <w:rPr>
                <w:sz w:val="23"/>
                <w:szCs w:val="23"/>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4,755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2,999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7,754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7,754</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rPr>
              <w:t>Other cost of revenues</w:t>
            </w:r>
          </w:p>
        </w:tc>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00" w:type="dxa"/>
            <w:vAlign w:val="bottom"/>
          </w:tcPr>
          <w:p>
            <w:pPr>
              <w:ind w:left="460"/>
              <w:spacing w:after="0"/>
              <w:rPr>
                <w:sz w:val="20"/>
                <w:szCs w:val="20"/>
                <w:color w:val="auto"/>
              </w:rPr>
            </w:pPr>
            <w:r>
              <w:rPr>
                <w:rFonts w:ascii="Arial" w:cs="Arial" w:eastAsia="Arial" w:hAnsi="Arial"/>
                <w:sz w:val="18"/>
                <w:szCs w:val="18"/>
                <w:color w:val="auto"/>
              </w:rPr>
              <w:t>Net revenues</w:t>
            </w:r>
          </w:p>
        </w:tc>
        <w:tc>
          <w:tcPr>
            <w:tcW w:w="12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99,478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29,734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130,069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130,069</w:t>
            </w: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8"/>
                <w:szCs w:val="18"/>
                <w:color w:val="auto"/>
                <w:w w:val="93"/>
              </w:rPr>
              <w:t>Segment and corporate expenses (income):</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23"/>
                <w:szCs w:val="23"/>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68,059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19,983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1,350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90,625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90,625</w:t>
            </w:r>
          </w:p>
        </w:tc>
        <w:tc>
          <w:tcPr>
            <w:tcW w:w="0" w:type="dxa"/>
            <w:vAlign w:val="bottom"/>
          </w:tcPr>
          <w:p>
            <w:pPr>
              <w:spacing w:after="0"/>
              <w:rPr>
                <w:sz w:val="1"/>
                <w:szCs w:val="1"/>
                <w:color w:val="auto"/>
              </w:rPr>
            </w:pPr>
          </w:p>
        </w:tc>
      </w:tr>
      <w:tr>
        <w:trPr>
          <w:trHeight w:val="270"/>
        </w:trPr>
        <w:tc>
          <w:tcPr>
            <w:tcW w:w="3300" w:type="dxa"/>
            <w:vAlign w:val="bottom"/>
          </w:tcPr>
          <w:p>
            <w:pPr>
              <w:ind w:left="240"/>
              <w:spacing w:after="0"/>
              <w:rPr>
                <w:sz w:val="20"/>
                <w:szCs w:val="20"/>
                <w:color w:val="auto"/>
              </w:rPr>
            </w:pPr>
            <w:r>
              <w:rPr>
                <w:rFonts w:ascii="Arial" w:cs="Arial" w:eastAsia="Arial" w:hAnsi="Arial"/>
                <w:sz w:val="18"/>
                <w:szCs w:val="18"/>
                <w:color w:val="auto"/>
              </w:rPr>
              <w:t>Administrative</w:t>
            </w:r>
          </w:p>
        </w:tc>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17,489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17,489</w:t>
            </w:r>
          </w:p>
        </w:tc>
        <w:tc>
          <w:tcPr>
            <w:tcW w:w="0" w:type="dxa"/>
            <w:vAlign w:val="bottom"/>
          </w:tcPr>
          <w:p>
            <w:pPr>
              <w:spacing w:after="0"/>
              <w:rPr>
                <w:sz w:val="1"/>
                <w:szCs w:val="1"/>
                <w:color w:val="auto"/>
              </w:rPr>
            </w:pPr>
          </w:p>
        </w:tc>
      </w:tr>
      <w:tr>
        <w:trPr>
          <w:trHeight w:val="270"/>
        </w:trPr>
        <w:tc>
          <w:tcPr>
            <w:tcW w:w="33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3"/>
                <w:szCs w:val="23"/>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2,865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1,889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4,800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2,933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7,733</w:t>
            </w:r>
          </w:p>
        </w:tc>
        <w:tc>
          <w:tcPr>
            <w:tcW w:w="0" w:type="dxa"/>
            <w:vAlign w:val="bottom"/>
          </w:tcPr>
          <w:p>
            <w:pPr>
              <w:spacing w:after="0"/>
              <w:rPr>
                <w:sz w:val="1"/>
                <w:szCs w:val="1"/>
                <w:color w:val="auto"/>
              </w:rPr>
            </w:pPr>
          </w:p>
        </w:tc>
      </w:tr>
      <w:tr>
        <w:trPr>
          <w:trHeight w:val="256"/>
        </w:trPr>
        <w:tc>
          <w:tcPr>
            <w:tcW w:w="3300" w:type="dxa"/>
            <w:vAlign w:val="bottom"/>
          </w:tcPr>
          <w:p>
            <w:pPr>
              <w:ind w:left="240"/>
              <w:spacing w:after="0"/>
              <w:rPr>
                <w:sz w:val="20"/>
                <w:szCs w:val="20"/>
                <w:color w:val="auto"/>
              </w:rPr>
            </w:pPr>
            <w:r>
              <w:rPr>
                <w:rFonts w:ascii="Arial" w:cs="Arial" w:eastAsia="Arial" w:hAnsi="Arial"/>
                <w:sz w:val="18"/>
                <w:szCs w:val="18"/>
                <w:color w:val="auto"/>
                <w:w w:val="99"/>
              </w:rPr>
              <w:t>Loss on sale or disposal of assets and</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70"/>
        </w:trPr>
        <w:tc>
          <w:tcPr>
            <w:tcW w:w="33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5,167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5,329</w:t>
            </w:r>
          </w:p>
        </w:tc>
        <w:tc>
          <w:tcPr>
            <w:tcW w:w="0" w:type="dxa"/>
            <w:vAlign w:val="bottom"/>
          </w:tcPr>
          <w:p>
            <w:pPr>
              <w:spacing w:after="0"/>
              <w:rPr>
                <w:sz w:val="1"/>
                <w:szCs w:val="1"/>
                <w:color w:val="auto"/>
              </w:rPr>
            </w:pPr>
          </w:p>
        </w:tc>
      </w:tr>
      <w:tr>
        <w:trPr>
          <w:trHeight w:val="270"/>
        </w:trPr>
        <w:tc>
          <w:tcPr>
            <w:tcW w:w="330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56"/>
        </w:trPr>
        <w:tc>
          <w:tcPr>
            <w:tcW w:w="3300" w:type="dxa"/>
            <w:vAlign w:val="bottom"/>
          </w:tcPr>
          <w:p>
            <w:pPr>
              <w:ind w:left="240"/>
              <w:spacing w:after="0"/>
              <w:rPr>
                <w:sz w:val="20"/>
                <w:szCs w:val="20"/>
                <w:color w:val="auto"/>
              </w:rPr>
            </w:pPr>
            <w:r>
              <w:rPr>
                <w:rFonts w:ascii="Arial" w:cs="Arial" w:eastAsia="Arial" w:hAnsi="Arial"/>
                <w:sz w:val="18"/>
                <w:szCs w:val="18"/>
                <w:color w:val="auto"/>
              </w:rPr>
              <w:t>Equity in net loss of unconsolidated</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40"/>
              <w:spacing w:after="0"/>
              <w:rPr>
                <w:sz w:val="20"/>
                <w:szCs w:val="20"/>
                <w:color w:val="auto"/>
              </w:rPr>
            </w:pPr>
            <w:r>
              <w:rPr>
                <w:rFonts w:ascii="Arial" w:cs="Arial" w:eastAsia="Arial" w:hAnsi="Arial"/>
                <w:sz w:val="18"/>
                <w:szCs w:val="18"/>
                <w:color w:val="auto"/>
              </w:rPr>
              <w:t>affiliates</w:t>
            </w: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5,897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5,897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5,897</w:t>
            </w:r>
          </w:p>
        </w:tc>
        <w:tc>
          <w:tcPr>
            <w:tcW w:w="0" w:type="dxa"/>
            <w:vAlign w:val="bottom"/>
          </w:tcPr>
          <w:p>
            <w:pPr>
              <w:spacing w:after="0"/>
              <w:rPr>
                <w:sz w:val="1"/>
                <w:szCs w:val="1"/>
                <w:color w:val="auto"/>
              </w:rPr>
            </w:pPr>
          </w:p>
        </w:tc>
      </w:tr>
      <w:tr>
        <w:trPr>
          <w:trHeight w:val="270"/>
        </w:trPr>
        <w:tc>
          <w:tcPr>
            <w:tcW w:w="3300" w:type="dxa"/>
            <w:vAlign w:val="bottom"/>
          </w:tcPr>
          <w:p>
            <w:pPr>
              <w:ind w:left="240"/>
              <w:spacing w:after="0"/>
              <w:rPr>
                <w:sz w:val="20"/>
                <w:szCs w:val="20"/>
                <w:color w:val="auto"/>
              </w:rPr>
            </w:pPr>
            <w:r>
              <w:rPr>
                <w:rFonts w:ascii="Arial" w:cs="Arial" w:eastAsia="Arial" w:hAnsi="Arial"/>
                <w:sz w:val="18"/>
                <w:szCs w:val="18"/>
                <w:color w:val="auto"/>
              </w:rPr>
              <w:t>Other expense (income)</w:t>
            </w:r>
          </w:p>
        </w:tc>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00" w:type="dxa"/>
            <w:vAlign w:val="bottom"/>
          </w:tcPr>
          <w:p>
            <w:pPr>
              <w:spacing w:after="0"/>
              <w:rPr>
                <w:sz w:val="20"/>
                <w:szCs w:val="20"/>
                <w:color w:val="auto"/>
              </w:rPr>
            </w:pPr>
            <w:r>
              <w:rPr>
                <w:rFonts w:ascii="Arial" w:cs="Arial" w:eastAsia="Arial" w:hAnsi="Arial"/>
                <w:sz w:val="18"/>
                <w:szCs w:val="18"/>
                <w:color w:val="auto"/>
              </w:rPr>
              <w:t>Segment contribution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28,554</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8,127</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(6,477)</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28,879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8"/>
                <w:szCs w:val="18"/>
                <w:color w:val="auto"/>
                <w:w w:val="98"/>
              </w:rPr>
              <w:t>Income from continuing operations before</w:t>
            </w: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vMerge w:val="restart"/>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28,879</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(25,855)</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ind w:right="11"/>
              <w:spacing w:after="0"/>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242"/>
        </w:trPr>
        <w:tc>
          <w:tcPr>
            <w:tcW w:w="3300" w:type="dxa"/>
            <w:vAlign w:val="bottom"/>
          </w:tcPr>
          <w:p>
            <w:pPr>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558"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8"/>
          </w:tcPr>
          <w:p>
            <w:pPr>
              <w:jc w:val="center"/>
              <w:ind w:right="160"/>
              <w:spacing w:after="0"/>
              <w:rPr>
                <w:sz w:val="20"/>
                <w:szCs w:val="20"/>
                <w:color w:val="auto"/>
              </w:rPr>
            </w:pPr>
            <w:r>
              <w:rPr>
                <w:rFonts w:ascii="Arial" w:cs="Arial" w:eastAsia="Arial" w:hAnsi="Arial"/>
                <w:sz w:val="14"/>
                <w:szCs w:val="14"/>
                <w:b w:val="1"/>
                <w:bCs w:val="1"/>
                <w:color w:val="auto"/>
                <w:w w:val="93"/>
              </w:rPr>
              <w:t>Three Months Ended December 31, 2018</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Latin</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U.S. Pawn</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America</w:t>
            </w:r>
          </w:p>
        </w:tc>
        <w:tc>
          <w:tcPr>
            <w:tcW w:w="240" w:type="dxa"/>
            <w:vAlign w:val="bottom"/>
          </w:tcPr>
          <w:p>
            <w:pPr>
              <w:spacing w:after="0"/>
              <w:rPr>
                <w:sz w:val="12"/>
                <w:szCs w:val="12"/>
                <w:color w:val="auto"/>
              </w:rPr>
            </w:pPr>
          </w:p>
        </w:tc>
        <w:tc>
          <w:tcPr>
            <w:tcW w:w="78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Lana</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8"/>
              </w:rPr>
              <w:t>Pawn</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3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i w:val="1"/>
                <w:iCs w:val="1"/>
                <w:color w:val="auto"/>
                <w:w w:val="92"/>
              </w:rPr>
              <w:t>(in thousands)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06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060" w:type="dxa"/>
            <w:vAlign w:val="bottom"/>
          </w:tcPr>
          <w:p>
            <w:pPr>
              <w:ind w:left="240"/>
              <w:spacing w:after="0"/>
              <w:rPr>
                <w:sz w:val="20"/>
                <w:szCs w:val="20"/>
                <w:color w:val="auto"/>
              </w:rPr>
            </w:pPr>
            <w:r>
              <w:rPr>
                <w:rFonts w:ascii="Arial" w:cs="Arial" w:eastAsia="Arial" w:hAnsi="Arial"/>
                <w:sz w:val="18"/>
                <w:szCs w:val="18"/>
                <w:color w:val="auto"/>
              </w:rPr>
              <w:t>Merchandise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95,103</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25,921</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121,024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121,024</w:t>
            </w:r>
          </w:p>
        </w:tc>
        <w:tc>
          <w:tcPr>
            <w:tcW w:w="0" w:type="dxa"/>
            <w:vAlign w:val="bottom"/>
          </w:tcPr>
          <w:p>
            <w:pPr>
              <w:spacing w:after="0"/>
              <w:rPr>
                <w:sz w:val="1"/>
                <w:szCs w:val="1"/>
                <w:color w:val="auto"/>
              </w:rPr>
            </w:pPr>
          </w:p>
        </w:tc>
      </w:tr>
      <w:tr>
        <w:trPr>
          <w:trHeight w:val="270"/>
        </w:trPr>
        <w:tc>
          <w:tcPr>
            <w:tcW w:w="3060" w:type="dxa"/>
            <w:vAlign w:val="bottom"/>
          </w:tcPr>
          <w:p>
            <w:pPr>
              <w:ind w:left="240"/>
              <w:spacing w:after="0"/>
              <w:rPr>
                <w:sz w:val="20"/>
                <w:szCs w:val="20"/>
                <w:color w:val="auto"/>
              </w:rPr>
            </w:pPr>
            <w:r>
              <w:rPr>
                <w:rFonts w:ascii="Arial" w:cs="Arial" w:eastAsia="Arial" w:hAnsi="Arial"/>
                <w:sz w:val="18"/>
                <w:szCs w:val="18"/>
                <w:color w:val="auto"/>
              </w:rPr>
              <w:t>Jewelry scrapping sales</w:t>
            </w:r>
          </w:p>
        </w:tc>
        <w:tc>
          <w:tcPr>
            <w:tcW w:w="1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6,552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2,729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9,281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9,281</w:t>
            </w:r>
          </w:p>
        </w:tc>
        <w:tc>
          <w:tcPr>
            <w:tcW w:w="0" w:type="dxa"/>
            <w:vAlign w:val="bottom"/>
          </w:tcPr>
          <w:p>
            <w:pPr>
              <w:spacing w:after="0"/>
              <w:rPr>
                <w:sz w:val="1"/>
                <w:szCs w:val="1"/>
                <w:color w:val="auto"/>
              </w:rPr>
            </w:pPr>
          </w:p>
        </w:tc>
      </w:tr>
      <w:tr>
        <w:trPr>
          <w:trHeight w:val="270"/>
        </w:trPr>
        <w:tc>
          <w:tcPr>
            <w:tcW w:w="3060" w:type="dxa"/>
            <w:vAlign w:val="bottom"/>
          </w:tcPr>
          <w:p>
            <w:pPr>
              <w:ind w:left="24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64,225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19,294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83,519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83,519</w:t>
            </w:r>
          </w:p>
        </w:tc>
        <w:tc>
          <w:tcPr>
            <w:tcW w:w="0" w:type="dxa"/>
            <w:vAlign w:val="bottom"/>
          </w:tcPr>
          <w:p>
            <w:pPr>
              <w:spacing w:after="0"/>
              <w:rPr>
                <w:sz w:val="1"/>
                <w:szCs w:val="1"/>
                <w:color w:val="auto"/>
              </w:rPr>
            </w:pPr>
          </w:p>
        </w:tc>
      </w:tr>
      <w:tr>
        <w:trPr>
          <w:trHeight w:val="270"/>
        </w:trPr>
        <w:tc>
          <w:tcPr>
            <w:tcW w:w="3060" w:type="dxa"/>
            <w:vAlign w:val="bottom"/>
          </w:tcPr>
          <w:p>
            <w:pPr>
              <w:ind w:left="240"/>
              <w:spacing w:after="0"/>
              <w:rPr>
                <w:sz w:val="20"/>
                <w:szCs w:val="20"/>
                <w:color w:val="auto"/>
              </w:rPr>
            </w:pPr>
            <w:r>
              <w:rPr>
                <w:rFonts w:ascii="Arial" w:cs="Arial" w:eastAsia="Arial" w:hAnsi="Arial"/>
                <w:sz w:val="18"/>
                <w:szCs w:val="18"/>
                <w:color w:val="auto"/>
              </w:rPr>
              <w:t>Other revenues</w:t>
            </w:r>
          </w:p>
        </w:tc>
        <w:tc>
          <w:tcPr>
            <w:tcW w:w="1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6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16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165,928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47,986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215,695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215,695</w:t>
            </w:r>
          </w:p>
        </w:tc>
        <w:tc>
          <w:tcPr>
            <w:tcW w:w="0" w:type="dxa"/>
            <w:vAlign w:val="bottom"/>
          </w:tcPr>
          <w:p>
            <w:pPr>
              <w:spacing w:after="0"/>
              <w:rPr>
                <w:sz w:val="1"/>
                <w:szCs w:val="1"/>
                <w:color w:val="auto"/>
              </w:rPr>
            </w:pPr>
          </w:p>
        </w:tc>
      </w:tr>
      <w:tr>
        <w:trPr>
          <w:trHeight w:val="270"/>
        </w:trPr>
        <w:tc>
          <w:tcPr>
            <w:tcW w:w="3060" w:type="dxa"/>
            <w:vAlign w:val="bottom"/>
          </w:tcPr>
          <w:p>
            <w:pPr>
              <w:spacing w:after="0"/>
              <w:rPr>
                <w:sz w:val="20"/>
                <w:szCs w:val="20"/>
                <w:color w:val="auto"/>
              </w:rPr>
            </w:pPr>
            <w:r>
              <w:rPr>
                <w:rFonts w:ascii="Arial" w:cs="Arial" w:eastAsia="Arial" w:hAnsi="Arial"/>
                <w:sz w:val="18"/>
                <w:szCs w:val="18"/>
                <w:color w:val="auto"/>
              </w:rPr>
              <w:t>Merchandise cost of goods sold</w:t>
            </w:r>
          </w:p>
        </w:tc>
        <w:tc>
          <w:tcPr>
            <w:tcW w:w="1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59,148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17,964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77,112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77,112</w:t>
            </w:r>
          </w:p>
        </w:tc>
        <w:tc>
          <w:tcPr>
            <w:tcW w:w="0" w:type="dxa"/>
            <w:vAlign w:val="bottom"/>
          </w:tcPr>
          <w:p>
            <w:pPr>
              <w:spacing w:after="0"/>
              <w:rPr>
                <w:sz w:val="1"/>
                <w:szCs w:val="1"/>
                <w:color w:val="auto"/>
              </w:rPr>
            </w:pPr>
          </w:p>
        </w:tc>
      </w:tr>
      <w:tr>
        <w:trPr>
          <w:trHeight w:val="270"/>
        </w:trPr>
        <w:tc>
          <w:tcPr>
            <w:tcW w:w="3060" w:type="dxa"/>
            <w:vAlign w:val="bottom"/>
          </w:tcPr>
          <w:p>
            <w:pPr>
              <w:spacing w:after="0"/>
              <w:rPr>
                <w:sz w:val="20"/>
                <w:szCs w:val="20"/>
                <w:color w:val="auto"/>
              </w:rPr>
            </w:pPr>
            <w:r>
              <w:rPr>
                <w:rFonts w:ascii="Arial" w:cs="Arial" w:eastAsia="Arial" w:hAnsi="Arial"/>
                <w:sz w:val="18"/>
                <w:szCs w:val="18"/>
                <w:color w:val="auto"/>
              </w:rPr>
              <w:t>Jewelry scrapping cost of goods sold</w:t>
            </w:r>
          </w:p>
        </w:tc>
        <w:tc>
          <w:tcPr>
            <w:tcW w:w="1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5,510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8,050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8,050</w:t>
            </w:r>
          </w:p>
        </w:tc>
        <w:tc>
          <w:tcPr>
            <w:tcW w:w="0" w:type="dxa"/>
            <w:vAlign w:val="bottom"/>
          </w:tcPr>
          <w:p>
            <w:pPr>
              <w:spacing w:after="0"/>
              <w:rPr>
                <w:sz w:val="1"/>
                <w:szCs w:val="1"/>
                <w:color w:val="auto"/>
              </w:rPr>
            </w:pPr>
          </w:p>
        </w:tc>
      </w:tr>
      <w:tr>
        <w:trPr>
          <w:trHeight w:val="270"/>
        </w:trPr>
        <w:tc>
          <w:tcPr>
            <w:tcW w:w="3060" w:type="dxa"/>
            <w:vAlign w:val="bottom"/>
          </w:tcPr>
          <w:p>
            <w:pPr>
              <w:spacing w:after="0"/>
              <w:rPr>
                <w:sz w:val="20"/>
                <w:szCs w:val="20"/>
                <w:color w:val="auto"/>
              </w:rPr>
            </w:pPr>
            <w:r>
              <w:rPr>
                <w:rFonts w:ascii="Arial" w:cs="Arial" w:eastAsia="Arial" w:hAnsi="Arial"/>
                <w:sz w:val="18"/>
                <w:szCs w:val="18"/>
                <w:color w:val="auto"/>
              </w:rPr>
              <w:t>Other cost of revenues</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60" w:type="dxa"/>
            <w:vAlign w:val="bottom"/>
          </w:tcPr>
          <w:p>
            <w:pPr>
              <w:ind w:left="460"/>
              <w:spacing w:after="0"/>
              <w:rPr>
                <w:sz w:val="20"/>
                <w:szCs w:val="20"/>
                <w:color w:val="auto"/>
              </w:rPr>
            </w:pPr>
            <w:r>
              <w:rPr>
                <w:rFonts w:ascii="Arial" w:cs="Arial" w:eastAsia="Arial" w:hAnsi="Arial"/>
                <w:sz w:val="18"/>
                <w:szCs w:val="18"/>
                <w:color w:val="auto"/>
              </w:rPr>
              <w:t>Net revenues</w:t>
            </w:r>
          </w:p>
        </w:tc>
        <w:tc>
          <w:tcPr>
            <w:tcW w:w="16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101,270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27,482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130,049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130,049</w:t>
            </w:r>
          </w:p>
        </w:tc>
        <w:tc>
          <w:tcPr>
            <w:tcW w:w="0" w:type="dxa"/>
            <w:vAlign w:val="bottom"/>
          </w:tcPr>
          <w:p>
            <w:pPr>
              <w:spacing w:after="0"/>
              <w:rPr>
                <w:sz w:val="1"/>
                <w:szCs w:val="1"/>
                <w:color w:val="auto"/>
              </w:rPr>
            </w:pPr>
          </w:p>
        </w:tc>
      </w:tr>
      <w:tr>
        <w:trPr>
          <w:trHeight w:val="256"/>
        </w:trPr>
        <w:tc>
          <w:tcPr>
            <w:tcW w:w="3060" w:type="dxa"/>
            <w:vAlign w:val="bottom"/>
          </w:tcPr>
          <w:p>
            <w:pPr>
              <w:spacing w:after="0"/>
              <w:rPr>
                <w:sz w:val="20"/>
                <w:szCs w:val="20"/>
                <w:color w:val="auto"/>
              </w:rPr>
            </w:pPr>
            <w:r>
              <w:rPr>
                <w:rFonts w:ascii="Arial" w:cs="Arial" w:eastAsia="Arial" w:hAnsi="Arial"/>
                <w:sz w:val="18"/>
                <w:szCs w:val="18"/>
                <w:color w:val="auto"/>
              </w:rPr>
              <w:t>Segment and corporate expenses</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(income):</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6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67,937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18,196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2,090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2,630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90,853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90,853</w:t>
            </w:r>
          </w:p>
        </w:tc>
        <w:tc>
          <w:tcPr>
            <w:tcW w:w="0" w:type="dxa"/>
            <w:vAlign w:val="bottom"/>
          </w:tcPr>
          <w:p>
            <w:pPr>
              <w:spacing w:after="0"/>
              <w:rPr>
                <w:sz w:val="1"/>
                <w:szCs w:val="1"/>
                <w:color w:val="auto"/>
              </w:rPr>
            </w:pPr>
          </w:p>
        </w:tc>
      </w:tr>
      <w:tr>
        <w:trPr>
          <w:trHeight w:val="270"/>
        </w:trPr>
        <w:tc>
          <w:tcPr>
            <w:tcW w:w="3060" w:type="dxa"/>
            <w:vAlign w:val="bottom"/>
          </w:tcPr>
          <w:p>
            <w:pPr>
              <w:ind w:left="240"/>
              <w:spacing w:after="0"/>
              <w:rPr>
                <w:sz w:val="20"/>
                <w:szCs w:val="20"/>
                <w:color w:val="auto"/>
              </w:rPr>
            </w:pPr>
            <w:r>
              <w:rPr>
                <w:rFonts w:ascii="Arial" w:cs="Arial" w:eastAsia="Arial" w:hAnsi="Arial"/>
                <w:sz w:val="18"/>
                <w:szCs w:val="18"/>
                <w:color w:val="auto"/>
              </w:rPr>
              <w:t>Administrative</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13,165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13,165</w:t>
            </w:r>
          </w:p>
        </w:tc>
        <w:tc>
          <w:tcPr>
            <w:tcW w:w="0" w:type="dxa"/>
            <w:vAlign w:val="bottom"/>
          </w:tcPr>
          <w:p>
            <w:pPr>
              <w:spacing w:after="0"/>
              <w:rPr>
                <w:sz w:val="1"/>
                <w:szCs w:val="1"/>
                <w:color w:val="auto"/>
              </w:rPr>
            </w:pPr>
          </w:p>
        </w:tc>
      </w:tr>
      <w:tr>
        <w:trPr>
          <w:trHeight w:val="270"/>
        </w:trPr>
        <w:tc>
          <w:tcPr>
            <w:tcW w:w="30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3,035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4,498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2,350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6,848</w:t>
            </w:r>
          </w:p>
        </w:tc>
        <w:tc>
          <w:tcPr>
            <w:tcW w:w="0" w:type="dxa"/>
            <w:vAlign w:val="bottom"/>
          </w:tcPr>
          <w:p>
            <w:pPr>
              <w:spacing w:after="0"/>
              <w:rPr>
                <w:sz w:val="1"/>
                <w:szCs w:val="1"/>
                <w:color w:val="auto"/>
              </w:rPr>
            </w:pPr>
          </w:p>
        </w:tc>
      </w:tr>
      <w:tr>
        <w:trPr>
          <w:trHeight w:val="256"/>
        </w:trPr>
        <w:tc>
          <w:tcPr>
            <w:tcW w:w="3060" w:type="dxa"/>
            <w:vAlign w:val="bottom"/>
          </w:tcPr>
          <w:p>
            <w:pPr>
              <w:ind w:left="240"/>
              <w:spacing w:after="0"/>
              <w:rPr>
                <w:sz w:val="20"/>
                <w:szCs w:val="20"/>
                <w:color w:val="auto"/>
              </w:rPr>
            </w:pPr>
            <w:r>
              <w:rPr>
                <w:rFonts w:ascii="Arial" w:cs="Arial" w:eastAsia="Arial" w:hAnsi="Arial"/>
                <w:sz w:val="18"/>
                <w:szCs w:val="18"/>
                <w:color w:val="auto"/>
                <w:w w:val="91"/>
              </w:rPr>
              <w:t>Loss on sale or disposal of assets and</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2,853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4,442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270"/>
        </w:trPr>
        <w:tc>
          <w:tcPr>
            <w:tcW w:w="306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8,690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8,791</w:t>
            </w:r>
          </w:p>
        </w:tc>
        <w:tc>
          <w:tcPr>
            <w:tcW w:w="0" w:type="dxa"/>
            <w:vAlign w:val="bottom"/>
          </w:tcPr>
          <w:p>
            <w:pPr>
              <w:spacing w:after="0"/>
              <w:rPr>
                <w:sz w:val="1"/>
                <w:szCs w:val="1"/>
                <w:color w:val="auto"/>
              </w:rPr>
            </w:pPr>
          </w:p>
        </w:tc>
      </w:tr>
      <w:tr>
        <w:trPr>
          <w:trHeight w:val="270"/>
        </w:trPr>
        <w:tc>
          <w:tcPr>
            <w:tcW w:w="306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256"/>
        </w:trPr>
        <w:tc>
          <w:tcPr>
            <w:tcW w:w="3060" w:type="dxa"/>
            <w:vAlign w:val="bottom"/>
          </w:tcPr>
          <w:p>
            <w:pPr>
              <w:ind w:left="240"/>
              <w:spacing w:after="0"/>
              <w:rPr>
                <w:sz w:val="20"/>
                <w:szCs w:val="20"/>
                <w:color w:val="auto"/>
              </w:rPr>
            </w:pPr>
            <w:r>
              <w:rPr>
                <w:rFonts w:ascii="Arial" w:cs="Arial" w:eastAsia="Arial" w:hAnsi="Arial"/>
                <w:sz w:val="18"/>
                <w:szCs w:val="18"/>
                <w:color w:val="auto"/>
                <w:w w:val="99"/>
              </w:rPr>
              <w:t>Equity in net loss of unconsolidated</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40"/>
              <w:spacing w:after="0"/>
              <w:rPr>
                <w:sz w:val="20"/>
                <w:szCs w:val="20"/>
                <w:color w:val="auto"/>
              </w:rPr>
            </w:pPr>
            <w:r>
              <w:rPr>
                <w:rFonts w:ascii="Arial" w:cs="Arial" w:eastAsia="Arial" w:hAnsi="Arial"/>
                <w:sz w:val="18"/>
                <w:szCs w:val="18"/>
                <w:color w:val="auto"/>
              </w:rPr>
              <w:t>affiliates</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56"/>
        </w:trPr>
        <w:tc>
          <w:tcPr>
            <w:tcW w:w="3060" w:type="dxa"/>
            <w:vAlign w:val="bottom"/>
          </w:tcPr>
          <w:p>
            <w:pPr>
              <w:ind w:left="240"/>
              <w:spacing w:after="0"/>
              <w:rPr>
                <w:sz w:val="20"/>
                <w:szCs w:val="20"/>
                <w:color w:val="auto"/>
              </w:rPr>
            </w:pPr>
            <w:r>
              <w:rPr>
                <w:rFonts w:ascii="Arial" w:cs="Arial" w:eastAsia="Arial" w:hAnsi="Arial"/>
                <w:sz w:val="18"/>
                <w:szCs w:val="18"/>
                <w:color w:val="auto"/>
              </w:rPr>
              <w:t>Impairment of investments in</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40"/>
              <w:spacing w:after="0"/>
              <w:rPr>
                <w:sz w:val="20"/>
                <w:szCs w:val="20"/>
                <w:color w:val="auto"/>
              </w:rPr>
            </w:pPr>
            <w:r>
              <w:rPr>
                <w:rFonts w:ascii="Arial" w:cs="Arial" w:eastAsia="Arial" w:hAnsi="Arial"/>
                <w:sz w:val="18"/>
                <w:szCs w:val="18"/>
                <w:color w:val="auto"/>
              </w:rPr>
              <w:t>unconsolidated affiliates</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13,274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13,274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13,274</w:t>
            </w:r>
          </w:p>
        </w:tc>
        <w:tc>
          <w:tcPr>
            <w:tcW w:w="0" w:type="dxa"/>
            <w:vAlign w:val="bottom"/>
          </w:tcPr>
          <w:p>
            <w:pPr>
              <w:spacing w:after="0"/>
              <w:rPr>
                <w:sz w:val="1"/>
                <w:szCs w:val="1"/>
                <w:color w:val="auto"/>
              </w:rPr>
            </w:pPr>
          </w:p>
        </w:tc>
      </w:tr>
      <w:tr>
        <w:trPr>
          <w:trHeight w:val="270"/>
        </w:trPr>
        <w:tc>
          <w:tcPr>
            <w:tcW w:w="3060" w:type="dxa"/>
            <w:vAlign w:val="bottom"/>
          </w:tcPr>
          <w:p>
            <w:pPr>
              <w:ind w:left="24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60" w:type="dxa"/>
            <w:vAlign w:val="bottom"/>
          </w:tcPr>
          <w:p>
            <w:pPr>
              <w:spacing w:after="0"/>
              <w:rPr>
                <w:sz w:val="20"/>
                <w:szCs w:val="20"/>
                <w:color w:val="auto"/>
              </w:rPr>
            </w:pPr>
            <w:r>
              <w:rPr>
                <w:rFonts w:ascii="Arial" w:cs="Arial" w:eastAsia="Arial" w:hAnsi="Arial"/>
                <w:sz w:val="18"/>
                <w:szCs w:val="18"/>
                <w:color w:val="auto"/>
              </w:rPr>
              <w:t>Segment contribution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27,445</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6,791</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(15,861)</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8"/>
                <w:szCs w:val="18"/>
                <w:color w:val="auto"/>
                <w:w w:val="97"/>
              </w:rPr>
              <w:t>Loss from continuing operations before</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0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vMerge w:val="restart"/>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16,285</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(21,003)</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(4,718)</w:t>
            </w:r>
          </w:p>
        </w:tc>
        <w:tc>
          <w:tcPr>
            <w:tcW w:w="0" w:type="dxa"/>
            <w:vAlign w:val="bottom"/>
          </w:tcPr>
          <w:p>
            <w:pPr>
              <w:spacing w:after="0"/>
              <w:rPr>
                <w:sz w:val="1"/>
                <w:szCs w:val="1"/>
                <w:color w:val="auto"/>
              </w:rPr>
            </w:pPr>
          </w:p>
        </w:tc>
      </w:tr>
      <w:tr>
        <w:trPr>
          <w:trHeight w:val="242"/>
        </w:trPr>
        <w:tc>
          <w:tcPr>
            <w:tcW w:w="3060" w:type="dxa"/>
            <w:vAlign w:val="bottom"/>
          </w:tcPr>
          <w:p>
            <w:pPr>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873" w:right="2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STORE COUNT ACTIVITY</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w w:val="99"/>
              </w:rPr>
              <w:t>Three Months Ended December 31, 2019</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15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24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Pawn</w:t>
            </w:r>
          </w:p>
        </w:tc>
        <w:tc>
          <w:tcPr>
            <w:tcW w:w="158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6020" w:type="dxa"/>
            <w:vAlign w:val="bottom"/>
          </w:tcPr>
          <w:p>
            <w:pPr>
              <w:jc w:val="center"/>
              <w:ind w:right="4050"/>
              <w:spacing w:after="0"/>
              <w:rPr>
                <w:sz w:val="20"/>
                <w:szCs w:val="20"/>
                <w:color w:val="auto"/>
              </w:rPr>
            </w:pPr>
            <w:r>
              <w:rPr>
                <w:rFonts w:ascii="Arial" w:cs="Arial" w:eastAsia="Arial" w:hAnsi="Arial"/>
                <w:sz w:val="18"/>
                <w:szCs w:val="18"/>
                <w:color w:val="auto"/>
                <w:w w:val="89"/>
              </w:rPr>
              <w:t>As of September 30, 2019</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4"/>
                <w:szCs w:val="24"/>
                <w:color w:val="auto"/>
              </w:rPr>
            </w:pPr>
          </w:p>
        </w:tc>
        <w:tc>
          <w:tcPr>
            <w:tcW w:w="12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24"/>
                <w:szCs w:val="24"/>
                <w:color w:val="auto"/>
              </w:rPr>
            </w:pP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70"/>
        </w:trPr>
        <w:tc>
          <w:tcPr>
            <w:tcW w:w="6020" w:type="dxa"/>
            <w:vAlign w:val="bottom"/>
          </w:tcPr>
          <w:p>
            <w:pPr>
              <w:ind w:left="24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020" w:type="dxa"/>
            <w:vAlign w:val="bottom"/>
            <w:vMerge w:val="restart"/>
          </w:tcPr>
          <w:p>
            <w:pPr>
              <w:jc w:val="center"/>
              <w:ind w:right="4090"/>
              <w:spacing w:after="0"/>
              <w:rPr>
                <w:sz w:val="20"/>
                <w:szCs w:val="20"/>
                <w:color w:val="auto"/>
              </w:rPr>
            </w:pPr>
            <w:r>
              <w:rPr>
                <w:rFonts w:ascii="Arial" w:cs="Arial" w:eastAsia="Arial" w:hAnsi="Arial"/>
                <w:sz w:val="18"/>
                <w:szCs w:val="18"/>
                <w:color w:val="auto"/>
                <w:w w:val="90"/>
              </w:rPr>
              <w:t>As of December 31, 2019</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vMerge w:val="continue"/>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0"/>
                <w:szCs w:val="20"/>
                <w:color w:val="auto"/>
              </w:rPr>
            </w:pP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20"/>
                <w:szCs w:val="20"/>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60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w w:val="99"/>
              </w:rPr>
              <w:t>Three Months Ended December 31, 2018</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15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24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Pawn</w:t>
            </w:r>
          </w:p>
        </w:tc>
        <w:tc>
          <w:tcPr>
            <w:tcW w:w="158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6020" w:type="dxa"/>
            <w:vAlign w:val="bottom"/>
          </w:tcPr>
          <w:p>
            <w:pPr>
              <w:jc w:val="center"/>
              <w:ind w:right="4050"/>
              <w:spacing w:after="0"/>
              <w:rPr>
                <w:sz w:val="20"/>
                <w:szCs w:val="20"/>
                <w:color w:val="auto"/>
              </w:rPr>
            </w:pPr>
            <w:r>
              <w:rPr>
                <w:rFonts w:ascii="Arial" w:cs="Arial" w:eastAsia="Arial" w:hAnsi="Arial"/>
                <w:sz w:val="18"/>
                <w:szCs w:val="18"/>
                <w:color w:val="auto"/>
                <w:w w:val="89"/>
              </w:rPr>
              <w:t>As of September 30, 2018</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4"/>
                <w:szCs w:val="24"/>
                <w:color w:val="auto"/>
              </w:rPr>
            </w:pPr>
          </w:p>
        </w:tc>
        <w:tc>
          <w:tcPr>
            <w:tcW w:w="12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4"/>
                <w:szCs w:val="24"/>
                <w:color w:val="auto"/>
              </w:rPr>
            </w:pP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70"/>
        </w:trPr>
        <w:tc>
          <w:tcPr>
            <w:tcW w:w="6020" w:type="dxa"/>
            <w:vAlign w:val="bottom"/>
          </w:tcPr>
          <w:p>
            <w:pPr>
              <w:ind w:left="24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6020" w:type="dxa"/>
            <w:vAlign w:val="bottom"/>
          </w:tcPr>
          <w:p>
            <w:pPr>
              <w:jc w:val="center"/>
              <w:ind w:right="4070"/>
              <w:spacing w:after="0"/>
              <w:rPr>
                <w:sz w:val="20"/>
                <w:szCs w:val="20"/>
                <w:color w:val="auto"/>
              </w:rPr>
            </w:pPr>
            <w:r>
              <w:rPr>
                <w:rFonts w:ascii="Arial" w:cs="Arial" w:eastAsia="Arial" w:hAnsi="Arial"/>
                <w:sz w:val="18"/>
                <w:szCs w:val="18"/>
                <w:color w:val="auto"/>
                <w:w w:val="91"/>
              </w:rPr>
              <w:t>Locations acquired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020" w:type="dxa"/>
            <w:vAlign w:val="bottom"/>
            <w:vMerge w:val="restart"/>
          </w:tcPr>
          <w:p>
            <w:pPr>
              <w:jc w:val="center"/>
              <w:ind w:right="4090"/>
              <w:spacing w:after="0"/>
              <w:rPr>
                <w:sz w:val="20"/>
                <w:szCs w:val="20"/>
                <w:color w:val="auto"/>
              </w:rPr>
            </w:pPr>
            <w:r>
              <w:rPr>
                <w:rFonts w:ascii="Arial" w:cs="Arial" w:eastAsia="Arial" w:hAnsi="Arial"/>
                <w:sz w:val="18"/>
                <w:szCs w:val="18"/>
                <w:color w:val="auto"/>
                <w:w w:val="90"/>
              </w:rPr>
              <w:t>As of December 31, 2018</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vMerge w:val="continue"/>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0"/>
                <w:szCs w:val="20"/>
                <w:color w:val="auto"/>
              </w:rPr>
            </w:pP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0"/>
                <w:szCs w:val="20"/>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55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Non-GAAP Financial Information (Unaudited)</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addition to the financial information prepared in conformity with accounting principles generally accepted in the United States ("GAAP"), we provide certain other non-GAAP financial information on a constant currency ("constant currency") and adjusted basis. We use constant currency results to evaluate our Latin America Pawn operations, which are denominated primarily in Mexican pesos, Guatemalan quetzals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spacing w:after="0" w:line="13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Our statement of operations constant currency results reflect the monthly exchange rate fluctuations and so are not directly calculable from the above rates. Constant currency results, where presented, also exclude the foreign currency gain or loss. The end-of-period and approximate average exchange rates for each applicable currency as compared to U.S. dollars as of and for the three months ended December 31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4"/>
              </w:rPr>
              <w:t>December 31,</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8"/>
          </w:tcPr>
          <w:p>
            <w:pPr>
              <w:jc w:val="right"/>
              <w:ind w:right="225"/>
              <w:spacing w:after="0"/>
              <w:rPr>
                <w:sz w:val="20"/>
                <w:szCs w:val="20"/>
                <w:color w:val="auto"/>
              </w:rPr>
            </w:pPr>
            <w:r>
              <w:rPr>
                <w:rFonts w:ascii="Arial" w:cs="Arial" w:eastAsia="Arial" w:hAnsi="Arial"/>
                <w:sz w:val="14"/>
                <w:szCs w:val="14"/>
                <w:b w:val="1"/>
                <w:bCs w:val="1"/>
                <w:color w:val="auto"/>
                <w:w w:val="97"/>
              </w:rPr>
              <w:t>Three Months Ended December 31,</w:t>
            </w:r>
          </w:p>
        </w:tc>
        <w:tc>
          <w:tcPr>
            <w:tcW w:w="0" w:type="dxa"/>
            <w:vAlign w:val="bottom"/>
          </w:tcPr>
          <w:p>
            <w:pPr>
              <w:spacing w:after="0"/>
              <w:rPr>
                <w:sz w:val="1"/>
                <w:szCs w:val="1"/>
                <w:color w:val="auto"/>
              </w:rPr>
            </w:pPr>
          </w:p>
        </w:tc>
      </w:tr>
      <w:tr>
        <w:trPr>
          <w:trHeight w:val="264"/>
        </w:trPr>
        <w:tc>
          <w:tcPr>
            <w:tcW w:w="5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2019</w:t>
            </w:r>
          </w:p>
        </w:tc>
        <w:tc>
          <w:tcPr>
            <w:tcW w:w="4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364"/>
        </w:trPr>
        <w:tc>
          <w:tcPr>
            <w:tcW w:w="5380" w:type="dxa"/>
            <w:vAlign w:val="bottom"/>
          </w:tcPr>
          <w:p>
            <w:pPr>
              <w:ind w:left="40"/>
              <w:spacing w:after="0"/>
              <w:rPr>
                <w:sz w:val="20"/>
                <w:szCs w:val="20"/>
                <w:color w:val="auto"/>
              </w:rPr>
            </w:pPr>
            <w:r>
              <w:rPr>
                <w:rFonts w:ascii="Arial" w:cs="Arial" w:eastAsia="Arial" w:hAnsi="Arial"/>
                <w:sz w:val="18"/>
                <w:szCs w:val="18"/>
                <w:color w:val="auto"/>
              </w:rPr>
              <w:t>Mexican peso</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jc w:val="right"/>
              <w:ind w:right="41"/>
              <w:spacing w:after="0"/>
              <w:rPr>
                <w:sz w:val="20"/>
                <w:szCs w:val="20"/>
                <w:color w:val="auto"/>
              </w:rPr>
            </w:pPr>
            <w:r>
              <w:rPr>
                <w:rFonts w:ascii="Arial" w:cs="Arial" w:eastAsia="Arial" w:hAnsi="Arial"/>
                <w:sz w:val="18"/>
                <w:szCs w:val="18"/>
                <w:color w:val="auto"/>
                <w:w w:val="85"/>
              </w:rPr>
              <w:t>18.9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3"/>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24"/>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5"/>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0"/>
        </w:trPr>
        <w:tc>
          <w:tcPr>
            <w:tcW w:w="5380" w:type="dxa"/>
            <w:vAlign w:val="bottom"/>
          </w:tcPr>
          <w:p>
            <w:pPr>
              <w:ind w:left="40"/>
              <w:spacing w:after="0"/>
              <w:rPr>
                <w:sz w:val="20"/>
                <w:szCs w:val="20"/>
                <w:color w:val="auto"/>
              </w:rPr>
            </w:pPr>
            <w:r>
              <w:rPr>
                <w:rFonts w:ascii="Arial" w:cs="Arial" w:eastAsia="Arial" w:hAnsi="Arial"/>
                <w:sz w:val="18"/>
                <w:szCs w:val="18"/>
                <w:color w:val="auto"/>
              </w:rPr>
              <w:t>Guatemalan quetzal</w:t>
            </w: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jc w:val="right"/>
              <w:ind w:right="41"/>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ind w:right="124"/>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5"/>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0"/>
        </w:trPr>
        <w:tc>
          <w:tcPr>
            <w:tcW w:w="5380" w:type="dxa"/>
            <w:vAlign w:val="bottom"/>
          </w:tcPr>
          <w:p>
            <w:pPr>
              <w:ind w:left="40"/>
              <w:spacing w:after="0"/>
              <w:rPr>
                <w:sz w:val="20"/>
                <w:szCs w:val="20"/>
                <w:color w:val="auto"/>
              </w:rPr>
            </w:pPr>
            <w:r>
              <w:rPr>
                <w:rFonts w:ascii="Arial" w:cs="Arial" w:eastAsia="Arial" w:hAnsi="Arial"/>
                <w:sz w:val="18"/>
                <w:szCs w:val="18"/>
                <w:color w:val="auto"/>
              </w:rPr>
              <w:t>Honduran lempira</w:t>
            </w: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jc w:val="right"/>
              <w:ind w:right="41"/>
              <w:spacing w:after="0"/>
              <w:rPr>
                <w:sz w:val="20"/>
                <w:szCs w:val="20"/>
                <w:color w:val="auto"/>
              </w:rPr>
            </w:pPr>
            <w:r>
              <w:rPr>
                <w:rFonts w:ascii="Arial" w:cs="Arial" w:eastAsia="Arial" w:hAnsi="Arial"/>
                <w:sz w:val="18"/>
                <w:szCs w:val="18"/>
                <w:color w:val="auto"/>
                <w:w w:val="85"/>
              </w:rPr>
              <w:t>24.4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ind w:right="124"/>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5"/>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0"/>
        </w:trPr>
        <w:tc>
          <w:tcPr>
            <w:tcW w:w="5380" w:type="dxa"/>
            <w:vAlign w:val="bottom"/>
          </w:tcPr>
          <w:p>
            <w:pPr>
              <w:ind w:left="40"/>
              <w:spacing w:after="0"/>
              <w:rPr>
                <w:sz w:val="20"/>
                <w:szCs w:val="20"/>
                <w:color w:val="auto"/>
              </w:rPr>
            </w:pPr>
            <w:r>
              <w:rPr>
                <w:rFonts w:ascii="Arial" w:cs="Arial" w:eastAsia="Arial" w:hAnsi="Arial"/>
                <w:sz w:val="18"/>
                <w:szCs w:val="18"/>
                <w:color w:val="auto"/>
              </w:rPr>
              <w:t>Peruvian sol</w:t>
            </w: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jc w:val="right"/>
              <w:ind w:right="4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ind w:right="124"/>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5"/>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05"/>
        </w:trPr>
        <w:tc>
          <w:tcPr>
            <w:tcW w:w="5380" w:type="dxa"/>
            <w:vAlign w:val="bottom"/>
          </w:tcPr>
          <w:p>
            <w:pPr>
              <w:spacing w:after="0"/>
              <w:rPr>
                <w:sz w:val="20"/>
                <w:szCs w:val="20"/>
                <w:color w:val="auto"/>
              </w:rPr>
            </w:pPr>
            <w:r>
              <w:rPr>
                <w:rFonts w:ascii="Arial" w:cs="Arial" w:eastAsia="Arial" w:hAnsi="Arial"/>
                <w:sz w:val="18"/>
                <w:szCs w:val="18"/>
                <w:b w:val="1"/>
                <w:bCs w:val="1"/>
                <w:i w:val="1"/>
                <w:iCs w:val="1"/>
                <w:color w:val="auto"/>
              </w:rPr>
              <w:t>Miscellaneous Non-GAAP Financial Measures</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ind w:left="220"/>
              <w:spacing w:after="0"/>
              <w:rPr>
                <w:sz w:val="20"/>
                <w:szCs w:val="20"/>
                <w:color w:val="auto"/>
              </w:rPr>
            </w:pPr>
            <w:r>
              <w:rPr>
                <w:rFonts w:ascii="Arial" w:cs="Arial" w:eastAsia="Arial" w:hAnsi="Arial"/>
                <w:sz w:val="14"/>
                <w:szCs w:val="14"/>
                <w:b w:val="1"/>
                <w:bCs w:val="1"/>
                <w:color w:val="auto"/>
              </w:rPr>
              <w:t>2020 Q1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ind w:left="180"/>
              <w:spacing w:after="0"/>
              <w:rPr>
                <w:sz w:val="20"/>
                <w:szCs w:val="20"/>
                <w:color w:val="auto"/>
              </w:rPr>
            </w:pPr>
            <w:r>
              <w:rPr>
                <w:rFonts w:ascii="Arial" w:cs="Arial" w:eastAsia="Arial" w:hAnsi="Arial"/>
                <w:sz w:val="14"/>
                <w:szCs w:val="14"/>
                <w:b w:val="1"/>
                <w:bCs w:val="1"/>
                <w:color w:val="auto"/>
              </w:rPr>
              <w:t>2019 Q1</w:t>
            </w:r>
          </w:p>
        </w:tc>
        <w:tc>
          <w:tcPr>
            <w:tcW w:w="0" w:type="dxa"/>
            <w:vAlign w:val="bottom"/>
          </w:tcPr>
          <w:p>
            <w:pPr>
              <w:spacing w:after="0"/>
              <w:rPr>
                <w:sz w:val="1"/>
                <w:szCs w:val="1"/>
                <w:color w:val="auto"/>
              </w:rPr>
            </w:pPr>
          </w:p>
        </w:tc>
      </w:tr>
      <w:tr>
        <w:trPr>
          <w:trHeight w:val="53"/>
        </w:trPr>
        <w:tc>
          <w:tcPr>
            <w:tcW w:w="5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73"/>
        </w:trPr>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6"/>
          </w:tcPr>
          <w:p>
            <w:pPr>
              <w:jc w:val="right"/>
              <w:ind w:right="745"/>
              <w:spacing w:after="0"/>
              <w:rPr>
                <w:sz w:val="20"/>
                <w:szCs w:val="20"/>
                <w:color w:val="auto"/>
              </w:rPr>
            </w:pPr>
            <w:r>
              <w:rPr>
                <w:rFonts w:ascii="Arial" w:cs="Arial" w:eastAsia="Arial" w:hAnsi="Arial"/>
                <w:sz w:val="14"/>
                <w:szCs w:val="14"/>
                <w:i w:val="1"/>
                <w:iCs w:val="1"/>
                <w:color w:val="auto"/>
              </w:rPr>
              <w:t>(in millions)</w:t>
            </w:r>
          </w:p>
        </w:tc>
        <w:tc>
          <w:tcPr>
            <w:tcW w:w="0" w:type="dxa"/>
            <w:vAlign w:val="bottom"/>
          </w:tcPr>
          <w:p>
            <w:pPr>
              <w:spacing w:after="0"/>
              <w:rPr>
                <w:sz w:val="1"/>
                <w:szCs w:val="1"/>
                <w:color w:val="auto"/>
              </w:rPr>
            </w:pPr>
          </w:p>
        </w:tc>
      </w:tr>
      <w:tr>
        <w:trPr>
          <w:trHeight w:val="270"/>
        </w:trPr>
        <w:tc>
          <w:tcPr>
            <w:tcW w:w="538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23"/>
                <w:szCs w:val="2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70"/>
        </w:trPr>
        <w:tc>
          <w:tcPr>
            <w:tcW w:w="5380" w:type="dxa"/>
            <w:vAlign w:val="bottom"/>
          </w:tcPr>
          <w:p>
            <w:pPr>
              <w:ind w:left="40"/>
              <w:spacing w:after="0"/>
              <w:rPr>
                <w:sz w:val="20"/>
                <w:szCs w:val="20"/>
                <w:color w:val="auto"/>
              </w:rPr>
            </w:pPr>
            <w:r>
              <w:rPr>
                <w:rFonts w:ascii="Arial" w:cs="Arial" w:eastAsia="Arial" w:hAnsi="Arial"/>
                <w:sz w:val="14"/>
                <w:szCs w:val="14"/>
                <w:color w:val="auto"/>
              </w:rPr>
              <w:t>Loss from discontinued operations, net of tax</w:t>
            </w: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5"/>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70"/>
        </w:trPr>
        <w:tc>
          <w:tcPr>
            <w:tcW w:w="538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5.3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5"/>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70"/>
        </w:trPr>
        <w:tc>
          <w:tcPr>
            <w:tcW w:w="538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(0.8)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70"/>
        </w:trPr>
        <w:tc>
          <w:tcPr>
            <w:tcW w:w="5380" w:type="dxa"/>
            <w:vAlign w:val="bottom"/>
          </w:tcPr>
          <w:p>
            <w:pPr>
              <w:ind w:left="40"/>
              <w:spacing w:after="0"/>
              <w:rPr>
                <w:sz w:val="20"/>
                <w:szCs w:val="20"/>
                <w:color w:val="auto"/>
              </w:rPr>
            </w:pPr>
            <w:r>
              <w:rPr>
                <w:rFonts w:ascii="Arial" w:cs="Arial" w:eastAsia="Arial" w:hAnsi="Arial"/>
                <w:sz w:val="14"/>
                <w:szCs w:val="14"/>
                <w:color w:val="auto"/>
              </w:rPr>
              <w:t>Income tax expense (benefit)</w:t>
            </w: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6"/>
        </w:trPr>
        <w:tc>
          <w:tcPr>
            <w:tcW w:w="538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7.7</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44"/>
        </w:trPr>
        <w:tc>
          <w:tcPr>
            <w:tcW w:w="5380" w:type="dxa"/>
            <w:vAlign w:val="bottom"/>
          </w:tcPr>
          <w:p>
            <w:pPr>
              <w:ind w:left="280"/>
              <w:spacing w:after="0"/>
              <w:rPr>
                <w:sz w:val="20"/>
                <w:szCs w:val="20"/>
                <w:color w:val="auto"/>
              </w:rPr>
            </w:pPr>
            <w:r>
              <w:rPr>
                <w:rFonts w:ascii="Arial" w:cs="Arial" w:eastAsia="Arial" w:hAnsi="Arial"/>
                <w:sz w:val="14"/>
                <w:szCs w:val="14"/>
                <w:color w:val="auto"/>
              </w:rPr>
              <w:t>Adjusted EBITDA</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15.2</w:t>
            </w:r>
          </w:p>
        </w:tc>
        <w:tc>
          <w:tcPr>
            <w:tcW w:w="20" w:type="dxa"/>
            <w:vAlign w:val="bottom"/>
          </w:tcPr>
          <w:p>
            <w:pPr>
              <w:spacing w:after="0"/>
              <w:rPr>
                <w:sz w:val="21"/>
                <w:szCs w:val="21"/>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5"/>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300"/>
        </w:trPr>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Income from</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Net Income from</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vMerge w:val="restart"/>
          </w:tcPr>
          <w:p>
            <w:pPr>
              <w:jc w:val="right"/>
              <w:ind w:right="205"/>
              <w:spacing w:after="0"/>
              <w:rPr>
                <w:sz w:val="20"/>
                <w:szCs w:val="20"/>
                <w:color w:val="auto"/>
              </w:rPr>
            </w:pPr>
            <w:r>
              <w:rPr>
                <w:rFonts w:ascii="Arial" w:cs="Arial" w:eastAsia="Arial" w:hAnsi="Arial"/>
                <w:sz w:val="14"/>
                <w:szCs w:val="14"/>
                <w:b w:val="1"/>
                <w:bCs w:val="1"/>
                <w:color w:val="auto"/>
                <w:w w:val="94"/>
              </w:rPr>
              <w:t>Continuing</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Continuing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Operations,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rPr>
              <w:t>Tax Effect</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Continuing</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Adjusted EBITDA</w:t>
            </w:r>
          </w:p>
        </w:tc>
        <w:tc>
          <w:tcPr>
            <w:tcW w:w="1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Operations Diluted</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1"/>
              </w:rPr>
              <w:t>Before Tax</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gridSpan w:val="4"/>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Operations</w:t>
            </w:r>
          </w:p>
        </w:tc>
        <w:tc>
          <w:tcPr>
            <w:tcW w:w="100" w:type="dxa"/>
            <w:vAlign w:val="bottom"/>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379"/>
        </w:trPr>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4"/>
          </w:tcPr>
          <w:p>
            <w:pPr>
              <w:ind w:left="30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80" w:type="dxa"/>
            <w:vAlign w:val="bottom"/>
          </w:tcPr>
          <w:p>
            <w:pPr>
              <w:ind w:left="40"/>
              <w:spacing w:after="0"/>
              <w:rPr>
                <w:sz w:val="20"/>
                <w:szCs w:val="20"/>
                <w:color w:val="auto"/>
              </w:rPr>
            </w:pPr>
            <w:r>
              <w:rPr>
                <w:rFonts w:ascii="Arial" w:cs="Arial" w:eastAsia="Arial" w:hAnsi="Arial"/>
                <w:sz w:val="14"/>
                <w:szCs w:val="14"/>
                <w:color w:val="auto"/>
              </w:rPr>
              <w:t>2020 Q1 reported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3.0</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60"/>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5"/>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70"/>
        </w:trPr>
        <w:tc>
          <w:tcPr>
            <w:tcW w:w="5380" w:type="dxa"/>
            <w:vAlign w:val="bottom"/>
          </w:tcPr>
          <w:p>
            <w:pPr>
              <w:ind w:left="40"/>
              <w:spacing w:after="0"/>
              <w:rPr>
                <w:sz w:val="20"/>
                <w:szCs w:val="20"/>
                <w:color w:val="auto"/>
              </w:rPr>
            </w:pPr>
            <w:r>
              <w:rPr>
                <w:rFonts w:ascii="Arial" w:cs="Arial" w:eastAsia="Arial" w:hAnsi="Arial"/>
                <w:sz w:val="14"/>
                <w:szCs w:val="14"/>
                <w:color w:val="auto"/>
              </w:rPr>
              <w:t>Impact on CCV earnings from litigation settlement</w:t>
            </w:r>
          </w:p>
        </w:tc>
        <w:tc>
          <w:tcPr>
            <w:tcW w:w="140" w:type="dxa"/>
            <w:vAlign w:val="bottom"/>
          </w:tcPr>
          <w:p>
            <w:pPr>
              <w:spacing w:after="0"/>
              <w:rPr>
                <w:sz w:val="23"/>
                <w:szCs w:val="2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7.1</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5"/>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70"/>
        </w:trPr>
        <w:tc>
          <w:tcPr>
            <w:tcW w:w="5380" w:type="dxa"/>
            <w:vAlign w:val="bottom"/>
          </w:tcPr>
          <w:p>
            <w:pPr>
              <w:ind w:left="40"/>
              <w:spacing w:after="0"/>
              <w:rPr>
                <w:sz w:val="20"/>
                <w:szCs w:val="20"/>
                <w:color w:val="auto"/>
              </w:rPr>
            </w:pPr>
            <w:r>
              <w:rPr>
                <w:rFonts w:ascii="Arial" w:cs="Arial" w:eastAsia="Arial" w:hAnsi="Arial"/>
                <w:sz w:val="14"/>
                <w:szCs w:val="14"/>
                <w:color w:val="auto"/>
              </w:rPr>
              <w:t>Termination of non-core software project</w:t>
            </w:r>
          </w:p>
        </w:tc>
        <w:tc>
          <w:tcPr>
            <w:tcW w:w="140" w:type="dxa"/>
            <w:vAlign w:val="bottom"/>
          </w:tcPr>
          <w:p>
            <w:pPr>
              <w:spacing w:after="0"/>
              <w:rPr>
                <w:sz w:val="23"/>
                <w:szCs w:val="2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0.6</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5"/>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70"/>
        </w:trPr>
        <w:tc>
          <w:tcPr>
            <w:tcW w:w="5380" w:type="dxa"/>
            <w:vAlign w:val="bottom"/>
          </w:tcPr>
          <w:p>
            <w:pPr>
              <w:ind w:left="40"/>
              <w:spacing w:after="0"/>
              <w:rPr>
                <w:sz w:val="20"/>
                <w:szCs w:val="20"/>
                <w:color w:val="auto"/>
              </w:rPr>
            </w:pPr>
            <w:r>
              <w:rPr>
                <w:rFonts w:ascii="Arial" w:cs="Arial" w:eastAsia="Arial" w:hAnsi="Arial"/>
                <w:sz w:val="14"/>
                <w:szCs w:val="14"/>
                <w:color w:val="auto"/>
              </w:rPr>
              <w:t>Currency exchange rate fluctuations</w:t>
            </w:r>
          </w:p>
        </w:tc>
        <w:tc>
          <w:tcPr>
            <w:tcW w:w="14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380" w:type="dxa"/>
            <w:vAlign w:val="bottom"/>
          </w:tcPr>
          <w:p>
            <w:pPr>
              <w:ind w:left="40"/>
              <w:spacing w:after="0"/>
              <w:rPr>
                <w:sz w:val="20"/>
                <w:szCs w:val="20"/>
                <w:color w:val="auto"/>
              </w:rPr>
            </w:pPr>
            <w:r>
              <w:rPr>
                <w:rFonts w:ascii="Arial" w:cs="Arial" w:eastAsia="Arial" w:hAnsi="Arial"/>
                <w:sz w:val="14"/>
                <w:szCs w:val="14"/>
                <w:color w:val="auto"/>
              </w:rPr>
              <w:t>Non-cash net interest expense</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2.9</w:t>
            </w: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44"/>
        </w:trPr>
        <w:tc>
          <w:tcPr>
            <w:tcW w:w="5380" w:type="dxa"/>
            <w:vAlign w:val="bottom"/>
          </w:tcPr>
          <w:p>
            <w:pPr>
              <w:ind w:left="280"/>
              <w:spacing w:after="0"/>
              <w:rPr>
                <w:sz w:val="20"/>
                <w:szCs w:val="20"/>
                <w:color w:val="auto"/>
              </w:rPr>
            </w:pPr>
            <w:r>
              <w:rPr>
                <w:rFonts w:ascii="Arial" w:cs="Arial" w:eastAsia="Arial" w:hAnsi="Arial"/>
                <w:sz w:val="14"/>
                <w:szCs w:val="14"/>
                <w:color w:val="auto"/>
              </w:rPr>
              <w:t>2020 Q1 adjusted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13.4</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60"/>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20" w:type="dxa"/>
            <w:vAlign w:val="bottom"/>
          </w:tcPr>
          <w:p>
            <w:pPr>
              <w:jc w:val="right"/>
              <w:ind w:right="24"/>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5"/>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bl>
    <w:p>
      <w:pPr>
        <w:sectPr>
          <w:pgSz w:w="11900" w:h="16838" w:orient="portrait"/>
          <w:cols w:equalWidth="0" w:num="1">
            <w:col w:w="11420"/>
          </w:cols>
          <w:pgMar w:left="240" w:top="719" w:right="239" w:bottom="1440" w:gutter="0" w:footer="0" w:header="0"/>
        </w:sectPr>
      </w:pPr>
    </w:p>
    <w:bookmarkStart w:id="14" w:name="page15"/>
    <w:bookmarkEnd w:id="14"/>
    <w:p>
      <w:pPr>
        <w:spacing w:after="0" w:line="1" w:lineRule="exact"/>
        <w:rPr>
          <w:sz w:val="20"/>
          <w:szCs w:val="20"/>
          <w:color w:val="auto"/>
        </w:rPr>
      </w:pPr>
    </w:p>
    <w:tbl>
      <w:tblPr>
        <w:tblLayout w:type="fixed"/>
        <w:tblInd w:w="32"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Income (Loss)</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Net Income</w:t>
            </w: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Continuing</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from Continuing</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(Loss) from</w:t>
            </w: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Operations,</w:t>
            </w:r>
          </w:p>
        </w:tc>
        <w:tc>
          <w:tcPr>
            <w:tcW w:w="82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Tax Effect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Continuing</w:t>
            </w: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Adjusted EBITDA</w:t>
            </w:r>
          </w:p>
        </w:tc>
        <w:tc>
          <w:tcPr>
            <w:tcW w:w="120" w:type="dxa"/>
            <w:vAlign w:val="bottom"/>
            <w:vMerge w:val="restart"/>
          </w:tcPr>
          <w:p>
            <w:pPr>
              <w:spacing w:after="0"/>
              <w:rPr>
                <w:sz w:val="12"/>
                <w:szCs w:val="12"/>
                <w:color w:val="auto"/>
              </w:rPr>
            </w:pPr>
          </w:p>
        </w:tc>
        <w:tc>
          <w:tcPr>
            <w:tcW w:w="12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5"/>
              </w:rPr>
              <w:t>Operations Diluted</w:t>
            </w: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1"/>
              </w:rPr>
              <w:t>Before Tax</w:t>
            </w:r>
          </w:p>
        </w:tc>
        <w:tc>
          <w:tcPr>
            <w:tcW w:w="120" w:type="dxa"/>
            <w:vAlign w:val="bottom"/>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Operations</w:t>
            </w:r>
          </w:p>
        </w:tc>
        <w:tc>
          <w:tcPr>
            <w:tcW w:w="100" w:type="dxa"/>
            <w:vAlign w:val="bottom"/>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379"/>
        </w:trPr>
        <w:tc>
          <w:tcPr>
            <w:tcW w:w="5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320"/>
              <w:spacing w:after="0"/>
              <w:rPr>
                <w:sz w:val="20"/>
                <w:szCs w:val="20"/>
                <w:color w:val="auto"/>
              </w:rPr>
            </w:pPr>
            <w:r>
              <w:rPr>
                <w:rFonts w:ascii="Arial" w:cs="Arial" w:eastAsia="Arial" w:hAnsi="Arial"/>
                <w:sz w:val="14"/>
                <w:szCs w:val="14"/>
                <w:i w:val="1"/>
                <w:iCs w:val="1"/>
                <w:color w:val="auto"/>
              </w:rPr>
              <w:t>(in millions)</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2019 Q1 reported</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3"/>
                <w:szCs w:val="23"/>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3"/>
                <w:szCs w:val="23"/>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Acquisition costs</w:t>
            </w: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Charge-off of aged assets and other</w:t>
            </w: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Impairment on CCV investment</w:t>
            </w: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Impact on CCV earnings from litigation settlement</w:t>
            </w: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Adjustment for Republic Metals Corporation reserve</w:t>
            </w: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340" w:type="dxa"/>
            <w:vAlign w:val="bottom"/>
          </w:tcPr>
          <w:p>
            <w:pPr>
              <w:spacing w:after="0"/>
              <w:rPr>
                <w:sz w:val="20"/>
                <w:szCs w:val="20"/>
                <w:color w:val="auto"/>
              </w:rPr>
            </w:pPr>
            <w:r>
              <w:rPr>
                <w:rFonts w:ascii="Arial" w:cs="Arial" w:eastAsia="Arial" w:hAnsi="Arial"/>
                <w:sz w:val="14"/>
                <w:szCs w:val="14"/>
                <w:color w:val="auto"/>
              </w:rPr>
              <w:t>Non-cash net interest expense</w:t>
            </w:r>
          </w:p>
        </w:tc>
        <w:tc>
          <w:tcPr>
            <w:tcW w:w="12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44"/>
        </w:trPr>
        <w:tc>
          <w:tcPr>
            <w:tcW w:w="5340" w:type="dxa"/>
            <w:vAlign w:val="bottom"/>
          </w:tcPr>
          <w:p>
            <w:pPr>
              <w:ind w:left="240"/>
              <w:spacing w:after="0"/>
              <w:rPr>
                <w:sz w:val="20"/>
                <w:szCs w:val="20"/>
                <w:color w:val="auto"/>
              </w:rPr>
            </w:pPr>
            <w:r>
              <w:rPr>
                <w:rFonts w:ascii="Arial" w:cs="Arial" w:eastAsia="Arial" w:hAnsi="Arial"/>
                <w:sz w:val="14"/>
                <w:szCs w:val="14"/>
                <w:color w:val="auto"/>
              </w:rPr>
              <w:t>2019 Q1 adjusted*</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21"/>
                <w:szCs w:val="21"/>
                <w:color w:val="auto"/>
              </w:rPr>
            </w:pP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21"/>
                <w:szCs w:val="21"/>
                <w:color w:val="auto"/>
              </w:rPr>
            </w:pPr>
          </w:p>
        </w:tc>
        <w:tc>
          <w:tcPr>
            <w:tcW w:w="50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21"/>
                <w:szCs w:val="21"/>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bl>
    <w:p>
      <w:pPr>
        <w:spacing w:after="0" w:line="155" w:lineRule="exact"/>
        <w:rPr>
          <w:sz w:val="20"/>
          <w:szCs w:val="20"/>
          <w:color w:val="auto"/>
        </w:rPr>
      </w:pPr>
    </w:p>
    <w:p>
      <w:pPr>
        <w:jc w:val="both"/>
        <w:ind w:left="-8" w:right="360" w:firstLine="8"/>
        <w:spacing w:after="0" w:line="286" w:lineRule="auto"/>
        <w:tabs>
          <w:tab w:leader="none" w:pos="100" w:val="left"/>
        </w:tabs>
        <w:numPr>
          <w:ilvl w:val="0"/>
          <w:numId w:val="8"/>
        </w:numPr>
        <w:rPr>
          <w:rFonts w:ascii="Arial" w:cs="Arial" w:eastAsia="Arial" w:hAnsi="Arial"/>
          <w:sz w:val="13"/>
          <w:szCs w:val="13"/>
          <w:color w:val="auto"/>
        </w:rPr>
      </w:pPr>
      <w:r>
        <w:rPr>
          <w:rFonts w:ascii="Arial" w:cs="Arial" w:eastAsia="Arial" w:hAnsi="Arial"/>
          <w:sz w:val="13"/>
          <w:szCs w:val="13"/>
          <w:color w:val="auto"/>
        </w:rPr>
        <w:t>During the first quarter of fiscal 2020, we revised the financial information our chief operating decision maker (currently our chief executive officer) reviews for operational decision-making purposes to include the separate financial results of our Lana business. Our historical segment results have been recast to conform to current presentation including the removal of discretionary strategic investment in digital platform costs in historically adjusted results. We additionally recast certain other adjustments to conform to restated historical results.</w:t>
      </w:r>
    </w:p>
    <w:p>
      <w:pPr>
        <w:spacing w:after="0" w:line="97" w:lineRule="exact"/>
        <w:rPr>
          <w:sz w:val="20"/>
          <w:szCs w:val="20"/>
          <w:color w:val="auto"/>
        </w:rPr>
      </w:pPr>
    </w:p>
    <w:tbl>
      <w:tblPr>
        <w:tblLayout w:type="fixed"/>
        <w:tblInd w:w="32" w:type="dxa"/>
        <w:tblCellMar>
          <w:top w:w="0" w:type="dxa"/>
          <w:left w:w="0" w:type="dxa"/>
          <w:bottom w:w="0" w:type="dxa"/>
          <w:right w:w="0" w:type="dxa"/>
        </w:tblCellMar>
      </w:tblPr>
      <w:tr>
        <w:trPr>
          <w:trHeight w:val="161"/>
        </w:trPr>
        <w:tc>
          <w:tcPr>
            <w:tcW w:w="8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2020 Q1:</w:t>
            </w:r>
          </w:p>
        </w:tc>
        <w:tc>
          <w:tcPr>
            <w:tcW w:w="13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U.S. Dollar Amount</w:t>
            </w:r>
          </w:p>
        </w:tc>
        <w:tc>
          <w:tcPr>
            <w:tcW w:w="120" w:type="dxa"/>
            <w:vAlign w:val="bottom"/>
            <w:vMerge w:val="restart"/>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w w:val="93"/>
              </w:rPr>
              <w:t>Percentage Change</w:t>
            </w:r>
          </w:p>
        </w:tc>
        <w:tc>
          <w:tcPr>
            <w:tcW w:w="0" w:type="dxa"/>
            <w:vAlign w:val="bottom"/>
          </w:tcPr>
          <w:p>
            <w:pPr>
              <w:spacing w:after="0"/>
              <w:rPr>
                <w:sz w:val="1"/>
                <w:szCs w:val="1"/>
                <w:color w:val="auto"/>
              </w:rPr>
            </w:pPr>
          </w:p>
        </w:tc>
      </w:tr>
      <w:tr>
        <w:trPr>
          <w:trHeight w:val="192"/>
        </w:trPr>
        <w:tc>
          <w:tcPr>
            <w:tcW w:w="8640" w:type="dxa"/>
            <w:vAlign w:val="bottom"/>
            <w:vMerge w:val="continue"/>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379"/>
        </w:trPr>
        <w:tc>
          <w:tcPr>
            <w:tcW w:w="8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w w:val="98"/>
              </w:rPr>
              <w:t>(in millions)</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640" w:type="dxa"/>
            <w:vAlign w:val="bottom"/>
          </w:tcPr>
          <w:p>
            <w:pPr>
              <w:spacing w:after="0"/>
              <w:rPr>
                <w:sz w:val="20"/>
                <w:szCs w:val="20"/>
                <w:color w:val="auto"/>
              </w:rPr>
            </w:pPr>
            <w:r>
              <w:rPr>
                <w:rFonts w:ascii="Arial" w:cs="Arial" w:eastAsia="Arial" w:hAnsi="Arial"/>
                <w:sz w:val="14"/>
                <w:szCs w:val="14"/>
                <w:color w:val="auto"/>
              </w:rPr>
              <w:t>Latin America Pawn net revenue (three months ended December 31, 2019)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640" w:type="dxa"/>
            <w:vAlign w:val="bottom"/>
          </w:tcPr>
          <w:p>
            <w:pPr>
              <w:ind w:left="240"/>
              <w:spacing w:after="0"/>
              <w:rPr>
                <w:sz w:val="20"/>
                <w:szCs w:val="20"/>
                <w:color w:val="auto"/>
              </w:rPr>
            </w:pPr>
            <w:r>
              <w:rPr>
                <w:rFonts w:ascii="Arial" w:cs="Arial" w:eastAsia="Arial" w:hAnsi="Arial"/>
                <w:sz w:val="14"/>
                <w:szCs w:val="14"/>
                <w:color w:val="auto"/>
              </w:rPr>
              <w:t>Constant currency Latin America Pawn net revenue (three months ended December 31, 2019)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29.1</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392"/>
        </w:trPr>
        <w:tc>
          <w:tcPr>
            <w:tcW w:w="8640" w:type="dxa"/>
            <w:vAlign w:val="bottom"/>
          </w:tcPr>
          <w:p>
            <w:pPr>
              <w:spacing w:after="0"/>
              <w:rPr>
                <w:sz w:val="20"/>
                <w:szCs w:val="20"/>
                <w:color w:val="auto"/>
              </w:rPr>
            </w:pPr>
            <w:r>
              <w:rPr>
                <w:rFonts w:ascii="Arial" w:cs="Arial" w:eastAsia="Arial" w:hAnsi="Arial"/>
                <w:sz w:val="14"/>
                <w:szCs w:val="14"/>
                <w:color w:val="auto"/>
              </w:rPr>
              <w:t>Latin America Pawn PLO</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640" w:type="dxa"/>
            <w:vAlign w:val="bottom"/>
          </w:tcPr>
          <w:p>
            <w:pPr>
              <w:ind w:left="240"/>
              <w:spacing w:after="0"/>
              <w:rPr>
                <w:sz w:val="20"/>
                <w:szCs w:val="20"/>
                <w:color w:val="auto"/>
              </w:rPr>
            </w:pPr>
            <w:r>
              <w:rPr>
                <w:rFonts w:ascii="Arial" w:cs="Arial" w:eastAsia="Arial" w:hAnsi="Arial"/>
                <w:sz w:val="14"/>
                <w:szCs w:val="14"/>
                <w:color w:val="auto"/>
              </w:rPr>
              <w:t>Constant currency Latin America Pawn PLO</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39.2</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92"/>
        </w:trPr>
        <w:tc>
          <w:tcPr>
            <w:tcW w:w="8640" w:type="dxa"/>
            <w:vAlign w:val="bottom"/>
          </w:tcPr>
          <w:p>
            <w:pPr>
              <w:spacing w:after="0"/>
              <w:rPr>
                <w:sz w:val="20"/>
                <w:szCs w:val="20"/>
                <w:color w:val="auto"/>
              </w:rPr>
            </w:pPr>
            <w:r>
              <w:rPr>
                <w:rFonts w:ascii="Arial" w:cs="Arial" w:eastAsia="Arial" w:hAnsi="Arial"/>
                <w:sz w:val="14"/>
                <w:szCs w:val="14"/>
                <w:color w:val="auto"/>
              </w:rPr>
              <w:t>Latin America Pawn PSC revenues (three months ended December 31, 2019)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20.6</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640" w:type="dxa"/>
            <w:vAlign w:val="bottom"/>
          </w:tcPr>
          <w:p>
            <w:pPr>
              <w:ind w:left="240"/>
              <w:spacing w:after="0"/>
              <w:rPr>
                <w:sz w:val="20"/>
                <w:szCs w:val="20"/>
                <w:color w:val="auto"/>
              </w:rPr>
            </w:pPr>
            <w:r>
              <w:rPr>
                <w:rFonts w:ascii="Arial" w:cs="Arial" w:eastAsia="Arial" w:hAnsi="Arial"/>
                <w:sz w:val="14"/>
                <w:szCs w:val="14"/>
                <w:color w:val="auto"/>
              </w:rPr>
              <w:t>Constant currency Latin America Pawn PSC revenues (three months ended December 30, 2019)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392"/>
        </w:trPr>
        <w:tc>
          <w:tcPr>
            <w:tcW w:w="8640" w:type="dxa"/>
            <w:vAlign w:val="bottom"/>
          </w:tcPr>
          <w:p>
            <w:pPr>
              <w:spacing w:after="0"/>
              <w:rPr>
                <w:sz w:val="20"/>
                <w:szCs w:val="20"/>
                <w:color w:val="auto"/>
              </w:rPr>
            </w:pPr>
            <w:r>
              <w:rPr>
                <w:rFonts w:ascii="Arial" w:cs="Arial" w:eastAsia="Arial" w:hAnsi="Arial"/>
                <w:sz w:val="14"/>
                <w:szCs w:val="14"/>
                <w:color w:val="auto"/>
              </w:rPr>
              <w:t>Latin America Pawn merchandise sales (three months ended December 31, 2019)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31.4</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640" w:type="dxa"/>
            <w:vAlign w:val="bottom"/>
          </w:tcPr>
          <w:p>
            <w:pPr>
              <w:ind w:left="240"/>
              <w:spacing w:after="0"/>
              <w:rPr>
                <w:sz w:val="20"/>
                <w:szCs w:val="20"/>
                <w:color w:val="auto"/>
              </w:rPr>
            </w:pPr>
            <w:r>
              <w:rPr>
                <w:rFonts w:ascii="Arial" w:cs="Arial" w:eastAsia="Arial" w:hAnsi="Arial"/>
                <w:sz w:val="14"/>
                <w:szCs w:val="14"/>
                <w:color w:val="auto"/>
              </w:rPr>
              <w:t>Constant currency Latin America Pawn merchandise sales (three months ended December 31, 2019)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30.5</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392"/>
        </w:trPr>
        <w:tc>
          <w:tcPr>
            <w:tcW w:w="8640" w:type="dxa"/>
            <w:vAlign w:val="bottom"/>
          </w:tcPr>
          <w:p>
            <w:pPr>
              <w:spacing w:after="0"/>
              <w:rPr>
                <w:sz w:val="20"/>
                <w:szCs w:val="20"/>
                <w:color w:val="auto"/>
              </w:rPr>
            </w:pPr>
            <w:r>
              <w:rPr>
                <w:rFonts w:ascii="Arial" w:cs="Arial" w:eastAsia="Arial" w:hAnsi="Arial"/>
                <w:sz w:val="14"/>
                <w:szCs w:val="14"/>
                <w:color w:val="auto"/>
              </w:rPr>
              <w:t>Latin America Pawn segment profit before tax (three months ended December 31, 2019)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640" w:type="dxa"/>
            <w:vAlign w:val="bottom"/>
          </w:tcPr>
          <w:p>
            <w:pPr>
              <w:ind w:left="240"/>
              <w:spacing w:after="0"/>
              <w:rPr>
                <w:sz w:val="20"/>
                <w:szCs w:val="20"/>
                <w:color w:val="auto"/>
              </w:rPr>
            </w:pPr>
            <w:r>
              <w:rPr>
                <w:rFonts w:ascii="Arial" w:cs="Arial" w:eastAsia="Arial" w:hAnsi="Arial"/>
                <w:sz w:val="14"/>
                <w:szCs w:val="14"/>
                <w:color w:val="auto"/>
              </w:rPr>
              <w:t>Constant currency Latin America Pawn segment profit before tax (three months ended December 31, 2019)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12"/>
      </w:cols>
      <w:pgMar w:left="248" w:top="69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2020-02-17T16:52:28Z</dcterms:created>
  <dcterms:modified xsi:type="dcterms:W3CDTF">2020-02-17T16:52:28Z</dcterms:modified>
</cp:coreProperties>
</file>