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EZCORP INC</w:t>
      </w:r>
    </w:p>
    <w:p>
      <w:pPr>
        <w:spacing w:after="0"/>
        <w:rPr>
          <w:sz w:val="20"/>
          <w:szCs w:val="20"/>
          <w:color w:val="auto"/>
        </w:rPr>
      </w:pPr>
      <w:r>
        <w:rPr>
          <w:rFonts w:ascii="Courier New" w:cs="Courier New" w:eastAsia="Courier New" w:hAnsi="Courier New"/>
          <w:sz w:val="18"/>
          <w:szCs w:val="18"/>
          <w:color w:val="auto"/>
        </w:rPr>
        <w:t>Class A Non Voting Common Stock</w:t>
      </w:r>
    </w:p>
    <w:p>
      <w:pPr>
        <w:spacing w:after="0" w:line="237" w:lineRule="auto"/>
        <w:rPr>
          <w:sz w:val="20"/>
          <w:szCs w:val="20"/>
          <w:color w:val="auto"/>
        </w:rPr>
      </w:pPr>
      <w:r>
        <w:rPr>
          <w:rFonts w:ascii="Courier New" w:cs="Courier New" w:eastAsia="Courier New" w:hAnsi="Courier New"/>
          <w:sz w:val="18"/>
          <w:szCs w:val="18"/>
          <w:color w:val="auto"/>
        </w:rPr>
        <w:t>Cusip #302301106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#302301106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888,161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8,147,196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8,147,196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15.868%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#302301106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8,147,196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8,147,196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15.868%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1901 Capital Pkwy</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Austin, TX</w:t>
      </w:r>
      <w:r>
        <w:rPr>
          <w:sz w:val="20"/>
          <w:szCs w:val="20"/>
          <w:color w:val="auto"/>
        </w:rPr>
        <w:tab/>
      </w:r>
      <w:r>
        <w:rPr>
          <w:rFonts w:ascii="Courier New" w:cs="Courier New" w:eastAsia="Courier New" w:hAnsi="Courier New"/>
          <w:sz w:val="16"/>
          <w:szCs w:val="16"/>
          <w:color w:val="auto"/>
        </w:rPr>
        <w:t>78746</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 A Non Voting 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302301106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8,147,196</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15.868%</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888,161</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8,147,196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Non Voting Common Stock of EZCORP</w:t>
      </w:r>
    </w:p>
    <w:p>
      <w:pPr>
        <w:spacing w:after="0" w:line="6"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INC. No one person's interest in the Class A Non Voting Common Stock of EZCORP INC is more than five percent of the total outstanding Class A Non Voting Common Stock.</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7,190,835 shares or 14.005% of the Class A Non Voting Common Stock outstanding of EZCORP INC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7,190,835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SelectCo, LLC ("SelectCo"), 1225 17th Street, Suite 1100, Denver, Colorado 80202, a wholly-owned subsidiary of FMR LLC and an investment adviser registered under Section 203 of the Investment Advisers Act of 1940, is the beneficial owner of 68,200 shares or 0.133% of the Class A Non Voting Common Stock outstanding of EZCORP INC</w:t>
      </w:r>
    </w:p>
    <w:p>
      <w:pPr>
        <w:spacing w:after="0" w:line="7"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("the Company") as a result of acting as investment adviser to various investment companies registered under Section 8 of the Investment Company Act of 1940 (the "SelectCo Funds").</w:t>
      </w:r>
    </w:p>
    <w:p>
      <w:pPr>
        <w:spacing w:after="0" w:line="178" w:lineRule="exact"/>
        <w:rPr>
          <w:sz w:val="20"/>
          <w:szCs w:val="20"/>
          <w:color w:val="auto"/>
        </w:rPr>
      </w:pPr>
    </w:p>
    <w:p>
      <w:pPr>
        <w:ind w:right="3999" w:firstLine="843"/>
        <w:spacing w:after="0" w:line="279" w:lineRule="auto"/>
        <w:rPr>
          <w:sz w:val="20"/>
          <w:szCs w:val="20"/>
          <w:color w:val="auto"/>
        </w:rPr>
      </w:pPr>
      <w:r>
        <w:rPr>
          <w:rFonts w:ascii="Courier New" w:cs="Courier New" w:eastAsia="Courier New" w:hAnsi="Courier New"/>
          <w:sz w:val="16"/>
          <w:szCs w:val="16"/>
          <w:color w:val="auto"/>
        </w:rPr>
        <w:t>Edward C. Johnson 3d and FMR LLC, through its control of SelectCo, and the SelectCo Funds each has sole power to dispose of the 68,200 owned by the SelectCo Funds.</w:t>
      </w:r>
    </w:p>
    <w:p>
      <w:pPr>
        <w:spacing w:after="0" w:line="178"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888,161 shares or 1.730% of the outstanding Class A Non Voting Common Stock of the</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EZCORP INC as a result 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888,161 shares and sole power to vote or to direct the voting of 888,161 shares of Class A Non Voting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Class A Non Voting Common Stock of EZCORP INC at December 31, 2013.</w:t>
      </w:r>
    </w:p>
    <w:p>
      <w:pPr>
        <w:sectPr>
          <w:pgSz w:w="11900" w:h="16838" w:orient="portrait"/>
          <w:cols w:equalWidth="0" w:num="1">
            <w:col w:w="10219"/>
          </w:cols>
          <w:pgMar w:left="240" w:top="344"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2020-01-26T00:42:24Z</dcterms:created>
  <dcterms:modified xsi:type="dcterms:W3CDTF">2020-01-26T00:42:24Z</dcterms:modified>
</cp:coreProperties>
</file>