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0"/>
          <w:szCs w:val="20"/>
          <w:color w:val="auto"/>
        </w:rPr>
      </w:pPr>
    </w:p>
    <w:p>
      <w:pPr>
        <w:ind w:left="470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0"/>
          <w:szCs w:val="20"/>
          <w:color w:val="auto"/>
        </w:rPr>
      </w:pPr>
    </w:p>
    <w:p>
      <w:pPr>
        <w:ind w:left="4160"/>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9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April 12, 2007</w:t>
      </w:r>
    </w:p>
    <w:p>
      <w:pPr>
        <w:spacing w:after="0" w:line="200" w:lineRule="exact"/>
        <w:rPr>
          <w:sz w:val="20"/>
          <w:szCs w:val="20"/>
          <w:color w:val="auto"/>
        </w:rPr>
      </w:pPr>
    </w:p>
    <w:p>
      <w:pPr>
        <w:jc w:val="center"/>
        <w:ind w:right="-119"/>
        <w:spacing w:after="0"/>
        <w:rPr>
          <w:sz w:val="20"/>
          <w:szCs w:val="20"/>
          <w:color w:val="auto"/>
        </w:rPr>
      </w:pPr>
      <w:r>
        <w:rPr>
          <w:rFonts w:ascii="Arial" w:cs="Arial" w:eastAsia="Arial" w:hAnsi="Arial"/>
          <w:sz w:val="43"/>
          <w:szCs w:val="43"/>
          <w:b w:val="1"/>
          <w:bCs w:val="1"/>
          <w:color w:val="auto"/>
        </w:rPr>
        <w:t>EZCORP, INC.</w:t>
      </w:r>
    </w:p>
    <w:p>
      <w:pPr>
        <w:spacing w:after="0" w:line="5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00"/>
          </w:cols>
          <w:pgMar w:left="240" w:top="927" w:right="359" w:bottom="1440" w:gutter="0" w:footer="0" w:header="0"/>
        </w:sectPr>
      </w:pPr>
    </w:p>
    <w:p>
      <w:pPr>
        <w:spacing w:after="0" w:line="205" w:lineRule="exact"/>
        <w:rPr>
          <w:sz w:val="20"/>
          <w:szCs w:val="20"/>
          <w:color w:val="auto"/>
        </w:rPr>
      </w:pPr>
    </w:p>
    <w:p>
      <w:pPr>
        <w:ind w:left="12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incorporation)</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jc w:val="center"/>
        <w:ind w:right="1940"/>
        <w:spacing w:after="0"/>
        <w:rPr>
          <w:sz w:val="20"/>
          <w:szCs w:val="20"/>
          <w:color w:val="auto"/>
        </w:rPr>
      </w:pPr>
      <w:r>
        <w:rPr>
          <w:rFonts w:ascii="Arial" w:cs="Arial" w:eastAsia="Arial" w:hAnsi="Arial"/>
          <w:sz w:val="18"/>
          <w:szCs w:val="18"/>
          <w:b w:val="1"/>
          <w:bCs w:val="1"/>
          <w:color w:val="auto"/>
        </w:rPr>
        <w:t>0-19424</w:t>
      </w:r>
    </w:p>
    <w:p>
      <w:pPr>
        <w:spacing w:after="0" w:line="27" w:lineRule="exact"/>
        <w:rPr>
          <w:sz w:val="20"/>
          <w:szCs w:val="20"/>
          <w:color w:val="auto"/>
        </w:rPr>
      </w:pPr>
    </w:p>
    <w:p>
      <w:pPr>
        <w:jc w:val="center"/>
        <w:ind w:right="1940"/>
        <w:spacing w:after="0"/>
        <w:rPr>
          <w:sz w:val="20"/>
          <w:szCs w:val="20"/>
          <w:color w:val="auto"/>
        </w:rPr>
      </w:pPr>
      <w:r>
        <w:rPr>
          <w:rFonts w:ascii="Arial" w:cs="Arial" w:eastAsia="Arial" w:hAnsi="Arial"/>
          <w:sz w:val="16"/>
          <w:szCs w:val="16"/>
          <w:color w:val="auto"/>
        </w:rPr>
        <w:t>(Commission File</w:t>
      </w:r>
    </w:p>
    <w:p>
      <w:pPr>
        <w:spacing w:after="0" w:line="32" w:lineRule="exact"/>
        <w:rPr>
          <w:sz w:val="20"/>
          <w:szCs w:val="20"/>
          <w:color w:val="auto"/>
        </w:rPr>
      </w:pPr>
    </w:p>
    <w:p>
      <w:pPr>
        <w:jc w:val="center"/>
        <w:ind w:right="1940"/>
        <w:spacing w:after="0"/>
        <w:rPr>
          <w:sz w:val="20"/>
          <w:szCs w:val="20"/>
          <w:color w:val="auto"/>
        </w:rPr>
      </w:pPr>
      <w:r>
        <w:rPr>
          <w:rFonts w:ascii="Arial" w:cs="Arial" w:eastAsia="Arial" w:hAnsi="Arial"/>
          <w:sz w:val="18"/>
          <w:szCs w:val="18"/>
          <w:color w:val="auto"/>
        </w:rPr>
        <w:t>Number)</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jc w:val="center"/>
        <w:ind w:right="920"/>
        <w:spacing w:after="0"/>
        <w:rPr>
          <w:sz w:val="20"/>
          <w:szCs w:val="20"/>
          <w:color w:val="auto"/>
        </w:rPr>
      </w:pPr>
      <w:r>
        <w:rPr>
          <w:rFonts w:ascii="Arial" w:cs="Arial" w:eastAsia="Arial" w:hAnsi="Arial"/>
          <w:sz w:val="18"/>
          <w:szCs w:val="18"/>
          <w:b w:val="1"/>
          <w:bCs w:val="1"/>
          <w:color w:val="auto"/>
        </w:rPr>
        <w:t>74-2540145</w:t>
      </w:r>
    </w:p>
    <w:p>
      <w:pPr>
        <w:spacing w:after="0" w:line="27" w:lineRule="exact"/>
        <w:rPr>
          <w:sz w:val="20"/>
          <w:szCs w:val="20"/>
          <w:color w:val="auto"/>
        </w:rPr>
      </w:pPr>
    </w:p>
    <w:p>
      <w:pPr>
        <w:jc w:val="center"/>
        <w:ind w:right="920"/>
        <w:spacing w:after="0"/>
        <w:rPr>
          <w:sz w:val="20"/>
          <w:szCs w:val="20"/>
          <w:color w:val="auto"/>
        </w:rPr>
      </w:pPr>
      <w:r>
        <w:rPr>
          <w:rFonts w:ascii="Arial" w:cs="Arial" w:eastAsia="Arial" w:hAnsi="Arial"/>
          <w:sz w:val="18"/>
          <w:szCs w:val="18"/>
          <w:color w:val="auto"/>
        </w:rPr>
        <w:t>(I.R.S. Employer</w:t>
      </w:r>
    </w:p>
    <w:p>
      <w:pPr>
        <w:spacing w:after="0" w:line="9" w:lineRule="exact"/>
        <w:rPr>
          <w:sz w:val="20"/>
          <w:szCs w:val="20"/>
          <w:color w:val="auto"/>
        </w:rPr>
      </w:pPr>
    </w:p>
    <w:p>
      <w:pPr>
        <w:jc w:val="center"/>
        <w:ind w:right="920"/>
        <w:spacing w:after="0"/>
        <w:rPr>
          <w:sz w:val="20"/>
          <w:szCs w:val="20"/>
          <w:color w:val="auto"/>
        </w:rPr>
      </w:pPr>
      <w:r>
        <w:rPr>
          <w:rFonts w:ascii="Arial" w:cs="Arial" w:eastAsia="Arial" w:hAnsi="Arial"/>
          <w:sz w:val="17"/>
          <w:szCs w:val="17"/>
          <w:color w:val="auto"/>
        </w:rPr>
        <w:t>Identification No.)</w:t>
      </w:r>
    </w:p>
    <w:p>
      <w:pPr>
        <w:spacing w:after="0" w:line="211" w:lineRule="exact"/>
        <w:rPr>
          <w:sz w:val="20"/>
          <w:szCs w:val="20"/>
          <w:color w:val="auto"/>
        </w:rPr>
      </w:pPr>
    </w:p>
    <w:p>
      <w:pPr>
        <w:sectPr>
          <w:pgSz w:w="11900" w:h="16838" w:orient="portrait"/>
          <w:cols w:equalWidth="0" w:num="3">
            <w:col w:w="4360" w:space="720"/>
            <w:col w:w="3240" w:space="720"/>
            <w:col w:w="2260"/>
          </w:cols>
          <w:pgMar w:left="240" w:top="927" w:right="359" w:bottom="1440" w:gutter="0" w:footer="0" w:header="0"/>
          <w:type w:val="continuous"/>
        </w:sectPr>
      </w:pPr>
    </w:p>
    <w:p>
      <w:pPr>
        <w:spacing w:after="0" w:line="7" w:lineRule="exact"/>
        <w:rPr>
          <w:sz w:val="20"/>
          <w:szCs w:val="20"/>
          <w:color w:val="auto"/>
        </w:rPr>
      </w:pPr>
    </w:p>
    <w:p>
      <w:pPr>
        <w:jc w:val="center"/>
        <w:ind w:right="2200"/>
        <w:spacing w:after="0"/>
        <w:rPr>
          <w:sz w:val="20"/>
          <w:szCs w:val="20"/>
          <w:color w:val="auto"/>
        </w:rPr>
      </w:pPr>
      <w:r>
        <w:rPr>
          <w:rFonts w:ascii="Arial" w:cs="Arial" w:eastAsia="Arial" w:hAnsi="Arial"/>
          <w:sz w:val="18"/>
          <w:szCs w:val="18"/>
          <w:b w:val="1"/>
          <w:bCs w:val="1"/>
          <w:color w:val="auto"/>
        </w:rPr>
        <w:t>1901 CAPITAL PARKWAY</w:t>
      </w:r>
    </w:p>
    <w:p>
      <w:pPr>
        <w:spacing w:after="0" w:line="27" w:lineRule="exact"/>
        <w:rPr>
          <w:sz w:val="20"/>
          <w:szCs w:val="20"/>
          <w:color w:val="auto"/>
        </w:rPr>
      </w:pPr>
    </w:p>
    <w:p>
      <w:pPr>
        <w:jc w:val="center"/>
        <w:ind w:right="2160"/>
        <w:spacing w:after="0"/>
        <w:rPr>
          <w:sz w:val="20"/>
          <w:szCs w:val="20"/>
          <w:color w:val="auto"/>
        </w:rPr>
      </w:pPr>
      <w:r>
        <w:rPr>
          <w:rFonts w:ascii="Arial" w:cs="Arial" w:eastAsia="Arial" w:hAnsi="Arial"/>
          <w:sz w:val="18"/>
          <w:szCs w:val="18"/>
          <w:b w:val="1"/>
          <w:bCs w:val="1"/>
          <w:color w:val="auto"/>
        </w:rPr>
        <w:t>AUSTIN, TEXAS</w:t>
      </w:r>
    </w:p>
    <w:p>
      <w:pPr>
        <w:spacing w:after="0" w:line="9" w:lineRule="exact"/>
        <w:rPr>
          <w:sz w:val="20"/>
          <w:szCs w:val="20"/>
          <w:color w:val="auto"/>
        </w:rPr>
      </w:pPr>
    </w:p>
    <w:p>
      <w:pPr>
        <w:jc w:val="center"/>
        <w:ind w:right="21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jc w:val="center"/>
        <w:ind w:right="2200"/>
        <w:spacing w:after="0"/>
        <w:rPr>
          <w:sz w:val="20"/>
          <w:szCs w:val="20"/>
          <w:color w:val="auto"/>
        </w:rPr>
      </w:pPr>
      <w:r>
        <w:rPr>
          <w:rFonts w:ascii="Arial" w:cs="Arial" w:eastAsia="Arial" w:hAnsi="Arial"/>
          <w:sz w:val="18"/>
          <w:szCs w:val="18"/>
          <w:b w:val="1"/>
          <w:bCs w:val="1"/>
          <w:color w:val="auto"/>
        </w:rPr>
        <w:t>78746</w:t>
      </w:r>
    </w:p>
    <w:p>
      <w:pPr>
        <w:spacing w:after="0" w:line="27" w:lineRule="exact"/>
        <w:rPr>
          <w:sz w:val="20"/>
          <w:szCs w:val="20"/>
          <w:color w:val="auto"/>
        </w:rPr>
      </w:pPr>
    </w:p>
    <w:p>
      <w:pPr>
        <w:jc w:val="center"/>
        <w:ind w:right="2200"/>
        <w:spacing w:after="0"/>
        <w:rPr>
          <w:sz w:val="20"/>
          <w:szCs w:val="20"/>
          <w:color w:val="auto"/>
        </w:rPr>
      </w:pPr>
      <w:r>
        <w:rPr>
          <w:rFonts w:ascii="Arial" w:cs="Arial" w:eastAsia="Arial" w:hAnsi="Arial"/>
          <w:sz w:val="16"/>
          <w:szCs w:val="16"/>
          <w:color w:val="auto"/>
        </w:rPr>
        <w:t>(Zip Code)</w:t>
      </w:r>
    </w:p>
    <w:p>
      <w:pPr>
        <w:spacing w:after="0" w:line="200" w:lineRule="exact"/>
        <w:rPr>
          <w:sz w:val="20"/>
          <w:szCs w:val="20"/>
          <w:color w:val="auto"/>
        </w:rPr>
      </w:pPr>
    </w:p>
    <w:p>
      <w:pPr>
        <w:sectPr>
          <w:pgSz w:w="11900" w:h="16838" w:orient="portrait"/>
          <w:cols w:equalWidth="0" w:num="2">
            <w:col w:w="7580" w:space="720"/>
            <w:col w:w="3000"/>
          </w:cols>
          <w:pgMar w:left="240" w:top="927" w:right="359" w:bottom="1440" w:gutter="0" w:footer="0" w:header="0"/>
          <w:type w:val="continuous"/>
        </w:sectPr>
      </w:pP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32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(512) 314-3400</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0"/>
          <w:szCs w:val="20"/>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638810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27" w:right="35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8.01. OTHER EVENTS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April 12, 2007, EZCORP, Inc. issued a press release announcing its agreement to acquire the pawn operating assets of Pawn One, Inc. A copy of the press release is attached hereto as Exhibit 99.1.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dated April 12, 2007, issued by EZCORP,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148" w:right="27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440" w:type="dxa"/>
            <w:vAlign w:val="bottom"/>
          </w:tcPr>
          <w:p>
            <w:pPr>
              <w:spacing w:after="0"/>
              <w:rPr>
                <w:sz w:val="19"/>
                <w:szCs w:val="19"/>
                <w:color w:val="auto"/>
              </w:rPr>
            </w:pPr>
          </w:p>
        </w:tc>
        <w:tc>
          <w:tcPr>
            <w:tcW w:w="6300" w:type="dxa"/>
            <w:vAlign w:val="bottom"/>
            <w:gridSpan w:val="2"/>
          </w:tcPr>
          <w:p>
            <w:pPr>
              <w:ind w:left="1920"/>
              <w:spacing w:after="0"/>
              <w:rPr>
                <w:sz w:val="20"/>
                <w:szCs w:val="20"/>
                <w:color w:val="auto"/>
              </w:rPr>
            </w:pPr>
            <w:r>
              <w:rPr>
                <w:rFonts w:ascii="Arial" w:cs="Arial" w:eastAsia="Arial" w:hAnsi="Arial"/>
                <w:sz w:val="18"/>
                <w:szCs w:val="18"/>
                <w:b w:val="1"/>
                <w:bCs w:val="1"/>
                <w:color w:val="auto"/>
              </w:rPr>
              <w:t>EZCORP, INC.</w:t>
            </w:r>
          </w:p>
        </w:tc>
        <w:tc>
          <w:tcPr>
            <w:tcW w:w="1680" w:type="dxa"/>
            <w:vAlign w:val="bottom"/>
          </w:tcPr>
          <w:p>
            <w:pPr>
              <w:spacing w:after="0"/>
              <w:rPr>
                <w:sz w:val="19"/>
                <w:szCs w:val="19"/>
                <w:color w:val="auto"/>
              </w:rPr>
            </w:pPr>
          </w:p>
        </w:tc>
      </w:tr>
      <w:tr>
        <w:trPr>
          <w:trHeight w:val="230"/>
        </w:trPr>
        <w:tc>
          <w:tcPr>
            <w:tcW w:w="3440" w:type="dxa"/>
            <w:vAlign w:val="bottom"/>
          </w:tcPr>
          <w:p>
            <w:pPr>
              <w:spacing w:after="0"/>
              <w:rPr>
                <w:sz w:val="20"/>
                <w:szCs w:val="20"/>
                <w:color w:val="auto"/>
              </w:rPr>
            </w:pPr>
          </w:p>
        </w:tc>
        <w:tc>
          <w:tcPr>
            <w:tcW w:w="6300" w:type="dxa"/>
            <w:vAlign w:val="bottom"/>
            <w:gridSpan w:val="2"/>
          </w:tcPr>
          <w:p>
            <w:pPr>
              <w:ind w:left="2000"/>
              <w:spacing w:after="0"/>
              <w:rPr>
                <w:sz w:val="20"/>
                <w:szCs w:val="20"/>
                <w:color w:val="auto"/>
              </w:rPr>
            </w:pPr>
            <w:r>
              <w:rPr>
                <w:rFonts w:ascii="Arial" w:cs="Arial" w:eastAsia="Arial" w:hAnsi="Arial"/>
                <w:sz w:val="18"/>
                <w:szCs w:val="18"/>
                <w:color w:val="auto"/>
              </w:rPr>
              <w:t>(Registrant)</w:t>
            </w:r>
          </w:p>
        </w:tc>
        <w:tc>
          <w:tcPr>
            <w:tcW w:w="1680" w:type="dxa"/>
            <w:vAlign w:val="bottom"/>
          </w:tcPr>
          <w:p>
            <w:pPr>
              <w:spacing w:after="0"/>
              <w:rPr>
                <w:sz w:val="20"/>
                <w:szCs w:val="20"/>
                <w:color w:val="auto"/>
              </w:rPr>
            </w:pPr>
          </w:p>
        </w:tc>
      </w:tr>
      <w:tr>
        <w:trPr>
          <w:trHeight w:val="432"/>
        </w:trPr>
        <w:tc>
          <w:tcPr>
            <w:tcW w:w="3440" w:type="dxa"/>
            <w:vAlign w:val="bottom"/>
          </w:tcPr>
          <w:p>
            <w:pPr>
              <w:spacing w:after="0"/>
              <w:rPr>
                <w:sz w:val="20"/>
                <w:szCs w:val="20"/>
                <w:color w:val="auto"/>
              </w:rPr>
            </w:pPr>
            <w:r>
              <w:rPr>
                <w:rFonts w:ascii="Arial" w:cs="Arial" w:eastAsia="Arial" w:hAnsi="Arial"/>
                <w:sz w:val="18"/>
                <w:szCs w:val="18"/>
                <w:i w:val="1"/>
                <w:iCs w:val="1"/>
                <w:color w:val="auto"/>
              </w:rPr>
              <w:t>Date: April 12, 2007</w:t>
            </w:r>
          </w:p>
        </w:tc>
        <w:tc>
          <w:tcPr>
            <w:tcW w:w="6300" w:type="dxa"/>
            <w:vAlign w:val="bottom"/>
            <w:gridSpan w:val="2"/>
          </w:tcPr>
          <w:p>
            <w:pPr>
              <w:ind w:left="19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Daniel N. Tonissen</w:t>
            </w:r>
          </w:p>
        </w:tc>
        <w:tc>
          <w:tcPr>
            <w:tcW w:w="1680" w:type="dxa"/>
            <w:vAlign w:val="bottom"/>
          </w:tcPr>
          <w:p>
            <w:pPr>
              <w:spacing w:after="0"/>
              <w:rPr>
                <w:sz w:val="24"/>
                <w:szCs w:val="24"/>
                <w:color w:val="auto"/>
              </w:rPr>
            </w:pPr>
          </w:p>
        </w:tc>
      </w:tr>
      <w:tr>
        <w:trPr>
          <w:trHeight w:val="195"/>
        </w:trPr>
        <w:tc>
          <w:tcPr>
            <w:tcW w:w="34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i w:val="1"/>
                <w:iCs w:val="1"/>
                <w:color w:val="auto"/>
              </w:rPr>
              <w:t>(Signature)</w:t>
            </w:r>
          </w:p>
        </w:tc>
        <w:tc>
          <w:tcPr>
            <w:tcW w:w="1680" w:type="dxa"/>
            <w:vAlign w:val="bottom"/>
          </w:tcPr>
          <w:p>
            <w:pPr>
              <w:spacing w:after="0"/>
              <w:rPr>
                <w:sz w:val="16"/>
                <w:szCs w:val="16"/>
                <w:color w:val="auto"/>
              </w:rPr>
            </w:pPr>
          </w:p>
        </w:tc>
      </w:tr>
      <w:tr>
        <w:trPr>
          <w:trHeight w:val="216"/>
        </w:trPr>
        <w:tc>
          <w:tcPr>
            <w:tcW w:w="34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Senior Vice President, Chief Financial Officer, and</w:t>
            </w:r>
          </w:p>
        </w:tc>
        <w:tc>
          <w:tcPr>
            <w:tcW w:w="1680" w:type="dxa"/>
            <w:vAlign w:val="bottom"/>
          </w:tcPr>
          <w:p>
            <w:pPr>
              <w:spacing w:after="0"/>
              <w:rPr>
                <w:sz w:val="18"/>
                <w:szCs w:val="18"/>
                <w:color w:val="auto"/>
              </w:rPr>
            </w:pPr>
          </w:p>
        </w:tc>
      </w:tr>
      <w:tr>
        <w:trPr>
          <w:trHeight w:val="230"/>
        </w:trPr>
        <w:tc>
          <w:tcPr>
            <w:tcW w:w="34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Director</w:t>
            </w:r>
          </w:p>
        </w:tc>
        <w:tc>
          <w:tcPr>
            <w:tcW w:w="1680" w:type="dxa"/>
            <w:vAlign w:val="bottom"/>
          </w:tcPr>
          <w:p>
            <w:pPr>
              <w:spacing w:after="0"/>
              <w:rPr>
                <w:sz w:val="20"/>
                <w:szCs w:val="20"/>
                <w:color w:val="auto"/>
              </w:rPr>
            </w:pPr>
          </w:p>
        </w:tc>
      </w:tr>
      <w:tr>
        <w:trPr>
          <w:trHeight w:val="848"/>
        </w:trPr>
        <w:tc>
          <w:tcPr>
            <w:tcW w:w="3440" w:type="dxa"/>
            <w:vAlign w:val="bottom"/>
            <w:tcBorders>
              <w:bottom w:val="single" w:sz="8" w:color="808080"/>
            </w:tcBorders>
          </w:tcPr>
          <w:p>
            <w:pPr>
              <w:spacing w:after="0"/>
              <w:rPr>
                <w:sz w:val="24"/>
                <w:szCs w:val="24"/>
                <w:color w:val="auto"/>
              </w:rPr>
            </w:pPr>
          </w:p>
        </w:tc>
        <w:tc>
          <w:tcPr>
            <w:tcW w:w="2260" w:type="dxa"/>
            <w:vAlign w:val="bottom"/>
            <w:tcBorders>
              <w:bottom w:val="single" w:sz="8" w:color="808080"/>
            </w:tcBorders>
          </w:tcPr>
          <w:p>
            <w:pPr>
              <w:spacing w:after="0"/>
              <w:rPr>
                <w:sz w:val="24"/>
                <w:szCs w:val="24"/>
                <w:color w:val="auto"/>
              </w:rPr>
            </w:pPr>
          </w:p>
        </w:tc>
        <w:tc>
          <w:tcPr>
            <w:tcW w:w="404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4" w:name="page5"/>
    <w:bookmarkEnd w:id="4"/>
    <w:p>
      <w:pPr>
        <w:jc w:val="right"/>
        <w:ind w:right="3799"/>
        <w:spacing w:after="0"/>
        <w:rPr>
          <w:sz w:val="20"/>
          <w:szCs w:val="20"/>
          <w:color w:val="auto"/>
        </w:rPr>
      </w:pPr>
      <w:r>
        <w:rPr>
          <w:rFonts w:ascii="Arial" w:cs="Arial" w:eastAsia="Arial" w:hAnsi="Arial"/>
          <w:sz w:val="18"/>
          <w:szCs w:val="18"/>
          <w:b w:val="1"/>
          <w:bCs w:val="1"/>
          <w:color w:val="auto"/>
        </w:rPr>
        <w:t>EXHIBIT INDEX</w:t>
      </w:r>
    </w:p>
    <w:p>
      <w:pPr>
        <w:spacing w:after="0" w:line="22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dated April 12, 2007, issued by EZCORP, Inc.</w:t>
      </w:r>
    </w:p>
    <w:p>
      <w:pPr>
        <w:sectPr>
          <w:pgSz w:w="11900" w:h="16838" w:orient="portrait"/>
          <w:cols w:equalWidth="0" w:num="1">
            <w:col w:w="10219"/>
          </w:cols>
          <w:pgMar w:left="240" w:top="958" w:right="1440"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18"/>
          <w:szCs w:val="18"/>
          <w:b w:val="1"/>
          <w:bCs w:val="1"/>
          <w:color w:val="auto"/>
        </w:rPr>
        <w:t>EXHIBIT 99.1</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EZCORP ACQUIRES 15 STORE PAWNSHOP CHAIN</w:t>
      </w:r>
    </w:p>
    <w:p>
      <w:pPr>
        <w:spacing w:after="0" w:line="117"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 xml:space="preserve">AUSTIN, Texas (April 12, 2007) </w:t>
      </w:r>
      <w:r>
        <w:rPr>
          <w:rFonts w:ascii="Arial" w:cs="Arial" w:eastAsia="Arial" w:hAnsi="Arial"/>
          <w:sz w:val="18"/>
          <w:szCs w:val="18"/>
          <w:color w:val="auto"/>
        </w:rPr>
        <w:t>— EZCORP, Inc. (Nasdaq: EZPW) announced today that it has entered into an agreement to acquire the assets of the 15</w:t>
      </w:r>
      <w:r>
        <w:rPr>
          <w:rFonts w:ascii="Arial" w:cs="Arial" w:eastAsia="Arial" w:hAnsi="Arial"/>
          <w:sz w:val="18"/>
          <w:szCs w:val="18"/>
          <w:b w:val="1"/>
          <w:bCs w:val="1"/>
          <w:color w:val="auto"/>
        </w:rPr>
        <w:t xml:space="preserve"> </w:t>
      </w:r>
      <w:r>
        <w:rPr>
          <w:rFonts w:ascii="Arial" w:cs="Arial" w:eastAsia="Arial" w:hAnsi="Arial"/>
          <w:sz w:val="18"/>
          <w:szCs w:val="18"/>
          <w:color w:val="auto"/>
        </w:rPr>
        <w:t>Colorado pawnshops operated by Pawn One, Inc. under the trade name Jumping Jack Cash.</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The purchase price will be approximately $23 million cash and the closing is expected in early June 2007.</w:t>
      </w:r>
    </w:p>
    <w:p>
      <w:pPr>
        <w:spacing w:after="0" w:line="11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EZCORP’s President and Chief Executive Officer, Joe Rotunda, stated, “We are very excited about this opportunity. Jumping Jack Cash is the second largest pawn operator in Colorado, second only to EZPAWN’s 24 locations. This acquisition will give us a dominant position in the market and the opportunity to enhance the combined results of both groups of stores.”</w:t>
      </w:r>
    </w:p>
    <w:p>
      <w:pPr>
        <w:spacing w:after="0" w:line="73"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EZCORP is primarily a lender or provider of credit services to individuals who do not have cash resources or access to credit to meet their short-term cash needs. The Company offers non-recourse loans collateralized by tangible personal property, commonly known as pawn loans, in 280 U.S. and two Mexico EZPAWN locations open at March 31, 2007. At these locations, the Company also sells merchandise, primarily collateral forfeited from its pawn lending operations, to consumers looking for good value. In 369 EZMONEY locations and 80 EZPAWN locations open at March 31, 2007, the Company offers short-term non-collateralized loans, often referred to as payday loans, or fee based credit services to customers seeking loans.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contact Dan Tonissen at (512) 314-2289.</w:t>
      </w:r>
    </w:p>
    <w:sectPr>
      <w:pgSz w:w="11900" w:h="16838" w:orient="portrait"/>
      <w:cols w:equalWidth="0" w:num="1">
        <w:col w:w="11400"/>
      </w:cols>
      <w:pgMar w:left="240" w:top="958"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2020-02-06T06:27:14Z</dcterms:created>
  <dcterms:modified xsi:type="dcterms:W3CDTF">2020-02-06T06:27:14Z</dcterms:modified>
</cp:coreProperties>
</file>