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As filed with the Securities and Exchange Commission on August 4, 2022</w:t>
      </w:r>
    </w:p>
    <w:p>
      <w:pPr>
        <w:spacing w:after="0" w:line="12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w:t>
      </w:r>
    </w:p>
    <w:p>
      <w:pPr>
        <w:spacing w:after="0" w:line="357" w:lineRule="exact"/>
        <w:rPr>
          <w:sz w:val="24"/>
          <w:szCs w:val="24"/>
          <w:color w:val="auto"/>
        </w:rPr>
      </w:pPr>
    </w:p>
    <w:p>
      <w:pPr>
        <w:ind w:left="4860"/>
        <w:spacing w:after="0"/>
        <w:rPr>
          <w:sz w:val="20"/>
          <w:szCs w:val="20"/>
          <w:color w:val="auto"/>
        </w:rPr>
      </w:pPr>
      <w:r>
        <w:rPr>
          <w:rFonts w:ascii="Arial" w:cs="Arial" w:eastAsia="Arial" w:hAnsi="Arial"/>
          <w:sz w:val="20"/>
          <w:szCs w:val="20"/>
          <w:color w:val="auto"/>
        </w:rPr>
        <w:t>UNITED STATES</w:t>
      </w:r>
    </w:p>
    <w:p>
      <w:pPr>
        <w:spacing w:after="0" w:line="31" w:lineRule="exact"/>
        <w:rPr>
          <w:sz w:val="24"/>
          <w:szCs w:val="24"/>
          <w:color w:val="auto"/>
        </w:rPr>
      </w:pPr>
    </w:p>
    <w:p>
      <w:pPr>
        <w:ind w:left="3540"/>
        <w:spacing w:after="0"/>
        <w:rPr>
          <w:sz w:val="20"/>
          <w:szCs w:val="20"/>
          <w:color w:val="auto"/>
        </w:rPr>
      </w:pPr>
      <w:r>
        <w:rPr>
          <w:rFonts w:ascii="Arial" w:cs="Arial" w:eastAsia="Arial" w:hAnsi="Arial"/>
          <w:sz w:val="20"/>
          <w:szCs w:val="20"/>
          <w:color w:val="auto"/>
        </w:rPr>
        <w:t>SECURITIES AND EXCHANGE COMMISSION</w:t>
      </w:r>
    </w:p>
    <w:p>
      <w:pPr>
        <w:jc w:val="center"/>
        <w:spacing w:after="0"/>
        <w:rPr>
          <w:sz w:val="20"/>
          <w:szCs w:val="20"/>
          <w:color w:val="auto"/>
        </w:rPr>
      </w:pPr>
      <w:r>
        <w:rPr>
          <w:rFonts w:ascii="Arial" w:cs="Arial" w:eastAsia="Arial" w:hAnsi="Arial"/>
          <w:sz w:val="20"/>
          <w:szCs w:val="20"/>
          <w:color w:val="auto"/>
        </w:rPr>
        <w:t>Washington, D.C. 20549</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 UNDER THE SECURITIES ACT OF 1933</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EZCORP,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7" w:lineRule="exact"/>
        <w:rPr>
          <w:sz w:val="24"/>
          <w:szCs w:val="24"/>
          <w:color w:val="auto"/>
        </w:rPr>
      </w:pPr>
    </w:p>
    <w:p>
      <w:pPr>
        <w:ind w:left="200"/>
        <w:spacing w:after="0"/>
        <w:tabs>
          <w:tab w:leader="none" w:pos="11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7"/>
          <w:szCs w:val="17"/>
          <w:b w:val="1"/>
          <w:bCs w:val="1"/>
          <w:color w:val="auto"/>
        </w:rPr>
        <w:t>74-2540145</w:t>
      </w:r>
    </w:p>
    <w:p>
      <w:pPr>
        <w:spacing w:after="0" w:line="33" w:lineRule="exact"/>
        <w:rPr>
          <w:sz w:val="24"/>
          <w:szCs w:val="24"/>
          <w:color w:val="auto"/>
        </w:rPr>
      </w:pPr>
    </w:p>
    <w:p>
      <w:pPr>
        <w:ind w:left="160"/>
        <w:spacing w:after="0"/>
        <w:tabs>
          <w:tab w:leader="none" w:pos="4020" w:val="left"/>
        </w:tabs>
        <w:rPr>
          <w:sz w:val="20"/>
          <w:szCs w:val="20"/>
          <w:color w:val="auto"/>
        </w:rPr>
      </w:pPr>
      <w:r>
        <w:rPr>
          <w:rFonts w:ascii="Arial" w:cs="Arial" w:eastAsia="Arial" w:hAnsi="Arial"/>
          <w:sz w:val="14"/>
          <w:szCs w:val="14"/>
          <w:color w:val="auto"/>
        </w:rPr>
        <w:t>(State or other jurisdiction of incorporation or organization)</w:t>
        <w:tab/>
        <w:t>(I.R.S. Employer Identification No.)</w:t>
      </w:r>
    </w:p>
    <w:p>
      <w:pPr>
        <w:spacing w:after="0" w:line="99" w:lineRule="exact"/>
        <w:rPr>
          <w:sz w:val="24"/>
          <w:szCs w:val="24"/>
          <w:color w:val="auto"/>
        </w:rPr>
      </w:pPr>
    </w:p>
    <w:p>
      <w:pPr>
        <w:ind w:left="200"/>
        <w:spacing w:after="0"/>
        <w:tabs>
          <w:tab w:leader="none" w:pos="6040" w:val="left"/>
        </w:tabs>
        <w:rPr>
          <w:sz w:val="20"/>
          <w:szCs w:val="20"/>
          <w:color w:val="auto"/>
        </w:rPr>
      </w:pPr>
      <w:r>
        <w:rPr>
          <w:rFonts w:ascii="Arial" w:cs="Arial" w:eastAsia="Arial" w:hAnsi="Arial"/>
          <w:sz w:val="18"/>
          <w:szCs w:val="18"/>
          <w:b w:val="1"/>
          <w:bCs w:val="1"/>
          <w:color w:val="auto"/>
        </w:rPr>
        <w:t>2500 Bee Cave Road, Building One, Suite 200, Rollingwood, Texas</w:t>
      </w:r>
      <w:r>
        <w:rPr>
          <w:sz w:val="20"/>
          <w:szCs w:val="20"/>
          <w:color w:val="auto"/>
        </w:rPr>
        <w:tab/>
      </w:r>
      <w:r>
        <w:rPr>
          <w:rFonts w:ascii="Arial" w:cs="Arial" w:eastAsia="Arial" w:hAnsi="Arial"/>
          <w:sz w:val="17"/>
          <w:szCs w:val="17"/>
          <w:b w:val="1"/>
          <w:bCs w:val="1"/>
          <w:color w:val="auto"/>
        </w:rPr>
        <w:t>78746</w:t>
      </w:r>
    </w:p>
    <w:p>
      <w:pPr>
        <w:spacing w:after="0" w:line="33" w:lineRule="exact"/>
        <w:rPr>
          <w:sz w:val="24"/>
          <w:szCs w:val="24"/>
          <w:color w:val="auto"/>
        </w:rPr>
      </w:pPr>
    </w:p>
    <w:p>
      <w:pPr>
        <w:ind w:left="160"/>
        <w:spacing w:after="0"/>
        <w:tabs>
          <w:tab w:leader="none" w:pos="2840" w:val="left"/>
        </w:tabs>
        <w:rPr>
          <w:sz w:val="20"/>
          <w:szCs w:val="20"/>
          <w:color w:val="auto"/>
        </w:rPr>
      </w:pPr>
      <w:r>
        <w:rPr>
          <w:rFonts w:ascii="Arial" w:cs="Arial" w:eastAsia="Arial" w:hAnsi="Arial"/>
          <w:sz w:val="14"/>
          <w:szCs w:val="14"/>
          <w:color w:val="auto"/>
        </w:rPr>
        <w:t>(Address of Principal Executive Offices)</w:t>
        <w:tab/>
        <w:t>(Zip Code)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 2010 LONG-TERM INCENTIVE PLAN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(Full title of the plan)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Thomas H. Welch, Jr.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Legal Officer and Secretary</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EZCORP,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2500 Bee Cave Road, Building One, Suite 200, Rollingwood, Texas 78746</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314-3409</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217" w:lineRule="exact"/>
        <w:rPr>
          <w:sz w:val="24"/>
          <w:szCs w:val="24"/>
          <w:color w:val="auto"/>
        </w:rPr>
      </w:pPr>
    </w:p>
    <w:p>
      <w:pPr>
        <w:jc w:val="both"/>
        <w:ind w:right="500"/>
        <w:spacing w:after="0" w:line="30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p>
      <w:pPr>
        <w:ind w:left="160"/>
        <w:spacing w:after="0" w:line="161" w:lineRule="exact"/>
        <w:tabs>
          <w:tab w:leader="none" w:pos="190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Accelerated filer </w:t>
      </w:r>
      <w:r>
        <w:rPr>
          <w:rFonts w:ascii="MS PGothic" w:cs="MS PGothic" w:eastAsia="MS PGothic" w:hAnsi="MS PGothic"/>
          <w:sz w:val="14"/>
          <w:szCs w:val="14"/>
          <w:color w:val="auto"/>
        </w:rPr>
        <w:t>☒</w:t>
      </w:r>
    </w:p>
    <w:p>
      <w:pPr>
        <w:spacing w:after="0" w:line="49" w:lineRule="exact"/>
        <w:rPr>
          <w:sz w:val="24"/>
          <w:szCs w:val="24"/>
          <w:color w:val="auto"/>
        </w:rPr>
      </w:pPr>
    </w:p>
    <w:p>
      <w:pPr>
        <w:ind w:left="160"/>
        <w:spacing w:after="0" w:line="161" w:lineRule="exact"/>
        <w:tabs>
          <w:tab w:leader="none" w:pos="182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ab/>
        <w:t xml:space="preserve">Smaller reporting company </w:t>
      </w:r>
      <w:r>
        <w:rPr>
          <w:rFonts w:ascii="MS PGothic" w:cs="MS PGothic" w:eastAsia="MS PGothic" w:hAnsi="MS PGothic"/>
          <w:sz w:val="14"/>
          <w:szCs w:val="14"/>
          <w:color w:val="auto"/>
        </w:rPr>
        <w:t>☐</w:t>
      </w:r>
    </w:p>
    <w:p>
      <w:pPr>
        <w:spacing w:after="0" w:line="15"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12" w:lineRule="exact"/>
        <w:rPr>
          <w:sz w:val="24"/>
          <w:szCs w:val="24"/>
          <w:color w:val="auto"/>
        </w:rPr>
      </w:pPr>
    </w:p>
    <w:p>
      <w:pPr>
        <w:ind w:right="540"/>
        <w:spacing w:after="0" w:line="18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40"/>
          </w:cols>
          <w:pgMar w:left="320" w:top="1128" w:right="339" w:bottom="1440" w:gutter="0" w:footer="0" w:header="0"/>
        </w:sectPr>
      </w:pPr>
    </w:p>
    <w:bookmarkStart w:id="1" w:name="page2"/>
    <w:bookmarkEnd w:id="1"/>
    <w:p>
      <w:pPr>
        <w:jc w:val="center"/>
        <w:ind w:right="100"/>
        <w:spacing w:after="0"/>
        <w:rPr>
          <w:sz w:val="20"/>
          <w:szCs w:val="20"/>
          <w:color w:val="auto"/>
        </w:rPr>
      </w:pPr>
      <w:r>
        <w:rPr>
          <w:rFonts w:ascii="Arial" w:cs="Arial" w:eastAsia="Arial" w:hAnsi="Arial"/>
          <w:sz w:val="18"/>
          <w:szCs w:val="18"/>
          <w:color w:val="auto"/>
        </w:rPr>
        <w:t>Pursuant to General Instruction E of Form S-8 (“Registration of Additional Securities”), the Registrant hereby makes the following statement:</w:t>
      </w:r>
    </w:p>
    <w:p>
      <w:pPr>
        <w:spacing w:after="0" w:line="279" w:lineRule="exact"/>
        <w:rPr>
          <w:sz w:val="20"/>
          <w:szCs w:val="20"/>
          <w:color w:val="auto"/>
        </w:rPr>
      </w:pPr>
    </w:p>
    <w:p>
      <w:pPr>
        <w:ind w:left="660" w:right="740"/>
        <w:spacing w:after="0" w:line="286" w:lineRule="auto"/>
        <w:rPr>
          <w:sz w:val="20"/>
          <w:szCs w:val="20"/>
          <w:color w:val="auto"/>
        </w:rPr>
      </w:pPr>
      <w:r>
        <w:rPr>
          <w:rFonts w:ascii="Arial" w:cs="Arial" w:eastAsia="Arial" w:hAnsi="Arial"/>
          <w:sz w:val="18"/>
          <w:szCs w:val="18"/>
          <w:color w:val="auto"/>
        </w:rPr>
        <w:t>On October 10, 2013, the Registrant filed with the Securities and Exchange Commission a Registration Statement on Form S-8 (Registration No. 333-191677) (the “Prior Registration Statement”) relating to shares of the Registrant’s common stock to be issued pursuant to the EZCORP, Inc. 2010 Long-Term Incentive Plan (the “Incentive Plan”), and the Prior Registration Statement is currently effective. This Registration Statement relates to securities (a) of the same class as those to which the Prior Registration Statement relates and (b) to be issued pursuant to the Incentive Plan. The contents of the Prior Registration Statement are incorporated hereby by reference.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 Exhibits.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a part of this Registration Statement: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Exhibit</w:t>
            </w:r>
          </w:p>
        </w:tc>
        <w:tc>
          <w:tcPr>
            <w:tcW w:w="9080" w:type="dxa"/>
            <w:vAlign w:val="bottom"/>
            <w:gridSpan w:val="5"/>
            <w:vMerge w:val="restart"/>
          </w:tcPr>
          <w:p>
            <w:pPr>
              <w:ind w:left="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35"/>
        </w:trPr>
        <w:tc>
          <w:tcPr>
            <w:tcW w:w="21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Number</w:t>
            </w:r>
          </w:p>
        </w:tc>
        <w:tc>
          <w:tcPr>
            <w:tcW w:w="908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4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0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0000FF"/>
              </w:rPr>
              <w:t>Opinion of legal counsel</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23.1*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Consent of BDO USA, LLP, independent registered public accounting firm</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4"/>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23.2*</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Consent of legal counsel (included in Exhibit 5.1)</w:t>
            </w:r>
          </w:p>
        </w:tc>
        <w:tc>
          <w:tcPr>
            <w:tcW w:w="0" w:type="dxa"/>
            <w:vAlign w:val="bottom"/>
          </w:tcPr>
          <w:p>
            <w:pPr>
              <w:spacing w:after="0"/>
              <w:rPr>
                <w:sz w:val="1"/>
                <w:szCs w:val="1"/>
                <w:color w:val="auto"/>
              </w:rPr>
            </w:pPr>
          </w:p>
        </w:tc>
      </w:tr>
      <w:tr>
        <w:trPr>
          <w:trHeight w:val="459"/>
        </w:trPr>
        <w:tc>
          <w:tcPr>
            <w:tcW w:w="1740" w:type="dxa"/>
            <w:vAlign w:val="bottom"/>
          </w:tcPr>
          <w:p>
            <w:pPr>
              <w:jc w:val="center"/>
              <w:spacing w:after="0"/>
              <w:rPr>
                <w:sz w:val="20"/>
                <w:szCs w:val="20"/>
                <w:color w:val="auto"/>
              </w:rPr>
            </w:pPr>
            <w:r>
              <w:rPr>
                <w:rFonts w:ascii="Arial" w:cs="Arial" w:eastAsia="Arial" w:hAnsi="Arial"/>
                <w:sz w:val="18"/>
                <w:szCs w:val="18"/>
                <w:color w:val="auto"/>
                <w:w w:val="99"/>
              </w:rPr>
              <w:t>24.1*</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0" w:type="dxa"/>
            <w:vAlign w:val="bottom"/>
            <w:gridSpan w:val="4"/>
          </w:tcPr>
          <w:p>
            <w:pPr>
              <w:spacing w:after="0"/>
              <w:rPr>
                <w:sz w:val="20"/>
                <w:szCs w:val="20"/>
                <w:color w:val="auto"/>
              </w:rPr>
            </w:pPr>
            <w:r>
              <w:rPr>
                <w:rFonts w:ascii="Arial" w:cs="Arial" w:eastAsia="Arial" w:hAnsi="Arial"/>
                <w:sz w:val="18"/>
                <w:szCs w:val="18"/>
                <w:color w:val="auto"/>
              </w:rPr>
              <w:t>Power of attorney (set forth on signature page)</w:t>
            </w:r>
          </w:p>
        </w:tc>
        <w:tc>
          <w:tcPr>
            <w:tcW w:w="0" w:type="dxa"/>
            <w:vAlign w:val="bottom"/>
          </w:tcPr>
          <w:p>
            <w:pPr>
              <w:spacing w:after="0"/>
              <w:rPr>
                <w:sz w:val="1"/>
                <w:szCs w:val="1"/>
                <w:color w:val="auto"/>
              </w:rPr>
            </w:pPr>
          </w:p>
        </w:tc>
      </w:tr>
      <w:tr>
        <w:trPr>
          <w:trHeight w:val="415"/>
        </w:trPr>
        <w:tc>
          <w:tcPr>
            <w:tcW w:w="1740" w:type="dxa"/>
            <w:vAlign w:val="bottom"/>
          </w:tcPr>
          <w:p>
            <w:pPr>
              <w:jc w:val="cente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Filing Fee Table</w:t>
            </w:r>
          </w:p>
        </w:tc>
        <w:tc>
          <w:tcPr>
            <w:tcW w:w="77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ectPr>
          <w:pgSz w:w="11900" w:h="16838" w:orient="portrait"/>
          <w:cols w:equalWidth="0" w:num="1">
            <w:col w:w="11240"/>
          </w:cols>
          <w:pgMar w:left="320" w:top="1430" w:right="339" w:bottom="1440" w:gutter="0" w:footer="0" w:header="0"/>
        </w:sectPr>
      </w:pPr>
    </w:p>
    <w:bookmarkStart w:id="2" w:name="page3"/>
    <w:bookmarkEnd w:id="2"/>
    <w:p>
      <w:pPr>
        <w:spacing w:after="0" w:line="186"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SIGNATURES</w:t>
      </w:r>
    </w:p>
    <w:p>
      <w:pPr>
        <w:spacing w:after="0" w:line="15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The Registrant</w:t>
      </w:r>
      <w:r>
        <w:rPr>
          <w:rFonts w:ascii="Arial" w:cs="Arial" w:eastAsia="Arial" w:hAnsi="Arial"/>
          <w:sz w:val="18"/>
          <w:szCs w:val="18"/>
          <w:color w:val="auto"/>
        </w:rPr>
        <w:t>. Pursuant to the requirements of the Securities Act of 1933, the registrant certifies that it has reasonable grounds to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that it meets all of the requirements for filing on Form S-8 and has duly caused this registration statement to be signed on its behalf by the undersigned, thereunto duly authorized, in the City of Rollingwood, State of Texas, on August 4, 2022.</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EZCORP, INC.</w:t>
      </w:r>
    </w:p>
    <w:p>
      <w:pPr>
        <w:spacing w:after="0" w:line="333" w:lineRule="exact"/>
        <w:rPr>
          <w:sz w:val="20"/>
          <w:szCs w:val="20"/>
          <w:color w:val="auto"/>
        </w:rPr>
      </w:pPr>
    </w:p>
    <w:p>
      <w:pPr>
        <w:ind w:left="4220"/>
        <w:spacing w:after="0"/>
        <w:tabs>
          <w:tab w:leader="none" w:pos="4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2971800</wp:posOffset>
            </wp:positionH>
            <wp:positionV relativeFrom="paragraph">
              <wp:posOffset>-7620</wp:posOffset>
            </wp:positionV>
            <wp:extent cx="1261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Lachlan P. Given,</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Chief Executive Officer</w:t>
      </w:r>
    </w:p>
    <w:p>
      <w:pPr>
        <w:spacing w:after="0" w:line="315"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 Each person whose signature appears below hereby authorizes and appoints Thomas H. Welch, Jr. as his or her attorney-in-fact to sign on his or her behalf individually and in the capacity stated below all amendments and post-effective amendments to this registration statement as that attorney-in-fact may deem necessary or appropriate.</w:t>
      </w:r>
    </w:p>
    <w:p>
      <w:pPr>
        <w:sectPr>
          <w:pgSz w:w="11900" w:h="16838" w:orient="portrait"/>
          <w:cols w:equalWidth="0" w:num="1">
            <w:col w:w="11220"/>
          </w:cols>
          <w:pgMar w:left="320" w:top="1440" w:right="359" w:bottom="1440" w:gutter="0" w:footer="0" w:header="0"/>
        </w:sectPr>
      </w:pPr>
    </w:p>
    <w:p>
      <w:pPr>
        <w:spacing w:after="0" w:line="217"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1170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Lachlan P.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Lachlan P. Given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Timothy K. Jugmans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Robert J. Hicks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Robert J. Hicks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Matthew W. Appel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Matthew W. Appel</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Zena Srivatsa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Zena Srivatsa Arnold</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Phillip 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Phillip E. Cohen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Jason A. Kulas</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Pablo Lagos Espinosa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Pablo Lagos Espinosa</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Gary L. Tillett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21170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111"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Gary L. Tillett</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43180</wp:posOffset>
            </wp:positionV>
            <wp:extent cx="29571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2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 and Director</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Accounting Officer</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Chairman and 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43180</wp:posOffset>
            </wp:positionV>
            <wp:extent cx="1371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August 4, 2022</w:t>
      </w:r>
    </w:p>
    <w:p>
      <w:pPr>
        <w:sectPr>
          <w:pgSz w:w="11900" w:h="16838" w:orient="portrait"/>
          <w:cols w:equalWidth="0" w:num="3">
            <w:col w:w="2900" w:space="720"/>
            <w:col w:w="4640" w:space="720"/>
            <w:col w:w="2240"/>
          </w:cols>
          <w:pgMar w:left="320" w:top="1440" w:right="35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25"/>
          <w:szCs w:val="25"/>
          <w:b w:val="1"/>
          <w:bCs w:val="1"/>
          <w:color w:val="auto"/>
        </w:rPr>
        <w:t>Exhibit 107</w:t>
      </w:r>
    </w:p>
    <w:p>
      <w:pPr>
        <w:spacing w:after="0" w:line="185" w:lineRule="exact"/>
        <w:rPr>
          <w:sz w:val="20"/>
          <w:szCs w:val="20"/>
          <w:color w:val="auto"/>
        </w:rPr>
      </w:pPr>
    </w:p>
    <w:p>
      <w:pPr>
        <w:ind w:left="4060"/>
        <w:spacing w:after="0"/>
        <w:rPr>
          <w:sz w:val="20"/>
          <w:szCs w:val="20"/>
          <w:color w:val="auto"/>
        </w:rPr>
      </w:pPr>
      <w:r>
        <w:rPr>
          <w:rFonts w:ascii="Arial" w:cs="Arial" w:eastAsia="Arial" w:hAnsi="Arial"/>
          <w:sz w:val="25"/>
          <w:szCs w:val="25"/>
          <w:b w:val="1"/>
          <w:bCs w:val="1"/>
          <w:color w:val="auto"/>
        </w:rPr>
        <w:t>Calculation of Filing Fee Tables</w:t>
      </w:r>
    </w:p>
    <w:p>
      <w:pPr>
        <w:spacing w:after="0" w:line="167" w:lineRule="exact"/>
        <w:rPr>
          <w:sz w:val="20"/>
          <w:szCs w:val="20"/>
          <w:color w:val="auto"/>
        </w:rPr>
      </w:pPr>
    </w:p>
    <w:p>
      <w:pPr>
        <w:ind w:left="5400"/>
        <w:spacing w:after="0"/>
        <w:rPr>
          <w:sz w:val="20"/>
          <w:szCs w:val="20"/>
          <w:color w:val="auto"/>
        </w:rPr>
      </w:pPr>
      <w:r>
        <w:rPr>
          <w:rFonts w:ascii="Arial" w:cs="Arial" w:eastAsia="Arial" w:hAnsi="Arial"/>
          <w:sz w:val="25"/>
          <w:szCs w:val="25"/>
          <w:b w:val="1"/>
          <w:bCs w:val="1"/>
          <w:color w:val="auto"/>
        </w:rPr>
        <w:t>Form S-8</w:t>
      </w:r>
    </w:p>
    <w:p>
      <w:pPr>
        <w:jc w:val="center"/>
        <w:spacing w:after="0" w:line="228" w:lineRule="auto"/>
        <w:rPr>
          <w:sz w:val="20"/>
          <w:szCs w:val="20"/>
          <w:color w:val="auto"/>
        </w:rPr>
      </w:pPr>
      <w:r>
        <w:rPr>
          <w:rFonts w:ascii="Arial" w:cs="Arial" w:eastAsia="Arial" w:hAnsi="Arial"/>
          <w:sz w:val="25"/>
          <w:szCs w:val="25"/>
          <w:b w:val="1"/>
          <w:bCs w:val="1"/>
          <w:color w:val="auto"/>
        </w:rPr>
        <w:t>Registration Statement</w:t>
      </w:r>
    </w:p>
    <w:p>
      <w:pPr>
        <w:jc w:val="center"/>
        <w:ind w:left="640"/>
        <w:spacing w:after="0"/>
        <w:rPr>
          <w:sz w:val="20"/>
          <w:szCs w:val="20"/>
          <w:color w:val="auto"/>
        </w:rPr>
      </w:pPr>
      <w:r>
        <w:rPr>
          <w:rFonts w:ascii="Arial" w:cs="Arial" w:eastAsia="Arial" w:hAnsi="Arial"/>
          <w:sz w:val="14"/>
          <w:szCs w:val="14"/>
          <w:color w:val="auto"/>
        </w:rPr>
        <w:t>(Form Type)</w:t>
      </w:r>
    </w:p>
    <w:p>
      <w:pPr>
        <w:spacing w:after="0" w:line="147" w:lineRule="exact"/>
        <w:rPr>
          <w:sz w:val="20"/>
          <w:szCs w:val="20"/>
          <w:color w:val="auto"/>
        </w:rPr>
      </w:pPr>
    </w:p>
    <w:p>
      <w:pPr>
        <w:jc w:val="center"/>
        <w:ind w:left="640"/>
        <w:spacing w:after="0"/>
        <w:rPr>
          <w:sz w:val="20"/>
          <w:szCs w:val="20"/>
          <w:color w:val="auto"/>
        </w:rPr>
      </w:pPr>
      <w:r>
        <w:rPr>
          <w:rFonts w:ascii="Arial" w:cs="Arial" w:eastAsia="Arial" w:hAnsi="Arial"/>
          <w:sz w:val="25"/>
          <w:szCs w:val="25"/>
          <w:b w:val="1"/>
          <w:bCs w:val="1"/>
          <w:color w:val="auto"/>
        </w:rPr>
        <w:t>EZCORP, INC.</w:t>
      </w:r>
    </w:p>
    <w:p>
      <w:pPr>
        <w:spacing w:after="0" w:line="12" w:lineRule="exact"/>
        <w:rPr>
          <w:sz w:val="20"/>
          <w:szCs w:val="20"/>
          <w:color w:val="auto"/>
        </w:rPr>
      </w:pPr>
    </w:p>
    <w:p>
      <w:pPr>
        <w:ind w:left="4240"/>
        <w:spacing w:after="0"/>
        <w:rPr>
          <w:sz w:val="20"/>
          <w:szCs w:val="20"/>
          <w:color w:val="auto"/>
        </w:rPr>
      </w:pPr>
      <w:r>
        <w:rPr>
          <w:rFonts w:ascii="Arial" w:cs="Arial" w:eastAsia="Arial" w:hAnsi="Arial"/>
          <w:sz w:val="14"/>
          <w:szCs w:val="14"/>
          <w:color w:val="auto"/>
        </w:rPr>
        <w:t>(Exact Name of Registrant as Specified in its Charter)</w:t>
      </w:r>
    </w:p>
    <w:p>
      <w:pPr>
        <w:spacing w:after="0" w:line="231" w:lineRule="exact"/>
        <w:rPr>
          <w:sz w:val="20"/>
          <w:szCs w:val="20"/>
          <w:color w:val="auto"/>
        </w:rPr>
      </w:pPr>
    </w:p>
    <w:p>
      <w:pPr>
        <w:ind w:left="3660"/>
        <w:spacing w:after="0"/>
        <w:rPr>
          <w:sz w:val="20"/>
          <w:szCs w:val="20"/>
          <w:color w:val="auto"/>
        </w:rPr>
      </w:pPr>
      <w:r>
        <w:rPr>
          <w:rFonts w:ascii="Arial" w:cs="Arial" w:eastAsia="Arial" w:hAnsi="Arial"/>
          <w:sz w:val="20"/>
          <w:szCs w:val="20"/>
          <w:color w:val="auto"/>
        </w:rPr>
        <w:t>Table 1 – Newly Registered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150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Fee Calculation</w:t>
            </w:r>
          </w:p>
        </w:tc>
        <w:tc>
          <w:tcPr>
            <w:tcW w:w="1280" w:type="dxa"/>
            <w:vAlign w:val="bottom"/>
            <w:tcBorders>
              <w:top w:val="single" w:sz="8" w:color="auto"/>
            </w:tcBorders>
            <w:vMerge w:val="restart"/>
          </w:tcPr>
          <w:p>
            <w:pPr>
              <w:ind w:left="80"/>
              <w:spacing w:after="0"/>
              <w:rPr>
                <w:sz w:val="20"/>
                <w:szCs w:val="20"/>
                <w:color w:val="auto"/>
              </w:rPr>
            </w:pPr>
            <w:r>
              <w:rPr>
                <w:rFonts w:ascii="Arial" w:cs="Arial" w:eastAsia="Arial" w:hAnsi="Arial"/>
                <w:sz w:val="13"/>
                <w:szCs w:val="13"/>
                <w:b w:val="1"/>
                <w:bCs w:val="1"/>
                <w:color w:val="auto"/>
                <w:w w:val="98"/>
              </w:rPr>
              <w:t>Amount Registered</w:t>
            </w:r>
          </w:p>
        </w:tc>
        <w:tc>
          <w:tcPr>
            <w:tcW w:w="12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Proposed</w:t>
            </w:r>
          </w:p>
        </w:tc>
        <w:tc>
          <w:tcPr>
            <w:tcW w:w="1340" w:type="dxa"/>
            <w:vAlign w:val="bottom"/>
            <w:tcBorders>
              <w:top w:val="single" w:sz="8" w:color="auto"/>
            </w:tcBorders>
          </w:tcPr>
          <w:p>
            <w:pPr>
              <w:jc w:val="center"/>
              <w:ind w:right="12"/>
              <w:spacing w:after="0" w:line="119" w:lineRule="exact"/>
              <w:rPr>
                <w:sz w:val="20"/>
                <w:szCs w:val="20"/>
                <w:color w:val="auto"/>
              </w:rPr>
            </w:pPr>
            <w:r>
              <w:rPr>
                <w:rFonts w:ascii="Arial" w:cs="Arial" w:eastAsia="Arial" w:hAnsi="Arial"/>
                <w:sz w:val="13"/>
                <w:szCs w:val="13"/>
                <w:b w:val="1"/>
                <w:bCs w:val="1"/>
                <w:color w:val="auto"/>
                <w:w w:val="96"/>
              </w:rPr>
              <w:t>Maximum</w:t>
            </w:r>
          </w:p>
        </w:tc>
        <w:tc>
          <w:tcPr>
            <w:tcW w:w="10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vMerge w:val="restart"/>
          </w:tcPr>
          <w:p>
            <w:pPr>
              <w:jc w:val="center"/>
              <w:ind w:left="51"/>
              <w:spacing w:after="0"/>
              <w:rPr>
                <w:sz w:val="20"/>
                <w:szCs w:val="20"/>
                <w:color w:val="auto"/>
              </w:rPr>
            </w:pPr>
            <w:r>
              <w:rPr>
                <w:rFonts w:ascii="Arial" w:cs="Arial" w:eastAsia="Arial" w:hAnsi="Arial"/>
                <w:sz w:val="13"/>
                <w:szCs w:val="13"/>
                <w:b w:val="1"/>
                <w:bCs w:val="1"/>
                <w:color w:val="auto"/>
                <w:w w:val="95"/>
              </w:rPr>
              <w:t>Amount of</w:t>
            </w:r>
          </w:p>
        </w:tc>
        <w:tc>
          <w:tcPr>
            <w:tcW w:w="0" w:type="dxa"/>
            <w:vAlign w:val="bottom"/>
          </w:tcPr>
          <w:p>
            <w:pPr>
              <w:spacing w:after="0"/>
              <w:rPr>
                <w:sz w:val="1"/>
                <w:szCs w:val="1"/>
                <w:color w:val="auto"/>
              </w:rPr>
            </w:pPr>
          </w:p>
        </w:tc>
      </w:tr>
      <w:tr>
        <w:trPr>
          <w:trHeight w:val="122"/>
        </w:trPr>
        <w:tc>
          <w:tcPr>
            <w:tcW w:w="15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Security Type</w:t>
            </w:r>
          </w:p>
        </w:tc>
        <w:tc>
          <w:tcPr>
            <w:tcW w:w="176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Security Class Title</w:t>
            </w:r>
          </w:p>
        </w:tc>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96"/>
              </w:rPr>
              <w:t>Maximum Offering</w:t>
            </w:r>
          </w:p>
        </w:tc>
        <w:tc>
          <w:tcPr>
            <w:tcW w:w="1340" w:type="dxa"/>
            <w:vAlign w:val="bottom"/>
          </w:tcPr>
          <w:p>
            <w:pPr>
              <w:jc w:val="center"/>
              <w:ind w:right="32"/>
              <w:spacing w:after="0" w:line="122" w:lineRule="exact"/>
              <w:rPr>
                <w:sz w:val="20"/>
                <w:szCs w:val="20"/>
                <w:color w:val="auto"/>
              </w:rPr>
            </w:pPr>
            <w:r>
              <w:rPr>
                <w:rFonts w:ascii="Arial" w:cs="Arial" w:eastAsia="Arial" w:hAnsi="Arial"/>
                <w:sz w:val="13"/>
                <w:szCs w:val="13"/>
                <w:b w:val="1"/>
                <w:bCs w:val="1"/>
                <w:color w:val="auto"/>
                <w:w w:val="97"/>
              </w:rPr>
              <w:t>Aggregate Offering</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Fee Rate</w:t>
            </w:r>
          </w:p>
        </w:tc>
        <w:tc>
          <w:tcPr>
            <w:tcW w:w="13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50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Rule</w:t>
            </w: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3"/>
                <w:szCs w:val="13"/>
                <w:b w:val="1"/>
                <w:bCs w:val="1"/>
                <w:color w:val="auto"/>
              </w:rPr>
              <w:t>(1)</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Price Per Unit (2)</w:t>
            </w:r>
          </w:p>
        </w:tc>
        <w:tc>
          <w:tcPr>
            <w:tcW w:w="1340" w:type="dxa"/>
            <w:vAlign w:val="bottom"/>
            <w:tcBorders>
              <w:bottom w:val="single" w:sz="8" w:color="auto"/>
            </w:tcBorders>
          </w:tcPr>
          <w:p>
            <w:pPr>
              <w:jc w:val="center"/>
              <w:ind w:right="32"/>
              <w:spacing w:after="0"/>
              <w:rPr>
                <w:sz w:val="20"/>
                <w:szCs w:val="20"/>
                <w:color w:val="auto"/>
              </w:rPr>
            </w:pPr>
            <w:r>
              <w:rPr>
                <w:rFonts w:ascii="Arial" w:cs="Arial" w:eastAsia="Arial" w:hAnsi="Arial"/>
                <w:sz w:val="13"/>
                <w:szCs w:val="13"/>
                <w:b w:val="1"/>
                <w:bCs w:val="1"/>
                <w:color w:val="auto"/>
                <w:w w:val="93"/>
              </w:rPr>
              <w:t>Price (2)</w:t>
            </w:r>
          </w:p>
        </w:tc>
        <w:tc>
          <w:tcPr>
            <w:tcW w:w="10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tcPr>
          <w:p>
            <w:pPr>
              <w:jc w:val="center"/>
              <w:ind w:left="51"/>
              <w:spacing w:after="0"/>
              <w:rPr>
                <w:sz w:val="20"/>
                <w:szCs w:val="20"/>
                <w:color w:val="auto"/>
              </w:rPr>
            </w:pPr>
            <w:r>
              <w:rPr>
                <w:rFonts w:ascii="Arial" w:cs="Arial" w:eastAsia="Arial" w:hAnsi="Arial"/>
                <w:sz w:val="13"/>
                <w:szCs w:val="13"/>
                <w:b w:val="1"/>
                <w:bCs w:val="1"/>
                <w:color w:val="auto"/>
                <w:w w:val="97"/>
              </w:rPr>
              <w:t>Registration Fee (2)</w:t>
            </w:r>
          </w:p>
        </w:tc>
        <w:tc>
          <w:tcPr>
            <w:tcW w:w="0" w:type="dxa"/>
            <w:vAlign w:val="bottom"/>
          </w:tcPr>
          <w:p>
            <w:pPr>
              <w:spacing w:after="0"/>
              <w:rPr>
                <w:sz w:val="1"/>
                <w:szCs w:val="1"/>
                <w:color w:val="auto"/>
              </w:rPr>
            </w:pPr>
          </w:p>
        </w:tc>
      </w:tr>
      <w:tr>
        <w:trPr>
          <w:trHeight w:val="146"/>
        </w:trPr>
        <w:tc>
          <w:tcPr>
            <w:tcW w:w="1500" w:type="dxa"/>
            <w:vAlign w:val="bottom"/>
          </w:tcPr>
          <w:p>
            <w:pPr>
              <w:spacing w:after="0"/>
              <w:rPr>
                <w:sz w:val="12"/>
                <w:szCs w:val="12"/>
                <w:color w:val="auto"/>
              </w:rPr>
            </w:pPr>
          </w:p>
        </w:tc>
        <w:tc>
          <w:tcPr>
            <w:tcW w:w="1760" w:type="dxa"/>
            <w:vAlign w:val="bottom"/>
          </w:tcPr>
          <w:p>
            <w:pPr>
              <w:jc w:val="center"/>
              <w:ind w:right="10"/>
              <w:spacing w:after="0" w:line="146" w:lineRule="exact"/>
              <w:rPr>
                <w:sz w:val="20"/>
                <w:szCs w:val="20"/>
                <w:color w:val="auto"/>
              </w:rPr>
            </w:pPr>
            <w:r>
              <w:rPr>
                <w:rFonts w:ascii="Arial" w:cs="Arial" w:eastAsia="Arial" w:hAnsi="Arial"/>
                <w:sz w:val="14"/>
                <w:szCs w:val="14"/>
                <w:color w:val="auto"/>
              </w:rPr>
              <w:t>Class A Non-Voting</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Rule 457(c) and</w:t>
            </w: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rPr>
              <w:t>$92.70 per</w:t>
            </w: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vMerge w:val="restart"/>
          </w:tcPr>
          <w:p>
            <w:pPr>
              <w:ind w:left="20"/>
              <w:spacing w:after="0"/>
              <w:rPr>
                <w:sz w:val="20"/>
                <w:szCs w:val="20"/>
                <w:color w:val="auto"/>
              </w:rPr>
            </w:pPr>
            <w:r>
              <w:rPr>
                <w:rFonts w:ascii="Arial" w:cs="Arial" w:eastAsia="Arial" w:hAnsi="Arial"/>
                <w:sz w:val="14"/>
                <w:szCs w:val="14"/>
                <w:color w:val="auto"/>
              </w:rPr>
              <w:t>Equity</w:t>
            </w:r>
          </w:p>
        </w:tc>
        <w:tc>
          <w:tcPr>
            <w:tcW w:w="1760" w:type="dxa"/>
            <w:vAlign w:val="bottom"/>
          </w:tcPr>
          <w:p>
            <w:pPr>
              <w:jc w:val="center"/>
              <w:spacing w:after="0" w:line="149" w:lineRule="exact"/>
              <w:rPr>
                <w:sz w:val="20"/>
                <w:szCs w:val="20"/>
                <w:color w:val="auto"/>
              </w:rPr>
            </w:pPr>
            <w:r>
              <w:rPr>
                <w:rFonts w:ascii="Arial" w:cs="Arial" w:eastAsia="Arial" w:hAnsi="Arial"/>
                <w:sz w:val="14"/>
                <w:szCs w:val="14"/>
                <w:color w:val="auto"/>
              </w:rPr>
              <w:t>Common Stock, par value,</w:t>
            </w:r>
          </w:p>
        </w:tc>
        <w:tc>
          <w:tcPr>
            <w:tcW w:w="1160" w:type="dxa"/>
            <w:vAlign w:val="bottom"/>
            <w:vMerge w:val="continue"/>
          </w:tcPr>
          <w:p>
            <w:pPr>
              <w:spacing w:after="0"/>
              <w:rPr>
                <w:sz w:val="12"/>
                <w:szCs w:val="12"/>
                <w:color w:val="auto"/>
              </w:rPr>
            </w:pPr>
          </w:p>
        </w:tc>
        <w:tc>
          <w:tcPr>
            <w:tcW w:w="1280" w:type="dxa"/>
            <w:vAlign w:val="bottom"/>
            <w:vMerge w:val="restart"/>
          </w:tcPr>
          <w:p>
            <w:pPr>
              <w:jc w:val="right"/>
              <w:ind w:right="294"/>
              <w:spacing w:after="0"/>
              <w:rPr>
                <w:sz w:val="20"/>
                <w:szCs w:val="20"/>
                <w:color w:val="auto"/>
              </w:rPr>
            </w:pPr>
            <w:r>
              <w:rPr>
                <w:rFonts w:ascii="Arial" w:cs="Arial" w:eastAsia="Arial" w:hAnsi="Arial"/>
                <w:sz w:val="14"/>
                <w:szCs w:val="14"/>
                <w:color w:val="auto"/>
              </w:rPr>
              <w:t>700,000</w:t>
            </w:r>
          </w:p>
        </w:tc>
        <w:tc>
          <w:tcPr>
            <w:tcW w:w="1220" w:type="dxa"/>
            <w:vAlign w:val="bottom"/>
            <w:vMerge w:val="restart"/>
          </w:tcPr>
          <w:p>
            <w:pPr>
              <w:jc w:val="center"/>
              <w:spacing w:after="0"/>
              <w:rPr>
                <w:sz w:val="20"/>
                <w:szCs w:val="20"/>
                <w:color w:val="auto"/>
              </w:rPr>
            </w:pPr>
            <w:r>
              <w:rPr>
                <w:rFonts w:ascii="Arial" w:cs="Arial" w:eastAsia="Arial" w:hAnsi="Arial"/>
                <w:sz w:val="14"/>
                <w:szCs w:val="14"/>
                <w:color w:val="auto"/>
              </w:rPr>
              <w:t>$7.70</w:t>
            </w:r>
          </w:p>
        </w:tc>
        <w:tc>
          <w:tcPr>
            <w:tcW w:w="1340" w:type="dxa"/>
            <w:vAlign w:val="bottom"/>
            <w:vMerge w:val="restart"/>
          </w:tcPr>
          <w:p>
            <w:pPr>
              <w:jc w:val="center"/>
              <w:ind w:right="32"/>
              <w:spacing w:after="0"/>
              <w:rPr>
                <w:sz w:val="20"/>
                <w:szCs w:val="20"/>
                <w:color w:val="auto"/>
              </w:rPr>
            </w:pPr>
            <w:r>
              <w:rPr>
                <w:rFonts w:ascii="Arial" w:cs="Arial" w:eastAsia="Arial" w:hAnsi="Arial"/>
                <w:sz w:val="14"/>
                <w:szCs w:val="14"/>
                <w:color w:val="auto"/>
              </w:rPr>
              <w:t>$5,390,000</w:t>
            </w:r>
          </w:p>
        </w:tc>
        <w:tc>
          <w:tcPr>
            <w:tcW w:w="1040" w:type="dxa"/>
            <w:vAlign w:val="bottom"/>
            <w:vMerge w:val="continue"/>
          </w:tcPr>
          <w:p>
            <w:pPr>
              <w:spacing w:after="0"/>
              <w:rPr>
                <w:sz w:val="12"/>
                <w:szCs w:val="12"/>
                <w:color w:val="auto"/>
              </w:rPr>
            </w:pPr>
          </w:p>
        </w:tc>
        <w:tc>
          <w:tcPr>
            <w:tcW w:w="1340" w:type="dxa"/>
            <w:vAlign w:val="bottom"/>
            <w:vMerge w:val="restart"/>
          </w:tcPr>
          <w:p>
            <w:pPr>
              <w:jc w:val="center"/>
              <w:ind w:left="31"/>
              <w:spacing w:after="0"/>
              <w:rPr>
                <w:sz w:val="20"/>
                <w:szCs w:val="20"/>
                <w:color w:val="auto"/>
              </w:rPr>
            </w:pPr>
            <w:r>
              <w:rPr>
                <w:rFonts w:ascii="Arial" w:cs="Arial" w:eastAsia="Arial" w:hAnsi="Arial"/>
                <w:sz w:val="14"/>
                <w:szCs w:val="14"/>
                <w:color w:val="auto"/>
              </w:rPr>
              <w:t>$499.65</w:t>
            </w:r>
          </w:p>
        </w:tc>
        <w:tc>
          <w:tcPr>
            <w:tcW w:w="0" w:type="dxa"/>
            <w:vAlign w:val="bottom"/>
          </w:tcPr>
          <w:p>
            <w:pPr>
              <w:spacing w:after="0"/>
              <w:rPr>
                <w:sz w:val="1"/>
                <w:szCs w:val="1"/>
                <w:color w:val="auto"/>
              </w:rPr>
            </w:pPr>
          </w:p>
        </w:tc>
      </w:tr>
      <w:tr>
        <w:trPr>
          <w:trHeight w:val="190"/>
        </w:trPr>
        <w:tc>
          <w:tcPr>
            <w:tcW w:w="1500" w:type="dxa"/>
            <w:vAlign w:val="bottom"/>
            <w:vMerge w:val="continue"/>
          </w:tcPr>
          <w:p>
            <w:pPr>
              <w:spacing w:after="0"/>
              <w:rPr>
                <w:sz w:val="16"/>
                <w:szCs w:val="16"/>
                <w:color w:val="auto"/>
              </w:rPr>
            </w:pPr>
          </w:p>
        </w:tc>
        <w:tc>
          <w:tcPr>
            <w:tcW w:w="1760" w:type="dxa"/>
            <w:vAlign w:val="bottom"/>
          </w:tcPr>
          <w:p>
            <w:pPr>
              <w:jc w:val="center"/>
              <w:ind w:right="10"/>
              <w:spacing w:after="0"/>
              <w:rPr>
                <w:sz w:val="20"/>
                <w:szCs w:val="20"/>
                <w:color w:val="auto"/>
              </w:rPr>
            </w:pPr>
            <w:r>
              <w:rPr>
                <w:rFonts w:ascii="Arial" w:cs="Arial" w:eastAsia="Arial" w:hAnsi="Arial"/>
                <w:sz w:val="14"/>
                <w:szCs w:val="14"/>
                <w:color w:val="auto"/>
              </w:rPr>
              <w:t>$0.01 per share</w:t>
            </w:r>
          </w:p>
        </w:tc>
        <w:tc>
          <w:tcPr>
            <w:tcW w:w="1160" w:type="dxa"/>
            <w:vAlign w:val="bottom"/>
          </w:tcPr>
          <w:p>
            <w:pPr>
              <w:jc w:val="center"/>
              <w:spacing w:after="0"/>
              <w:rPr>
                <w:sz w:val="20"/>
                <w:szCs w:val="20"/>
                <w:color w:val="auto"/>
              </w:rPr>
            </w:pPr>
            <w:r>
              <w:rPr>
                <w:rFonts w:ascii="Arial" w:cs="Arial" w:eastAsia="Arial" w:hAnsi="Arial"/>
                <w:sz w:val="14"/>
                <w:szCs w:val="14"/>
                <w:color w:val="auto"/>
              </w:rPr>
              <w:t>457(h)</w:t>
            </w:r>
          </w:p>
        </w:tc>
        <w:tc>
          <w:tcPr>
            <w:tcW w:w="128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$1,000,000</w:t>
            </w: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5"/>
        </w:trPr>
        <w:tc>
          <w:tcPr>
            <w:tcW w:w="1500" w:type="dxa"/>
            <w:vAlign w:val="bottom"/>
          </w:tcPr>
          <w:p>
            <w:pPr>
              <w:ind w:left="20"/>
              <w:spacing w:after="0"/>
              <w:rPr>
                <w:sz w:val="20"/>
                <w:szCs w:val="20"/>
                <w:color w:val="auto"/>
              </w:rPr>
            </w:pPr>
            <w:r>
              <w:rPr>
                <w:rFonts w:ascii="Arial" w:cs="Arial" w:eastAsia="Arial" w:hAnsi="Arial"/>
                <w:sz w:val="14"/>
                <w:szCs w:val="14"/>
                <w:color w:val="auto"/>
              </w:rPr>
              <w:t>Total Offering Amounts</w:t>
            </w:r>
          </w:p>
        </w:tc>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$5,390,000</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$499.65</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4"/>
                <w:szCs w:val="14"/>
                <w:color w:val="auto"/>
              </w:rPr>
              <w:t>Total Fee Offsets</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51"/>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14"/>
                <w:szCs w:val="14"/>
                <w:color w:val="auto"/>
              </w:rPr>
              <w:t>Net Fee Due</w:t>
            </w: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right="32"/>
              <w:spacing w:after="0"/>
              <w:rPr>
                <w:sz w:val="20"/>
                <w:szCs w:val="20"/>
                <w:color w:val="auto"/>
              </w:rPr>
            </w:pPr>
            <w:r>
              <w:rPr>
                <w:rFonts w:ascii="Arial" w:cs="Arial" w:eastAsia="Arial" w:hAnsi="Arial"/>
                <w:sz w:val="14"/>
                <w:szCs w:val="14"/>
                <w:color w:val="auto"/>
              </w:rPr>
              <w:t>—</w:t>
            </w: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340" w:type="dxa"/>
            <w:vAlign w:val="bottom"/>
          </w:tcPr>
          <w:p>
            <w:pPr>
              <w:jc w:val="center"/>
              <w:ind w:left="31"/>
              <w:spacing w:after="0"/>
              <w:rPr>
                <w:sz w:val="20"/>
                <w:szCs w:val="20"/>
                <w:color w:val="auto"/>
              </w:rPr>
            </w:pPr>
            <w:r>
              <w:rPr>
                <w:rFonts w:ascii="Arial" w:cs="Arial" w:eastAsia="Arial" w:hAnsi="Arial"/>
                <w:sz w:val="14"/>
                <w:szCs w:val="14"/>
                <w:color w:val="auto"/>
              </w:rPr>
              <w:t>$499.65</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340" w:right="380" w:hanging="332"/>
        <w:spacing w:after="0" w:line="281"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 this Registration Statement shall be deemed to cover such additional shares of Class A Non-Voting Common Stock as may become issuable pursuant to the antidilution provisions of the 2010 Long-Term Incentive Plan.</w:t>
      </w:r>
    </w:p>
    <w:p>
      <w:pPr>
        <w:spacing w:after="0" w:line="1" w:lineRule="exact"/>
        <w:rPr>
          <w:rFonts w:ascii="Arial" w:cs="Arial" w:eastAsia="Arial" w:hAnsi="Arial"/>
          <w:sz w:val="18"/>
          <w:szCs w:val="18"/>
          <w:color w:val="auto"/>
        </w:rPr>
      </w:pPr>
    </w:p>
    <w:p>
      <w:pPr>
        <w:ind w:left="340" w:right="20" w:hanging="332"/>
        <w:spacing w:after="0" w:line="268" w:lineRule="auto"/>
        <w:tabs>
          <w:tab w:leader="none" w:pos="436"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in accordance with Rule 457(h), on the basis of the price of securities of the same class, as determined in accordance with Rule 457(c), using the average of the high and low prices for the Class A Non-Voting Common Stock reported on The NASDAQ Stock Market on July 28, 2022.</w:t>
      </w:r>
    </w:p>
    <w:p>
      <w:pPr>
        <w:sectPr>
          <w:pgSz w:w="11900" w:h="16838" w:orient="portrait"/>
          <w:cols w:equalWidth="0" w:num="1">
            <w:col w:w="11240"/>
          </w:cols>
          <w:pgMar w:left="320" w:top="1384" w:right="339" w:bottom="1440" w:gutter="0" w:footer="0" w:header="0"/>
        </w:sectPr>
      </w:pPr>
    </w:p>
    <w:bookmarkStart w:id="4" w:name="page5"/>
    <w:bookmarkEnd w:id="4"/>
    <w:p>
      <w:pPr>
        <w:ind w:left="3460"/>
        <w:spacing w:after="0"/>
        <w:rPr>
          <w:sz w:val="20"/>
          <w:szCs w:val="20"/>
          <w:color w:val="auto"/>
        </w:rPr>
      </w:pPr>
      <w:r>
        <w:rPr>
          <w:rFonts w:ascii="Calibri" w:cs="Calibri" w:eastAsia="Calibri" w:hAnsi="Calibri"/>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057400" cy="351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057400" cy="351155"/>
                    </a:xfrm>
                    <a:prstGeom prst="rect">
                      <a:avLst/>
                    </a:prstGeom>
                    <a:noFill/>
                  </pic:spPr>
                </pic:pic>
              </a:graphicData>
            </a:graphic>
          </wp:anchor>
        </w:drawing>
        <w:t>Exhibit 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Calibri" w:cs="Calibri" w:eastAsia="Calibri" w:hAnsi="Calibri"/>
          <w:sz w:val="20"/>
          <w:szCs w:val="20"/>
          <w:color w:val="auto"/>
        </w:rPr>
        <w:t>August 4, 2022</w:t>
      </w:r>
    </w:p>
    <w:p>
      <w:pPr>
        <w:spacing w:after="0" w:line="174" w:lineRule="exact"/>
        <w:rPr>
          <w:sz w:val="20"/>
          <w:szCs w:val="20"/>
          <w:color w:val="auto"/>
        </w:rPr>
      </w:pPr>
    </w:p>
    <w:p>
      <w:pPr>
        <w:spacing w:after="0"/>
        <w:rPr>
          <w:sz w:val="20"/>
          <w:szCs w:val="20"/>
          <w:color w:val="auto"/>
        </w:rPr>
      </w:pPr>
      <w:r>
        <w:rPr>
          <w:rFonts w:ascii="Calibri" w:cs="Calibri" w:eastAsia="Calibri" w:hAnsi="Calibri"/>
          <w:sz w:val="20"/>
          <w:szCs w:val="20"/>
          <w:color w:val="auto"/>
        </w:rPr>
        <w:t>EZCORP, Inc.</w:t>
      </w:r>
    </w:p>
    <w:p>
      <w:pPr>
        <w:spacing w:after="0" w:line="238" w:lineRule="auto"/>
        <w:rPr>
          <w:sz w:val="20"/>
          <w:szCs w:val="20"/>
          <w:color w:val="auto"/>
        </w:rPr>
      </w:pPr>
      <w:r>
        <w:rPr>
          <w:rFonts w:ascii="Calibri" w:cs="Calibri" w:eastAsia="Calibri" w:hAnsi="Calibri"/>
          <w:sz w:val="20"/>
          <w:szCs w:val="20"/>
          <w:color w:val="auto"/>
        </w:rPr>
        <w:t>Building One, Suite 200</w:t>
      </w:r>
    </w:p>
    <w:p>
      <w:pPr>
        <w:spacing w:after="0" w:line="226" w:lineRule="auto"/>
        <w:rPr>
          <w:sz w:val="20"/>
          <w:szCs w:val="20"/>
          <w:color w:val="auto"/>
        </w:rPr>
      </w:pPr>
      <w:r>
        <w:rPr>
          <w:rFonts w:ascii="Calibri" w:cs="Calibri" w:eastAsia="Calibri" w:hAnsi="Calibri"/>
          <w:sz w:val="20"/>
          <w:szCs w:val="20"/>
          <w:color w:val="auto"/>
        </w:rPr>
        <w:t>2500 Bee Cave Road</w:t>
      </w:r>
    </w:p>
    <w:p>
      <w:pPr>
        <w:spacing w:after="0"/>
        <w:rPr>
          <w:sz w:val="20"/>
          <w:szCs w:val="20"/>
          <w:color w:val="auto"/>
        </w:rPr>
      </w:pPr>
      <w:r>
        <w:rPr>
          <w:rFonts w:ascii="Calibri" w:cs="Calibri" w:eastAsia="Calibri" w:hAnsi="Calibri"/>
          <w:sz w:val="20"/>
          <w:szCs w:val="20"/>
          <w:color w:val="auto"/>
        </w:rPr>
        <w:t>Rollingwood, Texas 78746</w:t>
      </w:r>
    </w:p>
    <w:p>
      <w:pPr>
        <w:spacing w:after="0" w:line="214" w:lineRule="exact"/>
        <w:rPr>
          <w:sz w:val="20"/>
          <w:szCs w:val="20"/>
          <w:color w:val="auto"/>
        </w:rPr>
      </w:pPr>
    </w:p>
    <w:p>
      <w:pPr>
        <w:ind w:left="660"/>
        <w:spacing w:after="0"/>
        <w:tabs>
          <w:tab w:leader="none" w:pos="1080" w:val="left"/>
        </w:tabs>
        <w:rPr>
          <w:sz w:val="20"/>
          <w:szCs w:val="20"/>
          <w:color w:val="auto"/>
        </w:rPr>
      </w:pPr>
      <w:r>
        <w:rPr>
          <w:rFonts w:ascii="Calibri" w:cs="Calibri" w:eastAsia="Calibri" w:hAnsi="Calibri"/>
          <w:sz w:val="20"/>
          <w:szCs w:val="20"/>
          <w:color w:val="auto"/>
        </w:rPr>
        <w:t>Re:</w:t>
      </w:r>
      <w:r>
        <w:rPr>
          <w:sz w:val="20"/>
          <w:szCs w:val="20"/>
          <w:color w:val="auto"/>
        </w:rPr>
        <w:tab/>
      </w:r>
      <w:r>
        <w:rPr>
          <w:rFonts w:ascii="Calibri" w:cs="Calibri" w:eastAsia="Calibri" w:hAnsi="Calibri"/>
          <w:sz w:val="20"/>
          <w:szCs w:val="20"/>
          <w:u w:val="single" w:color="auto"/>
          <w:color w:val="auto"/>
        </w:rPr>
        <w:t>Registraton Statement on Form S-8</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Ladies and Gentlemen:</w:t>
      </w:r>
    </w:p>
    <w:p>
      <w:pPr>
        <w:spacing w:after="0" w:line="144" w:lineRule="exact"/>
        <w:rPr>
          <w:sz w:val="20"/>
          <w:szCs w:val="20"/>
          <w:color w:val="auto"/>
        </w:rPr>
      </w:pPr>
    </w:p>
    <w:p>
      <w:pPr>
        <w:ind w:right="20"/>
        <w:spacing w:after="0" w:line="234" w:lineRule="auto"/>
        <w:rPr>
          <w:sz w:val="20"/>
          <w:szCs w:val="20"/>
          <w:color w:val="auto"/>
        </w:rPr>
      </w:pPr>
      <w:r>
        <w:rPr>
          <w:rFonts w:ascii="Calibri" w:cs="Calibri" w:eastAsia="Calibri" w:hAnsi="Calibri"/>
          <w:sz w:val="20"/>
          <w:szCs w:val="20"/>
          <w:color w:val="auto"/>
        </w:rPr>
        <w:t>I am Chief Legal Ofcer and Secretary for EZCORP, Inc., a Delaware corporaton (the “Company”), and have represented the Company in connecton with the preparaton of the Registraton Statement on Form S-8 (the “Registraton Statement”) to be fled with the Securites and Exchange Commission in connecton with the registraton under the Securites Act of 1933 of the ofer and sale of 700,000 shares of the Company's Class A Non-Votng Common Stock, par value $.01 per share (the “Shares”), that may be issued from tme to tme pursuant to awards granted under the EZCORP, Inc. 2010 Long-Term Incentve Plan (the “Plan”).</w:t>
      </w:r>
    </w:p>
    <w:p>
      <w:pPr>
        <w:spacing w:after="0" w:line="146" w:lineRule="exact"/>
        <w:rPr>
          <w:sz w:val="20"/>
          <w:szCs w:val="20"/>
          <w:color w:val="auto"/>
        </w:rPr>
      </w:pPr>
    </w:p>
    <w:p>
      <w:pPr>
        <w:ind w:right="260"/>
        <w:spacing w:after="0" w:line="234" w:lineRule="auto"/>
        <w:rPr>
          <w:sz w:val="20"/>
          <w:szCs w:val="20"/>
          <w:color w:val="auto"/>
        </w:rPr>
      </w:pPr>
      <w:r>
        <w:rPr>
          <w:rFonts w:ascii="Calibri" w:cs="Calibri" w:eastAsia="Calibri" w:hAnsi="Calibri"/>
          <w:sz w:val="20"/>
          <w:szCs w:val="20"/>
          <w:color w:val="auto"/>
        </w:rPr>
        <w:t>In reaching the opinion set forth herein, I have examined such agreements, certfcates of public ofcials and ofcers of the Company, records, documents and maters of law as I deemed relevant.</w:t>
      </w:r>
    </w:p>
    <w:p>
      <w:pPr>
        <w:spacing w:after="0" w:line="145" w:lineRule="exact"/>
        <w:rPr>
          <w:sz w:val="20"/>
          <w:szCs w:val="20"/>
          <w:color w:val="auto"/>
        </w:rPr>
      </w:pPr>
    </w:p>
    <w:p>
      <w:pPr>
        <w:spacing w:after="0" w:line="231" w:lineRule="auto"/>
        <w:rPr>
          <w:sz w:val="20"/>
          <w:szCs w:val="20"/>
          <w:color w:val="auto"/>
        </w:rPr>
      </w:pPr>
      <w:r>
        <w:rPr>
          <w:rFonts w:ascii="Calibri" w:cs="Calibri" w:eastAsia="Calibri" w:hAnsi="Calibri"/>
          <w:sz w:val="20"/>
          <w:szCs w:val="20"/>
          <w:color w:val="auto"/>
        </w:rPr>
        <w:t>Based on the foregoing and subject further to the assumptons, exceptons and qualifcatons hereinafer stated, I am of the opinion that the Shares, when issued in the manner contemplated by the Registraton Statement and in accordance with the terms of the Plan and the relevant award agreements, will be legally issued, fully paid and nonassessable.</w:t>
      </w:r>
    </w:p>
    <w:p>
      <w:pPr>
        <w:spacing w:after="0" w:line="146"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In rendering the opinion set forth herein, I have assumed that the Company will receive the full amount and type of consideraton (as specifed in the Plan and each applicable award agreement) for each of the Shares or will have received that consideraton upon the issuance of the Shares pursuant to the applicable award agreement; that such consideraton will be in cash, personal property or services already performed; that such consideraton will equal or exceed the par value per share of the Shares; that appropriate certfcates or other evidence of ownership with respect to the Shares will be properly executed upon each such issuance; and that each grant of an award pursuant to the Plan will be duly authorized.</w:t>
      </w:r>
    </w:p>
    <w:p>
      <w:pPr>
        <w:spacing w:after="0" w:line="157" w:lineRule="exact"/>
        <w:rPr>
          <w:sz w:val="20"/>
          <w:szCs w:val="20"/>
          <w:color w:val="auto"/>
        </w:rPr>
      </w:pPr>
    </w:p>
    <w:p>
      <w:pPr>
        <w:ind w:right="120"/>
        <w:spacing w:after="0" w:line="228" w:lineRule="auto"/>
        <w:rPr>
          <w:sz w:val="20"/>
          <w:szCs w:val="20"/>
          <w:color w:val="auto"/>
        </w:rPr>
      </w:pPr>
      <w:r>
        <w:rPr>
          <w:rFonts w:ascii="Calibri" w:cs="Calibri" w:eastAsia="Calibri" w:hAnsi="Calibri"/>
          <w:sz w:val="20"/>
          <w:szCs w:val="20"/>
          <w:color w:val="auto"/>
        </w:rPr>
        <w:t>The opinion expressed above is limited to the laws of the State of Texas, the Delaware General Corporaton Law and the federal laws of the United States of America. I am not admited to the practce of law in the State of Delaware.</w:t>
      </w:r>
    </w:p>
    <w:p>
      <w:pPr>
        <w:spacing w:after="0" w:line="144" w:lineRule="exact"/>
        <w:rPr>
          <w:sz w:val="20"/>
          <w:szCs w:val="20"/>
          <w:color w:val="auto"/>
        </w:rPr>
      </w:pPr>
    </w:p>
    <w:p>
      <w:pPr>
        <w:ind w:right="280"/>
        <w:spacing w:after="0" w:line="236" w:lineRule="auto"/>
        <w:rPr>
          <w:sz w:val="20"/>
          <w:szCs w:val="20"/>
          <w:color w:val="auto"/>
        </w:rPr>
      </w:pPr>
      <w:r>
        <w:rPr>
          <w:rFonts w:ascii="Calibri" w:cs="Calibri" w:eastAsia="Calibri" w:hAnsi="Calibri"/>
          <w:sz w:val="20"/>
          <w:szCs w:val="20"/>
          <w:color w:val="auto"/>
        </w:rPr>
        <w:t>I hereby consent to the fling of this opinion as an exhibit to the Registraton Statement. In giving this consent, I do not thereby admit that I come into the category of persons whose consent is required under Secton 7 of the Securites Act of 1933 or the rules and regulatons of the Securites and Exchange Commission promulgated thereunder.</w:t>
      </w:r>
    </w:p>
    <w:p>
      <w:pPr>
        <w:spacing w:after="0" w:line="134" w:lineRule="exact"/>
        <w:rPr>
          <w:sz w:val="20"/>
          <w:szCs w:val="20"/>
          <w:color w:val="auto"/>
        </w:rPr>
      </w:pPr>
    </w:p>
    <w:p>
      <w:pPr>
        <w:ind w:left="4220"/>
        <w:spacing w:after="0"/>
        <w:rPr>
          <w:sz w:val="20"/>
          <w:szCs w:val="20"/>
          <w:color w:val="auto"/>
        </w:rPr>
      </w:pPr>
      <w:r>
        <w:rPr>
          <w:rFonts w:ascii="Calibri" w:cs="Calibri" w:eastAsia="Calibri" w:hAnsi="Calibri"/>
          <w:sz w:val="20"/>
          <w:szCs w:val="20"/>
          <w:color w:val="auto"/>
        </w:rPr>
        <w:t>Sincerely,</w:t>
      </w:r>
    </w:p>
    <w:p>
      <w:pPr>
        <w:spacing w:after="0" w:line="134" w:lineRule="exact"/>
        <w:rPr>
          <w:sz w:val="20"/>
          <w:szCs w:val="20"/>
          <w:color w:val="auto"/>
        </w:rPr>
      </w:pPr>
    </w:p>
    <w:p>
      <w:pPr>
        <w:ind w:left="4220"/>
        <w:spacing w:after="0"/>
        <w:rPr>
          <w:sz w:val="20"/>
          <w:szCs w:val="20"/>
          <w:color w:val="auto"/>
        </w:rPr>
      </w:pPr>
      <w:r>
        <w:rPr>
          <w:rFonts w:ascii="Calibri" w:cs="Calibri" w:eastAsia="Calibri" w:hAnsi="Calibri"/>
          <w:sz w:val="20"/>
          <w:szCs w:val="20"/>
          <w:color w:val="auto"/>
        </w:rPr>
        <w:t>/s/ Thomas H. Welch, Jr.</w:t>
      </w:r>
    </w:p>
    <w:p>
      <w:pPr>
        <w:spacing w:after="0" w:line="134" w:lineRule="exact"/>
        <w:rPr>
          <w:sz w:val="20"/>
          <w:szCs w:val="20"/>
          <w:color w:val="auto"/>
        </w:rPr>
      </w:pPr>
    </w:p>
    <w:p>
      <w:pPr>
        <w:ind w:left="4220"/>
        <w:spacing w:after="0"/>
        <w:rPr>
          <w:sz w:val="20"/>
          <w:szCs w:val="20"/>
          <w:color w:val="auto"/>
        </w:rPr>
      </w:pPr>
      <w:r>
        <w:rPr>
          <w:rFonts w:ascii="Calibri" w:cs="Calibri" w:eastAsia="Calibri" w:hAnsi="Calibri"/>
          <w:sz w:val="20"/>
          <w:szCs w:val="20"/>
          <w:color w:val="auto"/>
        </w:rPr>
        <w:t>Thomas H. Welch, Jr.,</w:t>
      </w:r>
    </w:p>
    <w:p>
      <w:pPr>
        <w:ind w:left="4220"/>
        <w:spacing w:after="0" w:line="238" w:lineRule="auto"/>
        <w:rPr>
          <w:sz w:val="20"/>
          <w:szCs w:val="20"/>
          <w:color w:val="auto"/>
        </w:rPr>
      </w:pPr>
      <w:r>
        <w:rPr>
          <w:rFonts w:ascii="Calibri" w:cs="Calibri" w:eastAsia="Calibri" w:hAnsi="Calibri"/>
          <w:sz w:val="20"/>
          <w:szCs w:val="20"/>
          <w:color w:val="auto"/>
        </w:rPr>
        <w:t>Chief Legal Ofcer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59"/>
        <w:spacing w:after="0"/>
        <w:rPr>
          <w:sz w:val="20"/>
          <w:szCs w:val="20"/>
          <w:color w:val="auto"/>
        </w:rPr>
      </w:pPr>
      <w:r>
        <w:rPr>
          <w:rFonts w:ascii="Calibri" w:cs="Calibri" w:eastAsia="Calibri" w:hAnsi="Calibri"/>
          <w:sz w:val="16"/>
          <w:szCs w:val="16"/>
          <w:b w:val="1"/>
          <w:bCs w:val="1"/>
          <w:color w:val="auto"/>
        </w:rPr>
        <w:t>EZCORP, Inc. 2500 Bee Cave Road Building One, Suite 200 Rollingwood, Texas 78746 (512) 314-3400</w:t>
      </w:r>
    </w:p>
    <w:p>
      <w:pPr>
        <w:sectPr>
          <w:pgSz w:w="11900" w:h="16838" w:orient="portrait"/>
          <w:cols w:equalWidth="0" w:num="1">
            <w:col w:w="11180"/>
          </w:cols>
          <w:pgMar w:left="320" w:top="504" w:right="399" w:bottom="1440" w:gutter="0" w:footer="0" w:header="0"/>
        </w:sectPr>
      </w:pPr>
    </w:p>
    <w:bookmarkStart w:id="5" w:name="page6"/>
    <w:bookmarkEnd w:id="5"/>
    <w:p>
      <w:pPr>
        <w:spacing w:after="0" w:line="161"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color w:val="auto"/>
        </w:rPr>
        <w:t>EZCORP, Inc.</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Austin, Texas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We hereby consent to the incorporation by reference in this Registration Statement of our reports dated November 17, 2021, relating to the consolidated financial statements and the effectiveness of EZCORP, Inc.’s internal control over financial reporting, appearing in the Company’s Annual Report on Form 10-K for the year ended September 30, 2021.</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/s/ BDO USA, LLP</w:t>
      </w:r>
    </w:p>
    <w:p>
      <w:pPr>
        <w:spacing w:after="0" w:line="254" w:lineRule="exact"/>
        <w:rPr>
          <w:sz w:val="20"/>
          <w:szCs w:val="20"/>
          <w:color w:val="auto"/>
        </w:rPr>
      </w:pPr>
    </w:p>
    <w:p>
      <w:pPr>
        <w:spacing w:after="0"/>
        <w:rPr>
          <w:sz w:val="20"/>
          <w:szCs w:val="20"/>
          <w:color w:val="auto"/>
        </w:rPr>
      </w:pPr>
      <w:r>
        <w:rPr>
          <w:rFonts w:ascii="Arial" w:cs="Arial" w:eastAsia="Arial" w:hAnsi="Arial"/>
          <w:sz w:val="19"/>
          <w:szCs w:val="19"/>
          <w:color w:val="auto"/>
        </w:rPr>
        <w:t>BDO USA, LLP</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Dallas, Texas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August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color w:val="685040"/>
        </w:rPr>
        <w:t>BDO USA, LLP, a Delaware limited liability partnership, is the U.S. member of BDO International Limited, a UK company limited by guarantee, and forms part of the international BDO network of independent member firms.</w:t>
      </w:r>
    </w:p>
    <w:p>
      <w:pPr>
        <w:spacing w:after="0" w:line="252" w:lineRule="exact"/>
        <w:rPr>
          <w:sz w:val="20"/>
          <w:szCs w:val="20"/>
          <w:color w:val="auto"/>
        </w:rPr>
      </w:pPr>
    </w:p>
    <w:p>
      <w:pPr>
        <w:spacing w:after="0"/>
        <w:rPr>
          <w:sz w:val="20"/>
          <w:szCs w:val="20"/>
          <w:color w:val="auto"/>
        </w:rPr>
      </w:pPr>
      <w:r>
        <w:rPr>
          <w:rFonts w:ascii="Arial" w:cs="Arial" w:eastAsia="Arial" w:hAnsi="Arial"/>
          <w:sz w:val="11"/>
          <w:szCs w:val="11"/>
          <w:color w:val="685040"/>
        </w:rPr>
        <w:t>BDO is the brand name for the BDO network and for each of the BDO Member Firms.</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2022-08-04T17:32:56Z</dcterms:created>
  <dcterms:modified xsi:type="dcterms:W3CDTF">2022-08-04T17:32:56Z</dcterms:modified>
</cp:coreProperties>
</file>