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8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w:t>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CURRENT REPORT</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 xml:space="preserve">PURSUANT TO SECTION 13 OR 15(d) OF THE SECURITIES EXCHANGE ACT OF </w:t>
      </w:r>
      <w:r>
        <w:rPr>
          <w:rFonts w:ascii="Arial" w:cs="Arial" w:eastAsia="Arial" w:hAnsi="Arial"/>
          <w:sz w:val="20"/>
          <w:szCs w:val="20"/>
          <w:b w:val="1"/>
          <w:bCs w:val="1"/>
          <w:color w:val="auto"/>
        </w:rPr>
        <w:t>1934</w:t>
      </w:r>
    </w:p>
    <w:p>
      <w:pPr>
        <w:spacing w:after="0" w:line="256"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19, 2015</w:t>
      </w:r>
    </w:p>
    <w:p>
      <w:pPr>
        <w:spacing w:after="0" w:line="219"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w:t>
      </w: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361" w:right="359" w:bottom="1440" w:gutter="0" w:footer="0" w:header="0"/>
        </w:sectPr>
      </w:pPr>
    </w:p>
    <w:p>
      <w:pPr>
        <w:spacing w:after="0" w:line="365" w:lineRule="exact"/>
        <w:rPr>
          <w:sz w:val="24"/>
          <w:szCs w:val="24"/>
          <w:color w:val="auto"/>
        </w:rPr>
      </w:pPr>
    </w:p>
    <w:p>
      <w:pPr>
        <w:ind w:left="152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160"/>
        <w:spacing w:after="0"/>
        <w:rPr>
          <w:sz w:val="20"/>
          <w:szCs w:val="20"/>
          <w:color w:val="auto"/>
        </w:rPr>
      </w:pPr>
      <w:r>
        <w:rPr>
          <w:rFonts w:ascii="Arial" w:cs="Arial" w:eastAsia="Arial" w:hAnsi="Arial"/>
          <w:sz w:val="19"/>
          <w:szCs w:val="19"/>
          <w:b w:val="1"/>
          <w:bCs w:val="1"/>
          <w:color w:val="auto"/>
        </w:rPr>
        <w:t>0-19424</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74-2540145</w:t>
      </w:r>
    </w:p>
    <w:p>
      <w:pPr>
        <w:spacing w:after="0" w:line="62" w:lineRule="exact"/>
        <w:rPr>
          <w:sz w:val="24"/>
          <w:szCs w:val="24"/>
          <w:color w:val="auto"/>
        </w:rPr>
      </w:pPr>
    </w:p>
    <w:p>
      <w:pPr>
        <w:sectPr>
          <w:pgSz w:w="11900" w:h="16838" w:orient="portrait"/>
          <w:cols w:equalWidth="0" w:num="3">
            <w:col w:w="4640" w:space="720"/>
            <w:col w:w="2880" w:space="720"/>
            <w:col w:w="2340"/>
          </w:cols>
          <w:pgMar w:left="240" w:top="1361" w:right="3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22" w:lineRule="exact"/>
        <w:rPr>
          <w:sz w:val="24"/>
          <w:szCs w:val="24"/>
          <w:color w:val="auto"/>
        </w:rPr>
      </w:pPr>
    </w:p>
    <w:p>
      <w:pPr>
        <w:sectPr>
          <w:pgSz w:w="11900" w:h="16838" w:orient="portrait"/>
          <w:cols w:equalWidth="0" w:num="3">
            <w:col w:w="4000" w:space="720"/>
            <w:col w:w="3500" w:space="720"/>
            <w:col w:w="2360"/>
          </w:cols>
          <w:pgMar w:left="240" w:top="1361" w:right="359" w:bottom="1440" w:gutter="0" w:footer="0" w:header="0"/>
          <w:type w:val="continuous"/>
        </w:sectPr>
      </w:pPr>
    </w:p>
    <w:p>
      <w:pPr>
        <w:ind w:left="8820"/>
        <w:spacing w:after="0"/>
        <w:rPr>
          <w:sz w:val="20"/>
          <w:szCs w:val="20"/>
          <w:color w:val="auto"/>
        </w:rPr>
      </w:pPr>
      <w:r>
        <w:rPr>
          <w:rFonts w:ascii="Arial" w:cs="Arial" w:eastAsia="Arial" w:hAnsi="Arial"/>
          <w:sz w:val="18"/>
          <w:szCs w:val="18"/>
          <w:color w:val="auto"/>
        </w:rPr>
        <w:t>Identification No.)</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1901 Capital Parkway, Austin, Texas 78746</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w:t>
      </w:r>
      <w:r>
        <w:rPr>
          <w:rFonts w:ascii="Arial" w:cs="Arial" w:eastAsia="Arial" w:hAnsi="Arial"/>
          <w:sz w:val="21"/>
          <w:szCs w:val="21"/>
          <w:b w:val="1"/>
          <w:bCs w:val="1"/>
          <w:color w:val="auto"/>
        </w:rPr>
        <w:t>512) 314-3400</w:t>
      </w:r>
    </w:p>
    <w:p>
      <w:pPr>
        <w:spacing w:after="0" w:line="244"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4"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4"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36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3.02 </w:t>
      </w:r>
      <w:r>
        <w:rPr>
          <w:rFonts w:ascii="Arial" w:cs="Arial" w:eastAsia="Arial" w:hAnsi="Arial"/>
          <w:sz w:val="18"/>
          <w:szCs w:val="18"/>
          <w:color w:val="auto"/>
        </w:rPr>
        <w:t>—</w:t>
      </w:r>
      <w:r>
        <w:rPr>
          <w:rFonts w:ascii="Arial" w:cs="Arial" w:eastAsia="Arial" w:hAnsi="Arial"/>
          <w:sz w:val="18"/>
          <w:szCs w:val="18"/>
          <w:b w:val="1"/>
          <w:bCs w:val="1"/>
          <w:color w:val="auto"/>
        </w:rPr>
        <w:t xml:space="preserve"> Unregistered Sales of Equity Securities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February 19, 2015, the Company completed the acquisition of 12 pawn stores in Central Texas doing business under the "Cash Pawn" brand. A copy of the Company's press release announcing this acquisition is filed as Exhibit 99.1 to this Report.</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aggregate purchase price for the acquisition was $16.75 million, comprised of $5.0 million in cash and 1,168,456 shares of the Company's Class A Non-voting Common Stock (the "Shares"), valued at $10.06 per Share (the average closing sales price of the stock on The Nasdaq Stock Market for the five trading days immediately preceding the closing). The Shares were issued in an unregistered private placement transaction pursuant to Section 4(a)(2) of the Securities Act of 1933 to a small number of related individuals and entities (the "Sellers") who are either "accredited investors" or "sophisticated investors."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the first anniversary of the closing date, the Sellers have the right to require the Company to repurchase the Shares for an aggregate price of $11.75 million (the "Put Option"). The Sellers may terminate the Put Option, in whole or in part, at any time. The Sellers are required to hold the Shares for a period of six months following the termination of the Put Option (the "Holding Period"). If the trading price of the Class A Non-voting Common Stock at the end of the Holding Period is less than $10.06 per share, then the Company will make an additional cash payment to the Sellers equal to the aggregate deficit, but such payment will not exceed $1 million. If the trading price of the Class A Non-voting Common Stock at the end of the Holding Period is more than $10.06 per share, then the Sellers will pay to the Company (either in cash or by returning a portion of the Shares) an amount equal to 50% of the aggregate excess, but such payment will not exceed $1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 and Exhibits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February 24, 2015, announcing completion of Cash Pawn acquisition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80" w:val="left"/>
          <w:tab w:leader="none" w:pos="7220" w:val="left"/>
        </w:tabs>
        <w:rPr>
          <w:sz w:val="20"/>
          <w:szCs w:val="20"/>
          <w:color w:val="auto"/>
        </w:rPr>
      </w:pPr>
      <w:r>
        <w:rPr>
          <w:rFonts w:ascii="Arial" w:cs="Arial" w:eastAsia="Arial" w:hAnsi="Arial"/>
          <w:sz w:val="18"/>
          <w:szCs w:val="18"/>
          <w:color w:val="auto"/>
        </w:rPr>
        <w:t>Date: February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564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74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jc w:val="center"/>
              <w:ind w:right="125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Press release, dated February 24, 2015, announcing completion of Cash Pawn acquisition</w:t>
            </w:r>
          </w:p>
        </w:tc>
      </w:tr>
      <w:tr>
        <w:trPr>
          <w:trHeight w:val="486"/>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tcPr>
          <w:p>
            <w:pPr>
              <w:jc w:val="right"/>
              <w:ind w:right="543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20"/>
          </w:cols>
          <w:pgMar w:left="400" w:top="742"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2627630</wp:posOffset>
            </wp:positionH>
            <wp:positionV relativeFrom="page">
              <wp:posOffset>680720</wp:posOffset>
            </wp:positionV>
            <wp:extent cx="230695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06955" cy="39433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ACQUIRES 12 PAWN STORES IN CENTRAL TEXAS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AUSTIN, Texas (February 24, 2015) - EZCORP, Inc. (NASDAQ: EZPW), a leading provider of pawn loans and consumer loans in the United States, Mexico and Canada, today announced that it has completed the acquisition of 12 pawn stores doing business under the “Cash Pawn” brand. The Cash Pawn business has been in operation since 1979 and is a leader in large format pawn stores, predominantly in Central Texas, including EZCORP’s home market of Austin, Texas.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Cash Pawn stores have been purchased for a total of $16.75 million, comprised of $5.0 million in cash and approximately 1.17 million shares of EZCORP stock. The company expects the transaction to be earnings accretive in 2015. EZCORP now has a total of 755 pawn store locations in North America, of which 214 stores are in Texas.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Stuart Grimshaw, chief executive officer of EZCORP, said, “We are pleased to have successfully completed this exciting acquisition, our first since December 2012, to expand our strong pawn presence in Texas. With a renewed focus on disciplined growth and operating excellence in our domestic U.S. pawn business, we will continue to pursue additional acquisition opportunities that enhance value for our shareholders.”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“Cash Pawn has been a well-run family business since 1979. We are looking forward to working closely with the team there to continue to deliver market leading services to our customers,” Mr. Grimshaw said.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shares of EZCORP stock were issued in a private placement transaction that is further described in the company’s Current Report on Form 8-K filed with the U.S. Securities and Exchange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EZCORP is a leader in delivering easy cash solutions to our customers across channels, products, services and markets. With approximately 7,000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2020-01-22T16:48:49Z</dcterms:created>
  <dcterms:modified xsi:type="dcterms:W3CDTF">2020-01-22T16:48:49Z</dcterms:modified>
</cp:coreProperties>
</file>