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D79164tocpage">
        <w:bookmarkStart w:id="0" w:name="d79164e10vq.htm"/>
        <w:bookmarkStart w:id="1" w:name="ksd79164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quarterly period ended December 31, 2010</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transition period from </w:t>
      </w:r>
      <w:r>
        <w:rPr>
          <w:rFonts w:ascii="Times New Roman;Times;serif" w:hAnsi="Times New Roman;Times;serif"/>
          <w:b/>
          <w:sz w:val="17"/>
          <w:u w:val="single"/>
        </w:rPr>
        <w:t>                    </w:t>
      </w:r>
      <w:r>
        <w:rPr>
          <w:rFonts w:ascii="Times New Roman;Times;serif" w:hAnsi="Times New Roman;Times;serif"/>
          <w:b/>
          <w:sz w:val="17"/>
        </w:rPr>
        <w:t xml:space="preserve"> to </w:t>
      </w:r>
      <w:r>
        <w:rPr>
          <w:rFonts w:ascii="Times New Roman;Times;serif" w:hAnsi="Times New Roman;Times;serif"/>
          <w:b/>
          <w:sz w:val="17"/>
          <w:u w:val="single"/>
        </w:rPr>
        <w:t>                    </w:t>
      </w:r>
      <w:r>
        <w:rPr>
          <w:rFonts w:ascii="Times New Roman;Times;serif" w:hAnsi="Times New Roman;Times;serif"/>
          <w:b/>
          <w:sz w:val="17"/>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No. 0-19424</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b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b/>
              </w:rPr>
              <w:t>74-2540145</w:t>
            </w:r>
            <w:r>
              <w:rPr/>
              <w:br/>
              <w:t>(I.R.S. Employer Identification No.)</w:t>
            </w:r>
          </w:p>
        </w:tc>
      </w:tr>
      <w:tr>
        <w:trPr/>
        <w:tc>
          <w:tcPr>
            <w:tcW w:w="4948"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 </w:t>
            </w:r>
          </w:p>
        </w:tc>
      </w:tr>
      <w:tr>
        <w:trPr/>
        <w:tc>
          <w:tcPr>
            <w:tcW w:w="4948" w:type="dxa"/>
            <w:tcBorders/>
            <w:shd w:fill="auto" w:val="clear"/>
          </w:tcPr>
          <w:p>
            <w:pPr>
              <w:pStyle w:val="TableContents"/>
              <w:spacing w:before="0" w:after="283"/>
              <w:jc w:val="center"/>
              <w:rPr/>
            </w:pPr>
            <w:r>
              <w:rPr>
                <w:b/>
              </w:rPr>
              <w:t xml:space="preserve">1901 Capital Parkway </w:t>
              <w:br/>
              <w:t>Austin, Texas</w:t>
            </w:r>
            <w:r>
              <w:rPr/>
              <w:br/>
              <w:t xml:space="preserve">(Address of principal executive offices)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b/>
              </w:rPr>
              <w:br/>
              <w:t>78746</w:t>
            </w:r>
            <w:r>
              <w:rPr/>
              <w:b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br/>
        <w:t>Registrants telephone number, including area code:</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tbl>
      <w:tblPr>
        <w:tblW w:w="11720" w:type="dxa"/>
        <w:jc w:val="center"/>
        <w:tblInd w:w="0" w:type="dxa"/>
        <w:tblCellMar>
          <w:top w:w="0" w:type="dxa"/>
          <w:left w:w="0" w:type="dxa"/>
          <w:bottom w:w="0" w:type="dxa"/>
          <w:right w:w="0" w:type="dxa"/>
        </w:tblCellMar>
      </w:tblPr>
      <w:tblGrid>
        <w:gridCol w:w="2450"/>
        <w:gridCol w:w="60"/>
        <w:gridCol w:w="1850"/>
        <w:gridCol w:w="60"/>
        <w:gridCol w:w="4445"/>
        <w:gridCol w:w="60"/>
        <w:gridCol w:w="2795"/>
      </w:tblGrid>
      <w:tr>
        <w:trPr/>
        <w:tc>
          <w:tcPr>
            <w:tcW w:w="24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95" w:type="dxa"/>
            <w:tcBorders/>
            <w:shd w:fill="auto" w:val="clear"/>
            <w:vAlign w:val="bottom"/>
          </w:tcPr>
          <w:p>
            <w:pPr>
              <w:pStyle w:val="TableContents"/>
              <w:spacing w:before="0" w:after="283"/>
              <w:rPr/>
            </w:pPr>
            <w:r>
              <w:rPr/>
              <w:t> </w:t>
            </w:r>
          </w:p>
        </w:tc>
      </w:tr>
      <w:tr>
        <w:trPr/>
        <w:tc>
          <w:tcPr>
            <w:tcW w:w="2450" w:type="dxa"/>
            <w:tcBorders/>
            <w:shd w:fill="auto" w:val="clear"/>
          </w:tcPr>
          <w:p>
            <w:pPr>
              <w:pStyle w:val="TableContents"/>
              <w:spacing w:before="0" w:after="283"/>
              <w:jc w:val="center"/>
              <w:rPr/>
            </w:pPr>
            <w:r>
              <w:rPr/>
              <w:t xml:space="preserve">Large accelerated filer ☑ </w:t>
            </w:r>
          </w:p>
        </w:tc>
        <w:tc>
          <w:tcPr>
            <w:tcW w:w="60"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60" w:type="dxa"/>
            <w:tcBorders/>
            <w:shd w:fill="auto" w:val="clear"/>
            <w:vAlign w:val="bottom"/>
          </w:tcPr>
          <w:p>
            <w:pPr>
              <w:pStyle w:val="TableContents"/>
              <w:spacing w:before="0" w:after="283"/>
              <w:rPr/>
            </w:pPr>
            <w:r>
              <w:rPr/>
              <w:t> </w:t>
            </w:r>
          </w:p>
        </w:tc>
        <w:tc>
          <w:tcPr>
            <w:tcW w:w="4445" w:type="dxa"/>
            <w:tcBorders/>
            <w:shd w:fill="auto" w:val="clear"/>
          </w:tcPr>
          <w:p>
            <w:pPr>
              <w:pStyle w:val="TableContents"/>
              <w:spacing w:before="0" w:after="283"/>
              <w:jc w:val="center"/>
              <w:rPr/>
            </w:pPr>
            <w:r>
              <w:rPr/>
              <w:t xml:space="preserve">Non-accelerated filer </w:t>
            </w:r>
            <w:r>
              <w:rPr>
                <w:rFonts w:ascii="Wingdings" w:hAnsi="Wingdings"/>
              </w:rPr>
              <w:t>o</w:t>
            </w:r>
            <w:r>
              <w:rPr/>
              <w:br/>
              <w:t xml:space="preserve">(Do not check if a smaller reporting company) </w:t>
            </w:r>
          </w:p>
        </w:tc>
        <w:tc>
          <w:tcPr>
            <w:tcW w:w="60" w:type="dxa"/>
            <w:tcBorders/>
            <w:shd w:fill="auto" w:val="clear"/>
            <w:vAlign w:val="bottom"/>
          </w:tcPr>
          <w:p>
            <w:pPr>
              <w:pStyle w:val="TableContents"/>
              <w:spacing w:before="0" w:after="283"/>
              <w:rPr/>
            </w:pPr>
            <w:r>
              <w:rPr/>
              <w:t> </w:t>
            </w:r>
          </w:p>
        </w:tc>
        <w:tc>
          <w:tcPr>
            <w:tcW w:w="2795" w:type="dxa"/>
            <w:tcBorders/>
            <w:shd w:fill="auto" w:val="clear"/>
          </w:tcPr>
          <w:p>
            <w:pPr>
              <w:pStyle w:val="TableContents"/>
              <w:spacing w:before="0" w:after="283"/>
              <w:jc w:val="center"/>
              <w:rPr/>
            </w:pPr>
            <w:r>
              <w:rPr/>
              <w:t xml:space="preserve">Smaller reporting company </w:t>
            </w:r>
            <w:r>
              <w:rPr>
                <w:rFonts w:ascii="Wingdings" w:hAnsi="Wingdings"/>
              </w:rPr>
              <w:t>o</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APPLICABLE ONLY TO CORPORATE ISSUERS:</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an affiliate of the registrant. There is no trading market for the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December 31, 2010, 46,952,495 shares of the registrants Class A Non-voting Common Stock, par value $.01 per share, and 2,970,171 shares of the registrants Class B Voting Common Stock, par value $.01 per share, were outstanding.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D79164tocpage"/>
      <w:bookmarkEnd w:id="2"/>
      <w:r>
        <w:rPr>
          <w:rFonts w:ascii="Times New Roman;Times;serif" w:hAnsi="Times New Roman;Times;serif"/>
          <w:b/>
          <w:sz w:val="17"/>
        </w:rPr>
        <w:t>EZCORP, INC.</w:t>
        <w:br/>
        <w:t>INDEX TO FORM 10-Q</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89"/>
        <w:gridCol w:w="488"/>
        <w:gridCol w:w="502"/>
        <w:gridCol w:w="26"/>
      </w:tblGrid>
      <w:tr>
        <w:trPr/>
        <w:tc>
          <w:tcPr>
            <w:tcW w:w="9189"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502" w:type="dxa"/>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225" w:right="0" w:hanging="225"/>
              <w:rPr/>
            </w:pPr>
            <w:hyperlink w:anchor="D79164101">
              <w:r>
                <w:rPr>
                  <w:rStyle w:val="InternetLink"/>
                </w:rPr>
                <w:t>PART I. FINANCIAL INFORMATION</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02">
              <w:r>
                <w:rPr>
                  <w:rStyle w:val="InternetLink"/>
                  <w:i/>
                </w:rPr>
                <w:t>Item 1. Financial Statements (Unaudited)</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675" w:right="0" w:hanging="225"/>
              <w:rPr/>
            </w:pPr>
            <w:hyperlink w:anchor="D79164103">
              <w:r>
                <w:rPr>
                  <w:rStyle w:val="InternetLink"/>
                </w:rPr>
                <w:t>Condensed Consolidated Balance Sheets as of December 31, 2010, December 31, 2009 and September 30, 2010 (audited)</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1</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675" w:right="0" w:hanging="225"/>
              <w:rPr/>
            </w:pPr>
            <w:hyperlink w:anchor="D79164104">
              <w:r>
                <w:rPr>
                  <w:rStyle w:val="InternetLink"/>
                </w:rPr>
                <w:t>Condensed Consolidated Statements of Operations for the Three Months Ended December 31, 2010 and 2009</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2</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675" w:right="0" w:hanging="225"/>
              <w:rPr/>
            </w:pPr>
            <w:hyperlink w:anchor="D79164105">
              <w:r>
                <w:rPr>
                  <w:rStyle w:val="InternetLink"/>
                </w:rPr>
                <w:t>Condensed Consolidated Statements of Cash Flows for the Three Months Ended December 31, 2010 and 2009</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675" w:right="0" w:hanging="225"/>
              <w:rPr/>
            </w:pPr>
            <w:hyperlink w:anchor="D79164106">
              <w:r>
                <w:rPr>
                  <w:rStyle w:val="InternetLink"/>
                </w:rPr>
                <w:t>Notes to Interim Condensed Consolidated Financial Statements</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4</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07">
              <w:r>
                <w:rPr>
                  <w:rStyle w:val="InternetLink"/>
                  <w:i/>
                </w:rPr>
                <w:t>Item 2. Managements Discussion and Analysis of Financial Condition and Results of Operations</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17</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08">
              <w:r>
                <w:rPr>
                  <w:rStyle w:val="InternetLink"/>
                  <w:i/>
                </w:rPr>
                <w:t>Item 3. Quantitative and Qualitative Disclosures about Market Risk</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28</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09">
              <w:r>
                <w:rPr>
                  <w:rStyle w:val="InternetLink"/>
                  <w:i/>
                </w:rPr>
                <w:t>Item 4. Controls and Procedures</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30</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225" w:right="0" w:hanging="225"/>
              <w:rPr/>
            </w:pPr>
            <w:hyperlink w:anchor="D79164110">
              <w:r>
                <w:rPr>
                  <w:rStyle w:val="InternetLink"/>
                </w:rPr>
                <w:t>PART II. OTHER INFORMATION</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11">
              <w:r>
                <w:rPr>
                  <w:rStyle w:val="InternetLink"/>
                  <w:i/>
                </w:rPr>
                <w:t>Item 1. Legal Proceedings</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31</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12">
              <w:r>
                <w:rPr>
                  <w:rStyle w:val="InternetLink"/>
                  <w:i/>
                </w:rPr>
                <w:t>Item 1A. Risk Factors</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31</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450" w:right="0" w:hanging="225"/>
              <w:rPr/>
            </w:pPr>
            <w:hyperlink w:anchor="D79164113">
              <w:r>
                <w:rPr>
                  <w:rStyle w:val="InternetLink"/>
                  <w:i/>
                </w:rPr>
                <w:t>Item 6. Exhibits</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32</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225" w:right="0" w:hanging="225"/>
              <w:rPr/>
            </w:pPr>
            <w:hyperlink w:anchor="D79164114">
              <w:r>
                <w:rPr>
                  <w:rStyle w:val="InternetLink"/>
                </w:rPr>
                <w:t>SIGNATURE</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33</w:t>
            </w:r>
          </w:p>
        </w:tc>
        <w:tc>
          <w:tcPr>
            <w:tcW w:w="26" w:type="dxa"/>
            <w:tcBorders/>
            <w:shd w:fill="auto" w:val="clear"/>
          </w:tcPr>
          <w:p>
            <w:pPr>
              <w:pStyle w:val="TableContents"/>
              <w:spacing w:before="0" w:after="283"/>
              <w:rPr>
                <w:sz w:val="4"/>
                <w:szCs w:val="4"/>
              </w:rPr>
            </w:pPr>
            <w:r>
              <w:rPr>
                <w:sz w:val="4"/>
                <w:szCs w:val="4"/>
              </w:rPr>
            </w:r>
          </w:p>
        </w:tc>
      </w:tr>
      <w:tr>
        <w:trPr/>
        <w:tc>
          <w:tcPr>
            <w:tcW w:w="9189" w:type="dxa"/>
            <w:tcBorders/>
            <w:shd w:fill="auto" w:val="clear"/>
            <w:vAlign w:val="bottom"/>
          </w:tcPr>
          <w:p>
            <w:pPr>
              <w:pStyle w:val="TableContents"/>
              <w:spacing w:before="0" w:after="0"/>
              <w:ind w:left="225" w:right="0" w:hanging="225"/>
              <w:rPr/>
            </w:pPr>
            <w:hyperlink w:anchor="D79164115">
              <w:r>
                <w:rPr>
                  <w:rStyle w:val="InternetLink"/>
                </w:rPr>
                <w:t>EXHIBIT INDEX</w:t>
              </w:r>
            </w:hyperlink>
          </w:p>
        </w:tc>
        <w:tc>
          <w:tcPr>
            <w:tcW w:w="488"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jc w:val="center"/>
              <w:rPr/>
            </w:pPr>
            <w:r>
              <w:rPr/>
              <w:t>34</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hyperlink w:anchor="d79164exv31w1.htm">
              <w:r>
                <w:rPr>
                  <w:rStyle w:val="InternetLink"/>
                  <w:sz w:val="20"/>
                </w:rPr>
                <w:t>EX-31.1</w:t>
              </w:r>
            </w:hyperlink>
          </w:p>
        </w:tc>
      </w:tr>
      <w:tr>
        <w:trPr/>
        <w:tc>
          <w:tcPr>
            <w:tcW w:w="10205" w:type="dxa"/>
            <w:gridSpan w:val="4"/>
            <w:tcBorders/>
            <w:shd w:fill="auto" w:val="clear"/>
            <w:vAlign w:val="center"/>
          </w:tcPr>
          <w:p>
            <w:pPr>
              <w:pStyle w:val="TableContents"/>
              <w:spacing w:before="0" w:after="283"/>
              <w:rPr/>
            </w:pPr>
            <w:r>
              <w:rPr/>
              <w:t> </w:t>
            </w:r>
            <w:hyperlink w:anchor="d79164exv31w2.htm">
              <w:r>
                <w:rPr>
                  <w:rStyle w:val="InternetLink"/>
                  <w:sz w:val="20"/>
                </w:rPr>
                <w:t>EX-31.2</w:t>
              </w:r>
            </w:hyperlink>
          </w:p>
        </w:tc>
      </w:tr>
      <w:tr>
        <w:trPr/>
        <w:tc>
          <w:tcPr>
            <w:tcW w:w="10205" w:type="dxa"/>
            <w:gridSpan w:val="4"/>
            <w:tcBorders/>
            <w:shd w:fill="auto" w:val="clear"/>
            <w:vAlign w:val="center"/>
          </w:tcPr>
          <w:p>
            <w:pPr>
              <w:pStyle w:val="TableContents"/>
              <w:spacing w:before="0" w:after="283"/>
              <w:rPr/>
            </w:pPr>
            <w:r>
              <w:rPr/>
              <w:t> </w:t>
            </w:r>
            <w:hyperlink w:anchor="d79164exv32w1.htm">
              <w:r>
                <w:rPr>
                  <w:rStyle w:val="InternetLink"/>
                  <w:sz w:val="20"/>
                </w:rPr>
                <w:t>EX-32.1</w:t>
              </w:r>
            </w:hyperlink>
          </w:p>
        </w:tc>
      </w:tr>
      <w:tr>
        <w:trPr/>
        <w:tc>
          <w:tcPr>
            <w:tcW w:w="10205" w:type="dxa"/>
            <w:gridSpan w:val="4"/>
            <w:tcBorders/>
            <w:shd w:fill="auto" w:val="clear"/>
            <w:vAlign w:val="center"/>
          </w:tcPr>
          <w:p>
            <w:pPr>
              <w:pStyle w:val="TableContents"/>
              <w:spacing w:before="0" w:after="283"/>
              <w:rPr/>
            </w:pPr>
            <w:r>
              <w:rPr/>
              <w:t> </w:t>
            </w:r>
            <w:hyperlink w:anchor="ezpw-20101231.xml">
              <w:r>
                <w:rPr>
                  <w:rStyle w:val="InternetLink"/>
                  <w:sz w:val="20"/>
                </w:rPr>
                <w:t>EX-101 INSTANCE DOCUMENT</w:t>
              </w:r>
            </w:hyperlink>
          </w:p>
        </w:tc>
      </w:tr>
      <w:tr>
        <w:trPr/>
        <w:tc>
          <w:tcPr>
            <w:tcW w:w="10205" w:type="dxa"/>
            <w:gridSpan w:val="4"/>
            <w:tcBorders/>
            <w:shd w:fill="auto" w:val="clear"/>
            <w:vAlign w:val="center"/>
          </w:tcPr>
          <w:p>
            <w:pPr>
              <w:pStyle w:val="TableContents"/>
              <w:spacing w:before="0" w:after="283"/>
              <w:rPr/>
            </w:pPr>
            <w:r>
              <w:rPr/>
              <w:t> </w:t>
            </w:r>
            <w:hyperlink w:anchor="ezpw-20101231.xsd">
              <w:r>
                <w:rPr>
                  <w:rStyle w:val="InternetLink"/>
                  <w:sz w:val="20"/>
                </w:rPr>
                <w:t>EX-101 SCHEMA DOCUMENT</w:t>
              </w:r>
            </w:hyperlink>
          </w:p>
        </w:tc>
      </w:tr>
      <w:tr>
        <w:trPr/>
        <w:tc>
          <w:tcPr>
            <w:tcW w:w="10205" w:type="dxa"/>
            <w:gridSpan w:val="4"/>
            <w:tcBorders/>
            <w:shd w:fill="auto" w:val="clear"/>
            <w:vAlign w:val="center"/>
          </w:tcPr>
          <w:p>
            <w:pPr>
              <w:pStyle w:val="TableContents"/>
              <w:spacing w:before="0" w:after="283"/>
              <w:rPr/>
            </w:pPr>
            <w:r>
              <w:rPr/>
              <w:t> </w:t>
            </w:r>
            <w:hyperlink w:anchor="ezpw-20101231_cal.xml">
              <w:r>
                <w:rPr>
                  <w:rStyle w:val="InternetLink"/>
                  <w:sz w:val="20"/>
                </w:rPr>
                <w:t>EX-101 CALCULATION LINKBASE DOCUMENT</w:t>
              </w:r>
            </w:hyperlink>
          </w:p>
        </w:tc>
      </w:tr>
      <w:tr>
        <w:trPr/>
        <w:tc>
          <w:tcPr>
            <w:tcW w:w="10205" w:type="dxa"/>
            <w:gridSpan w:val="4"/>
            <w:tcBorders/>
            <w:shd w:fill="auto" w:val="clear"/>
            <w:vAlign w:val="center"/>
          </w:tcPr>
          <w:p>
            <w:pPr>
              <w:pStyle w:val="TableContents"/>
              <w:spacing w:before="0" w:after="283"/>
              <w:rPr/>
            </w:pPr>
            <w:r>
              <w:rPr/>
              <w:t> </w:t>
            </w:r>
            <w:hyperlink w:anchor="ezpw-20101231_lab.xml">
              <w:r>
                <w:rPr>
                  <w:rStyle w:val="InternetLink"/>
                  <w:sz w:val="20"/>
                </w:rPr>
                <w:t>EX-101 LABELS LINKBASE DOCUMENT</w:t>
              </w:r>
            </w:hyperlink>
          </w:p>
        </w:tc>
      </w:tr>
      <w:tr>
        <w:trPr/>
        <w:tc>
          <w:tcPr>
            <w:tcW w:w="10205" w:type="dxa"/>
            <w:gridSpan w:val="4"/>
            <w:tcBorders/>
            <w:shd w:fill="auto" w:val="clear"/>
            <w:vAlign w:val="center"/>
          </w:tcPr>
          <w:p>
            <w:pPr>
              <w:pStyle w:val="TableContents"/>
              <w:spacing w:before="0" w:after="283"/>
              <w:rPr/>
            </w:pPr>
            <w:r>
              <w:rPr/>
              <w:t> </w:t>
            </w:r>
            <w:hyperlink w:anchor="ezpw-20101231_pre.xml">
              <w:r>
                <w:rPr>
                  <w:rStyle w:val="InternetLink"/>
                  <w:sz w:val="20"/>
                </w:rPr>
                <w:t>EX-101 PRESENTATION LINKBASE DOCUMENT</w:t>
              </w:r>
            </w:hyperlink>
          </w:p>
        </w:tc>
      </w:tr>
      <w:tr>
        <w:trPr/>
        <w:tc>
          <w:tcPr>
            <w:tcW w:w="10205" w:type="dxa"/>
            <w:gridSpan w:val="4"/>
            <w:tcBorders/>
            <w:shd w:fill="auto" w:val="clear"/>
            <w:vAlign w:val="center"/>
          </w:tcPr>
          <w:p>
            <w:pPr>
              <w:pStyle w:val="TableContents"/>
              <w:spacing w:before="0" w:after="283"/>
              <w:rPr/>
            </w:pPr>
            <w:r>
              <w:rPr/>
              <w:t> </w:t>
            </w:r>
            <w:hyperlink w:anchor="ezpw-20101231_def.xml">
              <w:r>
                <w:rPr>
                  <w:rStyle w:val="InternetLink"/>
                  <w:sz w:val="20"/>
                </w:rPr>
                <w:t>EX-101 DEFINITION LINKBASE DOCUMENT</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D79164101"/>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D79164102"/>
      <w:bookmarkEnd w:id="4"/>
      <w:r>
        <w:rPr>
          <w:rFonts w:ascii="Times New Roman;Times;serif" w:hAnsi="Times New Roman;Times;serif"/>
          <w:b/>
          <w:i/>
          <w:sz w:val="17"/>
        </w:rPr>
        <w:t>Item 1. 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5" w:name="D79164103"/>
      <w:bookmarkEnd w:id="5"/>
      <w:r>
        <w:rPr>
          <w:rFonts w:ascii="Times New Roman;Times;serif" w:hAnsi="Times New Roman;Times;serif"/>
          <w:sz w:val="17"/>
        </w:rPr>
        <w:t xml:space="preserve">Condensed Consolidated Balance Sheets </w:t>
      </w:r>
    </w:p>
    <w:tbl>
      <w:tblPr>
        <w:tblW w:w="5000" w:type="pct"/>
        <w:jc w:val="center"/>
        <w:tblInd w:w="0" w:type="dxa"/>
        <w:tblCellMar>
          <w:top w:w="0" w:type="dxa"/>
          <w:left w:w="0" w:type="dxa"/>
          <w:bottom w:w="0" w:type="dxa"/>
          <w:right w:w="0" w:type="dxa"/>
        </w:tblCellMar>
      </w:tblPr>
      <w:tblGrid>
        <w:gridCol w:w="4654"/>
        <w:gridCol w:w="336"/>
        <w:gridCol w:w="210"/>
        <w:gridCol w:w="1165"/>
        <w:gridCol w:w="103"/>
        <w:gridCol w:w="336"/>
        <w:gridCol w:w="213"/>
        <w:gridCol w:w="1185"/>
        <w:gridCol w:w="130"/>
        <w:gridCol w:w="335"/>
        <w:gridCol w:w="214"/>
        <w:gridCol w:w="1184"/>
        <w:gridCol w:w="140"/>
      </w:tblGrid>
      <w:tr>
        <w:trPr/>
        <w:tc>
          <w:tcPr>
            <w:tcW w:w="465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75" w:type="dxa"/>
            <w:gridSpan w:val="2"/>
            <w:tcBorders/>
            <w:shd w:fill="auto" w:val="clear"/>
            <w:vAlign w:val="bottom"/>
          </w:tcPr>
          <w:p>
            <w:pPr>
              <w:pStyle w:val="TableContents"/>
              <w:spacing w:before="0" w:after="283"/>
              <w:jc w:val="center"/>
              <w:rPr/>
            </w:pPr>
            <w:r>
              <w:rPr/>
              <w:t>December 31,</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pPr>
            <w:r>
              <w:rPr/>
              <w:t>December 31,</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pPr>
            <w:r>
              <w:rPr/>
              <w:t>September 30,</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7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3" w:type="dxa"/>
            <w:tcBorders>
              <w:bottom w:val="single" w:sz="2" w:space="0" w:color="000000"/>
            </w:tcBorders>
            <w:shd w:fill="auto" w:val="clear"/>
            <w:tcMar>
              <w:bottom w:w="28" w:type="dxa"/>
            </w:tcMar>
            <w:vAlign w:val="bottom"/>
          </w:tcPr>
          <w:p>
            <w:pPr>
              <w:pStyle w:val="TableContents"/>
              <w:spacing w:before="0" w:after="283"/>
              <w:rPr/>
            </w:pPr>
            <w:r>
              <w:rPr/>
              <w:t> </w:t>
            </w:r>
          </w:p>
        </w:tc>
        <w:tc>
          <w:tcPr>
            <w:tcW w:w="336" w:type="dxa"/>
            <w:tcBorders>
              <w:bottom w:val="single" w:sz="2" w:space="0" w:color="000000"/>
            </w:tcBorders>
            <w:shd w:fill="auto" w:val="clear"/>
            <w:tcMar>
              <w:bottom w:w="28" w:type="dxa"/>
            </w:tcM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0" w:type="dxa"/>
            <w:tcBorders>
              <w:bottom w:val="single" w:sz="2" w:space="0" w:color="000000"/>
            </w:tcBorders>
            <w:shd w:fill="auto" w:val="clear"/>
            <w:tcMar>
              <w:bottom w:w="28" w:type="dxa"/>
            </w:tcMar>
            <w:vAlign w:val="bottom"/>
          </w:tcPr>
          <w:p>
            <w:pPr>
              <w:pStyle w:val="TableContents"/>
              <w:spacing w:before="0" w:after="283"/>
              <w:rPr/>
            </w:pPr>
            <w:r>
              <w:rPr/>
              <w:t> </w:t>
            </w:r>
          </w:p>
        </w:tc>
        <w:tc>
          <w:tcPr>
            <w:tcW w:w="335" w:type="dxa"/>
            <w:tcBorders>
              <w:bottom w:val="single" w:sz="2" w:space="0" w:color="000000"/>
            </w:tcBorders>
            <w:shd w:fill="auto" w:val="clear"/>
            <w:tcMar>
              <w:bottom w:w="28" w:type="dxa"/>
            </w:tcM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75"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03" w:type="dxa"/>
            <w:tcBorders>
              <w:bottom w:val="single" w:sz="2" w:space="0" w:color="000000"/>
            </w:tcBorders>
            <w:shd w:fill="auto" w:val="clear"/>
            <w:tcMar>
              <w:bottom w:w="28" w:type="dxa"/>
            </w:tcMar>
            <w:vAlign w:val="bottom"/>
          </w:tcPr>
          <w:p>
            <w:pPr>
              <w:pStyle w:val="TableContents"/>
              <w:spacing w:before="0" w:after="283"/>
              <w:rPr/>
            </w:pPr>
            <w:r>
              <w:rPr/>
              <w:t> </w:t>
            </w:r>
          </w:p>
        </w:tc>
        <w:tc>
          <w:tcPr>
            <w:tcW w:w="336" w:type="dxa"/>
            <w:tcBorders>
              <w:bottom w:val="single" w:sz="2" w:space="0" w:color="000000"/>
            </w:tcBorders>
            <w:shd w:fill="auto" w:val="clear"/>
            <w:tcMar>
              <w:bottom w:w="28" w:type="dxa"/>
            </w:tcM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0" w:type="dxa"/>
            <w:tcBorders>
              <w:bottom w:val="single" w:sz="2" w:space="0" w:color="000000"/>
            </w:tcBorders>
            <w:shd w:fill="auto" w:val="clear"/>
            <w:tcMar>
              <w:bottom w:w="28" w:type="dxa"/>
            </w:tcMar>
            <w:vAlign w:val="bottom"/>
          </w:tcPr>
          <w:p>
            <w:pPr>
              <w:pStyle w:val="TableContents"/>
              <w:spacing w:before="0" w:after="283"/>
              <w:rPr/>
            </w:pPr>
            <w:r>
              <w:rPr/>
              <w:t> </w:t>
            </w:r>
          </w:p>
        </w:tc>
        <w:tc>
          <w:tcPr>
            <w:tcW w:w="335" w:type="dxa"/>
            <w:tcBorders>
              <w:bottom w:val="single" w:sz="2" w:space="0" w:color="000000"/>
            </w:tcBorders>
            <w:shd w:fill="auto" w:val="clear"/>
            <w:tcMar>
              <w:bottom w:w="28" w:type="dxa"/>
            </w:tcMar>
            <w:vAlign w:val="bottom"/>
          </w:tcPr>
          <w:p>
            <w:pPr>
              <w:pStyle w:val="TableContents"/>
              <w:spacing w:before="0" w:after="283"/>
              <w:rPr/>
            </w:pPr>
            <w:r>
              <w:rPr/>
              <w:t> </w:t>
            </w:r>
          </w:p>
        </w:tc>
        <w:tc>
          <w:tcPr>
            <w:tcW w:w="214" w:type="dxa"/>
            <w:tcBorders>
              <w:bottom w:val="single" w:sz="2" w:space="0" w:color="000000"/>
            </w:tcBorders>
            <w:shd w:fill="auto" w:val="clear"/>
            <w:tcMar>
              <w:bottom w:w="28" w:type="dxa"/>
            </w:tcMar>
            <w:vAlign w:val="bottom"/>
          </w:tcPr>
          <w:p>
            <w:pPr>
              <w:pStyle w:val="TableContents"/>
              <w:spacing w:before="0" w:after="283"/>
              <w:rPr/>
            </w:pPr>
            <w:r>
              <w:rPr/>
              <w:t> </w:t>
            </w:r>
          </w:p>
        </w:tc>
        <w:tc>
          <w:tcPr>
            <w:tcW w:w="1184" w:type="dxa"/>
            <w:tcBorders>
              <w:bottom w:val="single" w:sz="2" w:space="0" w:color="000000"/>
            </w:tcBorders>
            <w:shd w:fill="auto" w:val="clear"/>
            <w:tcMar>
              <w:bottom w:w="28" w:type="dxa"/>
            </w:tcM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i/>
              </w:rPr>
            </w:pPr>
            <w:r>
              <w:rPr>
                <w:i/>
              </w:rPr>
              <w:t>(In thousands)</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225" w:right="0" w:hanging="225"/>
              <w:rPr/>
            </w:pPr>
            <w:r>
              <w:rPr/>
              <w:t>Assets: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450" w:right="0" w:hanging="225"/>
              <w:rPr/>
            </w:pPr>
            <w:r>
              <w:rPr/>
              <w:t>Current assets: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Cash and cash equivalents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165" w:type="dxa"/>
            <w:tcBorders/>
            <w:shd w:fill="CCEEFF" w:val="clear"/>
            <w:vAlign w:val="bottom"/>
          </w:tcPr>
          <w:p>
            <w:pPr>
              <w:pStyle w:val="TableContents"/>
              <w:spacing w:before="0" w:after="283"/>
              <w:jc w:val="right"/>
              <w:rPr/>
            </w:pPr>
            <w:r>
              <w:rPr/>
              <w:t>23,908</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17,032</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184" w:type="dxa"/>
            <w:tcBorders/>
            <w:shd w:fill="CCEEFF" w:val="clear"/>
            <w:vAlign w:val="bottom"/>
          </w:tcPr>
          <w:p>
            <w:pPr>
              <w:pStyle w:val="TableContents"/>
              <w:spacing w:before="0" w:after="283"/>
              <w:jc w:val="right"/>
              <w:rPr/>
            </w:pPr>
            <w:r>
              <w:rPr/>
              <w:t>25,854</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Pawn loans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124,388</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103,446</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121,201</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Signature loans, net</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11,953</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8,934</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10,775</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Auto title loans, net</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3,307</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2,110</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3,145</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Pawn service charges receivable, net</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24,068</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19,662</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21,626</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Signature loan fees receivable, net</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6,141</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6,044</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5,818</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Auto title loan fees receivable, net</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1,600</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827</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1,616</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Inventory, net</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77,677</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63,515</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71,502</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Deferred tax asset</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23,248</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15,671</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23,208</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Prepaid expenses and other assets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20,724</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20,654</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17,427</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900" w:right="0" w:hanging="225"/>
              <w:rPr/>
            </w:pPr>
            <w:r>
              <w:rPr/>
              <w:t>Total current assets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317,014</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257,895</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302,172</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450" w:right="0" w:hanging="225"/>
              <w:rPr/>
            </w:pPr>
            <w:r>
              <w:rPr/>
              <w:t>Investments in unconsolidated affiliates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108,959</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90,455</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101,386</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Property and equipment, net</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66,641</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52,378</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62,293</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450" w:right="0" w:hanging="225"/>
              <w:rPr/>
            </w:pPr>
            <w:r>
              <w:rPr/>
              <w:t>Deferred tax asset, non-current</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5,011</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60</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Goodwill</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128,181</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101,134</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117,305</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450" w:right="0" w:hanging="225"/>
              <w:rPr/>
            </w:pPr>
            <w:r>
              <w:rPr/>
              <w:t>Other assets, net</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24,252</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19,931</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23,196</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Total assets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165" w:type="dxa"/>
            <w:tcBorders/>
            <w:shd w:fill="CCEEFF" w:val="clear"/>
            <w:vAlign w:val="bottom"/>
          </w:tcPr>
          <w:p>
            <w:pPr>
              <w:pStyle w:val="TableContents"/>
              <w:spacing w:before="0" w:after="283"/>
              <w:jc w:val="right"/>
              <w:rPr/>
            </w:pPr>
            <w:r>
              <w:rPr/>
              <w:t>645,047</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526,804</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184" w:type="dxa"/>
            <w:tcBorders/>
            <w:shd w:fill="CCEEFF" w:val="clear"/>
            <w:vAlign w:val="bottom"/>
          </w:tcPr>
          <w:p>
            <w:pPr>
              <w:pStyle w:val="TableContents"/>
              <w:spacing w:before="0" w:after="283"/>
              <w:jc w:val="right"/>
              <w:rPr/>
            </w:pPr>
            <w:r>
              <w:rPr/>
              <w:t>606,412</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225" w:right="0" w:hanging="225"/>
              <w:rPr/>
            </w:pPr>
            <w:r>
              <w:rPr/>
              <w:t>Liabilities and stockholders equity:</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Current liabilities: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Current maturities of long-term debt</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165" w:type="dxa"/>
            <w:tcBorders/>
            <w:shd w:fill="auto" w:val="clear"/>
            <w:vAlign w:val="bottom"/>
          </w:tcPr>
          <w:p>
            <w:pPr>
              <w:pStyle w:val="TableContents"/>
              <w:spacing w:before="0" w:after="283"/>
              <w:jc w:val="right"/>
              <w:rPr/>
            </w:pPr>
            <w:r>
              <w:rPr/>
              <w:t>10,000</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10,000</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184" w:type="dxa"/>
            <w:tcBorders/>
            <w:shd w:fill="auto" w:val="clear"/>
            <w:vAlign w:val="bottom"/>
          </w:tcPr>
          <w:p>
            <w:pPr>
              <w:pStyle w:val="TableContents"/>
              <w:spacing w:before="0" w:after="283"/>
              <w:jc w:val="right"/>
              <w:rPr/>
            </w:pPr>
            <w:r>
              <w:rPr/>
              <w:t>10,000</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Accounts payable and other accrued expenses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48,986</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39,692</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49,663</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Customer layaway deposits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5,950</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2,697</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6,109</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Federal income taxes payable</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5,267</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6,480</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3,687</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auto" w:val="clear"/>
            <w:vAlign w:val="bottom"/>
          </w:tcPr>
          <w:p>
            <w:pPr>
              <w:pStyle w:val="TableContents"/>
              <w:spacing w:before="0" w:after="0"/>
              <w:ind w:left="900" w:right="0" w:hanging="225"/>
              <w:rPr/>
            </w:pPr>
            <w:r>
              <w:rPr/>
              <w:t>Total current liabilities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70,203</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58,869</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69,459</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Long-term debt, less current maturities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12,500</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22,500</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15,000</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450" w:right="0" w:hanging="225"/>
              <w:rPr/>
            </w:pPr>
            <w:r>
              <w:rPr/>
              <w:t>Deferred tax liability</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1,619</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Deferred gains and other long-term liabilities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2,419</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2,840</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2,525</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auto" w:val="clear"/>
            <w:vAlign w:val="bottom"/>
          </w:tcPr>
          <w:p>
            <w:pPr>
              <w:pStyle w:val="TableContents"/>
              <w:spacing w:before="0" w:after="0"/>
              <w:ind w:left="900" w:right="0" w:hanging="225"/>
              <w:rPr/>
            </w:pPr>
            <w:r>
              <w:rPr/>
              <w:t>Total liabilities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86,741</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84,209</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86,984</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Commitments and contingencies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450" w:right="0" w:hanging="225"/>
              <w:rPr/>
            </w:pPr>
            <w:r>
              <w:rPr/>
              <w:t>Stockholders equity:</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Class A Non-voting Common Stock, par value $.01 per share; Authorized 54 million shares; issued and outstanding: 46,952,495 at December 31, 2010; 45,761,998 at December 31, 2009; and 46,256,051 at September 30, 2010</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469</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458</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463</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Class B Voting Common Stock, convertible, par value $.01 per share; 3 million shares authorized; issued and outstanding: 2,970,171</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30</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30</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30</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Additional paid-in capital</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229,789</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218,284</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225,374</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bottom"/>
          </w:tcPr>
          <w:p>
            <w:pPr>
              <w:pStyle w:val="TableContents"/>
              <w:spacing w:before="0" w:after="0"/>
              <w:ind w:left="675" w:right="0" w:hanging="225"/>
              <w:rPr/>
            </w:pPr>
            <w:r>
              <w:rPr/>
              <w:t>Retained earnings</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327,365</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228,349</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299,936</w:t>
            </w:r>
          </w:p>
        </w:tc>
        <w:tc>
          <w:tcPr>
            <w:tcW w:w="140" w:type="dxa"/>
            <w:tcBorders/>
            <w:shd w:fill="auto" w:val="clear"/>
            <w:vAlign w:val="bottom"/>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675" w:right="0" w:hanging="225"/>
              <w:rPr/>
            </w:pPr>
            <w:r>
              <w:rPr/>
              <w:t>Accumulated other comprehensive loss</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653</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185" w:type="dxa"/>
            <w:tcBorders/>
            <w:shd w:fill="CCEEFF" w:val="clear"/>
            <w:vAlign w:val="bottom"/>
          </w:tcPr>
          <w:p>
            <w:pPr>
              <w:pStyle w:val="TableContents"/>
              <w:spacing w:before="0" w:after="283"/>
              <w:jc w:val="right"/>
              <w:rPr/>
            </w:pPr>
            <w:r>
              <w:rPr/>
              <w:t>(4,526</w:t>
            </w:r>
          </w:p>
        </w:tc>
        <w:tc>
          <w:tcPr>
            <w:tcW w:w="130" w:type="dxa"/>
            <w:tcBorders/>
            <w:shd w:fill="CCEEFF" w:val="clear"/>
            <w:vAlign w:val="bottom"/>
          </w:tcPr>
          <w:p>
            <w:pPr>
              <w:pStyle w:val="TableContents"/>
              <w:spacing w:before="0" w:after="283"/>
              <w:rPr/>
            </w:pPr>
            <w:r>
              <w:rPr/>
              <w:t>)</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 </w:t>
            </w:r>
          </w:p>
        </w:tc>
        <w:tc>
          <w:tcPr>
            <w:tcW w:w="1184" w:type="dxa"/>
            <w:tcBorders/>
            <w:shd w:fill="CCEEFF" w:val="clear"/>
            <w:vAlign w:val="bottom"/>
          </w:tcPr>
          <w:p>
            <w:pPr>
              <w:pStyle w:val="TableContents"/>
              <w:spacing w:before="0" w:after="283"/>
              <w:jc w:val="right"/>
              <w:rPr/>
            </w:pPr>
            <w:r>
              <w:rPr/>
              <w:t>(6,375</w:t>
            </w:r>
          </w:p>
        </w:tc>
        <w:tc>
          <w:tcPr>
            <w:tcW w:w="140" w:type="dxa"/>
            <w:tcBorders/>
            <w:shd w:fill="CCEEFF" w:val="clear"/>
            <w:vAlign w:val="bottom"/>
          </w:tcPr>
          <w:p>
            <w:pPr>
              <w:pStyle w:val="TableContents"/>
              <w:spacing w:before="0" w:after="283"/>
              <w:rPr/>
            </w:pPr>
            <w:r>
              <w:rPr/>
              <w:t>)</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auto" w:val="clear"/>
            <w:vAlign w:val="bottom"/>
          </w:tcPr>
          <w:p>
            <w:pPr>
              <w:pStyle w:val="TableContents"/>
              <w:spacing w:before="0" w:after="0"/>
              <w:ind w:left="1125" w:right="0" w:hanging="225"/>
              <w:rPr/>
            </w:pPr>
            <w:r>
              <w:rPr/>
              <w:t>Total stockholders equity</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558,306</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442,595</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519,428</w:t>
            </w:r>
          </w:p>
        </w:tc>
        <w:tc>
          <w:tcPr>
            <w:tcW w:w="140" w:type="dxa"/>
            <w:tcBorders/>
            <w:shd w:fill="auto"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CCEEFF" w:val="clear"/>
            <w:vAlign w:val="bottom"/>
          </w:tcPr>
          <w:p>
            <w:pPr>
              <w:pStyle w:val="TableContents"/>
              <w:spacing w:before="0" w:after="0"/>
              <w:ind w:left="450" w:right="0" w:hanging="225"/>
              <w:rPr/>
            </w:pPr>
            <w:r>
              <w:rPr/>
              <w:t>Total liabilities and stockholders equity</w:t>
            </w:r>
          </w:p>
        </w:tc>
        <w:tc>
          <w:tcPr>
            <w:tcW w:w="3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165" w:type="dxa"/>
            <w:tcBorders/>
            <w:shd w:fill="CCEEFF" w:val="clear"/>
            <w:vAlign w:val="bottom"/>
          </w:tcPr>
          <w:p>
            <w:pPr>
              <w:pStyle w:val="TableContents"/>
              <w:spacing w:before="0" w:after="283"/>
              <w:jc w:val="right"/>
              <w:rPr/>
            </w:pPr>
            <w:r>
              <w:rPr/>
              <w:t>645,047</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526,804</w:t>
            </w:r>
          </w:p>
        </w:tc>
        <w:tc>
          <w:tcPr>
            <w:tcW w:w="13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184" w:type="dxa"/>
            <w:tcBorders/>
            <w:shd w:fill="CCEEFF" w:val="clear"/>
            <w:vAlign w:val="bottom"/>
          </w:tcPr>
          <w:p>
            <w:pPr>
              <w:pStyle w:val="TableContents"/>
              <w:spacing w:before="0" w:after="283"/>
              <w:jc w:val="right"/>
              <w:rPr/>
            </w:pPr>
            <w:r>
              <w:rPr/>
              <w:t>606,412</w:t>
            </w:r>
          </w:p>
        </w:tc>
        <w:tc>
          <w:tcPr>
            <w:tcW w:w="140" w:type="dxa"/>
            <w:tcBorders/>
            <w:shd w:fill="CCEEFF" w:val="clear"/>
            <w:vAlign w:val="bottom"/>
          </w:tcPr>
          <w:p>
            <w:pPr>
              <w:pStyle w:val="TableContents"/>
              <w:spacing w:before="0" w:after="283"/>
              <w:rPr/>
            </w:pPr>
            <w:r>
              <w:rPr/>
              <w:t> </w:t>
            </w:r>
          </w:p>
        </w:tc>
      </w:tr>
      <w:tr>
        <w:trPr/>
        <w:tc>
          <w:tcPr>
            <w:tcW w:w="4654"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13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654"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center"/>
        <w:rPr>
          <w:rFonts w:ascii="Times New Roman;Times;serif" w:hAnsi="Times New Roman;Times;serif"/>
          <w:sz w:val="17"/>
        </w:rPr>
      </w:pPr>
      <w:bookmarkStart w:id="6" w:name="D79164104"/>
      <w:bookmarkEnd w:id="6"/>
      <w:r>
        <w:rPr>
          <w:rFonts w:ascii="Times New Roman;Times;serif" w:hAnsi="Times New Roman;Times;serif"/>
          <w:sz w:val="17"/>
        </w:rPr>
        <w:t xml:space="preserve">Condensed Consolidated Statements of Operations (Unaudited) </w:t>
      </w:r>
    </w:p>
    <w:tbl>
      <w:tblPr>
        <w:tblW w:w="5000" w:type="pct"/>
        <w:jc w:val="center"/>
        <w:tblInd w:w="0" w:type="dxa"/>
        <w:tblCellMar>
          <w:top w:w="0" w:type="dxa"/>
          <w:left w:w="0" w:type="dxa"/>
          <w:bottom w:w="0" w:type="dxa"/>
          <w:right w:w="0" w:type="dxa"/>
        </w:tblCellMar>
      </w:tblPr>
      <w:tblGrid>
        <w:gridCol w:w="6274"/>
        <w:gridCol w:w="398"/>
        <w:gridCol w:w="215"/>
        <w:gridCol w:w="1185"/>
        <w:gridCol w:w="169"/>
        <w:gridCol w:w="418"/>
        <w:gridCol w:w="215"/>
        <w:gridCol w:w="1187"/>
        <w:gridCol w:w="144"/>
      </w:tblGrid>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389"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389"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69" w:type="dxa"/>
            <w:tcBorders>
              <w:bottom w:val="single" w:sz="2" w:space="0" w:color="000000"/>
            </w:tcBorders>
            <w:shd w:fill="auto" w:val="clear"/>
            <w:tcMar>
              <w:bottom w:w="28" w:type="dxa"/>
            </w:tcMar>
            <w:vAlign w:val="bottom"/>
          </w:tcPr>
          <w:p>
            <w:pPr>
              <w:pStyle w:val="TableContents"/>
              <w:spacing w:before="0" w:after="283"/>
              <w:rPr/>
            </w:pPr>
            <w:r>
              <w:rPr/>
              <w:t> </w:t>
            </w:r>
          </w:p>
        </w:tc>
        <w:tc>
          <w:tcPr>
            <w:tcW w:w="418" w:type="dxa"/>
            <w:tcBorders>
              <w:bottom w:val="single" w:sz="2" w:space="0" w:color="000000"/>
            </w:tcBorders>
            <w:shd w:fill="auto" w:val="clear"/>
            <w:tcMar>
              <w:bottom w:w="28" w:type="dxa"/>
            </w:tcMar>
            <w:vAlign w:val="bottom"/>
          </w:tcPr>
          <w:p>
            <w:pPr>
              <w:pStyle w:val="TableContents"/>
              <w:spacing w:before="0" w:after="283"/>
              <w:rPr/>
            </w:pPr>
            <w:r>
              <w:rPr/>
              <w:t> </w:t>
            </w:r>
          </w:p>
        </w:tc>
        <w:tc>
          <w:tcPr>
            <w:tcW w:w="14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389" w:type="dxa"/>
            <w:gridSpan w:val="6"/>
            <w:tcBorders/>
            <w:shd w:fill="auto" w:val="clear"/>
            <w:vAlign w:val="bottom"/>
          </w:tcPr>
          <w:p>
            <w:pPr>
              <w:pStyle w:val="TableContents"/>
              <w:spacing w:before="0" w:after="283"/>
              <w:jc w:val="center"/>
              <w:rPr>
                <w:i/>
              </w:rPr>
            </w:pPr>
            <w:r>
              <w:rPr>
                <w:i/>
              </w:rPr>
              <w:t>(In thousands, except per share</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389" w:type="dxa"/>
            <w:gridSpan w:val="6"/>
            <w:tcBorders/>
            <w:shd w:fill="auto" w:val="clear"/>
            <w:vAlign w:val="bottom"/>
          </w:tcPr>
          <w:p>
            <w:pPr>
              <w:pStyle w:val="TableContents"/>
              <w:spacing w:before="0" w:after="283"/>
              <w:jc w:val="center"/>
              <w:rPr>
                <w:i/>
              </w:rPr>
            </w:pPr>
            <w:r>
              <w:rPr>
                <w:i/>
              </w:rPr>
              <w:t>amounts)</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Revenues: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Sales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118,395</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7" w:type="dxa"/>
            <w:tcBorders/>
            <w:shd w:fill="auto" w:val="clear"/>
            <w:vAlign w:val="bottom"/>
          </w:tcPr>
          <w:p>
            <w:pPr>
              <w:pStyle w:val="TableContents"/>
              <w:spacing w:before="0" w:after="283"/>
              <w:jc w:val="right"/>
              <w:rPr/>
            </w:pPr>
            <w:r>
              <w:rPr/>
              <w:t>99,918</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Pawn service charges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49,810</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40,797</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Signature loan fees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40,066</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38,678</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Auto title loan fees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6,244</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3,102</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Other</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4,311</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2,256</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900" w:right="0" w:hanging="225"/>
              <w:rPr/>
            </w:pPr>
            <w:r>
              <w:rPr/>
              <w:t>Total revenues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218,826</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184,751</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Cost of goods sold</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73,566</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62,570</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Signature loan bad debt</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10,046</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8,790</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Auto title loan bad debt</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982</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460</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900" w:right="0" w:hanging="225"/>
              <w:rPr/>
            </w:pPr>
            <w:r>
              <w:rPr/>
              <w:t>Net revenues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134,232</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112,931</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Operating expenses: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Operations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64,504</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58,181</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Administrative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26,138</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12,297</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675" w:right="0" w:hanging="225"/>
              <w:rPr/>
            </w:pPr>
            <w:r>
              <w:rPr/>
              <w:t>Depreciation and amortization</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4,179</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3,356</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rPr/>
            </w:pPr>
            <w:r>
              <w:rPr/>
              <w:t>Loss on sale / disposal of assets</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211</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900" w:right="0" w:hanging="225"/>
              <w:rPr/>
            </w:pPr>
            <w:r>
              <w:rPr/>
              <w:t>Total operating expenses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94,828</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74,045</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Operating income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39,404</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38,886</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Interest income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5" w:type="dxa"/>
            <w:tcBorders/>
            <w:shd w:fill="CCEEFF" w:val="clear"/>
            <w:vAlign w:val="bottom"/>
          </w:tcPr>
          <w:p>
            <w:pPr>
              <w:pStyle w:val="TableContents"/>
              <w:spacing w:before="0" w:after="283"/>
              <w:jc w:val="right"/>
              <w:rPr/>
            </w:pPr>
            <w:r>
              <w:rPr/>
              <w:t>(3</w:t>
            </w:r>
          </w:p>
        </w:tc>
        <w:tc>
          <w:tcPr>
            <w:tcW w:w="169"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7" w:type="dxa"/>
            <w:tcBorders/>
            <w:shd w:fill="CCEEFF" w:val="clear"/>
            <w:vAlign w:val="bottom"/>
          </w:tcPr>
          <w:p>
            <w:pPr>
              <w:pStyle w:val="TableContents"/>
              <w:spacing w:before="0" w:after="283"/>
              <w:jc w:val="right"/>
              <w:rPr/>
            </w:pPr>
            <w:r>
              <w:rPr/>
              <w:t>(8</w:t>
            </w:r>
          </w:p>
        </w:tc>
        <w:tc>
          <w:tcPr>
            <w:tcW w:w="144" w:type="dxa"/>
            <w:tcBorders/>
            <w:shd w:fill="CCEEFF" w:val="clear"/>
            <w:vAlign w:val="bottom"/>
          </w:tcPr>
          <w:p>
            <w:pPr>
              <w:pStyle w:val="TableContents"/>
              <w:spacing w:before="0" w:after="283"/>
              <w:rPr/>
            </w:pPr>
            <w:r>
              <w:rPr/>
              <w:t>)</w:t>
            </w:r>
          </w:p>
        </w:tc>
      </w:tr>
      <w:tr>
        <w:trPr/>
        <w:tc>
          <w:tcPr>
            <w:tcW w:w="6274" w:type="dxa"/>
            <w:tcBorders/>
            <w:shd w:fill="auto" w:val="clear"/>
            <w:vAlign w:val="bottom"/>
          </w:tcPr>
          <w:p>
            <w:pPr>
              <w:pStyle w:val="TableContents"/>
              <w:spacing w:before="0" w:after="0"/>
              <w:ind w:left="225" w:right="0" w:hanging="225"/>
              <w:rPr/>
            </w:pPr>
            <w:r>
              <w:rPr/>
              <w:t>Interest expense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300</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365</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Equity in net income of unconsolidated affiliates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5" w:type="dxa"/>
            <w:tcBorders/>
            <w:shd w:fill="CCEEFF" w:val="clear"/>
            <w:vAlign w:val="bottom"/>
          </w:tcPr>
          <w:p>
            <w:pPr>
              <w:pStyle w:val="TableContents"/>
              <w:spacing w:before="0" w:after="283"/>
              <w:jc w:val="right"/>
              <w:rPr/>
            </w:pPr>
            <w:r>
              <w:rPr/>
              <w:t>(3,367</w:t>
            </w:r>
          </w:p>
        </w:tc>
        <w:tc>
          <w:tcPr>
            <w:tcW w:w="169"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7" w:type="dxa"/>
            <w:tcBorders/>
            <w:shd w:fill="CCEEFF" w:val="clear"/>
            <w:vAlign w:val="bottom"/>
          </w:tcPr>
          <w:p>
            <w:pPr>
              <w:pStyle w:val="TableContents"/>
              <w:spacing w:before="0" w:after="283"/>
              <w:jc w:val="right"/>
              <w:rPr/>
            </w:pPr>
            <w:r>
              <w:rPr/>
              <w:t>(1,283</w:t>
            </w:r>
          </w:p>
        </w:tc>
        <w:tc>
          <w:tcPr>
            <w:tcW w:w="144" w:type="dxa"/>
            <w:tcBorders/>
            <w:shd w:fill="CCEEFF" w:val="clear"/>
            <w:vAlign w:val="bottom"/>
          </w:tcPr>
          <w:p>
            <w:pPr>
              <w:pStyle w:val="TableContents"/>
              <w:spacing w:before="0" w:after="283"/>
              <w:rPr/>
            </w:pPr>
            <w:r>
              <w:rPr/>
              <w:t>)</w:t>
            </w:r>
          </w:p>
        </w:tc>
      </w:tr>
      <w:tr>
        <w:trPr/>
        <w:tc>
          <w:tcPr>
            <w:tcW w:w="6274" w:type="dxa"/>
            <w:tcBorders/>
            <w:shd w:fill="auto" w:val="clear"/>
            <w:vAlign w:val="bottom"/>
          </w:tcPr>
          <w:p>
            <w:pPr>
              <w:pStyle w:val="TableContents"/>
              <w:spacing w:before="0" w:after="0"/>
              <w:ind w:left="225" w:right="0" w:hanging="225"/>
              <w:rPr/>
            </w:pPr>
            <w:r>
              <w:rPr/>
              <w:t>Other</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5" w:type="dxa"/>
            <w:tcBorders/>
            <w:shd w:fill="auto" w:val="clear"/>
            <w:vAlign w:val="bottom"/>
          </w:tcPr>
          <w:p>
            <w:pPr>
              <w:pStyle w:val="TableContents"/>
              <w:spacing w:before="0" w:after="283"/>
              <w:jc w:val="right"/>
              <w:rPr/>
            </w:pPr>
            <w:r>
              <w:rPr/>
              <w:t>(61</w:t>
            </w:r>
          </w:p>
        </w:tc>
        <w:tc>
          <w:tcPr>
            <w:tcW w:w="169"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7" w:type="dxa"/>
            <w:tcBorders/>
            <w:shd w:fill="auto" w:val="clear"/>
            <w:vAlign w:val="bottom"/>
          </w:tcPr>
          <w:p>
            <w:pPr>
              <w:pStyle w:val="TableContents"/>
              <w:spacing w:before="0" w:after="283"/>
              <w:jc w:val="right"/>
              <w:rPr/>
            </w:pPr>
            <w:r>
              <w:rPr/>
              <w:t>(15</w:t>
            </w:r>
          </w:p>
        </w:tc>
        <w:tc>
          <w:tcPr>
            <w:tcW w:w="144" w:type="dxa"/>
            <w:tcBorders/>
            <w:shd w:fill="auto" w:val="clear"/>
            <w:vAlign w:val="bottom"/>
          </w:tcPr>
          <w:p>
            <w:pPr>
              <w:pStyle w:val="TableContents"/>
              <w:spacing w:before="0" w:after="283"/>
              <w:rPr/>
            </w:pPr>
            <w:r>
              <w:rPr/>
              <w:t>)</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Income before income taxes</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42,535</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39,827</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Income tax expense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15,106</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14,120</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Net income</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27,429</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7" w:type="dxa"/>
            <w:tcBorders/>
            <w:shd w:fill="CCEEFF" w:val="clear"/>
            <w:vAlign w:val="bottom"/>
          </w:tcPr>
          <w:p>
            <w:pPr>
              <w:pStyle w:val="TableContents"/>
              <w:spacing w:before="0" w:after="283"/>
              <w:jc w:val="right"/>
              <w:rPr/>
            </w:pPr>
            <w:r>
              <w:rPr/>
              <w:t>25,707</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Net income per common share:</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Basic</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0.55</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7" w:type="dxa"/>
            <w:tcBorders/>
            <w:shd w:fill="CCEEFF" w:val="clear"/>
            <w:vAlign w:val="bottom"/>
          </w:tcPr>
          <w:p>
            <w:pPr>
              <w:pStyle w:val="TableContents"/>
              <w:spacing w:before="0" w:after="283"/>
              <w:jc w:val="right"/>
              <w:rPr/>
            </w:pPr>
            <w:r>
              <w:rPr/>
              <w:t>0.53</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450" w:right="0" w:hanging="225"/>
              <w:rPr/>
            </w:pPr>
            <w:r>
              <w:rPr/>
              <w:t>Diluted</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0.55</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7" w:type="dxa"/>
            <w:tcBorders/>
            <w:shd w:fill="auto" w:val="clear"/>
            <w:vAlign w:val="bottom"/>
          </w:tcPr>
          <w:p>
            <w:pPr>
              <w:pStyle w:val="TableContents"/>
              <w:spacing w:before="0" w:after="283"/>
              <w:jc w:val="right"/>
              <w:rPr/>
            </w:pPr>
            <w:r>
              <w:rPr/>
              <w:t>0.52</w:t>
            </w:r>
          </w:p>
        </w:tc>
        <w:tc>
          <w:tcPr>
            <w:tcW w:w="144"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4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Weighted average shares outstanding:</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450" w:right="0" w:hanging="225"/>
              <w:rPr/>
            </w:pPr>
            <w:r>
              <w:rPr/>
              <w:t>Basic</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49,698</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48,722</w:t>
            </w:r>
          </w:p>
        </w:tc>
        <w:tc>
          <w:tcPr>
            <w:tcW w:w="144"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Diluted</w:t>
            </w:r>
          </w:p>
        </w:tc>
        <w:tc>
          <w:tcPr>
            <w:tcW w:w="3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50,119</w:t>
            </w:r>
          </w:p>
        </w:tc>
        <w:tc>
          <w:tcPr>
            <w:tcW w:w="16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49,400</w:t>
            </w:r>
          </w:p>
        </w:tc>
        <w:tc>
          <w:tcPr>
            <w:tcW w:w="144"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360" w:after="283"/>
        <w:jc w:val="center"/>
        <w:rPr>
          <w:rFonts w:ascii="Times New Roman;Times;serif" w:hAnsi="Times New Roman;Times;serif"/>
          <w:sz w:val="17"/>
        </w:rPr>
      </w:pPr>
      <w:bookmarkStart w:id="7" w:name="D79164105"/>
      <w:bookmarkEnd w:id="7"/>
      <w:r>
        <w:rPr>
          <w:rFonts w:ascii="Times New Roman;Times;serif" w:hAnsi="Times New Roman;Times;serif"/>
          <w:sz w:val="17"/>
        </w:rPr>
        <w:t xml:space="preserve">Condensed Consolidated Statements of Cash Flows (Unaudited) </w:t>
      </w:r>
    </w:p>
    <w:tbl>
      <w:tblPr>
        <w:tblW w:w="5000" w:type="pct"/>
        <w:jc w:val="center"/>
        <w:tblInd w:w="0" w:type="dxa"/>
        <w:tblCellMar>
          <w:top w:w="0" w:type="dxa"/>
          <w:left w:w="0" w:type="dxa"/>
          <w:bottom w:w="0" w:type="dxa"/>
          <w:right w:w="0" w:type="dxa"/>
        </w:tblCellMar>
      </w:tblPr>
      <w:tblGrid>
        <w:gridCol w:w="6988"/>
        <w:gridCol w:w="434"/>
        <w:gridCol w:w="157"/>
        <w:gridCol w:w="883"/>
        <w:gridCol w:w="132"/>
        <w:gridCol w:w="434"/>
        <w:gridCol w:w="157"/>
        <w:gridCol w:w="883"/>
        <w:gridCol w:w="137"/>
      </w:tblGrid>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646" w:type="dxa"/>
            <w:gridSpan w:val="6"/>
            <w:tcBorders/>
            <w:shd w:fill="auto" w:val="clear"/>
            <w:vAlign w:val="bottom"/>
          </w:tcPr>
          <w:p>
            <w:pPr>
              <w:pStyle w:val="TableContents"/>
              <w:spacing w:before="0" w:after="283"/>
              <w:jc w:val="center"/>
              <w:rPr/>
            </w:pPr>
            <w:r>
              <w:rPr/>
              <w:t>Three Months Ended</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646"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434" w:type="dxa"/>
            <w:tcBorders>
              <w:bottom w:val="single" w:sz="2" w:space="0" w:color="000000"/>
            </w:tcBorders>
            <w:shd w:fill="auto" w:val="clear"/>
            <w:tcMar>
              <w:bottom w:w="28" w:type="dxa"/>
            </w:tcM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646"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Operating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450" w:right="0" w:hanging="225"/>
              <w:rPr/>
            </w:pPr>
            <w:r>
              <w:rPr/>
              <w:t>Net income</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27,429</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25,707</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Depreciation and amortization</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4,179</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3,356</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Signature loan and auto title loan loss provisions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4,205</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2,938</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Deferred taxes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1,639</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1,300</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Loss on sale or disposal of assets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7</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211</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Stock compensation</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8,548</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1,056</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Income from investments in unconsolidated affiliates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(3,367</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(1,283</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Service charges and fees receivable, net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(2,417</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(2,198</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900" w:right="0" w:hanging="225"/>
              <w:rPr/>
            </w:pPr>
            <w:r>
              <w:rPr/>
              <w:t>Inventory, net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(1,754</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197</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Prepaid expenses, other current assets, and other assets, net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(3,775</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(5,659</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900" w:right="0" w:hanging="225"/>
              <w:rPr/>
            </w:pPr>
            <w:r>
              <w:rPr/>
              <w:t>Accounts payable and accrued expenses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(811</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5,654</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Customer layaway deposits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(234</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(1,482</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900" w:right="0" w:hanging="225"/>
              <w:rPr/>
            </w:pPr>
            <w:r>
              <w:rPr/>
              <w:t>Deferred gains and other long-term liabilities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(108</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(414</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900" w:right="0" w:hanging="225"/>
              <w:rPr/>
            </w:pPr>
            <w:r>
              <w:rPr/>
              <w:t>Excess tax benefit from stock compensation</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(3,065</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(23</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900" w:right="0" w:hanging="225"/>
              <w:rPr/>
            </w:pPr>
            <w:r>
              <w:rPr/>
              <w:t>Federal income taxes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4,675</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5,967</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1125" w:right="0" w:hanging="225"/>
              <w:rPr/>
            </w:pPr>
            <w:r>
              <w:rPr/>
              <w:t>Net cash provided by operating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35,151</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35,327</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Investing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Loans made</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(152,860</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(128,315</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675" w:right="0" w:hanging="225"/>
              <w:rPr/>
            </w:pPr>
            <w:r>
              <w:rPr/>
              <w:t>Loans repaid</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91,380</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77,849</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Recovery of pawn loan principal through sale of forfeited collateral</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50,833</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45,256</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Additions to property and equipment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(7,934</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(4,470</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675" w:right="0" w:hanging="225"/>
              <w:rPr/>
            </w:pPr>
            <w:r>
              <w:rPr/>
              <w:t>Acquisitions, net of cash acquired</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(13,700</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(31</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675" w:right="0" w:hanging="225"/>
              <w:rPr/>
            </w:pPr>
            <w:r>
              <w:rPr/>
              <w:t>Investments in unconsolidated affiliates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(50,932</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675" w:right="0" w:hanging="225"/>
              <w:rPr/>
            </w:pPr>
            <w:r>
              <w:rPr/>
              <w:t>Dividends from unconsolidated affiliates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1,811</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auto" w:val="clear"/>
            <w:vAlign w:val="bottom"/>
          </w:tcPr>
          <w:p>
            <w:pPr>
              <w:pStyle w:val="TableContents"/>
              <w:spacing w:before="0" w:after="0"/>
              <w:ind w:left="1125" w:right="0" w:hanging="225"/>
              <w:rPr/>
            </w:pPr>
            <w:r>
              <w:rPr/>
              <w:t>Net cash used in investing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(30,470</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(60,643</w:t>
            </w:r>
          </w:p>
        </w:tc>
        <w:tc>
          <w:tcPr>
            <w:tcW w:w="137" w:type="dxa"/>
            <w:tcBorders/>
            <w:shd w:fill="auto"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Financing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Proceeds from exercise of stock options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204</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61</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Excess tax benefit from stock compensation</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3,065</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23</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Taxes paid related to net share settlement of equity awards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(7,396</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Payments on bank borrowings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(2,500</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(2,500</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auto" w:val="clear"/>
            <w:vAlign w:val="bottom"/>
          </w:tcPr>
          <w:p>
            <w:pPr>
              <w:pStyle w:val="TableContents"/>
              <w:spacing w:before="0" w:after="0"/>
              <w:ind w:left="1125" w:right="0" w:hanging="225"/>
              <w:rPr/>
            </w:pPr>
            <w:r>
              <w:rPr/>
              <w:t>Net cash used in financing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(6,627</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(2,416</w:t>
            </w:r>
          </w:p>
        </w:tc>
        <w:tc>
          <w:tcPr>
            <w:tcW w:w="137" w:type="dxa"/>
            <w:tcBorders/>
            <w:shd w:fill="auto"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Change in cash and cash equivalents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(1,946</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(27,732</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225" w:right="0" w:hanging="225"/>
              <w:rPr/>
            </w:pPr>
            <w:r>
              <w:rPr/>
              <w:t>Cash and cash equivalents at beginning of period</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25,854</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44,764</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Cash and cash equivalents at end of period</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23,908</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17,032</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Non-cash Investing and Financing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Pawn loans forfeited and transferred to inventory</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54,405</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44,872</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Foreign currency translation adjustment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(6,537</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(94</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675" w:right="0" w:hanging="225"/>
              <w:rPr/>
            </w:pPr>
            <w:r>
              <w:rPr/>
              <w:t>Acquisition-related stock issuance</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(31</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360" w:after="283"/>
        <w:jc w:val="center"/>
        <w:rPr>
          <w:rFonts w:ascii="Times New Roman;Times;serif" w:hAnsi="Times New Roman;Times;serif"/>
          <w:sz w:val="17"/>
        </w:rPr>
      </w:pPr>
      <w:bookmarkStart w:id="8" w:name="D79164106"/>
      <w:bookmarkEnd w:id="8"/>
      <w:r>
        <w:rPr>
          <w:rFonts w:ascii="Times New Roman;Times;serif" w:hAnsi="Times New Roman;Times;serif"/>
          <w:b/>
          <w:sz w:val="17"/>
        </w:rPr>
        <w:t>EZCORP, Inc. and Subsidiaries</w:t>
      </w:r>
      <w:r>
        <w:rPr>
          <w:rFonts w:ascii="Times New Roman;Times;serif" w:hAnsi="Times New Roman;Times;serif"/>
          <w:sz w:val="17"/>
        </w:rPr>
        <w:t xml:space="preserve"> </w:t>
      </w:r>
    </w:p>
    <w:p>
      <w:pPr>
        <w:pStyle w:val="TextBody"/>
        <w:spacing w:before="0" w:after="283"/>
        <w:jc w:val="center"/>
        <w:rPr>
          <w:rFonts w:ascii="Times New Roman;Times;serif" w:hAnsi="Times New Roman;Times;serif"/>
          <w:sz w:val="17"/>
        </w:rPr>
      </w:pPr>
      <w:r>
        <w:rPr>
          <w:rFonts w:ascii="Times New Roman;Times;serif" w:hAnsi="Times New Roman;Times;serif"/>
          <w:b/>
          <w:sz w:val="17"/>
        </w:rPr>
        <w:t>Notes to Interim Condensed Consolidated Financial Statements (Unaudited)</w:t>
        <w:br/>
        <w:t>December 31, 2010</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C). The accompanying financial statements should be read with the Notes to Consolidated Financial Statements included in our Annual Report on Form 10-K for the year ended September 30, 2010. The balance sheet at September 30, 2010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is subject to seasonal variations, and operating results for the three-month period ended December 31, 2010 (the current quarter) are not necessarily indicative of the results of operations for the full fiscal year.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Consolidation: </w:t>
      </w:r>
      <w:r>
        <w:rPr>
          <w:rFonts w:ascii="Times New Roman;Times;serif" w:hAnsi="Times New Roman;Times;serif"/>
          <w:sz w:val="17"/>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and late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maturity dates averaging about 16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considered defaulted. If more than one installment payment is delinquent at any time, the entire loan is considered defaulted.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signature loan bad debt. We include the balance of Expected LOC Losses in Accounts payable and other accrued expenses on our balance sheets. At December 31, 2010, the allowance for Expected LOC Losses on signature loans was $1.7 million and our maximum exposure for losses on letters of credit, if all brokered signature loans defaulted and none was collected, was $27.9 million. This amount includes principal, interest, insufficient funds fees and late fees.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At December 31, 2010, the allowance was $0.3 million and our maximum exposure for losses on letters of credit, if all brokered auto title loans defaulted and none was collected, was $8.0 million.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auto title loan bad debt and charge uncollectable loans against this allowance. We record changes in the fee receivable valuation allowance to auto title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Cash and Cash Equivalents and Cash Concentrations: </w:t>
      </w:r>
      <w:r>
        <w:rPr>
          <w:rFonts w:ascii="Times New Roman;Times;serif" w:hAnsi="Times New Roman;Times;serif"/>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Inventory: </w:t>
      </w:r>
      <w:r>
        <w:rPr>
          <w:rFonts w:ascii="Times New Roman;Times;serif" w:hAnsi="Times New Roman;Times;serif"/>
          <w:sz w:val="17"/>
        </w:rPr>
        <w:t xml:space="preserve">If a pawn loan is not redeemed, we record the forfeited collateral at cost (the principal amount of the pawn loan). We do not record loan loss allowances or charge-offs on the principal portion of pawn loans, as they are fully collateralized. In order to state inventory at the lower of cost (specific identification) or market value, we record an allowance for excess, obsolete or slow-moving inventory based on the type and age of merchandise. At December 31, 2010, the inventory valuation allowance was $6.4 million or 7.6% of gross inventory.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Intangible Assets: </w:t>
      </w:r>
      <w:r>
        <w:rPr>
          <w:rFonts w:ascii="Times New Roman;Times;serif" w:hAnsi="Times New Roman;Times;serif"/>
          <w:sz w:val="17"/>
        </w:rPr>
        <w:t xml:space="preserve">Goodwill and other intangible assets having indefinite lives are not subject to amortization. They are tested for impairment each July 1st, or more frequently if events or changes in circumstances indicate that they might be impaired, based on cash flows and other market valuation methods. We recognized no impairment of our intangible assets in the current or prior year periods. We amortize intangible assets with definite lives over their estimated useful lives, using the straight-line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Property and Equipment: </w:t>
      </w:r>
      <w:r>
        <w:rPr>
          <w:rFonts w:ascii="Times New Roman;Times;serif" w:hAnsi="Times New Roman;Times;serif"/>
          <w:sz w:val="17"/>
        </w:rPr>
        <w:t xml:space="preserve">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 Property and equipment is shown net of accumulated depreciation of $117.3 million at December 31, 2010.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Valuation of Tangible Long-Lived Assets: </w:t>
      </w:r>
      <w:r>
        <w:rPr>
          <w:rFonts w:ascii="Times New Roman;Times;serif" w:hAnsi="Times New Roman;Time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 No impairment of tangible long-lived assets was recognized in the current or prior year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Foreign Currency Translation: </w:t>
      </w:r>
      <w:r>
        <w:rPr>
          <w:rFonts w:ascii="Times New Roman;Times;serif" w:hAnsi="Times New Roman;Times;serif"/>
          <w:sz w:val="17"/>
        </w:rPr>
        <w:t xml:space="preserve">Our equity investments in Albemarle &amp; Bond and Cash Converters are translated from British pounds and Australian dollars, respectively, into U.S. dollars at the exchange rates as of the investees balance sheet date. The related interest in the investees net income is translated at the average exchange rates for each six-month period reported by the investees. The functional currency of our wholly-owned Empeño Fácil pawn segment is the Mexican peso and the functional currency of our wholly-owned foreign subsidiary CASHMAX is the Canadian dollar. Empeño Fácils and CASHMAXs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from Albemarle &amp; Bond, Cash Converters, Empeño Fácil and CASHMAX as a separate component of stockholders equity. Foreign currency transaction gains and losses have not been significant, and are reported as Other expense in our statements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Stock Compensation: </w:t>
      </w:r>
      <w:r>
        <w:rPr>
          <w:rFonts w:ascii="Times New Roman;Times;serif" w:hAnsi="Times New Roman;Times;serif"/>
          <w:sz w:val="17"/>
        </w:rPr>
        <w:t xml:space="preserve">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We have not granted any stock options since fiscal 2007. When granted, our policy is to estimate the grant-date fair value of options using the Black-Scholes-Merton option-pricing model and amortize that fair value to compensation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Recently Issued Accounting Pronouncements: </w:t>
      </w:r>
      <w:r>
        <w:rPr>
          <w:rFonts w:ascii="Times New Roman;Times;serif" w:hAnsi="Times New Roman;Times;serif"/>
          <w:sz w:val="17"/>
        </w:rPr>
        <w:t xml:space="preserve">In June 2009, FASB amended ASC 810-10-65 (Consolidation). Amended ASC 810-10-65 relates to the consolidation of variable interest entities. It eliminates the quantitative approach previously required for determining the primary beneficiary of a variable interest entity and requires ongoing qualitative reassessments of whether an enterprise is the primary beneficiary of a variable interest entity. This guidance also requires additional disclosures about an enterprises involvement in variable interest entities. We adopted this amended standard October 1, 2010, resulting in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2010, FASB issued Accounting Standards Update (ASU) 2010-20, Disclosures about the Credit Quality of Financing Receivables and the Allowance for Credit Losses. This update amends FASB ASC 310 (Receivables) to improve the disclosures that an entity provides about the credit quality of its financing receivables and the related allowance for credit losses. As a result of these amendments, an entity is required to disaggregate by portfolio segment or class certain existing disclosures and provide new disclosures about its financing receivables and related allowance for credit losses. We adopted this amended standard on October 1, 2010, resulting in no effect on our financial position, results of operations or cash flows. The additional required disclosures are included in Note 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Between June and September 2010, we acquired, through asset purchases, five pawn stores located in the Chicago metropolitan area, eight pawn stores located in Central and South Florida, two pawn stores located in Corpus Christi, Texas and one pawn store in Las Vegas, Nevada for approximately $21.8 million in cash. The stores were acquired from five separate sellers. We recorded approximately $4.9 million of net tangible assets and $1.0 million of intangible assets attributable to non-compete agreements and a pawn license. Goodwill of $15.9 million, which is expected to be fully tax deductible, was recorded in the U.S. Pawn Operations segment as part of these acquisitions. The factors contributing to the recognition of goodwill were based on several strategic and synergistic benefits we expect to realize from the acquisitions. These benefits include our initial entry into Chicago, a greater presence in prime pawn markets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ended December 31, 2010, we acquired three pawn stores located in the Chicago metropolitan area and one pawn store located in Marietta, Georgia for approximately $13.7 million in cash. The stores were acquired from four separate sellers. One of the stores in Chicago was acquired by purchasing all of the capital stock of the corporation that owned it, and the other three were acquired through asset purchases. We recorded approximately $2.8 million of net tangible assets, $0.1 million of intangible assets attributable to non-compete agreements and $10.8 million of goodwill, all of which was recorded in the U.S. Pawn Operations segment. Of the total goodwill, $6.1 million is expected to be fully tax deductible and $4.7 million is expected to be non-deductible. The factors contributing to the recognition of goodwill were based on several strategic and synergistic benefits we expect to realize from the acquisitions. These benefits include a greater presence in a prime pawn market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stores were acquired as part of our continuing strategy to acquire domestic pawn stores to enhance and diversify our earnings. Transaction related expenses were not material and were expensed as incurred. The results of all acquired stores have been consolidated with our results since their acquisition. The purchase price allocation of stores acquired in the twelve months ended December 31, 2010 is preliminary as we continue to receive information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regarding the acquired assets. Pro forma results of operations have not been presented because the acquisitions were not significant on either an individual or an aggregate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D: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In the periods presented, we had no such potential common shares that were anti-dilutive.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Components of basic and diluted earnings per share are as follows (in thousands except per share amounts): </w:t>
      </w:r>
    </w:p>
    <w:tbl>
      <w:tblPr>
        <w:tblW w:w="5000" w:type="pct"/>
        <w:jc w:val="center"/>
        <w:tblInd w:w="0" w:type="dxa"/>
        <w:tblCellMar>
          <w:top w:w="0" w:type="dxa"/>
          <w:left w:w="0" w:type="dxa"/>
          <w:bottom w:w="0" w:type="dxa"/>
          <w:right w:w="0" w:type="dxa"/>
        </w:tblCellMar>
      </w:tblPr>
      <w:tblGrid>
        <w:gridCol w:w="7071"/>
        <w:gridCol w:w="465"/>
        <w:gridCol w:w="164"/>
        <w:gridCol w:w="815"/>
        <w:gridCol w:w="120"/>
        <w:gridCol w:w="470"/>
        <w:gridCol w:w="164"/>
        <w:gridCol w:w="816"/>
        <w:gridCol w:w="120"/>
      </w:tblGrid>
      <w:tr>
        <w:trPr/>
        <w:tc>
          <w:tcPr>
            <w:tcW w:w="707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07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2549" w:type="dxa"/>
            <w:gridSpan w:val="6"/>
            <w:tcBorders/>
            <w:shd w:fill="auto" w:val="clear"/>
            <w:vAlign w:val="bottom"/>
          </w:tcPr>
          <w:p>
            <w:pPr>
              <w:pStyle w:val="TableContents"/>
              <w:spacing w:before="0" w:after="283"/>
              <w:jc w:val="center"/>
              <w:rPr/>
            </w:pPr>
            <w:r>
              <w:rPr/>
              <w:t>Three Months Ended</w:t>
            </w:r>
          </w:p>
        </w:tc>
        <w:tc>
          <w:tcPr>
            <w:tcW w:w="120" w:type="dxa"/>
            <w:tcBorders/>
            <w:shd w:fill="auto" w:val="clear"/>
            <w:vAlign w:val="bottom"/>
          </w:tcPr>
          <w:p>
            <w:pPr>
              <w:pStyle w:val="TableContents"/>
              <w:spacing w:before="0" w:after="283"/>
              <w:rPr/>
            </w:pPr>
            <w:r>
              <w:rPr/>
              <w:t> </w:t>
            </w:r>
          </w:p>
        </w:tc>
      </w:tr>
      <w:tr>
        <w:trPr/>
        <w:tc>
          <w:tcPr>
            <w:tcW w:w="707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2549"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20" w:type="dxa"/>
            <w:tcBorders/>
            <w:shd w:fill="auto" w:val="clear"/>
            <w:vAlign w:val="bottom"/>
          </w:tcPr>
          <w:p>
            <w:pPr>
              <w:pStyle w:val="TableContents"/>
              <w:spacing w:before="0" w:after="283"/>
              <w:rPr/>
            </w:pPr>
            <w:r>
              <w:rPr/>
              <w:t> </w:t>
            </w:r>
          </w:p>
        </w:tc>
      </w:tr>
      <w:tr>
        <w:trPr/>
        <w:tc>
          <w:tcPr>
            <w:tcW w:w="707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071" w:type="dxa"/>
            <w:tcBorders/>
            <w:shd w:fill="CCEEFF" w:val="clear"/>
            <w:vAlign w:val="bottom"/>
          </w:tcPr>
          <w:p>
            <w:pPr>
              <w:pStyle w:val="TableContents"/>
              <w:spacing w:before="0" w:after="0"/>
              <w:ind w:left="225" w:right="0" w:hanging="225"/>
              <w:rPr/>
            </w:pPr>
            <w:r>
              <w:rPr/>
              <w:t>Net income (A)</w:t>
            </w:r>
          </w:p>
        </w:tc>
        <w:tc>
          <w:tcPr>
            <w:tcW w:w="46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27,429</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25,707</w:t>
            </w:r>
          </w:p>
        </w:tc>
        <w:tc>
          <w:tcPr>
            <w:tcW w:w="120" w:type="dxa"/>
            <w:tcBorders/>
            <w:shd w:fill="CCEEFF" w:val="clear"/>
            <w:vAlign w:val="bottom"/>
          </w:tcPr>
          <w:p>
            <w:pPr>
              <w:pStyle w:val="TableContents"/>
              <w:spacing w:before="0" w:after="283"/>
              <w:rPr/>
            </w:pPr>
            <w:r>
              <w:rPr/>
              <w:t> </w:t>
            </w:r>
          </w:p>
        </w:tc>
      </w:tr>
      <w:tr>
        <w:trPr/>
        <w:tc>
          <w:tcPr>
            <w:tcW w:w="7071"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071" w:type="dxa"/>
            <w:tcBorders/>
            <w:shd w:fill="auto" w:val="clear"/>
            <w:vAlign w:val="bottom"/>
          </w:tcPr>
          <w:p>
            <w:pPr>
              <w:pStyle w:val="TableContents"/>
              <w:spacing w:before="0" w:after="0"/>
              <w:ind w:left="225" w:right="0" w:hanging="225"/>
              <w:rPr/>
            </w:pPr>
            <w:r>
              <w:rPr/>
              <w:t>Weighted average outstanding shares of common stock (B)</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49,698</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48,722</w:t>
            </w:r>
          </w:p>
        </w:tc>
        <w:tc>
          <w:tcPr>
            <w:tcW w:w="120" w:type="dxa"/>
            <w:tcBorders/>
            <w:shd w:fill="auto" w:val="clear"/>
            <w:vAlign w:val="bottom"/>
          </w:tcPr>
          <w:p>
            <w:pPr>
              <w:pStyle w:val="TableContents"/>
              <w:spacing w:before="0" w:after="283"/>
              <w:rPr/>
            </w:pPr>
            <w:r>
              <w:rPr/>
              <w:t> </w:t>
            </w:r>
          </w:p>
        </w:tc>
      </w:tr>
      <w:tr>
        <w:trPr/>
        <w:tc>
          <w:tcPr>
            <w:tcW w:w="7071" w:type="dxa"/>
            <w:tcBorders/>
            <w:shd w:fill="CCEEFF" w:val="clear"/>
            <w:vAlign w:val="bottom"/>
          </w:tcPr>
          <w:p>
            <w:pPr>
              <w:pStyle w:val="TableContents"/>
              <w:spacing w:before="0" w:after="0"/>
              <w:ind w:left="225" w:right="0" w:hanging="225"/>
              <w:rPr/>
            </w:pPr>
            <w:r>
              <w:rPr/>
              <w:t>Dilutive effect of stock options, warrants, and restricted stock</w:t>
            </w:r>
          </w:p>
        </w:tc>
        <w:tc>
          <w:tcPr>
            <w:tcW w:w="46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421</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678</w:t>
            </w:r>
          </w:p>
        </w:tc>
        <w:tc>
          <w:tcPr>
            <w:tcW w:w="120" w:type="dxa"/>
            <w:tcBorders/>
            <w:shd w:fill="CCEEFF" w:val="clear"/>
            <w:vAlign w:val="bottom"/>
          </w:tcPr>
          <w:p>
            <w:pPr>
              <w:pStyle w:val="TableContents"/>
              <w:spacing w:before="0" w:after="283"/>
              <w:rPr/>
            </w:pPr>
            <w:r>
              <w:rPr/>
              <w:t> </w:t>
            </w:r>
          </w:p>
        </w:tc>
      </w:tr>
      <w:tr>
        <w:trPr/>
        <w:tc>
          <w:tcPr>
            <w:tcW w:w="7071"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9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071" w:type="dxa"/>
            <w:tcBorders/>
            <w:shd w:fill="auto" w:val="clear"/>
            <w:vAlign w:val="bottom"/>
          </w:tcPr>
          <w:p>
            <w:pPr>
              <w:pStyle w:val="TableContents"/>
              <w:spacing w:before="0" w:after="0"/>
              <w:ind w:left="225" w:right="0" w:hanging="225"/>
              <w:rPr/>
            </w:pPr>
            <w:r>
              <w:rPr/>
              <w:t>Weighted average common stock and common stock equivalents (C)</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50,119</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49,400</w:t>
            </w:r>
          </w:p>
        </w:tc>
        <w:tc>
          <w:tcPr>
            <w:tcW w:w="120" w:type="dxa"/>
            <w:tcBorders/>
            <w:shd w:fill="auto" w:val="clear"/>
            <w:vAlign w:val="bottom"/>
          </w:tcPr>
          <w:p>
            <w:pPr>
              <w:pStyle w:val="TableContents"/>
              <w:spacing w:before="0" w:after="283"/>
              <w:rPr/>
            </w:pPr>
            <w:r>
              <w:rPr/>
              <w:t> </w:t>
            </w:r>
          </w:p>
        </w:tc>
      </w:tr>
      <w:tr>
        <w:trPr/>
        <w:tc>
          <w:tcPr>
            <w:tcW w:w="7071"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071"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071" w:type="dxa"/>
            <w:tcBorders/>
            <w:shd w:fill="CCEEFF" w:val="clear"/>
            <w:vAlign w:val="bottom"/>
          </w:tcPr>
          <w:p>
            <w:pPr>
              <w:pStyle w:val="TableContents"/>
              <w:spacing w:before="0" w:after="0"/>
              <w:ind w:left="225" w:right="0" w:hanging="225"/>
              <w:rPr/>
            </w:pPr>
            <w:r>
              <w:rPr/>
              <w:t>Basic earnings per share (A/B)</w:t>
            </w:r>
          </w:p>
        </w:tc>
        <w:tc>
          <w:tcPr>
            <w:tcW w:w="46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0.55</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0.53</w:t>
            </w:r>
          </w:p>
        </w:tc>
        <w:tc>
          <w:tcPr>
            <w:tcW w:w="120" w:type="dxa"/>
            <w:tcBorders/>
            <w:shd w:fill="CCEEFF" w:val="clear"/>
            <w:vAlign w:val="bottom"/>
          </w:tcPr>
          <w:p>
            <w:pPr>
              <w:pStyle w:val="TableContents"/>
              <w:spacing w:before="0" w:after="283"/>
              <w:rPr/>
            </w:pPr>
            <w:r>
              <w:rPr/>
              <w:t> </w:t>
            </w:r>
          </w:p>
        </w:tc>
      </w:tr>
      <w:tr>
        <w:trPr/>
        <w:tc>
          <w:tcPr>
            <w:tcW w:w="7071"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071" w:type="dxa"/>
            <w:tcBorders/>
            <w:shd w:fill="auto" w:val="clear"/>
            <w:vAlign w:val="bottom"/>
          </w:tcPr>
          <w:p>
            <w:pPr>
              <w:pStyle w:val="TableContents"/>
              <w:spacing w:before="0" w:after="0"/>
              <w:ind w:left="225" w:right="0" w:hanging="225"/>
              <w:rPr/>
            </w:pPr>
            <w:r>
              <w:rPr/>
              <w:t>Diluted earnings per share (A/C)</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0.55</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0.52</w:t>
            </w:r>
          </w:p>
        </w:tc>
        <w:tc>
          <w:tcPr>
            <w:tcW w:w="120" w:type="dxa"/>
            <w:tcBorders/>
            <w:shd w:fill="auto" w:val="clear"/>
            <w:vAlign w:val="bottom"/>
          </w:tcPr>
          <w:p>
            <w:pPr>
              <w:pStyle w:val="TableContents"/>
              <w:spacing w:before="0" w:after="283"/>
              <w:rPr/>
            </w:pPr>
            <w:r>
              <w:rPr/>
              <w:t> </w:t>
            </w:r>
          </w:p>
        </w:tc>
      </w:tr>
      <w:tr>
        <w:trPr/>
        <w:tc>
          <w:tcPr>
            <w:tcW w:w="7071"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071"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071" w:type="dxa"/>
            <w:tcBorders/>
            <w:shd w:fill="CCEEFF" w:val="clear"/>
            <w:vAlign w:val="bottom"/>
          </w:tcPr>
          <w:p>
            <w:pPr>
              <w:pStyle w:val="TableContents"/>
              <w:spacing w:before="0" w:after="0"/>
              <w:ind w:left="225" w:right="0" w:hanging="225"/>
              <w:rPr/>
            </w:pPr>
            <w:r>
              <w:rPr/>
              <w:t>Potential common shares excluded from the calculation of diluted earnings per share</w:t>
            </w:r>
          </w:p>
        </w:tc>
        <w:tc>
          <w:tcPr>
            <w:tcW w:w="46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E: Strategic Investments and Fair Value of Financial Instruments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December 31, 2010, we owned 16,644,640 common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quarter ended December 31, 2010 represents our percentage interest in the estimated results of Albemarle &amp; Bonds operations from July 1, 2010 to September 30, 2010.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British pounds, Albemarle &amp; Bonds total assets increased 7% from June 30, 2009 to June 30, 2010 and its net income improved 35% for the year ended June 30, 2010. Below is summarized financial information for Albemarle &amp; Bonds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97,476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102,034</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52,325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51,980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154,014</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17,898</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13,247</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42,078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55,729</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89,825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85,038</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154,014</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994"/>
        <w:gridCol w:w="467"/>
        <w:gridCol w:w="165"/>
        <w:gridCol w:w="884"/>
        <w:gridCol w:w="120"/>
        <w:gridCol w:w="470"/>
        <w:gridCol w:w="165"/>
        <w:gridCol w:w="818"/>
        <w:gridCol w:w="122"/>
      </w:tblGrid>
      <w:tr>
        <w:trPr/>
        <w:tc>
          <w:tcPr>
            <w:tcW w:w="699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99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622"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22" w:type="dxa"/>
            <w:tcBorders/>
            <w:shd w:fill="auto" w:val="clear"/>
            <w:vAlign w:val="bottom"/>
          </w:tcPr>
          <w:p>
            <w:pPr>
              <w:pStyle w:val="TableContents"/>
              <w:spacing w:before="0" w:after="283"/>
              <w:rPr/>
            </w:pPr>
            <w:r>
              <w:rPr/>
              <w:t> </w:t>
            </w:r>
          </w:p>
        </w:tc>
      </w:tr>
      <w:tr>
        <w:trPr/>
        <w:tc>
          <w:tcPr>
            <w:tcW w:w="699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98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2" w:type="dxa"/>
            <w:tcBorders/>
            <w:shd w:fill="auto" w:val="clear"/>
            <w:vAlign w:val="bottom"/>
          </w:tcPr>
          <w:p>
            <w:pPr>
              <w:pStyle w:val="TableContents"/>
              <w:spacing w:before="0" w:after="283"/>
              <w:rPr/>
            </w:pPr>
            <w:r>
              <w:rPr/>
              <w:t> </w:t>
            </w:r>
          </w:p>
        </w:tc>
      </w:tr>
      <w:tr>
        <w:trPr/>
        <w:tc>
          <w:tcPr>
            <w:tcW w:w="699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622"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6994" w:type="dxa"/>
            <w:tcBorders/>
            <w:shd w:fill="CCEEFF" w:val="clear"/>
            <w:vAlign w:val="bottom"/>
          </w:tcPr>
          <w:p>
            <w:pPr>
              <w:pStyle w:val="TableContents"/>
              <w:spacing w:before="0" w:after="0"/>
              <w:ind w:left="225" w:right="0" w:hanging="225"/>
              <w:rPr/>
            </w:pPr>
            <w:r>
              <w:rPr/>
              <w:t>Turnover (gross revenues)</w:t>
            </w:r>
          </w:p>
        </w:tc>
        <w:tc>
          <w:tcPr>
            <w:tcW w:w="4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84" w:type="dxa"/>
            <w:tcBorders/>
            <w:shd w:fill="CCEEFF" w:val="clear"/>
            <w:vAlign w:val="bottom"/>
          </w:tcPr>
          <w:p>
            <w:pPr>
              <w:pStyle w:val="TableContents"/>
              <w:spacing w:before="0" w:after="283"/>
              <w:jc w:val="right"/>
              <w:rPr/>
            </w:pPr>
            <w:r>
              <w:rPr/>
              <w:t>129,794</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89,712</w:t>
            </w:r>
          </w:p>
        </w:tc>
        <w:tc>
          <w:tcPr>
            <w:tcW w:w="122" w:type="dxa"/>
            <w:tcBorders/>
            <w:shd w:fill="CCEEFF" w:val="clear"/>
            <w:vAlign w:val="bottom"/>
          </w:tcPr>
          <w:p>
            <w:pPr>
              <w:pStyle w:val="TableContents"/>
              <w:spacing w:before="0" w:after="283"/>
              <w:rPr/>
            </w:pPr>
            <w:r>
              <w:rPr/>
              <w:t> </w:t>
            </w:r>
          </w:p>
        </w:tc>
      </w:tr>
      <w:tr>
        <w:trPr/>
        <w:tc>
          <w:tcPr>
            <w:tcW w:w="6994" w:type="dxa"/>
            <w:tcBorders/>
            <w:shd w:fill="auto" w:val="clear"/>
            <w:vAlign w:val="bottom"/>
          </w:tcPr>
          <w:p>
            <w:pPr>
              <w:pStyle w:val="TableContents"/>
              <w:spacing w:before="0" w:after="0"/>
              <w:ind w:left="225" w:right="0" w:hanging="225"/>
              <w:rPr/>
            </w:pPr>
            <w:r>
              <w:rPr/>
              <w:t>Gross profit</w:t>
            </w:r>
          </w:p>
        </w:tc>
        <w:tc>
          <w:tcPr>
            <w:tcW w:w="4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84,850</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68,572</w:t>
            </w:r>
          </w:p>
        </w:tc>
        <w:tc>
          <w:tcPr>
            <w:tcW w:w="122" w:type="dxa"/>
            <w:tcBorders/>
            <w:shd w:fill="auto" w:val="clear"/>
            <w:vAlign w:val="bottom"/>
          </w:tcPr>
          <w:p>
            <w:pPr>
              <w:pStyle w:val="TableContents"/>
              <w:spacing w:before="0" w:after="283"/>
              <w:rPr/>
            </w:pPr>
            <w:r>
              <w:rPr/>
              <w:t> </w:t>
            </w:r>
          </w:p>
        </w:tc>
      </w:tr>
      <w:tr>
        <w:trPr/>
        <w:tc>
          <w:tcPr>
            <w:tcW w:w="6994" w:type="dxa"/>
            <w:tcBorders/>
            <w:shd w:fill="CCEEFF" w:val="clear"/>
            <w:vAlign w:val="bottom"/>
          </w:tcPr>
          <w:p>
            <w:pPr>
              <w:pStyle w:val="TableContents"/>
              <w:spacing w:before="0" w:after="0"/>
              <w:ind w:left="225" w:right="0" w:hanging="225"/>
              <w:rPr/>
            </w:pPr>
            <w:r>
              <w:rPr/>
              <w:t>Profit for the year (net income)</w:t>
            </w:r>
          </w:p>
        </w:tc>
        <w:tc>
          <w:tcPr>
            <w:tcW w:w="4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22,792</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17,239</w:t>
            </w:r>
          </w:p>
        </w:tc>
        <w:tc>
          <w:tcPr>
            <w:tcW w:w="12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December 31, 2010, we owned 124,418,000 shares, or approximately 33% of the total common shares of Cash Converters International Limited, which is a publicly traded company headquartered in Perth, Australia. We acquired the shares between November 2009 and May 2010 for approximately $57.8 million. Cash Converters franchises and operates a worldwide network of over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our results for the quarter ended December 31, 2010 include our percentage interest in the estimated results of Cash Converters operations from July 1, 2010 to September 30, 2010. Our results for the quarter ended December 31, 2009 reflect no contribution from Cash Converters as the contribution was first reflected in our results three months after our initial investment date of November 6, 2009.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Australian dollars, Cash Converters total assets increased 72% from June 30, 2009 to June 30, 2010 and its net income improved 34% for the year ended June 30, 2010. Below is summarized financial information for Cash Converters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96"/>
        <w:gridCol w:w="464"/>
        <w:gridCol w:w="150"/>
        <w:gridCol w:w="800"/>
        <w:gridCol w:w="114"/>
        <w:gridCol w:w="464"/>
        <w:gridCol w:w="150"/>
        <w:gridCol w:w="746"/>
        <w:gridCol w:w="121"/>
      </w:tblGrid>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424"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9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424" w:type="dxa"/>
            <w:gridSpan w:val="6"/>
            <w:tcBorders/>
            <w:shd w:fill="auto" w:val="clear"/>
            <w:vAlign w:val="bottom"/>
          </w:tcPr>
          <w:p>
            <w:pPr>
              <w:pStyle w:val="TableContents"/>
              <w:spacing w:before="0" w:after="283"/>
              <w:jc w:val="center"/>
              <w:rPr>
                <w:i/>
              </w:rPr>
            </w:pPr>
            <w:r>
              <w:rPr>
                <w:i/>
              </w:rPr>
              <w:t>(In thousands)</w:t>
            </w:r>
          </w:p>
        </w:tc>
        <w:tc>
          <w:tcPr>
            <w:tcW w:w="121" w:type="dxa"/>
            <w:tcBorders/>
            <w:shd w:fill="auto" w:val="clear"/>
            <w:vAlign w:val="bottom"/>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225" w:right="0" w:hanging="225"/>
              <w:rPr/>
            </w:pPr>
            <w:r>
              <w:rPr/>
              <w:t>Current assets</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96,489</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37,477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Non-current assets</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72,408</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54,900</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450" w:right="0" w:hanging="225"/>
              <w:rPr/>
            </w:pPr>
            <w:r>
              <w:rPr/>
              <w:t>Total assets</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168,897</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92,377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Current liabilities</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19,179</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6" w:type="dxa"/>
            <w:tcBorders/>
            <w:shd w:fill="auto" w:val="clear"/>
            <w:vAlign w:val="bottom"/>
          </w:tcPr>
          <w:p>
            <w:pPr>
              <w:pStyle w:val="TableContents"/>
              <w:spacing w:before="0" w:after="283"/>
              <w:jc w:val="right"/>
              <w:rPr/>
            </w:pPr>
            <w:r>
              <w:rPr/>
              <w:t>14,523</w:t>
            </w:r>
          </w:p>
        </w:tc>
        <w:tc>
          <w:tcPr>
            <w:tcW w:w="121" w:type="dxa"/>
            <w:tcBorders/>
            <w:shd w:fill="auto" w:val="clear"/>
            <w:vAlign w:val="bottom"/>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225" w:right="0" w:hanging="225"/>
              <w:rPr/>
            </w:pPr>
            <w:r>
              <w:rPr/>
              <w:t>Non-current liabilities</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10,199</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11,467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Shareholders equity</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139,519</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66,387</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450" w:right="0" w:hanging="225"/>
              <w:rPr/>
            </w:pPr>
            <w:r>
              <w:rPr/>
              <w:t>Total liabilities and shareholders equity</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168,897</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92,377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7005"/>
        <w:gridCol w:w="469"/>
        <w:gridCol w:w="164"/>
        <w:gridCol w:w="877"/>
        <w:gridCol w:w="120"/>
        <w:gridCol w:w="472"/>
        <w:gridCol w:w="164"/>
        <w:gridCol w:w="813"/>
        <w:gridCol w:w="121"/>
      </w:tblGrid>
      <w:tr>
        <w:trPr/>
        <w:tc>
          <w:tcPr>
            <w:tcW w:w="700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700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2610"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21" w:type="dxa"/>
            <w:tcBorders/>
            <w:shd w:fill="auto" w:val="clear"/>
            <w:vAlign w:val="bottom"/>
          </w:tcPr>
          <w:p>
            <w:pPr>
              <w:pStyle w:val="TableContents"/>
              <w:spacing w:before="0" w:after="283"/>
              <w:rPr/>
            </w:pPr>
            <w:r>
              <w:rPr/>
              <w:t> </w:t>
            </w:r>
          </w:p>
        </w:tc>
      </w:tr>
      <w:tr>
        <w:trPr/>
        <w:tc>
          <w:tcPr>
            <w:tcW w:w="700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0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7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7005"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2610" w:type="dxa"/>
            <w:gridSpan w:val="6"/>
            <w:tcBorders/>
            <w:shd w:fill="auto" w:val="clear"/>
            <w:vAlign w:val="bottom"/>
          </w:tcPr>
          <w:p>
            <w:pPr>
              <w:pStyle w:val="TableContents"/>
              <w:spacing w:before="0" w:after="283"/>
              <w:jc w:val="center"/>
              <w:rPr>
                <w:i/>
              </w:rPr>
            </w:pPr>
            <w:r>
              <w:rPr>
                <w:i/>
              </w:rPr>
              <w:t>(in thousands)</w:t>
            </w:r>
          </w:p>
        </w:tc>
        <w:tc>
          <w:tcPr>
            <w:tcW w:w="121" w:type="dxa"/>
            <w:tcBorders/>
            <w:shd w:fill="auto" w:val="clear"/>
            <w:vAlign w:val="bottom"/>
          </w:tcPr>
          <w:p>
            <w:pPr>
              <w:pStyle w:val="TableContents"/>
              <w:spacing w:before="0" w:after="283"/>
              <w:rPr/>
            </w:pPr>
            <w:r>
              <w:rPr/>
              <w:t> </w:t>
            </w:r>
          </w:p>
        </w:tc>
      </w:tr>
      <w:tr>
        <w:trPr/>
        <w:tc>
          <w:tcPr>
            <w:tcW w:w="7005" w:type="dxa"/>
            <w:tcBorders/>
            <w:shd w:fill="CCEEFF" w:val="clear"/>
            <w:vAlign w:val="bottom"/>
          </w:tcPr>
          <w:p>
            <w:pPr>
              <w:pStyle w:val="TableContents"/>
              <w:spacing w:before="0" w:after="0"/>
              <w:ind w:left="225" w:right="0" w:hanging="225"/>
              <w:rPr/>
            </w:pPr>
            <w:r>
              <w:rPr/>
              <w:t>Gross revenues</w:t>
            </w:r>
          </w:p>
        </w:tc>
        <w:tc>
          <w:tcPr>
            <w:tcW w:w="46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112,733</w:t>
            </w:r>
          </w:p>
        </w:tc>
        <w:tc>
          <w:tcPr>
            <w:tcW w:w="120"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70,916</w:t>
            </w:r>
          </w:p>
        </w:tc>
        <w:tc>
          <w:tcPr>
            <w:tcW w:w="121" w:type="dxa"/>
            <w:tcBorders/>
            <w:shd w:fill="CCEEFF" w:val="clear"/>
            <w:vAlign w:val="bottom"/>
          </w:tcPr>
          <w:p>
            <w:pPr>
              <w:pStyle w:val="TableContents"/>
              <w:spacing w:before="0" w:after="283"/>
              <w:rPr/>
            </w:pPr>
            <w:r>
              <w:rPr/>
              <w:t> </w:t>
            </w:r>
          </w:p>
        </w:tc>
      </w:tr>
      <w:tr>
        <w:trPr/>
        <w:tc>
          <w:tcPr>
            <w:tcW w:w="7005" w:type="dxa"/>
            <w:tcBorders/>
            <w:shd w:fill="auto" w:val="clear"/>
            <w:vAlign w:val="bottom"/>
          </w:tcPr>
          <w:p>
            <w:pPr>
              <w:pStyle w:val="TableContents"/>
              <w:spacing w:before="0" w:after="0"/>
              <w:ind w:left="225" w:right="0" w:hanging="225"/>
              <w:rPr/>
            </w:pPr>
            <w:r>
              <w:rPr/>
              <w:t>Gross profit</w:t>
            </w:r>
          </w:p>
        </w:tc>
        <w:tc>
          <w:tcPr>
            <w:tcW w:w="4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85,811</w:t>
            </w:r>
          </w:p>
        </w:tc>
        <w:tc>
          <w:tcPr>
            <w:tcW w:w="12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52,984</w:t>
            </w:r>
          </w:p>
        </w:tc>
        <w:tc>
          <w:tcPr>
            <w:tcW w:w="121" w:type="dxa"/>
            <w:tcBorders/>
            <w:shd w:fill="auto" w:val="clear"/>
            <w:vAlign w:val="bottom"/>
          </w:tcPr>
          <w:p>
            <w:pPr>
              <w:pStyle w:val="TableContents"/>
              <w:spacing w:before="0" w:after="283"/>
              <w:rPr/>
            </w:pPr>
            <w:r>
              <w:rPr/>
              <w:t> </w:t>
            </w:r>
          </w:p>
        </w:tc>
      </w:tr>
      <w:tr>
        <w:trPr/>
        <w:tc>
          <w:tcPr>
            <w:tcW w:w="7005" w:type="dxa"/>
            <w:tcBorders/>
            <w:shd w:fill="CCEEFF" w:val="clear"/>
            <w:vAlign w:val="bottom"/>
          </w:tcPr>
          <w:p>
            <w:pPr>
              <w:pStyle w:val="TableContents"/>
              <w:spacing w:before="0" w:after="0"/>
              <w:ind w:left="225" w:right="0" w:hanging="225"/>
              <w:rPr/>
            </w:pPr>
            <w:r>
              <w:rPr/>
              <w:t>Profit for the year (net income)</w:t>
            </w:r>
          </w:p>
        </w:tc>
        <w:tc>
          <w:tcPr>
            <w:tcW w:w="46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19,122</w:t>
            </w:r>
          </w:p>
        </w:tc>
        <w:tc>
          <w:tcPr>
            <w:tcW w:w="120"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12,084</w:t>
            </w:r>
          </w:p>
        </w:tc>
        <w:tc>
          <w:tcPr>
            <w:tcW w:w="121"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recorded value and fair value of each of these strategic investments at the dates indicated. These fair values are considered level one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tbl>
      <w:tblPr>
        <w:tblW w:w="5000" w:type="pct"/>
        <w:jc w:val="center"/>
        <w:tblInd w:w="0" w:type="dxa"/>
        <w:tblCellMar>
          <w:top w:w="0" w:type="dxa"/>
          <w:left w:w="0" w:type="dxa"/>
          <w:bottom w:w="0" w:type="dxa"/>
          <w:right w:w="0" w:type="dxa"/>
        </w:tblCellMar>
      </w:tblPr>
      <w:tblGrid>
        <w:gridCol w:w="3397"/>
        <w:gridCol w:w="261"/>
        <w:gridCol w:w="323"/>
        <w:gridCol w:w="1581"/>
        <w:gridCol w:w="94"/>
        <w:gridCol w:w="261"/>
        <w:gridCol w:w="323"/>
        <w:gridCol w:w="1581"/>
        <w:gridCol w:w="94"/>
        <w:gridCol w:w="261"/>
        <w:gridCol w:w="328"/>
        <w:gridCol w:w="1602"/>
        <w:gridCol w:w="99"/>
      </w:tblGrid>
      <w:tr>
        <w:trPr/>
        <w:tc>
          <w:tcPr>
            <w:tcW w:w="339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2"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04"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 2010</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04"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 2009</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30"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99" w:type="dxa"/>
            <w:tcBorders/>
            <w:shd w:fill="auto"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6448" w:type="dxa"/>
            <w:gridSpan w:val="10"/>
            <w:tcBorders/>
            <w:shd w:fill="auto" w:val="clear"/>
            <w:vAlign w:val="bottom"/>
          </w:tcPr>
          <w:p>
            <w:pPr>
              <w:pStyle w:val="TableContents"/>
              <w:spacing w:before="0" w:after="283"/>
              <w:jc w:val="center"/>
              <w:rPr>
                <w:i/>
              </w:rPr>
            </w:pPr>
            <w:r>
              <w:rPr>
                <w:i/>
              </w:rPr>
              <w:t>(In thousands of U.S. dollars)</w:t>
            </w:r>
          </w:p>
        </w:tc>
        <w:tc>
          <w:tcPr>
            <w:tcW w:w="99" w:type="dxa"/>
            <w:tcBorders/>
            <w:shd w:fill="auto" w:val="clear"/>
            <w:vAlign w:val="bottom"/>
          </w:tcPr>
          <w:p>
            <w:pPr>
              <w:pStyle w:val="TableContents"/>
              <w:spacing w:before="0" w:after="283"/>
              <w:rPr/>
            </w:pPr>
            <w:r>
              <w:rPr/>
              <w:t> </w:t>
            </w:r>
          </w:p>
        </w:tc>
      </w:tr>
      <w:tr>
        <w:trPr/>
        <w:tc>
          <w:tcPr>
            <w:tcW w:w="3397" w:type="dxa"/>
            <w:tcBorders/>
            <w:shd w:fill="CCEEFF" w:val="clear"/>
            <w:vAlign w:val="bottom"/>
          </w:tcPr>
          <w:p>
            <w:pPr>
              <w:pStyle w:val="TableContents"/>
              <w:spacing w:before="0" w:after="0"/>
              <w:ind w:left="225" w:right="0" w:hanging="225"/>
              <w:rPr/>
            </w:pPr>
            <w:r>
              <w:rPr/>
              <w:t>Albemarle &amp; Bond:</w:t>
            </w:r>
          </w:p>
        </w:tc>
        <w:tc>
          <w:tcPr>
            <w:tcW w:w="26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2"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0"/>
              <w:ind w:left="450" w:right="0" w:hanging="225"/>
              <w:rPr/>
            </w:pPr>
            <w:r>
              <w:rPr/>
              <w:t>Recorded value</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581" w:type="dxa"/>
            <w:tcBorders/>
            <w:shd w:fill="auto" w:val="clear"/>
            <w:vAlign w:val="bottom"/>
          </w:tcPr>
          <w:p>
            <w:pPr>
              <w:pStyle w:val="TableContents"/>
              <w:spacing w:before="0" w:after="283"/>
              <w:jc w:val="right"/>
              <w:rPr/>
            </w:pPr>
            <w:r>
              <w:rPr/>
              <w:t>45,684</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581" w:type="dxa"/>
            <w:tcBorders/>
            <w:shd w:fill="auto" w:val="clear"/>
            <w:vAlign w:val="bottom"/>
          </w:tcPr>
          <w:p>
            <w:pPr>
              <w:pStyle w:val="TableContents"/>
              <w:spacing w:before="0" w:after="283"/>
              <w:jc w:val="right"/>
              <w:rPr/>
            </w:pPr>
            <w:r>
              <w:rPr/>
              <w:t>40,832</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1602" w:type="dxa"/>
            <w:tcBorders/>
            <w:shd w:fill="auto" w:val="clear"/>
            <w:vAlign w:val="bottom"/>
          </w:tcPr>
          <w:p>
            <w:pPr>
              <w:pStyle w:val="TableContents"/>
              <w:spacing w:before="0" w:after="283"/>
              <w:jc w:val="right"/>
              <w:rPr/>
            </w:pPr>
            <w:r>
              <w:rPr/>
              <w:t>43,127</w:t>
            </w:r>
          </w:p>
        </w:tc>
        <w:tc>
          <w:tcPr>
            <w:tcW w:w="99" w:type="dxa"/>
            <w:tcBorders/>
            <w:shd w:fill="auto" w:val="clear"/>
            <w:vAlign w:val="bottom"/>
          </w:tcPr>
          <w:p>
            <w:pPr>
              <w:pStyle w:val="TableContents"/>
              <w:spacing w:before="0" w:after="283"/>
              <w:rPr/>
            </w:pPr>
            <w:r>
              <w:rPr/>
              <w:t> </w:t>
            </w:r>
          </w:p>
        </w:tc>
      </w:tr>
      <w:tr>
        <w:trPr/>
        <w:tc>
          <w:tcPr>
            <w:tcW w:w="3397" w:type="dxa"/>
            <w:tcBorders/>
            <w:shd w:fill="CCEEFF" w:val="clear"/>
            <w:vAlign w:val="bottom"/>
          </w:tcPr>
          <w:p>
            <w:pPr>
              <w:pStyle w:val="TableContents"/>
              <w:spacing w:before="0" w:after="0"/>
              <w:ind w:left="450" w:right="0" w:hanging="225"/>
              <w:rPr/>
            </w:pPr>
            <w:r>
              <w:rPr/>
              <w:t>Fair value</w:t>
            </w:r>
          </w:p>
        </w:tc>
        <w:tc>
          <w:tcPr>
            <w:tcW w:w="26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jc w:val="right"/>
              <w:rPr/>
            </w:pPr>
            <w:r>
              <w:rPr/>
              <w:t>81,630</w:t>
            </w:r>
          </w:p>
        </w:tc>
        <w:tc>
          <w:tcPr>
            <w:tcW w:w="9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jc w:val="right"/>
              <w:rPr/>
            </w:pPr>
            <w:r>
              <w:rPr/>
              <w:t>69,091</w:t>
            </w:r>
          </w:p>
        </w:tc>
        <w:tc>
          <w:tcPr>
            <w:tcW w:w="9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2" w:type="dxa"/>
            <w:tcBorders/>
            <w:shd w:fill="CCEEFF" w:val="clear"/>
            <w:vAlign w:val="bottom"/>
          </w:tcPr>
          <w:p>
            <w:pPr>
              <w:pStyle w:val="TableContents"/>
              <w:spacing w:before="0" w:after="283"/>
              <w:jc w:val="right"/>
              <w:rPr/>
            </w:pPr>
            <w:r>
              <w:rPr/>
              <w:t>75,520</w:t>
            </w:r>
          </w:p>
        </w:tc>
        <w:tc>
          <w:tcPr>
            <w:tcW w:w="99" w:type="dxa"/>
            <w:tcBorders/>
            <w:shd w:fill="CCEEFF"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0"/>
              <w:ind w:left="225" w:right="0" w:hanging="225"/>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2"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0"/>
              <w:ind w:left="225" w:right="0" w:hanging="225"/>
              <w:rPr/>
            </w:pPr>
            <w:r>
              <w:rPr/>
              <w:t>Cash Converters:</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2"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397" w:type="dxa"/>
            <w:tcBorders/>
            <w:shd w:fill="CCEEFF" w:val="clear"/>
            <w:vAlign w:val="bottom"/>
          </w:tcPr>
          <w:p>
            <w:pPr>
              <w:pStyle w:val="TableContents"/>
              <w:spacing w:before="0" w:after="0"/>
              <w:ind w:left="450" w:right="0" w:hanging="225"/>
              <w:rPr/>
            </w:pPr>
            <w:r>
              <w:rPr/>
              <w:t>Recorded value</w:t>
            </w:r>
          </w:p>
        </w:tc>
        <w:tc>
          <w:tcPr>
            <w:tcW w:w="26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jc w:val="right"/>
              <w:rPr/>
            </w:pPr>
            <w:r>
              <w:rPr/>
              <w:t>63,275</w:t>
            </w:r>
          </w:p>
        </w:tc>
        <w:tc>
          <w:tcPr>
            <w:tcW w:w="9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581" w:type="dxa"/>
            <w:tcBorders/>
            <w:shd w:fill="CCEEFF" w:val="clear"/>
            <w:vAlign w:val="bottom"/>
          </w:tcPr>
          <w:p>
            <w:pPr>
              <w:pStyle w:val="TableContents"/>
              <w:spacing w:before="0" w:after="283"/>
              <w:jc w:val="right"/>
              <w:rPr/>
            </w:pPr>
            <w:r>
              <w:rPr/>
              <w:t>49,623</w:t>
            </w:r>
          </w:p>
        </w:tc>
        <w:tc>
          <w:tcPr>
            <w:tcW w:w="9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2" w:type="dxa"/>
            <w:tcBorders/>
            <w:shd w:fill="CCEEFF" w:val="clear"/>
            <w:vAlign w:val="bottom"/>
          </w:tcPr>
          <w:p>
            <w:pPr>
              <w:pStyle w:val="TableContents"/>
              <w:spacing w:before="0" w:after="283"/>
              <w:jc w:val="right"/>
              <w:rPr/>
            </w:pPr>
            <w:r>
              <w:rPr/>
              <w:t>58,259</w:t>
            </w:r>
          </w:p>
        </w:tc>
        <w:tc>
          <w:tcPr>
            <w:tcW w:w="99" w:type="dxa"/>
            <w:tcBorders/>
            <w:shd w:fill="CCEEFF"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0"/>
              <w:ind w:left="450" w:right="0" w:hanging="225"/>
              <w:rPr/>
            </w:pPr>
            <w:r>
              <w:rPr/>
              <w:t>Fair value</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jc w:val="right"/>
              <w:rPr/>
            </w:pPr>
            <w:r>
              <w:rPr/>
              <w:t>88,512</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581" w:type="dxa"/>
            <w:tcBorders/>
            <w:shd w:fill="auto" w:val="clear"/>
            <w:vAlign w:val="bottom"/>
          </w:tcPr>
          <w:p>
            <w:pPr>
              <w:pStyle w:val="TableContents"/>
              <w:spacing w:before="0" w:after="283"/>
              <w:jc w:val="right"/>
              <w:rPr/>
            </w:pPr>
            <w:r>
              <w:rPr/>
              <w:t>63,789</w:t>
            </w:r>
          </w:p>
        </w:tc>
        <w:tc>
          <w:tcPr>
            <w:tcW w:w="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2" w:type="dxa"/>
            <w:tcBorders/>
            <w:shd w:fill="auto" w:val="clear"/>
            <w:vAlign w:val="bottom"/>
          </w:tcPr>
          <w:p>
            <w:pPr>
              <w:pStyle w:val="TableContents"/>
              <w:spacing w:before="0" w:after="283"/>
              <w:jc w:val="right"/>
              <w:rPr/>
            </w:pPr>
            <w:r>
              <w:rPr/>
              <w:t>70,005</w:t>
            </w:r>
          </w:p>
        </w:tc>
        <w:tc>
          <w:tcPr>
            <w:tcW w:w="9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Other Assets, net on our balance sheets are available for sale securities with a fair value of $5.2 million at December 31, 2010, $2.3 million at December 31, 2009 and $4.9 million at September 30, 2010. This is considered to be a level one measurement of fair value as it is based on the ending market price for the securities at that date, as quoted on an active public securities exchange.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3354"/>
        <w:gridCol w:w="267"/>
        <w:gridCol w:w="289"/>
        <w:gridCol w:w="1623"/>
        <w:gridCol w:w="95"/>
        <w:gridCol w:w="267"/>
        <w:gridCol w:w="289"/>
        <w:gridCol w:w="1623"/>
        <w:gridCol w:w="95"/>
        <w:gridCol w:w="267"/>
        <w:gridCol w:w="292"/>
        <w:gridCol w:w="1644"/>
        <w:gridCol w:w="100"/>
      </w:tblGrid>
      <w:tr>
        <w:trPr/>
        <w:tc>
          <w:tcPr>
            <w:tcW w:w="335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4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335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912"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 2010</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912"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 2009</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936"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00" w:type="dxa"/>
            <w:tcBorders/>
            <w:shd w:fill="auto" w:val="clear"/>
            <w:vAlign w:val="bottom"/>
          </w:tcPr>
          <w:p>
            <w:pPr>
              <w:pStyle w:val="TableContents"/>
              <w:spacing w:before="0" w:after="283"/>
              <w:rPr/>
            </w:pPr>
            <w:r>
              <w:rPr/>
              <w:t> </w:t>
            </w:r>
          </w:p>
        </w:tc>
      </w:tr>
      <w:tr>
        <w:trPr/>
        <w:tc>
          <w:tcPr>
            <w:tcW w:w="335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6484" w:type="dxa"/>
            <w:gridSpan w:val="10"/>
            <w:tcBorders/>
            <w:shd w:fill="auto" w:val="clear"/>
            <w:vAlign w:val="bottom"/>
          </w:tcPr>
          <w:p>
            <w:pPr>
              <w:pStyle w:val="TableContents"/>
              <w:spacing w:before="0" w:after="283"/>
              <w:jc w:val="center"/>
              <w:rPr>
                <w:i/>
              </w:rPr>
            </w:pPr>
            <w:r>
              <w:rPr>
                <w:i/>
              </w:rPr>
              <w:t>(In thousands)</w:t>
            </w:r>
          </w:p>
        </w:tc>
        <w:tc>
          <w:tcPr>
            <w:tcW w:w="100" w:type="dxa"/>
            <w:tcBorders/>
            <w:shd w:fill="auto" w:val="clear"/>
            <w:vAlign w:val="bottom"/>
          </w:tcPr>
          <w:p>
            <w:pPr>
              <w:pStyle w:val="TableContents"/>
              <w:spacing w:before="0" w:after="283"/>
              <w:rPr/>
            </w:pPr>
            <w:r>
              <w:rPr/>
              <w:t> </w:t>
            </w:r>
          </w:p>
        </w:tc>
      </w:tr>
      <w:tr>
        <w:trPr/>
        <w:tc>
          <w:tcPr>
            <w:tcW w:w="3354" w:type="dxa"/>
            <w:tcBorders/>
            <w:shd w:fill="CCEEFF" w:val="clear"/>
            <w:vAlign w:val="bottom"/>
          </w:tcPr>
          <w:p>
            <w:pPr>
              <w:pStyle w:val="TableContents"/>
              <w:spacing w:before="0" w:after="0"/>
              <w:ind w:left="225" w:right="0" w:hanging="225"/>
              <w:rPr/>
            </w:pPr>
            <w:r>
              <w:rPr/>
              <w:t>Pawn licenses</w:t>
            </w:r>
          </w:p>
        </w:tc>
        <w:tc>
          <w:tcPr>
            <w:tcW w:w="26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623" w:type="dxa"/>
            <w:tcBorders/>
            <w:shd w:fill="CCEEFF" w:val="clear"/>
            <w:vAlign w:val="bottom"/>
          </w:tcPr>
          <w:p>
            <w:pPr>
              <w:pStyle w:val="TableContents"/>
              <w:spacing w:before="0" w:after="283"/>
              <w:jc w:val="right"/>
              <w:rPr/>
            </w:pPr>
            <w:r>
              <w:rPr/>
              <w:t>8,836</w:t>
            </w:r>
          </w:p>
        </w:tc>
        <w:tc>
          <w:tcPr>
            <w:tcW w:w="9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623" w:type="dxa"/>
            <w:tcBorders/>
            <w:shd w:fill="CCEEFF" w:val="clear"/>
            <w:vAlign w:val="bottom"/>
          </w:tcPr>
          <w:p>
            <w:pPr>
              <w:pStyle w:val="TableContents"/>
              <w:spacing w:before="0" w:after="283"/>
              <w:jc w:val="right"/>
              <w:rPr/>
            </w:pPr>
            <w:r>
              <w:rPr/>
              <w:t>8,229</w:t>
            </w:r>
          </w:p>
        </w:tc>
        <w:tc>
          <w:tcPr>
            <w:tcW w:w="9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w:t>
            </w:r>
          </w:p>
        </w:tc>
        <w:tc>
          <w:tcPr>
            <w:tcW w:w="1644" w:type="dxa"/>
            <w:tcBorders/>
            <w:shd w:fill="CCEEFF" w:val="clear"/>
            <w:vAlign w:val="bottom"/>
          </w:tcPr>
          <w:p>
            <w:pPr>
              <w:pStyle w:val="TableContents"/>
              <w:spacing w:before="0" w:after="283"/>
              <w:jc w:val="right"/>
              <w:rPr/>
            </w:pPr>
            <w:r>
              <w:rPr/>
              <w:t>8,836</w:t>
            </w:r>
          </w:p>
        </w:tc>
        <w:tc>
          <w:tcPr>
            <w:tcW w:w="100" w:type="dxa"/>
            <w:tcBorders/>
            <w:shd w:fill="CCEEFF" w:val="clear"/>
            <w:vAlign w:val="bottom"/>
          </w:tcPr>
          <w:p>
            <w:pPr>
              <w:pStyle w:val="TableContents"/>
              <w:spacing w:before="0" w:after="283"/>
              <w:rPr/>
            </w:pPr>
            <w:r>
              <w:rPr/>
              <w:t> </w:t>
            </w:r>
          </w:p>
        </w:tc>
      </w:tr>
      <w:tr>
        <w:trPr/>
        <w:tc>
          <w:tcPr>
            <w:tcW w:w="3354" w:type="dxa"/>
            <w:tcBorders/>
            <w:shd w:fill="auto" w:val="clear"/>
            <w:vAlign w:val="bottom"/>
          </w:tcPr>
          <w:p>
            <w:pPr>
              <w:pStyle w:val="TableContents"/>
              <w:spacing w:before="0" w:after="0"/>
              <w:ind w:left="225" w:right="0" w:hanging="225"/>
              <w:rPr/>
            </w:pPr>
            <w:r>
              <w:rPr/>
              <w:t>Trade name</w:t>
            </w:r>
          </w:p>
        </w:tc>
        <w:tc>
          <w:tcPr>
            <w:tcW w:w="26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4,870</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4,870</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44" w:type="dxa"/>
            <w:tcBorders/>
            <w:shd w:fill="auto" w:val="clear"/>
            <w:vAlign w:val="bottom"/>
          </w:tcPr>
          <w:p>
            <w:pPr>
              <w:pStyle w:val="TableContents"/>
              <w:spacing w:before="0" w:after="283"/>
              <w:jc w:val="right"/>
              <w:rPr/>
            </w:pPr>
            <w:r>
              <w:rPr/>
              <w:t>4,870</w:t>
            </w:r>
          </w:p>
        </w:tc>
        <w:tc>
          <w:tcPr>
            <w:tcW w:w="100" w:type="dxa"/>
            <w:tcBorders/>
            <w:shd w:fill="auto" w:val="clear"/>
            <w:vAlign w:val="bottom"/>
          </w:tcPr>
          <w:p>
            <w:pPr>
              <w:pStyle w:val="TableContents"/>
              <w:spacing w:before="0" w:after="283"/>
              <w:rPr/>
            </w:pPr>
            <w:r>
              <w:rPr/>
              <w:t> </w:t>
            </w:r>
          </w:p>
        </w:tc>
      </w:tr>
      <w:tr>
        <w:trPr/>
        <w:tc>
          <w:tcPr>
            <w:tcW w:w="3354" w:type="dxa"/>
            <w:tcBorders/>
            <w:shd w:fill="CCEEFF" w:val="clear"/>
            <w:vAlign w:val="bottom"/>
          </w:tcPr>
          <w:p>
            <w:pPr>
              <w:pStyle w:val="TableContents"/>
              <w:spacing w:before="0" w:after="0"/>
              <w:ind w:left="225" w:right="0" w:hanging="225"/>
              <w:rPr/>
            </w:pPr>
            <w:r>
              <w:rPr/>
              <w:t>Goodwill</w:t>
            </w:r>
          </w:p>
        </w:tc>
        <w:tc>
          <w:tcPr>
            <w:tcW w:w="26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23" w:type="dxa"/>
            <w:tcBorders/>
            <w:shd w:fill="CCEEFF" w:val="clear"/>
            <w:vAlign w:val="bottom"/>
          </w:tcPr>
          <w:p>
            <w:pPr>
              <w:pStyle w:val="TableContents"/>
              <w:spacing w:before="0" w:after="283"/>
              <w:jc w:val="right"/>
              <w:rPr/>
            </w:pPr>
            <w:r>
              <w:rPr/>
              <w:t>128,181</w:t>
            </w:r>
          </w:p>
        </w:tc>
        <w:tc>
          <w:tcPr>
            <w:tcW w:w="9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23" w:type="dxa"/>
            <w:tcBorders/>
            <w:shd w:fill="CCEEFF" w:val="clear"/>
            <w:vAlign w:val="bottom"/>
          </w:tcPr>
          <w:p>
            <w:pPr>
              <w:pStyle w:val="TableContents"/>
              <w:spacing w:before="0" w:after="283"/>
              <w:jc w:val="right"/>
              <w:rPr/>
            </w:pPr>
            <w:r>
              <w:rPr/>
              <w:t>101,134</w:t>
            </w:r>
          </w:p>
        </w:tc>
        <w:tc>
          <w:tcPr>
            <w:tcW w:w="9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644" w:type="dxa"/>
            <w:tcBorders/>
            <w:shd w:fill="CCEEFF" w:val="clear"/>
            <w:vAlign w:val="bottom"/>
          </w:tcPr>
          <w:p>
            <w:pPr>
              <w:pStyle w:val="TableContents"/>
              <w:spacing w:before="0" w:after="283"/>
              <w:jc w:val="right"/>
              <w:rPr/>
            </w:pPr>
            <w:r>
              <w:rPr/>
              <w:t>117,305</w:t>
            </w:r>
          </w:p>
        </w:tc>
        <w:tc>
          <w:tcPr>
            <w:tcW w:w="100" w:type="dxa"/>
            <w:tcBorders/>
            <w:shd w:fill="CCEEFF" w:val="clear"/>
            <w:vAlign w:val="bottom"/>
          </w:tcPr>
          <w:p>
            <w:pPr>
              <w:pStyle w:val="TableContents"/>
              <w:spacing w:before="0" w:after="283"/>
              <w:rPr/>
            </w:pPr>
            <w:r>
              <w:rPr/>
              <w:t> </w:t>
            </w:r>
          </w:p>
        </w:tc>
      </w:tr>
      <w:tr>
        <w:trPr/>
        <w:tc>
          <w:tcPr>
            <w:tcW w:w="335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3354" w:type="dxa"/>
            <w:tcBorders/>
            <w:shd w:fill="auto" w:val="clear"/>
            <w:vAlign w:val="bottom"/>
          </w:tcPr>
          <w:p>
            <w:pPr>
              <w:pStyle w:val="TableContents"/>
              <w:spacing w:before="0" w:after="0"/>
              <w:ind w:left="225" w:right="0" w:hanging="225"/>
              <w:rPr/>
            </w:pPr>
            <w:r>
              <w:rPr/>
              <w:t>Total</w:t>
            </w:r>
          </w:p>
        </w:tc>
        <w:tc>
          <w:tcPr>
            <w:tcW w:w="26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left"/>
              <w:rPr/>
            </w:pPr>
            <w:r>
              <w:rPr/>
              <w:t>$</w:t>
            </w:r>
          </w:p>
        </w:tc>
        <w:tc>
          <w:tcPr>
            <w:tcW w:w="1623" w:type="dxa"/>
            <w:tcBorders/>
            <w:shd w:fill="auto" w:val="clear"/>
            <w:vAlign w:val="bottom"/>
          </w:tcPr>
          <w:p>
            <w:pPr>
              <w:pStyle w:val="TableContents"/>
              <w:spacing w:before="0" w:after="283"/>
              <w:jc w:val="right"/>
              <w:rPr/>
            </w:pPr>
            <w:r>
              <w:rPr/>
              <w:t>141,887</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left"/>
              <w:rPr/>
            </w:pPr>
            <w:r>
              <w:rPr/>
              <w:t>$</w:t>
            </w:r>
          </w:p>
        </w:tc>
        <w:tc>
          <w:tcPr>
            <w:tcW w:w="1623" w:type="dxa"/>
            <w:tcBorders/>
            <w:shd w:fill="auto" w:val="clear"/>
            <w:vAlign w:val="bottom"/>
          </w:tcPr>
          <w:p>
            <w:pPr>
              <w:pStyle w:val="TableContents"/>
              <w:spacing w:before="0" w:after="283"/>
              <w:jc w:val="right"/>
              <w:rPr/>
            </w:pPr>
            <w:r>
              <w:rPr/>
              <w:t>114,233</w:t>
            </w:r>
          </w:p>
        </w:tc>
        <w:tc>
          <w:tcPr>
            <w:tcW w:w="9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644" w:type="dxa"/>
            <w:tcBorders/>
            <w:shd w:fill="auto" w:val="clear"/>
            <w:vAlign w:val="bottom"/>
          </w:tcPr>
          <w:p>
            <w:pPr>
              <w:pStyle w:val="TableContents"/>
              <w:spacing w:before="0" w:after="283"/>
              <w:jc w:val="right"/>
              <w:rPr/>
            </w:pPr>
            <w:r>
              <w:rPr/>
              <w:t>131,011</w:t>
            </w:r>
          </w:p>
        </w:tc>
        <w:tc>
          <w:tcPr>
            <w:tcW w:w="100" w:type="dxa"/>
            <w:tcBorders/>
            <w:shd w:fill="auto" w:val="clear"/>
            <w:vAlign w:val="bottom"/>
          </w:tcPr>
          <w:p>
            <w:pPr>
              <w:pStyle w:val="TableContents"/>
              <w:spacing w:before="0" w:after="283"/>
              <w:rPr/>
            </w:pPr>
            <w:r>
              <w:rPr/>
              <w:t> </w:t>
            </w:r>
          </w:p>
        </w:tc>
      </w:tr>
      <w:tr>
        <w:trPr/>
        <w:tc>
          <w:tcPr>
            <w:tcW w:w="335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9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9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changes in the carrying value of goodwill, by segment, over the periods presented: </w:t>
      </w:r>
    </w:p>
    <w:tbl>
      <w:tblPr>
        <w:tblW w:w="5000" w:type="pct"/>
        <w:jc w:val="center"/>
        <w:tblInd w:w="0" w:type="dxa"/>
        <w:tblCellMar>
          <w:top w:w="0" w:type="dxa"/>
          <w:left w:w="0" w:type="dxa"/>
          <w:bottom w:w="0" w:type="dxa"/>
          <w:right w:w="0" w:type="dxa"/>
        </w:tblCellMar>
      </w:tblPr>
      <w:tblGrid>
        <w:gridCol w:w="3247"/>
        <w:gridCol w:w="264"/>
        <w:gridCol w:w="186"/>
        <w:gridCol w:w="1038"/>
        <w:gridCol w:w="97"/>
        <w:gridCol w:w="264"/>
        <w:gridCol w:w="289"/>
        <w:gridCol w:w="1198"/>
        <w:gridCol w:w="97"/>
        <w:gridCol w:w="264"/>
        <w:gridCol w:w="505"/>
        <w:gridCol w:w="871"/>
        <w:gridCol w:w="97"/>
        <w:gridCol w:w="264"/>
        <w:gridCol w:w="215"/>
        <w:gridCol w:w="1203"/>
        <w:gridCol w:w="106"/>
      </w:tblGrid>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283"/>
              <w:jc w:val="center"/>
              <w:rPr/>
            </w:pPr>
            <w:r>
              <w:rPr/>
              <w:t>U.S. Pawn</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gridSpan w:val="2"/>
            <w:tcBorders/>
            <w:shd w:fill="auto" w:val="clear"/>
            <w:vAlign w:val="bottom"/>
          </w:tcPr>
          <w:p>
            <w:pPr>
              <w:pStyle w:val="TableContents"/>
              <w:spacing w:before="0" w:after="283"/>
              <w:jc w:val="center"/>
              <w:rPr/>
            </w:pPr>
            <w:r>
              <w:rPr/>
              <w:t>EZMONEY</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87"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588" w:type="dxa"/>
            <w:gridSpan w:val="14"/>
            <w:tcBorders/>
            <w:shd w:fill="auto" w:val="clear"/>
            <w:vAlign w:val="bottom"/>
          </w:tcPr>
          <w:p>
            <w:pPr>
              <w:pStyle w:val="TableContents"/>
              <w:spacing w:before="0" w:after="283"/>
              <w:jc w:val="center"/>
              <w:rPr>
                <w:i/>
              </w:rPr>
            </w:pPr>
            <w:r>
              <w:rPr>
                <w:i/>
              </w:rPr>
              <w:t>(in thousands)</w:t>
            </w:r>
          </w:p>
        </w:tc>
        <w:tc>
          <w:tcPr>
            <w:tcW w:w="106"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225" w:right="0" w:hanging="225"/>
              <w:rPr/>
            </w:pPr>
            <w:r>
              <w:rPr/>
              <w:t>Balance at September 30, 2010</w:t>
            </w:r>
          </w:p>
        </w:tc>
        <w:tc>
          <w:tcPr>
            <w:tcW w:w="26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110,255</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198" w:type="dxa"/>
            <w:tcBorders/>
            <w:shd w:fill="CCEEFF" w:val="clear"/>
            <w:vAlign w:val="bottom"/>
          </w:tcPr>
          <w:p>
            <w:pPr>
              <w:pStyle w:val="TableContents"/>
              <w:spacing w:before="0" w:after="283"/>
              <w:jc w:val="right"/>
              <w:rPr/>
            </w:pPr>
            <w:r>
              <w:rPr/>
              <w:t>7,050</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jc w:val="left"/>
              <w:rPr/>
            </w:pPr>
            <w:r>
              <w:rPr/>
              <w:t>$</w:t>
            </w:r>
          </w:p>
        </w:tc>
        <w:tc>
          <w:tcPr>
            <w:tcW w:w="871"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203" w:type="dxa"/>
            <w:tcBorders/>
            <w:shd w:fill="CCEEFF" w:val="clear"/>
            <w:vAlign w:val="bottom"/>
          </w:tcPr>
          <w:p>
            <w:pPr>
              <w:pStyle w:val="TableContents"/>
              <w:spacing w:before="0" w:after="283"/>
              <w:jc w:val="right"/>
              <w:rPr/>
            </w:pPr>
            <w:r>
              <w:rPr/>
              <w:t>117,305</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0"/>
              <w:ind w:left="450" w:right="0" w:hanging="225"/>
              <w:rPr/>
            </w:pPr>
            <w:r>
              <w:rPr/>
              <w:t>Acquisitions</w:t>
            </w:r>
          </w:p>
        </w:tc>
        <w:tc>
          <w:tcPr>
            <w:tcW w:w="26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10,793</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10,793</w:t>
            </w:r>
          </w:p>
        </w:tc>
        <w:tc>
          <w:tcPr>
            <w:tcW w:w="106"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450" w:right="0" w:hanging="225"/>
              <w:rPr/>
            </w:pPr>
            <w:r>
              <w:rPr/>
              <w:t>Effect of foreign currency translation changes</w:t>
            </w:r>
          </w:p>
        </w:tc>
        <w:tc>
          <w:tcPr>
            <w:tcW w:w="26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83</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83</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3247" w:type="dxa"/>
            <w:tcBorders/>
            <w:shd w:fill="auto" w:val="clear"/>
            <w:vAlign w:val="bottom"/>
          </w:tcPr>
          <w:p>
            <w:pPr>
              <w:pStyle w:val="TableContents"/>
              <w:spacing w:before="0" w:after="0"/>
              <w:ind w:left="225" w:right="0" w:hanging="225"/>
              <w:rPr/>
            </w:pPr>
            <w:r>
              <w:rPr/>
              <w:t>Balance at December 31, 2010</w:t>
            </w:r>
          </w:p>
        </w:tc>
        <w:tc>
          <w:tcPr>
            <w:tcW w:w="26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1038" w:type="dxa"/>
            <w:tcBorders/>
            <w:shd w:fill="auto" w:val="clear"/>
            <w:vAlign w:val="bottom"/>
          </w:tcPr>
          <w:p>
            <w:pPr>
              <w:pStyle w:val="TableContents"/>
              <w:spacing w:before="0" w:after="283"/>
              <w:jc w:val="right"/>
              <w:rPr/>
            </w:pPr>
            <w:r>
              <w:rPr/>
              <w:t>121,048</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7,133</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jc w:val="left"/>
              <w:rPr/>
            </w:pPr>
            <w:r>
              <w:rPr/>
              <w:t>$</w:t>
            </w:r>
          </w:p>
        </w:tc>
        <w:tc>
          <w:tcPr>
            <w:tcW w:w="871"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203" w:type="dxa"/>
            <w:tcBorders/>
            <w:shd w:fill="auto" w:val="clear"/>
            <w:vAlign w:val="bottom"/>
          </w:tcPr>
          <w:p>
            <w:pPr>
              <w:pStyle w:val="TableContents"/>
              <w:spacing w:before="0" w:after="283"/>
              <w:jc w:val="right"/>
              <w:rPr/>
            </w:pPr>
            <w:r>
              <w:rPr/>
              <w:t>128,181</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247"/>
        <w:gridCol w:w="264"/>
        <w:gridCol w:w="207"/>
        <w:gridCol w:w="1016"/>
        <w:gridCol w:w="97"/>
        <w:gridCol w:w="264"/>
        <w:gridCol w:w="289"/>
        <w:gridCol w:w="1198"/>
        <w:gridCol w:w="97"/>
        <w:gridCol w:w="264"/>
        <w:gridCol w:w="505"/>
        <w:gridCol w:w="872"/>
        <w:gridCol w:w="96"/>
        <w:gridCol w:w="264"/>
        <w:gridCol w:w="215"/>
        <w:gridCol w:w="1203"/>
        <w:gridCol w:w="107"/>
      </w:tblGrid>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pPr>
            <w:r>
              <w:rPr/>
              <w:t>U.S. Pawn</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7" w:type="dxa"/>
            <w:gridSpan w:val="2"/>
            <w:tcBorders/>
            <w:shd w:fill="auto" w:val="clear"/>
            <w:vAlign w:val="bottom"/>
          </w:tcPr>
          <w:p>
            <w:pPr>
              <w:pStyle w:val="TableContents"/>
              <w:spacing w:before="0" w:after="283"/>
              <w:jc w:val="center"/>
              <w:rPr/>
            </w:pPr>
            <w:r>
              <w:rPr/>
              <w:t>EZMONEY</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87"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7"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587" w:type="dxa"/>
            <w:gridSpan w:val="14"/>
            <w:tcBorders/>
            <w:shd w:fill="auto" w:val="clear"/>
            <w:vAlign w:val="bottom"/>
          </w:tcPr>
          <w:p>
            <w:pPr>
              <w:pStyle w:val="TableContents"/>
              <w:spacing w:before="0" w:after="283"/>
              <w:jc w:val="center"/>
              <w:rPr>
                <w:i/>
              </w:rPr>
            </w:pPr>
            <w:r>
              <w:rPr>
                <w:i/>
              </w:rPr>
              <w:t>(in thousands)</w:t>
            </w:r>
          </w:p>
        </w:tc>
        <w:tc>
          <w:tcPr>
            <w:tcW w:w="107"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225" w:right="0" w:hanging="225"/>
              <w:rPr/>
            </w:pPr>
            <w:r>
              <w:rPr/>
              <w:t>Balance at September 30, 2009</w:t>
            </w:r>
          </w:p>
        </w:tc>
        <w:tc>
          <w:tcPr>
            <w:tcW w:w="26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016" w:type="dxa"/>
            <w:tcBorders/>
            <w:shd w:fill="CCEEFF" w:val="clear"/>
            <w:vAlign w:val="bottom"/>
          </w:tcPr>
          <w:p>
            <w:pPr>
              <w:pStyle w:val="TableContents"/>
              <w:spacing w:before="0" w:after="283"/>
              <w:jc w:val="right"/>
              <w:rPr/>
            </w:pPr>
            <w:r>
              <w:rPr/>
              <w:t>94,192</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198" w:type="dxa"/>
            <w:tcBorders/>
            <w:shd w:fill="CCEEFF" w:val="clear"/>
            <w:vAlign w:val="bottom"/>
          </w:tcPr>
          <w:p>
            <w:pPr>
              <w:pStyle w:val="TableContents"/>
              <w:spacing w:before="0" w:after="283"/>
              <w:jc w:val="right"/>
              <w:rPr/>
            </w:pPr>
            <w:r>
              <w:rPr/>
              <w:t>6,527</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203" w:type="dxa"/>
            <w:tcBorders/>
            <w:shd w:fill="CCEEFF" w:val="clear"/>
            <w:vAlign w:val="bottom"/>
          </w:tcPr>
          <w:p>
            <w:pPr>
              <w:pStyle w:val="TableContents"/>
              <w:spacing w:before="0" w:after="283"/>
              <w:jc w:val="right"/>
              <w:rPr/>
            </w:pPr>
            <w:r>
              <w:rPr/>
              <w:t>100,719</w:t>
            </w:r>
          </w:p>
        </w:tc>
        <w:tc>
          <w:tcPr>
            <w:tcW w:w="107" w:type="dxa"/>
            <w:tcBorders/>
            <w:shd w:fill="CCEEFF"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0"/>
              <w:ind w:left="450" w:right="0" w:hanging="225"/>
              <w:rPr/>
            </w:pPr>
            <w:r>
              <w:rPr/>
              <w:t>Post-closing purchase price allocation adjustments for prior year acquisitions</w:t>
            </w:r>
          </w:p>
        </w:tc>
        <w:tc>
          <w:tcPr>
            <w:tcW w:w="26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193</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193</w:t>
            </w:r>
          </w:p>
        </w:tc>
        <w:tc>
          <w:tcPr>
            <w:tcW w:w="107"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450" w:right="0" w:hanging="225"/>
              <w:rPr/>
            </w:pPr>
            <w:r>
              <w:rPr/>
              <w:t>Effect of foreign currency translation changes</w:t>
            </w:r>
          </w:p>
        </w:tc>
        <w:tc>
          <w:tcPr>
            <w:tcW w:w="26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222</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222</w:t>
            </w:r>
          </w:p>
        </w:tc>
        <w:tc>
          <w:tcPr>
            <w:tcW w:w="107" w:type="dxa"/>
            <w:tcBorders/>
            <w:shd w:fill="CCEEFF"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247" w:type="dxa"/>
            <w:tcBorders/>
            <w:shd w:fill="auto" w:val="clear"/>
            <w:vAlign w:val="bottom"/>
          </w:tcPr>
          <w:p>
            <w:pPr>
              <w:pStyle w:val="TableContents"/>
              <w:spacing w:before="0" w:after="0"/>
              <w:ind w:left="225" w:right="0" w:hanging="225"/>
              <w:rPr/>
            </w:pPr>
            <w:r>
              <w:rPr/>
              <w:t>Balance at December 31, 2009</w:t>
            </w:r>
          </w:p>
        </w:tc>
        <w:tc>
          <w:tcPr>
            <w:tcW w:w="26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016" w:type="dxa"/>
            <w:tcBorders/>
            <w:shd w:fill="auto" w:val="clear"/>
            <w:vAlign w:val="bottom"/>
          </w:tcPr>
          <w:p>
            <w:pPr>
              <w:pStyle w:val="TableContents"/>
              <w:spacing w:before="0" w:after="283"/>
              <w:jc w:val="right"/>
              <w:rPr/>
            </w:pPr>
            <w:r>
              <w:rPr/>
              <w:t>94,385</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6,749</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jc w:val="left"/>
              <w:rPr/>
            </w:pPr>
            <w:r>
              <w:rPr/>
              <w:t>$</w:t>
            </w:r>
          </w:p>
        </w:tc>
        <w:tc>
          <w:tcPr>
            <w:tcW w:w="872"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203" w:type="dxa"/>
            <w:tcBorders/>
            <w:shd w:fill="auto" w:val="clear"/>
            <w:vAlign w:val="bottom"/>
          </w:tcPr>
          <w:p>
            <w:pPr>
              <w:pStyle w:val="TableContents"/>
              <w:spacing w:before="0" w:after="283"/>
              <w:jc w:val="right"/>
              <w:rPr/>
            </w:pPr>
            <w:r>
              <w:rPr/>
              <w:t>101,134</w:t>
            </w:r>
          </w:p>
        </w:tc>
        <w:tc>
          <w:tcPr>
            <w:tcW w:w="107" w:type="dxa"/>
            <w:tcBorders/>
            <w:shd w:fill="auto"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1743"/>
        <w:gridCol w:w="193"/>
        <w:gridCol w:w="178"/>
        <w:gridCol w:w="746"/>
        <w:gridCol w:w="90"/>
        <w:gridCol w:w="203"/>
        <w:gridCol w:w="230"/>
        <w:gridCol w:w="1064"/>
        <w:gridCol w:w="111"/>
        <w:gridCol w:w="193"/>
        <w:gridCol w:w="178"/>
        <w:gridCol w:w="745"/>
        <w:gridCol w:w="90"/>
        <w:gridCol w:w="203"/>
        <w:gridCol w:w="230"/>
        <w:gridCol w:w="1064"/>
        <w:gridCol w:w="111"/>
        <w:gridCol w:w="193"/>
        <w:gridCol w:w="178"/>
        <w:gridCol w:w="746"/>
        <w:gridCol w:w="91"/>
        <w:gridCol w:w="204"/>
        <w:gridCol w:w="229"/>
        <w:gridCol w:w="1063"/>
        <w:gridCol w:w="129"/>
      </w:tblGrid>
      <w:tr>
        <w:trPr/>
        <w:tc>
          <w:tcPr>
            <w:tcW w:w="174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174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11"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 2010</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 2009</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11"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29" w:type="dxa"/>
            <w:tcBorders/>
            <w:shd w:fill="auto" w:val="clear"/>
            <w:vAlign w:val="bottom"/>
          </w:tcPr>
          <w:p>
            <w:pPr>
              <w:pStyle w:val="TableContents"/>
              <w:spacing w:before="0" w:after="283"/>
              <w:rPr/>
            </w:pPr>
            <w:r>
              <w:rPr/>
              <w:t> </w:t>
            </w:r>
          </w:p>
        </w:tc>
      </w:tr>
      <w:tr>
        <w:trPr/>
        <w:tc>
          <w:tcPr>
            <w:tcW w:w="174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283"/>
              <w:jc w:val="center"/>
              <w:rPr/>
            </w:pPr>
            <w:r>
              <w:rPr/>
              <w:t>Carrying</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Accumulated</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Carrying</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Accumulated</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283"/>
              <w:jc w:val="center"/>
              <w:rPr/>
            </w:pPr>
            <w:r>
              <w:rPr/>
              <w:t>Carrying</w:t>
            </w:r>
          </w:p>
        </w:tc>
        <w:tc>
          <w:tcPr>
            <w:tcW w:w="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jc w:val="center"/>
              <w:rPr/>
            </w:pPr>
            <w:r>
              <w:rPr/>
              <w:t>Accumulated</w:t>
            </w:r>
          </w:p>
        </w:tc>
        <w:tc>
          <w:tcPr>
            <w:tcW w:w="129" w:type="dxa"/>
            <w:tcBorders/>
            <w:shd w:fill="auto" w:val="clear"/>
            <w:vAlign w:val="bottom"/>
          </w:tcPr>
          <w:p>
            <w:pPr>
              <w:pStyle w:val="TableContents"/>
              <w:spacing w:before="0" w:after="283"/>
              <w:rPr/>
            </w:pPr>
            <w:r>
              <w:rPr/>
              <w:t> </w:t>
            </w:r>
          </w:p>
        </w:tc>
      </w:tr>
      <w:tr>
        <w:trPr/>
        <w:tc>
          <w:tcPr>
            <w:tcW w:w="174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2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9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9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2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29" w:type="dxa"/>
            <w:tcBorders/>
            <w:shd w:fill="auto" w:val="clear"/>
            <w:vAlign w:val="bottom"/>
          </w:tcPr>
          <w:p>
            <w:pPr>
              <w:pStyle w:val="TableContents"/>
              <w:spacing w:before="0" w:after="283"/>
              <w:rPr/>
            </w:pPr>
            <w:r>
              <w:rPr/>
              <w:t> </w:t>
            </w:r>
          </w:p>
        </w:tc>
      </w:tr>
      <w:tr>
        <w:trPr/>
        <w:tc>
          <w:tcPr>
            <w:tcW w:w="174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140" w:type="dxa"/>
            <w:gridSpan w:val="22"/>
            <w:tcBorders/>
            <w:shd w:fill="auto" w:val="clear"/>
            <w:vAlign w:val="bottom"/>
          </w:tcPr>
          <w:p>
            <w:pPr>
              <w:pStyle w:val="TableContents"/>
              <w:spacing w:before="0" w:after="283"/>
              <w:jc w:val="center"/>
              <w:rPr>
                <w:i/>
              </w:rPr>
            </w:pPr>
            <w:r>
              <w:rPr>
                <w:i/>
              </w:rPr>
              <w:t>(In thousands)</w:t>
            </w:r>
          </w:p>
        </w:tc>
        <w:tc>
          <w:tcPr>
            <w:tcW w:w="129" w:type="dxa"/>
            <w:tcBorders/>
            <w:shd w:fill="auto" w:val="clear"/>
            <w:vAlign w:val="bottom"/>
          </w:tcPr>
          <w:p>
            <w:pPr>
              <w:pStyle w:val="TableContents"/>
              <w:spacing w:before="0" w:after="283"/>
              <w:rPr/>
            </w:pPr>
            <w:r>
              <w:rPr/>
              <w:t> </w:t>
            </w:r>
          </w:p>
        </w:tc>
      </w:tr>
      <w:tr>
        <w:trPr/>
        <w:tc>
          <w:tcPr>
            <w:tcW w:w="1743" w:type="dxa"/>
            <w:tcBorders/>
            <w:shd w:fill="CCEEFF" w:val="clear"/>
            <w:vAlign w:val="bottom"/>
          </w:tcPr>
          <w:p>
            <w:pPr>
              <w:pStyle w:val="TableContents"/>
              <w:spacing w:before="0" w:after="0"/>
              <w:ind w:left="225" w:right="0" w:hanging="225"/>
              <w:rPr/>
            </w:pPr>
            <w:r>
              <w:rPr/>
              <w:t>License application fees</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345</w:t>
            </w:r>
          </w:p>
        </w:tc>
        <w:tc>
          <w:tcPr>
            <w:tcW w:w="9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064" w:type="dxa"/>
            <w:tcBorders/>
            <w:shd w:fill="CCEEFF" w:val="clear"/>
            <w:vAlign w:val="bottom"/>
          </w:tcPr>
          <w:p>
            <w:pPr>
              <w:pStyle w:val="TableContents"/>
              <w:spacing w:before="0" w:after="283"/>
              <w:jc w:val="right"/>
              <w:rPr/>
            </w:pPr>
            <w:r>
              <w:rPr/>
              <w:t>(345</w:t>
            </w:r>
          </w:p>
        </w:tc>
        <w:tc>
          <w:tcPr>
            <w:tcW w:w="11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5" w:type="dxa"/>
            <w:tcBorders/>
            <w:shd w:fill="CCEEFF" w:val="clear"/>
            <w:vAlign w:val="bottom"/>
          </w:tcPr>
          <w:p>
            <w:pPr>
              <w:pStyle w:val="TableContents"/>
              <w:spacing w:before="0" w:after="283"/>
              <w:jc w:val="right"/>
              <w:rPr/>
            </w:pPr>
            <w:r>
              <w:rPr/>
              <w:t>345</w:t>
            </w:r>
          </w:p>
        </w:tc>
        <w:tc>
          <w:tcPr>
            <w:tcW w:w="9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064" w:type="dxa"/>
            <w:tcBorders/>
            <w:shd w:fill="CCEEFF" w:val="clear"/>
            <w:vAlign w:val="bottom"/>
          </w:tcPr>
          <w:p>
            <w:pPr>
              <w:pStyle w:val="TableContents"/>
              <w:spacing w:before="0" w:after="283"/>
              <w:jc w:val="right"/>
              <w:rPr/>
            </w:pPr>
            <w:r>
              <w:rPr/>
              <w:t>(342</w:t>
            </w:r>
          </w:p>
        </w:tc>
        <w:tc>
          <w:tcPr>
            <w:tcW w:w="11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345</w:t>
            </w:r>
          </w:p>
        </w:tc>
        <w:tc>
          <w:tcPr>
            <w:tcW w:w="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(345</w:t>
            </w:r>
          </w:p>
        </w:tc>
        <w:tc>
          <w:tcPr>
            <w:tcW w:w="129" w:type="dxa"/>
            <w:tcBorders/>
            <w:shd w:fill="CCEEFF" w:val="clear"/>
            <w:vAlign w:val="bottom"/>
          </w:tcPr>
          <w:p>
            <w:pPr>
              <w:pStyle w:val="TableContents"/>
              <w:spacing w:before="0" w:after="283"/>
              <w:rPr/>
            </w:pPr>
            <w:r>
              <w:rPr/>
              <w:t>)</w:t>
            </w:r>
          </w:p>
        </w:tc>
      </w:tr>
      <w:tr>
        <w:trPr/>
        <w:tc>
          <w:tcPr>
            <w:tcW w:w="1743" w:type="dxa"/>
            <w:tcBorders/>
            <w:shd w:fill="auto" w:val="clear"/>
            <w:vAlign w:val="bottom"/>
          </w:tcPr>
          <w:p>
            <w:pPr>
              <w:pStyle w:val="TableContents"/>
              <w:spacing w:before="0" w:after="0"/>
              <w:ind w:left="225" w:right="0" w:hanging="225"/>
              <w:rPr/>
            </w:pPr>
            <w:r>
              <w:rPr/>
              <w:t>Real estate finders fees</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1,029</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4" w:type="dxa"/>
            <w:tcBorders/>
            <w:shd w:fill="auto" w:val="clear"/>
            <w:vAlign w:val="bottom"/>
          </w:tcPr>
          <w:p>
            <w:pPr>
              <w:pStyle w:val="TableContents"/>
              <w:spacing w:before="0" w:after="283"/>
              <w:jc w:val="right"/>
              <w:rPr/>
            </w:pPr>
            <w:r>
              <w:rPr/>
              <w:t>(420</w:t>
            </w:r>
          </w:p>
        </w:tc>
        <w:tc>
          <w:tcPr>
            <w:tcW w:w="11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665</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4" w:type="dxa"/>
            <w:tcBorders/>
            <w:shd w:fill="auto" w:val="clear"/>
            <w:vAlign w:val="bottom"/>
          </w:tcPr>
          <w:p>
            <w:pPr>
              <w:pStyle w:val="TableContents"/>
              <w:spacing w:before="0" w:after="283"/>
              <w:jc w:val="right"/>
              <w:rPr/>
            </w:pPr>
            <w:r>
              <w:rPr/>
              <w:t>(377</w:t>
            </w:r>
          </w:p>
        </w:tc>
        <w:tc>
          <w:tcPr>
            <w:tcW w:w="11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948</w:t>
            </w:r>
          </w:p>
        </w:tc>
        <w:tc>
          <w:tcPr>
            <w:tcW w:w="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(401</w:t>
            </w:r>
          </w:p>
        </w:tc>
        <w:tc>
          <w:tcPr>
            <w:tcW w:w="129" w:type="dxa"/>
            <w:tcBorders/>
            <w:shd w:fill="auto" w:val="clear"/>
            <w:vAlign w:val="bottom"/>
          </w:tcPr>
          <w:p>
            <w:pPr>
              <w:pStyle w:val="TableContents"/>
              <w:spacing w:before="0" w:after="283"/>
              <w:rPr/>
            </w:pPr>
            <w:r>
              <w:rPr/>
              <w:t>)</w:t>
            </w:r>
          </w:p>
        </w:tc>
      </w:tr>
      <w:tr>
        <w:trPr/>
        <w:tc>
          <w:tcPr>
            <w:tcW w:w="1743" w:type="dxa"/>
            <w:tcBorders/>
            <w:shd w:fill="CCEEFF" w:val="clear"/>
            <w:vAlign w:val="bottom"/>
          </w:tcPr>
          <w:p>
            <w:pPr>
              <w:pStyle w:val="TableContents"/>
              <w:spacing w:before="0" w:after="0"/>
              <w:ind w:left="225" w:right="0" w:hanging="225"/>
              <w:rPr/>
            </w:pPr>
            <w:r>
              <w:rPr/>
              <w:t>Non-compete agreements</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3,216</w:t>
            </w:r>
          </w:p>
        </w:tc>
        <w:tc>
          <w:tcPr>
            <w:tcW w:w="9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(2,040</w:t>
            </w:r>
          </w:p>
        </w:tc>
        <w:tc>
          <w:tcPr>
            <w:tcW w:w="11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2,587</w:t>
            </w:r>
          </w:p>
        </w:tc>
        <w:tc>
          <w:tcPr>
            <w:tcW w:w="9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(1,354</w:t>
            </w:r>
          </w:p>
        </w:tc>
        <w:tc>
          <w:tcPr>
            <w:tcW w:w="11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3,081</w:t>
            </w:r>
          </w:p>
        </w:tc>
        <w:tc>
          <w:tcPr>
            <w:tcW w:w="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(1,834</w:t>
            </w:r>
          </w:p>
        </w:tc>
        <w:tc>
          <w:tcPr>
            <w:tcW w:w="129" w:type="dxa"/>
            <w:tcBorders/>
            <w:shd w:fill="CCEEFF" w:val="clear"/>
            <w:vAlign w:val="bottom"/>
          </w:tcPr>
          <w:p>
            <w:pPr>
              <w:pStyle w:val="TableContents"/>
              <w:spacing w:before="0" w:after="283"/>
              <w:rPr/>
            </w:pPr>
            <w:r>
              <w:rPr/>
              <w:t>)</w:t>
            </w:r>
          </w:p>
        </w:tc>
      </w:tr>
      <w:tr>
        <w:trPr/>
        <w:tc>
          <w:tcPr>
            <w:tcW w:w="1743" w:type="dxa"/>
            <w:tcBorders/>
            <w:shd w:fill="auto" w:val="clear"/>
            <w:vAlign w:val="bottom"/>
          </w:tcPr>
          <w:p>
            <w:pPr>
              <w:pStyle w:val="TableContents"/>
              <w:spacing w:before="0" w:after="0"/>
              <w:ind w:left="225" w:right="0" w:hanging="225"/>
              <w:rPr/>
            </w:pPr>
            <w:r>
              <w:rPr/>
              <w:t>Favorable lease</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644</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4" w:type="dxa"/>
            <w:tcBorders/>
            <w:shd w:fill="auto" w:val="clear"/>
            <w:vAlign w:val="bottom"/>
          </w:tcPr>
          <w:p>
            <w:pPr>
              <w:pStyle w:val="TableContents"/>
              <w:spacing w:before="0" w:after="283"/>
              <w:jc w:val="right"/>
              <w:rPr/>
            </w:pPr>
            <w:r>
              <w:rPr/>
              <w:t>(241</w:t>
            </w:r>
          </w:p>
        </w:tc>
        <w:tc>
          <w:tcPr>
            <w:tcW w:w="11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644</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4" w:type="dxa"/>
            <w:tcBorders/>
            <w:shd w:fill="auto" w:val="clear"/>
            <w:vAlign w:val="bottom"/>
          </w:tcPr>
          <w:p>
            <w:pPr>
              <w:pStyle w:val="TableContents"/>
              <w:spacing w:before="0" w:after="283"/>
              <w:jc w:val="right"/>
              <w:rPr/>
            </w:pPr>
            <w:r>
              <w:rPr/>
              <w:t>(126</w:t>
            </w:r>
          </w:p>
        </w:tc>
        <w:tc>
          <w:tcPr>
            <w:tcW w:w="11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644</w:t>
            </w:r>
          </w:p>
        </w:tc>
        <w:tc>
          <w:tcPr>
            <w:tcW w:w="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(219</w:t>
            </w:r>
          </w:p>
        </w:tc>
        <w:tc>
          <w:tcPr>
            <w:tcW w:w="129" w:type="dxa"/>
            <w:tcBorders/>
            <w:shd w:fill="auto" w:val="clear"/>
            <w:vAlign w:val="bottom"/>
          </w:tcPr>
          <w:p>
            <w:pPr>
              <w:pStyle w:val="TableContents"/>
              <w:spacing w:before="0" w:after="283"/>
              <w:rPr/>
            </w:pPr>
            <w:r>
              <w:rPr/>
              <w:t>)</w:t>
            </w:r>
          </w:p>
        </w:tc>
      </w:tr>
      <w:tr>
        <w:trPr/>
        <w:tc>
          <w:tcPr>
            <w:tcW w:w="1743" w:type="dxa"/>
            <w:tcBorders/>
            <w:shd w:fill="CCEEFF" w:val="clear"/>
            <w:vAlign w:val="bottom"/>
          </w:tcPr>
          <w:p>
            <w:pPr>
              <w:pStyle w:val="TableContents"/>
              <w:spacing w:before="0" w:after="0"/>
              <w:ind w:left="225" w:right="0" w:hanging="225"/>
              <w:rPr/>
            </w:pPr>
            <w:r>
              <w:rPr/>
              <w:t>Other</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46</w:t>
            </w:r>
          </w:p>
        </w:tc>
        <w:tc>
          <w:tcPr>
            <w:tcW w:w="9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(7</w:t>
            </w:r>
          </w:p>
        </w:tc>
        <w:tc>
          <w:tcPr>
            <w:tcW w:w="11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11</w:t>
            </w:r>
          </w:p>
        </w:tc>
        <w:tc>
          <w:tcPr>
            <w:tcW w:w="9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(1</w:t>
            </w:r>
          </w:p>
        </w:tc>
        <w:tc>
          <w:tcPr>
            <w:tcW w:w="11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48</w:t>
            </w:r>
          </w:p>
        </w:tc>
        <w:tc>
          <w:tcPr>
            <w:tcW w:w="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(6</w:t>
            </w:r>
          </w:p>
        </w:tc>
        <w:tc>
          <w:tcPr>
            <w:tcW w:w="129" w:type="dxa"/>
            <w:tcBorders/>
            <w:shd w:fill="CCEEFF" w:val="clear"/>
            <w:vAlign w:val="bottom"/>
          </w:tcPr>
          <w:p>
            <w:pPr>
              <w:pStyle w:val="TableContents"/>
              <w:spacing w:before="0" w:after="283"/>
              <w:rPr/>
            </w:pPr>
            <w:r>
              <w:rPr/>
              <w:t>)</w:t>
            </w:r>
          </w:p>
        </w:tc>
      </w:tr>
      <w:tr>
        <w:trPr/>
        <w:tc>
          <w:tcPr>
            <w:tcW w:w="1743" w:type="dxa"/>
            <w:tcBorders/>
            <w:shd w:fill="auto" w:val="clear"/>
            <w:vAlign w:val="center"/>
          </w:tcPr>
          <w:p>
            <w:pPr>
              <w:pStyle w:val="TableContents"/>
              <w:spacing w:before="0" w:after="0"/>
              <w:ind w:left="225" w:right="0" w:hanging="225"/>
              <w:rPr/>
            </w:pPr>
            <w:r>
              <w:rPr/>
              <w:t> </w:t>
            </w:r>
          </w:p>
        </w:tc>
        <w:tc>
          <w:tcPr>
            <w:tcW w:w="193"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1743" w:type="dxa"/>
            <w:tcBorders/>
            <w:shd w:fill="auto" w:val="clear"/>
            <w:vAlign w:val="bottom"/>
          </w:tcPr>
          <w:p>
            <w:pPr>
              <w:pStyle w:val="TableContents"/>
              <w:spacing w:before="0" w:after="0"/>
              <w:ind w:left="225" w:right="0" w:hanging="225"/>
              <w:rPr/>
            </w:pPr>
            <w:r>
              <w:rPr/>
              <w:t>Total</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46" w:type="dxa"/>
            <w:tcBorders/>
            <w:shd w:fill="auto" w:val="clear"/>
            <w:vAlign w:val="bottom"/>
          </w:tcPr>
          <w:p>
            <w:pPr>
              <w:pStyle w:val="TableContents"/>
              <w:spacing w:before="0" w:after="283"/>
              <w:jc w:val="right"/>
              <w:rPr/>
            </w:pPr>
            <w:r>
              <w:rPr/>
              <w:t>5,280</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064" w:type="dxa"/>
            <w:tcBorders/>
            <w:shd w:fill="auto" w:val="clear"/>
            <w:vAlign w:val="bottom"/>
          </w:tcPr>
          <w:p>
            <w:pPr>
              <w:pStyle w:val="TableContents"/>
              <w:spacing w:before="0" w:after="283"/>
              <w:jc w:val="right"/>
              <w:rPr/>
            </w:pPr>
            <w:r>
              <w:rPr/>
              <w:t>(3,053</w:t>
            </w:r>
          </w:p>
        </w:tc>
        <w:tc>
          <w:tcPr>
            <w:tcW w:w="11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45" w:type="dxa"/>
            <w:tcBorders/>
            <w:shd w:fill="auto" w:val="clear"/>
            <w:vAlign w:val="bottom"/>
          </w:tcPr>
          <w:p>
            <w:pPr>
              <w:pStyle w:val="TableContents"/>
              <w:spacing w:before="0" w:after="283"/>
              <w:jc w:val="right"/>
              <w:rPr/>
            </w:pPr>
            <w:r>
              <w:rPr/>
              <w:t>4,252</w:t>
            </w:r>
          </w:p>
        </w:tc>
        <w:tc>
          <w:tcPr>
            <w:tcW w:w="9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064" w:type="dxa"/>
            <w:tcBorders/>
            <w:shd w:fill="auto" w:val="clear"/>
            <w:vAlign w:val="bottom"/>
          </w:tcPr>
          <w:p>
            <w:pPr>
              <w:pStyle w:val="TableContents"/>
              <w:spacing w:before="0" w:after="283"/>
              <w:jc w:val="right"/>
              <w:rPr/>
            </w:pPr>
            <w:r>
              <w:rPr/>
              <w:t>(2,200</w:t>
            </w:r>
          </w:p>
        </w:tc>
        <w:tc>
          <w:tcPr>
            <w:tcW w:w="11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46" w:type="dxa"/>
            <w:tcBorders/>
            <w:shd w:fill="auto" w:val="clear"/>
            <w:vAlign w:val="bottom"/>
          </w:tcPr>
          <w:p>
            <w:pPr>
              <w:pStyle w:val="TableContents"/>
              <w:spacing w:before="0" w:after="283"/>
              <w:jc w:val="right"/>
              <w:rPr/>
            </w:pPr>
            <w:r>
              <w:rPr/>
              <w:t>5,066</w:t>
            </w:r>
          </w:p>
        </w:tc>
        <w:tc>
          <w:tcPr>
            <w:tcW w:w="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(2,805</w:t>
            </w:r>
          </w:p>
        </w:tc>
        <w:tc>
          <w:tcPr>
            <w:tcW w:w="129" w:type="dxa"/>
            <w:tcBorders/>
            <w:shd w:fill="auto" w:val="clear"/>
            <w:vAlign w:val="bottom"/>
          </w:tcPr>
          <w:p>
            <w:pPr>
              <w:pStyle w:val="TableContents"/>
              <w:spacing w:before="0" w:after="283"/>
              <w:rPr/>
            </w:pPr>
            <w:r>
              <w:rPr/>
              <w:t>)</w:t>
            </w:r>
          </w:p>
        </w:tc>
      </w:tr>
      <w:tr>
        <w:trPr/>
        <w:tc>
          <w:tcPr>
            <w:tcW w:w="1743" w:type="dxa"/>
            <w:tcBorders/>
            <w:shd w:fill="auto" w:val="clear"/>
            <w:vAlign w:val="center"/>
          </w:tcPr>
          <w:p>
            <w:pPr>
              <w:pStyle w:val="TableContents"/>
              <w:spacing w:before="0" w:after="0"/>
              <w:ind w:left="225" w:right="0" w:hanging="225"/>
              <w:rPr/>
            </w:pPr>
            <w:r>
              <w:rPr/>
              <w:t> </w:t>
            </w:r>
          </w:p>
        </w:tc>
        <w:tc>
          <w:tcPr>
            <w:tcW w:w="193" w:type="dxa"/>
            <w:tcBorders/>
            <w:shd w:fill="auto" w:val="clear"/>
            <w:vAlign w:val="center"/>
          </w:tcPr>
          <w:p>
            <w:pPr>
              <w:pStyle w:val="TableContents"/>
              <w:spacing w:before="0" w:after="283"/>
              <w:rPr/>
            </w:pPr>
            <w:r>
              <w:rPr/>
              <w:t> </w:t>
            </w:r>
          </w:p>
        </w:tc>
        <w:tc>
          <w:tcPr>
            <w:tcW w:w="9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9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amortization of most definite lived intangible assets is recorded as amortization expense. The favorable lease asset and other intangibles are amortized to Operations expense (rent expense) over the related lease terms. The following table presents the amount and classification of amortization recognized as expense in each of the periods presented (in thousands): </w:t>
      </w:r>
    </w:p>
    <w:tbl>
      <w:tblPr>
        <w:tblW w:w="5000" w:type="pct"/>
        <w:jc w:val="center"/>
        <w:tblInd w:w="0" w:type="dxa"/>
        <w:tblCellMar>
          <w:top w:w="0" w:type="dxa"/>
          <w:left w:w="0" w:type="dxa"/>
          <w:bottom w:w="0" w:type="dxa"/>
          <w:right w:w="0" w:type="dxa"/>
        </w:tblCellMar>
      </w:tblPr>
      <w:tblGrid>
        <w:gridCol w:w="6826"/>
        <w:gridCol w:w="443"/>
        <w:gridCol w:w="245"/>
        <w:gridCol w:w="849"/>
        <w:gridCol w:w="151"/>
        <w:gridCol w:w="473"/>
        <w:gridCol w:w="245"/>
        <w:gridCol w:w="849"/>
        <w:gridCol w:w="124"/>
      </w:tblGrid>
      <w:tr>
        <w:trPr/>
        <w:tc>
          <w:tcPr>
            <w:tcW w:w="682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812" w:type="dxa"/>
            <w:gridSpan w:val="6"/>
            <w:tcBorders/>
            <w:shd w:fill="auto" w:val="clear"/>
            <w:vAlign w:val="bottom"/>
          </w:tcPr>
          <w:p>
            <w:pPr>
              <w:pStyle w:val="TableContents"/>
              <w:spacing w:before="0" w:after="283"/>
              <w:jc w:val="center"/>
              <w:rPr/>
            </w:pPr>
            <w:r>
              <w:rPr/>
              <w:t>Three Months Ended</w:t>
            </w:r>
          </w:p>
        </w:tc>
        <w:tc>
          <w:tcPr>
            <w:tcW w:w="124" w:type="dxa"/>
            <w:tcBorders/>
            <w:shd w:fill="auto"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812"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24" w:type="dxa"/>
            <w:tcBorders/>
            <w:shd w:fill="auto"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1"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4" w:type="dxa"/>
            <w:tcBorders/>
            <w:shd w:fill="auto" w:val="clear"/>
            <w:vAlign w:val="bottom"/>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Amortization expense</w:t>
            </w:r>
          </w:p>
        </w:tc>
        <w:tc>
          <w:tcPr>
            <w:tcW w:w="44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212</w:t>
            </w:r>
          </w:p>
        </w:tc>
        <w:tc>
          <w:tcPr>
            <w:tcW w:w="151"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126</w:t>
            </w:r>
          </w:p>
        </w:tc>
        <w:tc>
          <w:tcPr>
            <w:tcW w:w="124" w:type="dxa"/>
            <w:tcBorders/>
            <w:shd w:fill="CCEEFF"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0"/>
              <w:ind w:left="225" w:right="0" w:hanging="225"/>
              <w:rPr/>
            </w:pPr>
            <w:r>
              <w:rPr/>
              <w:t>Operations expense</w:t>
            </w:r>
          </w:p>
        </w:tc>
        <w:tc>
          <w:tcPr>
            <w:tcW w:w="44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23</w:t>
            </w:r>
          </w:p>
        </w:tc>
        <w:tc>
          <w:tcPr>
            <w:tcW w:w="151"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6826"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Total expense from the amortization of definite-lived intangible assets</w:t>
            </w:r>
          </w:p>
        </w:tc>
        <w:tc>
          <w:tcPr>
            <w:tcW w:w="44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235</w:t>
            </w:r>
          </w:p>
        </w:tc>
        <w:tc>
          <w:tcPr>
            <w:tcW w:w="151"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158</w:t>
            </w:r>
          </w:p>
        </w:tc>
        <w:tc>
          <w:tcPr>
            <w:tcW w:w="124" w:type="dxa"/>
            <w:tcBorders/>
            <w:shd w:fill="CCEEFF" w:val="clear"/>
            <w:vAlign w:val="bottom"/>
          </w:tcPr>
          <w:p>
            <w:pPr>
              <w:pStyle w:val="TableContents"/>
              <w:spacing w:before="0" w:after="283"/>
              <w:rPr/>
            </w:pPr>
            <w:r>
              <w:rPr/>
              <w:t> </w:t>
            </w:r>
          </w:p>
        </w:tc>
      </w:tr>
      <w:tr>
        <w:trPr/>
        <w:tc>
          <w:tcPr>
            <w:tcW w:w="6826" w:type="dxa"/>
            <w:tcBorders/>
            <w:shd w:fill="auto" w:val="clear"/>
            <w:vAlign w:val="center"/>
          </w:tcPr>
          <w:p>
            <w:pPr>
              <w:pStyle w:val="TableContents"/>
              <w:spacing w:before="0" w:after="0"/>
              <w:ind w:left="225" w:right="0" w:hanging="225"/>
              <w:rPr/>
            </w:pPr>
            <w:r>
              <w:rPr/>
              <w:t> </w:t>
            </w:r>
          </w:p>
        </w:tc>
        <w:tc>
          <w:tcPr>
            <w:tcW w:w="443" w:type="dxa"/>
            <w:tcBorders/>
            <w:shd w:fill="auto" w:val="clear"/>
            <w:vAlign w:val="center"/>
          </w:tcPr>
          <w:p>
            <w:pPr>
              <w:pStyle w:val="TableContents"/>
              <w:spacing w:before="0" w:after="283"/>
              <w:rPr/>
            </w:pPr>
            <w:r>
              <w:rPr/>
              <w:t> </w:t>
            </w:r>
          </w:p>
        </w:tc>
        <w:tc>
          <w:tcPr>
            <w:tcW w:w="10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10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our estimate of the amount and classification of amortization expense for definite-lived intangible assets for each of the five succeeding full fiscal years beginning October 1, 2010 (in thousands): </w:t>
      </w:r>
    </w:p>
    <w:tbl>
      <w:tblPr>
        <w:tblW w:w="5000" w:type="pct"/>
        <w:jc w:val="center"/>
        <w:tblInd w:w="0" w:type="dxa"/>
        <w:tblCellMar>
          <w:top w:w="0" w:type="dxa"/>
          <w:left w:w="0" w:type="dxa"/>
          <w:bottom w:w="0" w:type="dxa"/>
          <w:right w:w="0" w:type="dxa"/>
        </w:tblCellMar>
      </w:tblPr>
      <w:tblGrid>
        <w:gridCol w:w="4983"/>
        <w:gridCol w:w="316"/>
        <w:gridCol w:w="581"/>
        <w:gridCol w:w="1701"/>
        <w:gridCol w:w="107"/>
        <w:gridCol w:w="316"/>
        <w:gridCol w:w="673"/>
        <w:gridCol w:w="1416"/>
        <w:gridCol w:w="112"/>
      </w:tblGrid>
      <w:tr>
        <w:trPr/>
        <w:tc>
          <w:tcPr>
            <w:tcW w:w="4983"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70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41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4983" w:type="dxa"/>
            <w:tcBorders>
              <w:bottom w:val="single" w:sz="2" w:space="0" w:color="000000"/>
            </w:tcBorders>
            <w:shd w:fill="auto" w:val="clear"/>
            <w:tcMar>
              <w:bottom w:w="28" w:type="dxa"/>
            </w:tcMar>
            <w:vAlign w:val="bottom"/>
          </w:tcPr>
          <w:p>
            <w:pPr>
              <w:pStyle w:val="TableContents"/>
              <w:spacing w:before="0" w:after="283"/>
              <w:jc w:val="left"/>
              <w:rPr/>
            </w:pPr>
            <w:r>
              <w:rPr/>
              <w:t>Fiscal Year</w:t>
            </w:r>
          </w:p>
        </w:tc>
        <w:tc>
          <w:tcPr>
            <w:tcW w:w="316" w:type="dxa"/>
            <w:tcBorders/>
            <w:shd w:fill="auto" w:val="clear"/>
            <w:vAlign w:val="bottom"/>
          </w:tcPr>
          <w:p>
            <w:pPr>
              <w:pStyle w:val="TableContents"/>
              <w:spacing w:before="0" w:after="283"/>
              <w:rPr/>
            </w:pPr>
            <w:r>
              <w:rPr/>
              <w:t> </w:t>
            </w:r>
          </w:p>
        </w:tc>
        <w:tc>
          <w:tcPr>
            <w:tcW w:w="228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c>
          <w:tcPr>
            <w:tcW w:w="10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8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 Expense</w:t>
            </w:r>
          </w:p>
        </w:tc>
        <w:tc>
          <w:tcPr>
            <w:tcW w:w="112" w:type="dxa"/>
            <w:tcBorders/>
            <w:shd w:fill="auto" w:val="clear"/>
            <w:vAlign w:val="bottom"/>
          </w:tcPr>
          <w:p>
            <w:pPr>
              <w:pStyle w:val="TableContents"/>
              <w:spacing w:before="0" w:after="283"/>
              <w:rPr/>
            </w:pPr>
            <w:r>
              <w:rPr/>
              <w:t> </w:t>
            </w:r>
          </w:p>
        </w:tc>
      </w:tr>
      <w:tr>
        <w:trPr/>
        <w:tc>
          <w:tcPr>
            <w:tcW w:w="4983" w:type="dxa"/>
            <w:tcBorders/>
            <w:shd w:fill="CCEEFF" w:val="clear"/>
            <w:vAlign w:val="bottom"/>
          </w:tcPr>
          <w:p>
            <w:pPr>
              <w:pStyle w:val="TableContents"/>
              <w:spacing w:before="0" w:after="0"/>
              <w:ind w:left="225" w:right="0" w:hanging="225"/>
              <w:rPr/>
            </w:pPr>
            <w:r>
              <w:rPr/>
              <w:t>2011</w:t>
            </w:r>
          </w:p>
        </w:tc>
        <w:tc>
          <w:tcPr>
            <w:tcW w:w="31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left"/>
              <w:rPr/>
            </w:pPr>
            <w:r>
              <w:rPr/>
              <w:t>$</w:t>
            </w:r>
          </w:p>
        </w:tc>
        <w:tc>
          <w:tcPr>
            <w:tcW w:w="1701" w:type="dxa"/>
            <w:tcBorders/>
            <w:shd w:fill="CCEEFF" w:val="clear"/>
            <w:vAlign w:val="bottom"/>
          </w:tcPr>
          <w:p>
            <w:pPr>
              <w:pStyle w:val="TableContents"/>
              <w:spacing w:before="0" w:after="283"/>
              <w:jc w:val="right"/>
              <w:rPr/>
            </w:pPr>
            <w:r>
              <w:rPr/>
              <w:t>790</w:t>
            </w:r>
          </w:p>
        </w:tc>
        <w:tc>
          <w:tcPr>
            <w:tcW w:w="10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left"/>
              <w:rPr/>
            </w:pPr>
            <w:r>
              <w:rPr/>
              <w:t>$</w:t>
            </w:r>
          </w:p>
        </w:tc>
        <w:tc>
          <w:tcPr>
            <w:tcW w:w="1416" w:type="dxa"/>
            <w:tcBorders/>
            <w:shd w:fill="CCEEFF" w:val="clear"/>
            <w:vAlign w:val="bottom"/>
          </w:tcPr>
          <w:p>
            <w:pPr>
              <w:pStyle w:val="TableContents"/>
              <w:spacing w:before="0" w:after="283"/>
              <w:jc w:val="right"/>
              <w:rPr/>
            </w:pPr>
            <w:r>
              <w:rPr/>
              <w:t>98</w:t>
            </w:r>
          </w:p>
        </w:tc>
        <w:tc>
          <w:tcPr>
            <w:tcW w:w="112" w:type="dxa"/>
            <w:tcBorders/>
            <w:shd w:fill="CCEEFF" w:val="clear"/>
            <w:vAlign w:val="bottom"/>
          </w:tcPr>
          <w:p>
            <w:pPr>
              <w:pStyle w:val="TableContents"/>
              <w:spacing w:before="0" w:after="283"/>
              <w:rPr/>
            </w:pPr>
            <w:r>
              <w:rPr/>
              <w:t> </w:t>
            </w:r>
          </w:p>
        </w:tc>
      </w:tr>
      <w:tr>
        <w:trPr/>
        <w:tc>
          <w:tcPr>
            <w:tcW w:w="4983" w:type="dxa"/>
            <w:tcBorders/>
            <w:shd w:fill="auto" w:val="clear"/>
            <w:vAlign w:val="bottom"/>
          </w:tcPr>
          <w:p>
            <w:pPr>
              <w:pStyle w:val="TableContents"/>
              <w:spacing w:before="0" w:after="0"/>
              <w:ind w:left="225" w:right="0" w:hanging="225"/>
              <w:rPr/>
            </w:pPr>
            <w:r>
              <w:rPr/>
              <w:t>2012</w:t>
            </w:r>
          </w:p>
        </w:tc>
        <w:tc>
          <w:tcPr>
            <w:tcW w:w="316"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left"/>
              <w:rPr/>
            </w:pPr>
            <w:r>
              <w:rPr/>
              <w:t>$</w:t>
            </w:r>
          </w:p>
        </w:tc>
        <w:tc>
          <w:tcPr>
            <w:tcW w:w="1701" w:type="dxa"/>
            <w:tcBorders/>
            <w:shd w:fill="auto" w:val="clear"/>
            <w:vAlign w:val="bottom"/>
          </w:tcPr>
          <w:p>
            <w:pPr>
              <w:pStyle w:val="TableContents"/>
              <w:spacing w:before="0" w:after="283"/>
              <w:jc w:val="right"/>
              <w:rPr/>
            </w:pPr>
            <w:r>
              <w:rPr/>
              <w:t>635</w:t>
            </w:r>
          </w:p>
        </w:tc>
        <w:tc>
          <w:tcPr>
            <w:tcW w:w="10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left"/>
              <w:rPr/>
            </w:pPr>
            <w:r>
              <w:rPr/>
              <w:t>$</w:t>
            </w:r>
          </w:p>
        </w:tc>
        <w:tc>
          <w:tcPr>
            <w:tcW w:w="1416" w:type="dxa"/>
            <w:tcBorders/>
            <w:shd w:fill="auto" w:val="clear"/>
            <w:vAlign w:val="bottom"/>
          </w:tcPr>
          <w:p>
            <w:pPr>
              <w:pStyle w:val="TableContents"/>
              <w:spacing w:before="0" w:after="283"/>
              <w:jc w:val="right"/>
              <w:rPr/>
            </w:pPr>
            <w:r>
              <w:rPr/>
              <w:t>75</w:t>
            </w:r>
          </w:p>
        </w:tc>
        <w:tc>
          <w:tcPr>
            <w:tcW w:w="112" w:type="dxa"/>
            <w:tcBorders/>
            <w:shd w:fill="auto" w:val="clear"/>
            <w:vAlign w:val="bottom"/>
          </w:tcPr>
          <w:p>
            <w:pPr>
              <w:pStyle w:val="TableContents"/>
              <w:spacing w:before="0" w:after="283"/>
              <w:rPr/>
            </w:pPr>
            <w:r>
              <w:rPr/>
              <w:t> </w:t>
            </w:r>
          </w:p>
        </w:tc>
      </w:tr>
      <w:tr>
        <w:trPr/>
        <w:tc>
          <w:tcPr>
            <w:tcW w:w="4983" w:type="dxa"/>
            <w:tcBorders/>
            <w:shd w:fill="CCEEFF" w:val="clear"/>
            <w:vAlign w:val="bottom"/>
          </w:tcPr>
          <w:p>
            <w:pPr>
              <w:pStyle w:val="TableContents"/>
              <w:spacing w:before="0" w:after="0"/>
              <w:ind w:left="225" w:right="0" w:hanging="225"/>
              <w:rPr/>
            </w:pPr>
            <w:r>
              <w:rPr/>
              <w:t>2013</w:t>
            </w:r>
          </w:p>
        </w:tc>
        <w:tc>
          <w:tcPr>
            <w:tcW w:w="31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left"/>
              <w:rPr/>
            </w:pPr>
            <w:r>
              <w:rPr/>
              <w:t>$</w:t>
            </w:r>
          </w:p>
        </w:tc>
        <w:tc>
          <w:tcPr>
            <w:tcW w:w="1701" w:type="dxa"/>
            <w:tcBorders/>
            <w:shd w:fill="CCEEFF" w:val="clear"/>
            <w:vAlign w:val="bottom"/>
          </w:tcPr>
          <w:p>
            <w:pPr>
              <w:pStyle w:val="TableContents"/>
              <w:spacing w:before="0" w:after="283"/>
              <w:jc w:val="right"/>
              <w:rPr/>
            </w:pPr>
            <w:r>
              <w:rPr/>
              <w:t>159</w:t>
            </w:r>
          </w:p>
        </w:tc>
        <w:tc>
          <w:tcPr>
            <w:tcW w:w="10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left"/>
              <w:rPr/>
            </w:pPr>
            <w:r>
              <w:rPr/>
              <w:t>$</w:t>
            </w:r>
          </w:p>
        </w:tc>
        <w:tc>
          <w:tcPr>
            <w:tcW w:w="1416" w:type="dxa"/>
            <w:tcBorders/>
            <w:shd w:fill="CCEEFF" w:val="clear"/>
            <w:vAlign w:val="bottom"/>
          </w:tcPr>
          <w:p>
            <w:pPr>
              <w:pStyle w:val="TableContents"/>
              <w:spacing w:before="0" w:after="283"/>
              <w:jc w:val="right"/>
              <w:rPr/>
            </w:pPr>
            <w:r>
              <w:rPr/>
              <w:t>63</w:t>
            </w:r>
          </w:p>
        </w:tc>
        <w:tc>
          <w:tcPr>
            <w:tcW w:w="112" w:type="dxa"/>
            <w:tcBorders/>
            <w:shd w:fill="CCEEFF" w:val="clear"/>
            <w:vAlign w:val="bottom"/>
          </w:tcPr>
          <w:p>
            <w:pPr>
              <w:pStyle w:val="TableContents"/>
              <w:spacing w:before="0" w:after="283"/>
              <w:rPr/>
            </w:pPr>
            <w:r>
              <w:rPr/>
              <w:t> </w:t>
            </w:r>
          </w:p>
        </w:tc>
      </w:tr>
      <w:tr>
        <w:trPr/>
        <w:tc>
          <w:tcPr>
            <w:tcW w:w="4983" w:type="dxa"/>
            <w:tcBorders/>
            <w:shd w:fill="auto" w:val="clear"/>
            <w:vAlign w:val="bottom"/>
          </w:tcPr>
          <w:p>
            <w:pPr>
              <w:pStyle w:val="TableContents"/>
              <w:spacing w:before="0" w:after="0"/>
              <w:ind w:left="225" w:right="0" w:hanging="225"/>
              <w:rPr/>
            </w:pPr>
            <w:r>
              <w:rPr/>
              <w:t>2014</w:t>
            </w:r>
          </w:p>
        </w:tc>
        <w:tc>
          <w:tcPr>
            <w:tcW w:w="316"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left"/>
              <w:rPr/>
            </w:pPr>
            <w:r>
              <w:rPr/>
              <w:t>$</w:t>
            </w:r>
          </w:p>
        </w:tc>
        <w:tc>
          <w:tcPr>
            <w:tcW w:w="1701" w:type="dxa"/>
            <w:tcBorders/>
            <w:shd w:fill="auto" w:val="clear"/>
            <w:vAlign w:val="bottom"/>
          </w:tcPr>
          <w:p>
            <w:pPr>
              <w:pStyle w:val="TableContents"/>
              <w:spacing w:before="0" w:after="283"/>
              <w:jc w:val="right"/>
              <w:rPr/>
            </w:pPr>
            <w:r>
              <w:rPr/>
              <w:t>74</w:t>
            </w:r>
          </w:p>
        </w:tc>
        <w:tc>
          <w:tcPr>
            <w:tcW w:w="10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left"/>
              <w:rPr/>
            </w:pPr>
            <w:r>
              <w:rPr/>
              <w:t>$</w:t>
            </w:r>
          </w:p>
        </w:tc>
        <w:tc>
          <w:tcPr>
            <w:tcW w:w="1416" w:type="dxa"/>
            <w:tcBorders/>
            <w:shd w:fill="auto" w:val="clear"/>
            <w:vAlign w:val="bottom"/>
          </w:tcPr>
          <w:p>
            <w:pPr>
              <w:pStyle w:val="TableContents"/>
              <w:spacing w:before="0" w:after="283"/>
              <w:jc w:val="right"/>
              <w:rPr/>
            </w:pPr>
            <w:r>
              <w:rPr/>
              <w:t>52</w:t>
            </w:r>
          </w:p>
        </w:tc>
        <w:tc>
          <w:tcPr>
            <w:tcW w:w="112" w:type="dxa"/>
            <w:tcBorders/>
            <w:shd w:fill="auto" w:val="clear"/>
            <w:vAlign w:val="bottom"/>
          </w:tcPr>
          <w:p>
            <w:pPr>
              <w:pStyle w:val="TableContents"/>
              <w:spacing w:before="0" w:after="283"/>
              <w:rPr/>
            </w:pPr>
            <w:r>
              <w:rPr/>
              <w:t> </w:t>
            </w:r>
          </w:p>
        </w:tc>
      </w:tr>
      <w:tr>
        <w:trPr/>
        <w:tc>
          <w:tcPr>
            <w:tcW w:w="4983" w:type="dxa"/>
            <w:tcBorders/>
            <w:shd w:fill="CCEEFF" w:val="clear"/>
            <w:vAlign w:val="bottom"/>
          </w:tcPr>
          <w:p>
            <w:pPr>
              <w:pStyle w:val="TableContents"/>
              <w:spacing w:before="0" w:after="0"/>
              <w:ind w:left="225" w:right="0" w:hanging="225"/>
              <w:rPr/>
            </w:pPr>
            <w:r>
              <w:rPr/>
              <w:t>2015</w:t>
            </w:r>
          </w:p>
        </w:tc>
        <w:tc>
          <w:tcPr>
            <w:tcW w:w="31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left"/>
              <w:rPr/>
            </w:pPr>
            <w:r>
              <w:rPr/>
              <w:t>$</w:t>
            </w:r>
          </w:p>
        </w:tc>
        <w:tc>
          <w:tcPr>
            <w:tcW w:w="1701" w:type="dxa"/>
            <w:tcBorders/>
            <w:shd w:fill="CCEEFF" w:val="clear"/>
            <w:vAlign w:val="bottom"/>
          </w:tcPr>
          <w:p>
            <w:pPr>
              <w:pStyle w:val="TableContents"/>
              <w:spacing w:before="0" w:after="283"/>
              <w:jc w:val="right"/>
              <w:rPr/>
            </w:pPr>
            <w:r>
              <w:rPr/>
              <w:t>65</w:t>
            </w:r>
          </w:p>
        </w:tc>
        <w:tc>
          <w:tcPr>
            <w:tcW w:w="10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left"/>
              <w:rPr/>
            </w:pPr>
            <w:r>
              <w:rPr/>
              <w:t>$</w:t>
            </w:r>
          </w:p>
        </w:tc>
        <w:tc>
          <w:tcPr>
            <w:tcW w:w="1416" w:type="dxa"/>
            <w:tcBorders/>
            <w:shd w:fill="CCEEFF" w:val="clear"/>
            <w:vAlign w:val="bottom"/>
          </w:tcPr>
          <w:p>
            <w:pPr>
              <w:pStyle w:val="TableContents"/>
              <w:spacing w:before="0" w:after="283"/>
              <w:jc w:val="right"/>
              <w:rPr/>
            </w:pPr>
            <w:r>
              <w:rPr/>
              <w:t>38</w:t>
            </w:r>
          </w:p>
        </w:tc>
        <w:tc>
          <w:tcPr>
            <w:tcW w:w="11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and operations expense may vary from these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syndicated credit agreement provides for, among other things, (i) an $80 million revolving credit facility, maturing December 31, 2011, that we may, under the terms of the agreement, request to be increased to a total of $110 million and (ii) a $40 million term loan, maturing December 31, 2012. Our term loan requires $2.5 million quarterly principal payments. At December 31, 2010, $22.5 million was outstanding under the term loan and bank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letters of credit totaling $5.0 were outstanding, leaving $75 million available on our revolving credit facility. The outstanding bank letters of credit secure our obligations under letters of credit we issue to unaffiliated lenders as part of our credit service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credit agreement, we may choose either a Eurodollar rate or the base rate. We may choose to pay interest to the lenders for outstanding borrowings at the Eurodollar rate plus 175 to 250 basis points or the banks base rate plus 0 to 50 basis points, depending on our leverage ratio computed at the end of each calendar quarter. Our rates are currently at the minimum of the range. On the unused amount of the revolving credit facility, we pay a commitment fee of 25 to 30 basis points depending on our leverage ratio calculated at the end of each quarter. Terms of the credit agreement require, among other things, that we meet certain financial covenants. We were in compliance with all covenants at December 31, 2010. The payment of dividends and additional debt are restricted. The recorded value of our debt approximates its fair value as it is all variable rate debt and carries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Deferred financing costs of $0.4 million related to our credit agreement are included in Other assets, net in our December 31, 2010 balance sheet. These costs are being amortized to interest expense over their three-year estimated useful life.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Stock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net income includes the following compensation costs related to our stock compensation arrangements: </w:t>
      </w:r>
    </w:p>
    <w:tbl>
      <w:tblPr>
        <w:tblW w:w="5000" w:type="pct"/>
        <w:jc w:val="center"/>
        <w:tblInd w:w="0" w:type="dxa"/>
        <w:tblCellMar>
          <w:top w:w="0" w:type="dxa"/>
          <w:left w:w="0" w:type="dxa"/>
          <w:bottom w:w="0" w:type="dxa"/>
          <w:right w:w="0" w:type="dxa"/>
        </w:tblCellMar>
      </w:tblPr>
      <w:tblGrid>
        <w:gridCol w:w="5809"/>
        <w:gridCol w:w="372"/>
        <w:gridCol w:w="297"/>
        <w:gridCol w:w="1381"/>
        <w:gridCol w:w="222"/>
        <w:gridCol w:w="424"/>
        <w:gridCol w:w="297"/>
        <w:gridCol w:w="1257"/>
        <w:gridCol w:w="146"/>
      </w:tblGrid>
      <w:tr>
        <w:trPr/>
        <w:tc>
          <w:tcPr>
            <w:tcW w:w="5809"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5809"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78"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w:t>
            </w:r>
          </w:p>
        </w:tc>
        <w:tc>
          <w:tcPr>
            <w:tcW w:w="146" w:type="dxa"/>
            <w:tcBorders/>
            <w:shd w:fill="auto" w:val="clear"/>
            <w:vAlign w:val="bottom"/>
          </w:tcPr>
          <w:p>
            <w:pPr>
              <w:pStyle w:val="TableContents"/>
              <w:spacing w:before="0" w:after="283"/>
              <w:rPr/>
            </w:pPr>
            <w:r>
              <w:rPr/>
              <w:t> </w:t>
            </w:r>
          </w:p>
        </w:tc>
      </w:tr>
      <w:tr>
        <w:trPr/>
        <w:tc>
          <w:tcPr>
            <w:tcW w:w="5809"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2"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5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6" w:type="dxa"/>
            <w:tcBorders/>
            <w:shd w:fill="auto" w:val="clear"/>
            <w:vAlign w:val="bottom"/>
          </w:tcPr>
          <w:p>
            <w:pPr>
              <w:pStyle w:val="TableContents"/>
              <w:spacing w:before="0" w:after="283"/>
              <w:rPr/>
            </w:pPr>
            <w:r>
              <w:rPr/>
              <w:t> </w:t>
            </w:r>
          </w:p>
        </w:tc>
      </w:tr>
      <w:tr>
        <w:trPr/>
        <w:tc>
          <w:tcPr>
            <w:tcW w:w="5809"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78" w:type="dxa"/>
            <w:gridSpan w:val="6"/>
            <w:tcBorders/>
            <w:shd w:fill="auto" w:val="clear"/>
            <w:vAlign w:val="bottom"/>
          </w:tcPr>
          <w:p>
            <w:pPr>
              <w:pStyle w:val="TableContents"/>
              <w:spacing w:before="0" w:after="283"/>
              <w:jc w:val="center"/>
              <w:rPr>
                <w:i/>
              </w:rPr>
            </w:pPr>
            <w:r>
              <w:rPr>
                <w:i/>
              </w:rPr>
              <w:t>(in thousands)</w:t>
            </w:r>
          </w:p>
        </w:tc>
        <w:tc>
          <w:tcPr>
            <w:tcW w:w="146" w:type="dxa"/>
            <w:tcBorders/>
            <w:shd w:fill="auto" w:val="clear"/>
            <w:vAlign w:val="bottom"/>
          </w:tcPr>
          <w:p>
            <w:pPr>
              <w:pStyle w:val="TableContents"/>
              <w:spacing w:before="0" w:after="283"/>
              <w:rPr/>
            </w:pPr>
            <w:r>
              <w:rPr/>
              <w:t> </w:t>
            </w:r>
          </w:p>
        </w:tc>
      </w:tr>
      <w:tr>
        <w:trPr/>
        <w:tc>
          <w:tcPr>
            <w:tcW w:w="5809" w:type="dxa"/>
            <w:tcBorders/>
            <w:shd w:fill="CCEEFF" w:val="clear"/>
            <w:vAlign w:val="bottom"/>
          </w:tcPr>
          <w:p>
            <w:pPr>
              <w:pStyle w:val="TableContents"/>
              <w:spacing w:before="0" w:after="0"/>
              <w:ind w:left="225" w:right="0" w:hanging="225"/>
              <w:rPr/>
            </w:pPr>
            <w:r>
              <w:rPr/>
              <w:t>Gross compensation cost</w:t>
            </w:r>
          </w:p>
        </w:tc>
        <w:tc>
          <w:tcPr>
            <w:tcW w:w="372"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w:t>
            </w:r>
          </w:p>
        </w:tc>
        <w:tc>
          <w:tcPr>
            <w:tcW w:w="1381" w:type="dxa"/>
            <w:tcBorders/>
            <w:shd w:fill="CCEEFF" w:val="clear"/>
            <w:vAlign w:val="bottom"/>
          </w:tcPr>
          <w:p>
            <w:pPr>
              <w:pStyle w:val="TableContents"/>
              <w:spacing w:before="0" w:after="283"/>
              <w:jc w:val="right"/>
              <w:rPr/>
            </w:pPr>
            <w:r>
              <w:rPr/>
              <w:t>8,548</w:t>
            </w:r>
          </w:p>
        </w:tc>
        <w:tc>
          <w:tcPr>
            <w:tcW w:w="222"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w:t>
            </w:r>
          </w:p>
        </w:tc>
        <w:tc>
          <w:tcPr>
            <w:tcW w:w="1257" w:type="dxa"/>
            <w:tcBorders/>
            <w:shd w:fill="CCEEFF" w:val="clear"/>
            <w:vAlign w:val="bottom"/>
          </w:tcPr>
          <w:p>
            <w:pPr>
              <w:pStyle w:val="TableContents"/>
              <w:spacing w:before="0" w:after="283"/>
              <w:jc w:val="right"/>
              <w:rPr/>
            </w:pPr>
            <w:r>
              <w:rPr/>
              <w:t>1,056</w:t>
            </w:r>
          </w:p>
        </w:tc>
        <w:tc>
          <w:tcPr>
            <w:tcW w:w="146" w:type="dxa"/>
            <w:tcBorders/>
            <w:shd w:fill="CCEEFF" w:val="clear"/>
            <w:vAlign w:val="bottom"/>
          </w:tcPr>
          <w:p>
            <w:pPr>
              <w:pStyle w:val="TableContents"/>
              <w:spacing w:before="0" w:after="283"/>
              <w:rPr/>
            </w:pPr>
            <w:r>
              <w:rPr/>
              <w:t> </w:t>
            </w:r>
          </w:p>
        </w:tc>
      </w:tr>
      <w:tr>
        <w:trPr/>
        <w:tc>
          <w:tcPr>
            <w:tcW w:w="5809" w:type="dxa"/>
            <w:tcBorders/>
            <w:shd w:fill="auto" w:val="clear"/>
            <w:vAlign w:val="bottom"/>
          </w:tcPr>
          <w:p>
            <w:pPr>
              <w:pStyle w:val="TableContents"/>
              <w:spacing w:before="0" w:after="0"/>
              <w:ind w:left="225" w:right="0" w:hanging="225"/>
              <w:rPr/>
            </w:pPr>
            <w:r>
              <w:rPr/>
              <w:t>Income tax benefits</w:t>
            </w:r>
          </w:p>
        </w:tc>
        <w:tc>
          <w:tcPr>
            <w:tcW w:w="372"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 </w:t>
            </w:r>
          </w:p>
        </w:tc>
        <w:tc>
          <w:tcPr>
            <w:tcW w:w="1381" w:type="dxa"/>
            <w:tcBorders/>
            <w:shd w:fill="auto" w:val="clear"/>
            <w:vAlign w:val="bottom"/>
          </w:tcPr>
          <w:p>
            <w:pPr>
              <w:pStyle w:val="TableContents"/>
              <w:spacing w:before="0" w:after="283"/>
              <w:jc w:val="right"/>
              <w:rPr/>
            </w:pPr>
            <w:r>
              <w:rPr/>
              <w:t>(2,974</w:t>
            </w:r>
          </w:p>
        </w:tc>
        <w:tc>
          <w:tcPr>
            <w:tcW w:w="222"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 </w:t>
            </w:r>
          </w:p>
        </w:tc>
        <w:tc>
          <w:tcPr>
            <w:tcW w:w="1257" w:type="dxa"/>
            <w:tcBorders/>
            <w:shd w:fill="auto" w:val="clear"/>
            <w:vAlign w:val="bottom"/>
          </w:tcPr>
          <w:p>
            <w:pPr>
              <w:pStyle w:val="TableContents"/>
              <w:spacing w:before="0" w:after="283"/>
              <w:jc w:val="right"/>
              <w:rPr/>
            </w:pPr>
            <w:r>
              <w:rPr/>
              <w:t>(358</w:t>
            </w:r>
          </w:p>
        </w:tc>
        <w:tc>
          <w:tcPr>
            <w:tcW w:w="146" w:type="dxa"/>
            <w:tcBorders/>
            <w:shd w:fill="auto" w:val="clear"/>
            <w:vAlign w:val="bottom"/>
          </w:tcPr>
          <w:p>
            <w:pPr>
              <w:pStyle w:val="TableContents"/>
              <w:spacing w:before="0" w:after="283"/>
              <w:rPr/>
            </w:pPr>
            <w:r>
              <w:rPr/>
              <w:t>)</w:t>
            </w:r>
          </w:p>
        </w:tc>
      </w:tr>
      <w:tr>
        <w:trPr/>
        <w:tc>
          <w:tcPr>
            <w:tcW w:w="5809"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6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5809" w:type="dxa"/>
            <w:tcBorders/>
            <w:shd w:fill="CCEEFF" w:val="clear"/>
            <w:vAlign w:val="bottom"/>
          </w:tcPr>
          <w:p>
            <w:pPr>
              <w:pStyle w:val="TableContents"/>
              <w:spacing w:before="0" w:after="0"/>
              <w:ind w:left="225" w:right="0" w:hanging="225"/>
              <w:rPr/>
            </w:pPr>
            <w:r>
              <w:rPr/>
              <w:t>Stock compensation cost, net of tax benefit</w:t>
            </w:r>
          </w:p>
        </w:tc>
        <w:tc>
          <w:tcPr>
            <w:tcW w:w="372"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w:t>
            </w:r>
          </w:p>
        </w:tc>
        <w:tc>
          <w:tcPr>
            <w:tcW w:w="1381" w:type="dxa"/>
            <w:tcBorders/>
            <w:shd w:fill="CCEEFF" w:val="clear"/>
            <w:vAlign w:val="bottom"/>
          </w:tcPr>
          <w:p>
            <w:pPr>
              <w:pStyle w:val="TableContents"/>
              <w:spacing w:before="0" w:after="283"/>
              <w:jc w:val="right"/>
              <w:rPr/>
            </w:pPr>
            <w:r>
              <w:rPr/>
              <w:t>5,574</w:t>
            </w:r>
          </w:p>
        </w:tc>
        <w:tc>
          <w:tcPr>
            <w:tcW w:w="222"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w:t>
            </w:r>
          </w:p>
        </w:tc>
        <w:tc>
          <w:tcPr>
            <w:tcW w:w="1257" w:type="dxa"/>
            <w:tcBorders/>
            <w:shd w:fill="CCEEFF" w:val="clear"/>
            <w:vAlign w:val="bottom"/>
          </w:tcPr>
          <w:p>
            <w:pPr>
              <w:pStyle w:val="TableContents"/>
              <w:spacing w:before="0" w:after="283"/>
              <w:jc w:val="right"/>
              <w:rPr/>
            </w:pPr>
            <w:r>
              <w:rPr/>
              <w:t>698</w:t>
            </w:r>
          </w:p>
        </w:tc>
        <w:tc>
          <w:tcPr>
            <w:tcW w:w="146" w:type="dxa"/>
            <w:tcBorders/>
            <w:shd w:fill="CCEEFF" w:val="clear"/>
            <w:vAlign w:val="bottom"/>
          </w:tcPr>
          <w:p>
            <w:pPr>
              <w:pStyle w:val="TableContents"/>
              <w:spacing w:before="0" w:after="283"/>
              <w:rPr/>
            </w:pPr>
            <w:r>
              <w:rPr/>
              <w:t> </w:t>
            </w:r>
          </w:p>
        </w:tc>
      </w:tr>
      <w:tr>
        <w:trPr/>
        <w:tc>
          <w:tcPr>
            <w:tcW w:w="5809"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6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5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compensation cost for the three months ended December 31, 2010 is $7.3 million for the accelerated vesting of restricted stock upon the retirement of our former Chief Executive Officer on October 31, 2010, and a related $2.5 million income tax benefit. Stock option exercises resulted in the issuance of 22,800 shares of our Class A Non-voting Common Stock in the current quarter for total proceeds of $0.2 million. All options and restricted stock relate to our Class A Non-voting Common Stock.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effective tax rate is 35.5% for both the current and prior year quarters.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J: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Comprehensive income includes net income and other revenues, expenses, gains and losses that are excluded from net income but are included as a component of total stockholders equity. Comprehensive income for the fiscal quarters ended December 31, 2010 and 2009 was $34.5 million and $25.8 million. The difference between comprehensive income and net income results primarily from the effect of foreign currency translation adjustments and the unrealized gain or loss on available for sale securities. At December 31, 2010, the accumulated balance of net foreign currency and unrealized gain activity excluded from net income was $2.1 million, net of applicable tax of $1.4 million. The net $0.7 million is presented as Accumulated other comprehensive income (loss) in the balance sheet at December 31, 2010.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and internal reporting as three reportable segments with operating results reported separately for each segment.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U.S. Pawn Operations segment offers pawn related activities in our 396 U.S. pawn stores, offers signature loans in 29 pawn stores and six EZMONEY stores and offers auto title loans in 44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Empeño Fácil segment offers pawn related activities in 132 Mexico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EZMONEY Operations segment offers signature loans in 442 U.S. EZMONEY stores and 56 Canadian CASHMAX stores. The segment also offers auto title loans in 403 of its U.S. stores.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3859"/>
        <w:gridCol w:w="330"/>
        <w:gridCol w:w="173"/>
        <w:gridCol w:w="953"/>
        <w:gridCol w:w="101"/>
        <w:gridCol w:w="330"/>
        <w:gridCol w:w="161"/>
        <w:gridCol w:w="791"/>
        <w:gridCol w:w="101"/>
        <w:gridCol w:w="330"/>
        <w:gridCol w:w="211"/>
        <w:gridCol w:w="1038"/>
        <w:gridCol w:w="101"/>
        <w:gridCol w:w="329"/>
        <w:gridCol w:w="196"/>
        <w:gridCol w:w="1086"/>
        <w:gridCol w:w="115"/>
      </w:tblGrid>
      <w:tr>
        <w:trPr/>
        <w:tc>
          <w:tcPr>
            <w:tcW w:w="385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52"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52"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82"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901" w:type="dxa"/>
            <w:gridSpan w:val="14"/>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b/>
              </w:rPr>
            </w:pPr>
            <w:r>
              <w:rPr>
                <w:b/>
              </w:rPr>
              <w:t>Three Months Ended December 31, 2010:</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53" w:type="dxa"/>
            <w:tcBorders/>
            <w:shd w:fill="CCEEFF" w:val="clear"/>
            <w:vAlign w:val="bottom"/>
          </w:tcPr>
          <w:p>
            <w:pPr>
              <w:pStyle w:val="TableContents"/>
              <w:spacing w:before="0" w:after="283"/>
              <w:jc w:val="right"/>
              <w:rPr/>
            </w:pPr>
            <w:r>
              <w:rPr/>
              <w:t>62,341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5,389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1086" w:type="dxa"/>
            <w:tcBorders/>
            <w:shd w:fill="CCEEFF" w:val="clear"/>
            <w:vAlign w:val="bottom"/>
          </w:tcPr>
          <w:p>
            <w:pPr>
              <w:pStyle w:val="TableContents"/>
              <w:spacing w:before="0" w:after="283"/>
              <w:jc w:val="right"/>
              <w:rPr/>
            </w:pPr>
            <w:r>
              <w:rPr/>
              <w:t>67,730</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450" w:right="0" w:hanging="225"/>
              <w:rPr/>
            </w:pPr>
            <w:r>
              <w:rPr/>
              <w:t>Scrap sales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47,006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3,462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197</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50,665</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46,436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3,374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49,810</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509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39,557</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40,066</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393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5,851</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6,244</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4,081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4,311</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160,766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12,414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45,646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218,826</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38,197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3,114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41,311</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pPr>
            <w:r>
              <w:rPr/>
              <w:t>Scrap cost of goods sold</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29,538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2,638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79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32,255</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165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9,881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10,046</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61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921</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982</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auto" w:val="clear"/>
            <w:vAlign w:val="bottom"/>
          </w:tcPr>
          <w:p>
            <w:pPr>
              <w:pStyle w:val="TableContents"/>
              <w:spacing w:before="0" w:after="0"/>
              <w:ind w:left="675" w:right="0" w:hanging="225"/>
              <w:rPr/>
            </w:pPr>
            <w:r>
              <w:rPr/>
              <w:t>Net revenues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92,805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6,662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34,765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134,232</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43,196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4,278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17,030</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64,504</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auto" w:val="clear"/>
            <w:vAlign w:val="bottom"/>
          </w:tcPr>
          <w:p>
            <w:pPr>
              <w:pStyle w:val="TableContents"/>
              <w:spacing w:before="0" w:after="0"/>
              <w:ind w:left="675"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953" w:type="dxa"/>
            <w:tcBorders/>
            <w:shd w:fill="auto" w:val="clear"/>
            <w:vAlign w:val="bottom"/>
          </w:tcPr>
          <w:p>
            <w:pPr>
              <w:pStyle w:val="TableContents"/>
              <w:spacing w:before="0" w:after="283"/>
              <w:jc w:val="right"/>
              <w:rPr/>
            </w:pPr>
            <w:r>
              <w:rPr/>
              <w:t>49,609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791" w:type="dxa"/>
            <w:tcBorders/>
            <w:shd w:fill="auto" w:val="clear"/>
            <w:vAlign w:val="bottom"/>
          </w:tcPr>
          <w:p>
            <w:pPr>
              <w:pStyle w:val="TableContents"/>
              <w:spacing w:before="0" w:after="283"/>
              <w:jc w:val="right"/>
              <w:rPr/>
            </w:pPr>
            <w:r>
              <w:rPr/>
              <w:t>2,384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038" w:type="dxa"/>
            <w:tcBorders/>
            <w:shd w:fill="auto" w:val="clear"/>
            <w:vAlign w:val="bottom"/>
          </w:tcPr>
          <w:p>
            <w:pPr>
              <w:pStyle w:val="TableContents"/>
              <w:spacing w:before="0" w:after="283"/>
              <w:jc w:val="right"/>
              <w:rPr/>
            </w:pPr>
            <w:r>
              <w:rPr/>
              <w:t>17,735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086" w:type="dxa"/>
            <w:tcBorders/>
            <w:shd w:fill="auto" w:val="clear"/>
            <w:vAlign w:val="bottom"/>
          </w:tcPr>
          <w:p>
            <w:pPr>
              <w:pStyle w:val="TableContents"/>
              <w:spacing w:before="0" w:after="283"/>
              <w:jc w:val="right"/>
              <w:rPr/>
            </w:pPr>
            <w:r>
              <w:rPr/>
              <w:t>69,728</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b/>
              </w:rPr>
            </w:pPr>
            <w:r>
              <w:rPr>
                <w:b/>
              </w:rPr>
              <w:t>Three Months Ended December 31, 2009:</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53" w:type="dxa"/>
            <w:tcBorders/>
            <w:shd w:fill="CCEEFF" w:val="clear"/>
            <w:vAlign w:val="bottom"/>
          </w:tcPr>
          <w:p>
            <w:pPr>
              <w:pStyle w:val="TableContents"/>
              <w:spacing w:before="0" w:after="283"/>
              <w:jc w:val="right"/>
              <w:rPr/>
            </w:pPr>
            <w:r>
              <w:rPr/>
              <w:t>59,211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3,265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1086" w:type="dxa"/>
            <w:tcBorders/>
            <w:shd w:fill="CCEEFF" w:val="clear"/>
            <w:vAlign w:val="bottom"/>
          </w:tcPr>
          <w:p>
            <w:pPr>
              <w:pStyle w:val="TableContents"/>
              <w:spacing w:before="0" w:after="283"/>
              <w:jc w:val="right"/>
              <w:rPr/>
            </w:pPr>
            <w:r>
              <w:rPr/>
              <w:t>62,476</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450" w:right="0" w:hanging="225"/>
              <w:rPr/>
            </w:pPr>
            <w:r>
              <w:rPr/>
              <w:t>Scrap sales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36,823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607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12</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37,442</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38,941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1,856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40,797</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553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38,125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38,678</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475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2,627</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3,102</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2,167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2,256</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138,170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5,817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40,764</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184,751</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36,906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2,358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39,264</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pPr>
            <w:r>
              <w:rPr/>
              <w:t>Scrap cost of goods sold</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22,824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475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7</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23,306</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186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8,604</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8,790</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70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390</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460</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auto" w:val="clear"/>
            <w:vAlign w:val="bottom"/>
          </w:tcPr>
          <w:p>
            <w:pPr>
              <w:pStyle w:val="TableContents"/>
              <w:spacing w:before="0" w:after="0"/>
              <w:ind w:left="675" w:right="0" w:hanging="225"/>
              <w:rPr/>
            </w:pPr>
            <w:r>
              <w:rPr/>
              <w:t>Net revenues</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78,184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2,984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31,763</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112,931</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859"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40,199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2,164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15,818</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58,181</w:t>
            </w:r>
          </w:p>
        </w:tc>
        <w:tc>
          <w:tcPr>
            <w:tcW w:w="115" w:type="dxa"/>
            <w:tcBorders/>
            <w:shd w:fill="CCEEFF"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859" w:type="dxa"/>
            <w:tcBorders/>
            <w:shd w:fill="auto" w:val="clear"/>
            <w:vAlign w:val="bottom"/>
          </w:tcPr>
          <w:p>
            <w:pPr>
              <w:pStyle w:val="TableContents"/>
              <w:spacing w:before="0" w:after="0"/>
              <w:ind w:left="675"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953" w:type="dxa"/>
            <w:tcBorders/>
            <w:shd w:fill="auto" w:val="clear"/>
            <w:vAlign w:val="bottom"/>
          </w:tcPr>
          <w:p>
            <w:pPr>
              <w:pStyle w:val="TableContents"/>
              <w:spacing w:before="0" w:after="283"/>
              <w:jc w:val="right"/>
              <w:rPr/>
            </w:pPr>
            <w:r>
              <w:rPr/>
              <w:t>37,985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791" w:type="dxa"/>
            <w:tcBorders/>
            <w:shd w:fill="auto" w:val="clear"/>
            <w:vAlign w:val="bottom"/>
          </w:tcPr>
          <w:p>
            <w:pPr>
              <w:pStyle w:val="TableContents"/>
              <w:spacing w:before="0" w:after="283"/>
              <w:jc w:val="right"/>
              <w:rPr/>
            </w:pPr>
            <w:r>
              <w:rPr/>
              <w:t>820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038" w:type="dxa"/>
            <w:tcBorders/>
            <w:shd w:fill="auto" w:val="clear"/>
            <w:vAlign w:val="bottom"/>
          </w:tcPr>
          <w:p>
            <w:pPr>
              <w:pStyle w:val="TableContents"/>
              <w:spacing w:before="0" w:after="283"/>
              <w:jc w:val="right"/>
              <w:rPr/>
            </w:pPr>
            <w:r>
              <w:rPr/>
              <w:t>15,945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086" w:type="dxa"/>
            <w:tcBorders/>
            <w:shd w:fill="auto" w:val="clear"/>
            <w:vAlign w:val="bottom"/>
          </w:tcPr>
          <w:p>
            <w:pPr>
              <w:pStyle w:val="TableContents"/>
              <w:spacing w:before="0" w:after="283"/>
              <w:jc w:val="right"/>
              <w:rPr/>
            </w:pPr>
            <w:r>
              <w:rPr/>
              <w:t>54,750</w:t>
            </w:r>
          </w:p>
        </w:tc>
        <w:tc>
          <w:tcPr>
            <w:tcW w:w="115" w:type="dxa"/>
            <w:tcBorders/>
            <w:shd w:fill="auto" w:val="clear"/>
            <w:vAlign w:val="bottom"/>
          </w:tcPr>
          <w:p>
            <w:pPr>
              <w:pStyle w:val="TableContents"/>
              <w:spacing w:before="0" w:after="283"/>
              <w:rPr/>
            </w:pPr>
            <w:r>
              <w:rPr/>
              <w:t> </w:t>
            </w:r>
          </w:p>
        </w:tc>
      </w:tr>
      <w:tr>
        <w:trPr/>
        <w:tc>
          <w:tcPr>
            <w:tcW w:w="3859"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7114"/>
        <w:gridCol w:w="458"/>
        <w:gridCol w:w="160"/>
        <w:gridCol w:w="790"/>
        <w:gridCol w:w="136"/>
        <w:gridCol w:w="461"/>
        <w:gridCol w:w="160"/>
        <w:gridCol w:w="791"/>
        <w:gridCol w:w="135"/>
      </w:tblGrid>
      <w:tr>
        <w:trPr/>
        <w:tc>
          <w:tcPr>
            <w:tcW w:w="7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498"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w:t>
            </w:r>
          </w:p>
        </w:tc>
        <w:tc>
          <w:tcPr>
            <w:tcW w:w="135" w:type="dxa"/>
            <w:tcBorders/>
            <w:shd w:fill="auto" w:val="clear"/>
            <w:vAlign w:val="bottom"/>
          </w:tcPr>
          <w:p>
            <w:pPr>
              <w:pStyle w:val="TableContents"/>
              <w:spacing w:before="0" w:after="283"/>
              <w:rPr/>
            </w:pPr>
            <w:r>
              <w:rPr/>
              <w:t> </w:t>
            </w:r>
          </w:p>
        </w:tc>
      </w:tr>
      <w:tr>
        <w:trPr/>
        <w:tc>
          <w:tcPr>
            <w:tcW w:w="7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498"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35" w:type="dxa"/>
            <w:tcBorders/>
            <w:shd w:fill="auto" w:val="clear"/>
            <w:vAlign w:val="bottom"/>
          </w:tcPr>
          <w:p>
            <w:pPr>
              <w:pStyle w:val="TableContents"/>
              <w:spacing w:before="0" w:after="283"/>
              <w:rPr/>
            </w:pPr>
            <w:r>
              <w:rPr/>
              <w:t> </w:t>
            </w:r>
          </w:p>
        </w:tc>
      </w:tr>
      <w:tr>
        <w:trPr/>
        <w:tc>
          <w:tcPr>
            <w:tcW w:w="7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5" w:type="dxa"/>
            <w:tcBorders/>
            <w:shd w:fill="auto" w:val="clear"/>
            <w:vAlign w:val="bottom"/>
          </w:tcPr>
          <w:p>
            <w:pPr>
              <w:pStyle w:val="TableContents"/>
              <w:spacing w:before="0" w:after="283"/>
              <w:rPr/>
            </w:pPr>
            <w:r>
              <w:rPr/>
              <w:t> </w:t>
            </w:r>
          </w:p>
        </w:tc>
      </w:tr>
      <w:tr>
        <w:trPr/>
        <w:tc>
          <w:tcPr>
            <w:tcW w:w="7114" w:type="dxa"/>
            <w:tcBorders/>
            <w:shd w:fill="CCEEFF" w:val="clear"/>
            <w:vAlign w:val="bottom"/>
          </w:tcPr>
          <w:p>
            <w:pPr>
              <w:pStyle w:val="TableContents"/>
              <w:spacing w:before="0" w:after="0"/>
              <w:ind w:left="225" w:right="0" w:hanging="225"/>
              <w:rPr/>
            </w:pPr>
            <w:r>
              <w:rPr/>
              <w:t>Consolidated store operating income</w:t>
            </w:r>
          </w:p>
        </w:tc>
        <w:tc>
          <w:tcPr>
            <w:tcW w:w="45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90" w:type="dxa"/>
            <w:tcBorders/>
            <w:shd w:fill="CCEEFF" w:val="clear"/>
            <w:vAlign w:val="bottom"/>
          </w:tcPr>
          <w:p>
            <w:pPr>
              <w:pStyle w:val="TableContents"/>
              <w:spacing w:before="0" w:after="283"/>
              <w:jc w:val="right"/>
              <w:rPr/>
            </w:pPr>
            <w:r>
              <w:rPr/>
              <w:t>69,728</w:t>
            </w:r>
          </w:p>
        </w:tc>
        <w:tc>
          <w:tcPr>
            <w:tcW w:w="136"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54,750</w:t>
            </w:r>
          </w:p>
        </w:tc>
        <w:tc>
          <w:tcPr>
            <w:tcW w:w="135" w:type="dxa"/>
            <w:tcBorders/>
            <w:shd w:fill="CCEEFF" w:val="clear"/>
            <w:vAlign w:val="bottom"/>
          </w:tcPr>
          <w:p>
            <w:pPr>
              <w:pStyle w:val="TableContents"/>
              <w:spacing w:before="0" w:after="283"/>
              <w:rPr/>
            </w:pPr>
            <w:r>
              <w:rPr/>
              <w:t> </w:t>
            </w:r>
          </w:p>
        </w:tc>
      </w:tr>
      <w:tr>
        <w:trPr/>
        <w:tc>
          <w:tcPr>
            <w:tcW w:w="7114" w:type="dxa"/>
            <w:tcBorders/>
            <w:shd w:fill="auto" w:val="clear"/>
            <w:vAlign w:val="bottom"/>
          </w:tcPr>
          <w:p>
            <w:pPr>
              <w:pStyle w:val="TableContents"/>
              <w:spacing w:before="0" w:after="0"/>
              <w:ind w:left="225" w:right="0" w:hanging="225"/>
              <w:rPr/>
            </w:pPr>
            <w:r>
              <w:rPr/>
              <w:t>Administrative expenses</w:t>
            </w:r>
          </w:p>
        </w:tc>
        <w:tc>
          <w:tcPr>
            <w:tcW w:w="45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26,138</w:t>
            </w:r>
          </w:p>
        </w:tc>
        <w:tc>
          <w:tcPr>
            <w:tcW w:w="1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12,297</w:t>
            </w:r>
          </w:p>
        </w:tc>
        <w:tc>
          <w:tcPr>
            <w:tcW w:w="135" w:type="dxa"/>
            <w:tcBorders/>
            <w:shd w:fill="auto" w:val="clear"/>
            <w:vAlign w:val="bottom"/>
          </w:tcPr>
          <w:p>
            <w:pPr>
              <w:pStyle w:val="TableContents"/>
              <w:spacing w:before="0" w:after="283"/>
              <w:rPr/>
            </w:pPr>
            <w:r>
              <w:rPr/>
              <w:t> </w:t>
            </w:r>
          </w:p>
        </w:tc>
      </w:tr>
      <w:tr>
        <w:trPr/>
        <w:tc>
          <w:tcPr>
            <w:tcW w:w="7114" w:type="dxa"/>
            <w:tcBorders/>
            <w:shd w:fill="CCEEFF" w:val="clear"/>
            <w:vAlign w:val="bottom"/>
          </w:tcPr>
          <w:p>
            <w:pPr>
              <w:pStyle w:val="TableContents"/>
              <w:spacing w:before="0" w:after="0"/>
              <w:ind w:left="225" w:right="0" w:hanging="225"/>
              <w:rPr/>
            </w:pPr>
            <w:r>
              <w:rPr/>
              <w:t>Depreciation and amortization</w:t>
            </w:r>
          </w:p>
        </w:tc>
        <w:tc>
          <w:tcPr>
            <w:tcW w:w="45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4,179</w:t>
            </w:r>
          </w:p>
        </w:tc>
        <w:tc>
          <w:tcPr>
            <w:tcW w:w="136"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3,356</w:t>
            </w:r>
          </w:p>
        </w:tc>
        <w:tc>
          <w:tcPr>
            <w:tcW w:w="135" w:type="dxa"/>
            <w:tcBorders/>
            <w:shd w:fill="CCEEFF" w:val="clear"/>
            <w:vAlign w:val="bottom"/>
          </w:tcPr>
          <w:p>
            <w:pPr>
              <w:pStyle w:val="TableContents"/>
              <w:spacing w:before="0" w:after="283"/>
              <w:rPr/>
            </w:pPr>
            <w:r>
              <w:rPr/>
              <w:t> </w:t>
            </w:r>
          </w:p>
        </w:tc>
      </w:tr>
      <w:tr>
        <w:trPr/>
        <w:tc>
          <w:tcPr>
            <w:tcW w:w="7114" w:type="dxa"/>
            <w:tcBorders/>
            <w:shd w:fill="auto" w:val="clear"/>
            <w:vAlign w:val="bottom"/>
          </w:tcPr>
          <w:p>
            <w:pPr>
              <w:pStyle w:val="TableContents"/>
              <w:spacing w:before="0" w:after="0"/>
              <w:ind w:left="225" w:right="0" w:hanging="225"/>
              <w:rPr/>
            </w:pPr>
            <w:r>
              <w:rPr/>
              <w:t>Loss on sale / disposal of assets</w:t>
            </w:r>
          </w:p>
        </w:tc>
        <w:tc>
          <w:tcPr>
            <w:tcW w:w="45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7</w:t>
            </w:r>
          </w:p>
        </w:tc>
        <w:tc>
          <w:tcPr>
            <w:tcW w:w="1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211</w:t>
            </w:r>
          </w:p>
        </w:tc>
        <w:tc>
          <w:tcPr>
            <w:tcW w:w="135" w:type="dxa"/>
            <w:tcBorders/>
            <w:shd w:fill="auto" w:val="clear"/>
            <w:vAlign w:val="bottom"/>
          </w:tcPr>
          <w:p>
            <w:pPr>
              <w:pStyle w:val="TableContents"/>
              <w:spacing w:before="0" w:after="283"/>
              <w:rPr/>
            </w:pPr>
            <w:r>
              <w:rPr/>
              <w:t> </w:t>
            </w:r>
          </w:p>
        </w:tc>
      </w:tr>
      <w:tr>
        <w:trPr/>
        <w:tc>
          <w:tcPr>
            <w:tcW w:w="7114" w:type="dxa"/>
            <w:tcBorders/>
            <w:shd w:fill="CCEEFF" w:val="clear"/>
            <w:vAlign w:val="bottom"/>
          </w:tcPr>
          <w:p>
            <w:pPr>
              <w:pStyle w:val="TableContents"/>
              <w:spacing w:before="0" w:after="0"/>
              <w:ind w:left="225" w:right="0" w:hanging="225"/>
              <w:rPr/>
            </w:pPr>
            <w:r>
              <w:rPr/>
              <w:t>Interest income</w:t>
            </w:r>
          </w:p>
        </w:tc>
        <w:tc>
          <w:tcPr>
            <w:tcW w:w="45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(3</w:t>
            </w:r>
          </w:p>
        </w:tc>
        <w:tc>
          <w:tcPr>
            <w:tcW w:w="136" w:type="dxa"/>
            <w:tcBorders/>
            <w:shd w:fill="CCEEFF" w:val="clear"/>
            <w:vAlign w:val="bottom"/>
          </w:tcPr>
          <w:p>
            <w:pPr>
              <w:pStyle w:val="TableContents"/>
              <w:spacing w:before="0" w:after="283"/>
              <w:rPr/>
            </w:pPr>
            <w:r>
              <w:rPr/>
              <w:t>)</w:t>
            </w:r>
          </w:p>
        </w:tc>
        <w:tc>
          <w:tcPr>
            <w:tcW w:w="4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(8</w:t>
            </w:r>
          </w:p>
        </w:tc>
        <w:tc>
          <w:tcPr>
            <w:tcW w:w="135" w:type="dxa"/>
            <w:tcBorders/>
            <w:shd w:fill="CCEEFF" w:val="clear"/>
            <w:vAlign w:val="bottom"/>
          </w:tcPr>
          <w:p>
            <w:pPr>
              <w:pStyle w:val="TableContents"/>
              <w:spacing w:before="0" w:after="283"/>
              <w:rPr/>
            </w:pPr>
            <w:r>
              <w:rPr/>
              <w:t>)</w:t>
            </w:r>
          </w:p>
        </w:tc>
      </w:tr>
      <w:tr>
        <w:trPr/>
        <w:tc>
          <w:tcPr>
            <w:tcW w:w="7114" w:type="dxa"/>
            <w:tcBorders/>
            <w:shd w:fill="auto" w:val="clear"/>
            <w:vAlign w:val="bottom"/>
          </w:tcPr>
          <w:p>
            <w:pPr>
              <w:pStyle w:val="TableContents"/>
              <w:spacing w:before="0" w:after="0"/>
              <w:ind w:left="225" w:right="0" w:hanging="225"/>
              <w:rPr/>
            </w:pPr>
            <w:r>
              <w:rPr/>
              <w:t>Interest expense</w:t>
            </w:r>
          </w:p>
        </w:tc>
        <w:tc>
          <w:tcPr>
            <w:tcW w:w="45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300</w:t>
            </w:r>
          </w:p>
        </w:tc>
        <w:tc>
          <w:tcPr>
            <w:tcW w:w="1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365</w:t>
            </w:r>
          </w:p>
        </w:tc>
        <w:tc>
          <w:tcPr>
            <w:tcW w:w="135" w:type="dxa"/>
            <w:tcBorders/>
            <w:shd w:fill="auto" w:val="clear"/>
            <w:vAlign w:val="bottom"/>
          </w:tcPr>
          <w:p>
            <w:pPr>
              <w:pStyle w:val="TableContents"/>
              <w:spacing w:before="0" w:after="283"/>
              <w:rPr/>
            </w:pPr>
            <w:r>
              <w:rPr/>
              <w:t> </w:t>
            </w:r>
          </w:p>
        </w:tc>
      </w:tr>
      <w:tr>
        <w:trPr/>
        <w:tc>
          <w:tcPr>
            <w:tcW w:w="7114" w:type="dxa"/>
            <w:tcBorders/>
            <w:shd w:fill="CCEEFF" w:val="clear"/>
            <w:vAlign w:val="bottom"/>
          </w:tcPr>
          <w:p>
            <w:pPr>
              <w:pStyle w:val="TableContents"/>
              <w:spacing w:before="0" w:after="0"/>
              <w:ind w:left="225" w:right="0" w:hanging="225"/>
              <w:rPr/>
            </w:pPr>
            <w:r>
              <w:rPr/>
              <w:t>Equity in net income of unconsolidated affiliates</w:t>
            </w:r>
          </w:p>
        </w:tc>
        <w:tc>
          <w:tcPr>
            <w:tcW w:w="45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(3,367</w:t>
            </w:r>
          </w:p>
        </w:tc>
        <w:tc>
          <w:tcPr>
            <w:tcW w:w="136" w:type="dxa"/>
            <w:tcBorders/>
            <w:shd w:fill="CCEEFF" w:val="clear"/>
            <w:vAlign w:val="bottom"/>
          </w:tcPr>
          <w:p>
            <w:pPr>
              <w:pStyle w:val="TableContents"/>
              <w:spacing w:before="0" w:after="283"/>
              <w:rPr/>
            </w:pPr>
            <w:r>
              <w:rPr/>
              <w:t>)</w:t>
            </w:r>
          </w:p>
        </w:tc>
        <w:tc>
          <w:tcPr>
            <w:tcW w:w="4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(1,283</w:t>
            </w:r>
          </w:p>
        </w:tc>
        <w:tc>
          <w:tcPr>
            <w:tcW w:w="135" w:type="dxa"/>
            <w:tcBorders/>
            <w:shd w:fill="CCEEFF" w:val="clear"/>
            <w:vAlign w:val="bottom"/>
          </w:tcPr>
          <w:p>
            <w:pPr>
              <w:pStyle w:val="TableContents"/>
              <w:spacing w:before="0" w:after="283"/>
              <w:rPr/>
            </w:pPr>
            <w:r>
              <w:rPr/>
              <w:t>)</w:t>
            </w:r>
          </w:p>
        </w:tc>
      </w:tr>
      <w:tr>
        <w:trPr/>
        <w:tc>
          <w:tcPr>
            <w:tcW w:w="7114" w:type="dxa"/>
            <w:tcBorders/>
            <w:shd w:fill="auto" w:val="clear"/>
            <w:vAlign w:val="bottom"/>
          </w:tcPr>
          <w:p>
            <w:pPr>
              <w:pStyle w:val="TableContents"/>
              <w:spacing w:before="0" w:after="0"/>
              <w:ind w:left="225" w:right="0" w:hanging="225"/>
              <w:rPr/>
            </w:pPr>
            <w:r>
              <w:rPr/>
              <w:t>Other</w:t>
            </w:r>
          </w:p>
        </w:tc>
        <w:tc>
          <w:tcPr>
            <w:tcW w:w="45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0" w:type="dxa"/>
            <w:tcBorders/>
            <w:shd w:fill="auto" w:val="clear"/>
            <w:vAlign w:val="bottom"/>
          </w:tcPr>
          <w:p>
            <w:pPr>
              <w:pStyle w:val="TableContents"/>
              <w:spacing w:before="0" w:after="283"/>
              <w:jc w:val="right"/>
              <w:rPr/>
            </w:pPr>
            <w:r>
              <w:rPr/>
              <w:t>(61</w:t>
            </w:r>
          </w:p>
        </w:tc>
        <w:tc>
          <w:tcPr>
            <w:tcW w:w="136" w:type="dxa"/>
            <w:tcBorders/>
            <w:shd w:fill="auto" w:val="clear"/>
            <w:vAlign w:val="bottom"/>
          </w:tcPr>
          <w:p>
            <w:pPr>
              <w:pStyle w:val="TableContents"/>
              <w:spacing w:before="0" w:after="283"/>
              <w:rPr/>
            </w:pPr>
            <w:r>
              <w:rPr/>
              <w:t>)</w:t>
            </w:r>
          </w:p>
        </w:tc>
        <w:tc>
          <w:tcPr>
            <w:tcW w:w="4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(15</w:t>
            </w:r>
          </w:p>
        </w:tc>
        <w:tc>
          <w:tcPr>
            <w:tcW w:w="135" w:type="dxa"/>
            <w:tcBorders/>
            <w:shd w:fill="auto" w:val="clear"/>
            <w:vAlign w:val="bottom"/>
          </w:tcPr>
          <w:p>
            <w:pPr>
              <w:pStyle w:val="TableContents"/>
              <w:spacing w:before="0" w:after="283"/>
              <w:rPr/>
            </w:pPr>
            <w:r>
              <w:rPr/>
              <w:t>)</w:t>
            </w:r>
          </w:p>
        </w:tc>
      </w:tr>
      <w:tr>
        <w:trPr/>
        <w:tc>
          <w:tcPr>
            <w:tcW w:w="711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14" w:type="dxa"/>
            <w:tcBorders/>
            <w:shd w:fill="CCEEFF" w:val="clear"/>
            <w:vAlign w:val="bottom"/>
          </w:tcPr>
          <w:p>
            <w:pPr>
              <w:pStyle w:val="TableContents"/>
              <w:spacing w:before="0" w:after="0"/>
              <w:ind w:left="225" w:right="0" w:hanging="225"/>
              <w:rPr/>
            </w:pPr>
            <w:r>
              <w:rPr/>
              <w:t>Consolidated income before income taxes</w:t>
            </w:r>
          </w:p>
        </w:tc>
        <w:tc>
          <w:tcPr>
            <w:tcW w:w="45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90" w:type="dxa"/>
            <w:tcBorders/>
            <w:shd w:fill="CCEEFF" w:val="clear"/>
            <w:vAlign w:val="bottom"/>
          </w:tcPr>
          <w:p>
            <w:pPr>
              <w:pStyle w:val="TableContents"/>
              <w:spacing w:before="0" w:after="283"/>
              <w:jc w:val="right"/>
              <w:rPr/>
            </w:pPr>
            <w:r>
              <w:rPr/>
              <w:t>42,535</w:t>
            </w:r>
          </w:p>
        </w:tc>
        <w:tc>
          <w:tcPr>
            <w:tcW w:w="136"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39,827</w:t>
            </w:r>
          </w:p>
        </w:tc>
        <w:tc>
          <w:tcPr>
            <w:tcW w:w="135" w:type="dxa"/>
            <w:tcBorders/>
            <w:shd w:fill="CCEEFF" w:val="clear"/>
            <w:vAlign w:val="bottom"/>
          </w:tcPr>
          <w:p>
            <w:pPr>
              <w:pStyle w:val="TableContents"/>
              <w:spacing w:before="0" w:after="283"/>
              <w:rPr/>
            </w:pPr>
            <w:r>
              <w:rPr/>
              <w:t> </w:t>
            </w:r>
          </w:p>
        </w:tc>
      </w:tr>
      <w:tr>
        <w:trPr/>
        <w:tc>
          <w:tcPr>
            <w:tcW w:w="711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210"/>
        <w:gridCol w:w="1030"/>
        <w:gridCol w:w="101"/>
        <w:gridCol w:w="330"/>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December 31,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117,583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6,805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124,388</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11,499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11,953</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700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2,607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3,307</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23,301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1,024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7,484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31,809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71,865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5,761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77,677</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121,048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7,133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128,181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334,951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20,723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21,641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377,315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242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24,580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24,822</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7,332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7,545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December 31,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99,326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4,120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103,446</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426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8,508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8,934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756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1,354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2,110</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19,347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571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6,615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26,533</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60,899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2,614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63,515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94,385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6,749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101,134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275,139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14,054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16,479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305,672</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299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25,200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25,499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367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3,921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4,288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113,944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7,257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121,201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10,775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2,494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3,145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20,830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1,053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7,177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29,060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66,542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4,935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71,502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7,050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117,305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312,678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20,295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20,015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352,988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22,940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236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6,589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6,825</w:t>
            </w:r>
          </w:p>
        </w:tc>
        <w:tc>
          <w:tcPr>
            <w:tcW w:w="10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sheets, as we do not own a participation in the loans made by independent lenders. We monitor the principal balance of these loans, as our credit service fees and bad debt are directly related to their volume due to the letters of credit we issue on these loans. The balances shown above are the gross principal balances of the loans outstanding at the specified dates.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M: Allowance for Losses and Credit Quality of Financing Receivables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offer a variety of loan products and credit services to customers who do not have cash resources or access to credit to meet their short-term cash needs. Our customers are considered to be in a higher risk pool with regard to creditworthiness when compared to those of typical financial institutions. As a result, our receivables do not have a credit risk profile that can be easily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described in Note B, Significant Accounting Policies, we consider a signature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Accrued fees related to defaulted loans reduce fee revenue upon loan default, and increase fee revenue upon collection. Based on historical collection experience, the age of past-due loans and amounts we expect to receive through the sale of repossessed vehicles, we provide an allowance for losses on auto title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changes in the allowance for credit losses as well as the recorded investment in our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11110" w:type="dxa"/>
        <w:jc w:val="center"/>
        <w:tblInd w:w="0" w:type="dxa"/>
        <w:tblCellMar>
          <w:top w:w="0" w:type="dxa"/>
          <w:left w:w="0" w:type="dxa"/>
          <w:bottom w:w="0" w:type="dxa"/>
          <w:right w:w="0" w:type="dxa"/>
        </w:tblCellMar>
      </w:tblPr>
      <w:tblGrid>
        <w:gridCol w:w="4040"/>
        <w:gridCol w:w="60"/>
        <w:gridCol w:w="211"/>
        <w:gridCol w:w="844"/>
        <w:gridCol w:w="60"/>
        <w:gridCol w:w="60"/>
        <w:gridCol w:w="206"/>
        <w:gridCol w:w="939"/>
        <w:gridCol w:w="95"/>
        <w:gridCol w:w="60"/>
        <w:gridCol w:w="214"/>
        <w:gridCol w:w="856"/>
        <w:gridCol w:w="60"/>
        <w:gridCol w:w="60"/>
        <w:gridCol w:w="184"/>
        <w:gridCol w:w="736"/>
        <w:gridCol w:w="60"/>
        <w:gridCol w:w="60"/>
        <w:gridCol w:w="211"/>
        <w:gridCol w:w="844"/>
        <w:gridCol w:w="60"/>
        <w:gridCol w:w="60"/>
        <w:gridCol w:w="181"/>
        <w:gridCol w:w="889"/>
        <w:gridCol w:w="60"/>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Allowance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Allowance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Financing</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Balance at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Balance at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Receivable</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Beginning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End of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End of</w:t>
            </w:r>
          </w:p>
        </w:tc>
        <w:tc>
          <w:tcPr>
            <w:tcW w:w="60" w:type="dxa"/>
            <w:tcBorders/>
            <w:shd w:fill="auto" w:val="clear"/>
            <w:vAlign w:val="bottom"/>
          </w:tcPr>
          <w:p>
            <w:pPr>
              <w:pStyle w:val="TableContents"/>
              <w:spacing w:before="0" w:after="283"/>
              <w:rPr/>
            </w:pPr>
            <w:r>
              <w:rPr/>
              <w:t> </w:t>
            </w:r>
          </w:p>
        </w:tc>
      </w:tr>
      <w:tr>
        <w:trPr/>
        <w:tc>
          <w:tcPr>
            <w:tcW w:w="4040"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Charge-offs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pPr>
            <w:r>
              <w:rPr/>
              <w:t>Recoveries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2" w:space="0" w:color="000000"/>
            </w:tcBorders>
            <w:shd w:fill="auto" w:val="clear"/>
            <w:tcMar>
              <w:bottom w:w="28" w:type="dxa"/>
            </w:tcMar>
            <w:vAlign w:val="bottom"/>
          </w:tcPr>
          <w:p>
            <w:pPr>
              <w:pStyle w:val="TableContents"/>
              <w:spacing w:before="0" w:after="283"/>
              <w:jc w:val="center"/>
              <w:rPr/>
            </w:pPr>
            <w:r>
              <w:rPr/>
              <w:t>Provision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225" w:right="0" w:hanging="225"/>
              <w:rPr>
                <w:b/>
              </w:rPr>
            </w:pPr>
            <w:r>
              <w:rPr>
                <w:b/>
              </w:rPr>
              <w:t>Allowance for losses on signature loans: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450" w:right="0" w:hanging="225"/>
              <w:rPr/>
            </w:pPr>
            <w:r>
              <w:rPr/>
              <w:t>Three-months ended December 31, 2010</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750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(4,260</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1,496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736" w:type="dxa"/>
            <w:tcBorders/>
            <w:shd w:fill="auto" w:val="clear"/>
            <w:vAlign w:val="bottom"/>
          </w:tcPr>
          <w:p>
            <w:pPr>
              <w:pStyle w:val="TableContents"/>
              <w:spacing w:before="0" w:after="283"/>
              <w:jc w:val="right"/>
              <w:rPr/>
            </w:pPr>
            <w:r>
              <w:rPr/>
              <w:t>3,224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1,210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13,163</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450" w:right="0" w:hanging="225"/>
              <w:rPr/>
            </w:pPr>
            <w:r>
              <w:rPr/>
              <w:t>Three-months ended December 31, 2009</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532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(3,765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1,444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2,578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789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9,723</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225" w:right="0" w:hanging="225"/>
              <w:rPr>
                <w:b/>
              </w:rPr>
            </w:pPr>
            <w:r>
              <w:rPr>
                <w:b/>
              </w:rPr>
              <w:t>Allowance for losses on auto title loans:</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450" w:right="0" w:hanging="225"/>
              <w:rPr/>
            </w:pPr>
            <w:r>
              <w:rPr/>
              <w:t>Three-months ended December 31, 2010</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1,137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939" w:type="dxa"/>
            <w:tcBorders/>
            <w:shd w:fill="CCEEFF" w:val="clear"/>
            <w:vAlign w:val="bottom"/>
          </w:tcPr>
          <w:p>
            <w:pPr>
              <w:pStyle w:val="TableContents"/>
              <w:spacing w:before="0" w:after="283"/>
              <w:jc w:val="right"/>
              <w:rPr/>
            </w:pPr>
            <w:r>
              <w:rPr/>
              <w:t>(3,445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2,715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736" w:type="dxa"/>
            <w:tcBorders/>
            <w:shd w:fill="CCEEFF" w:val="clear"/>
            <w:vAlign w:val="bottom"/>
          </w:tcPr>
          <w:p>
            <w:pPr>
              <w:pStyle w:val="TableContents"/>
              <w:spacing w:before="0" w:after="283"/>
              <w:jc w:val="right"/>
              <w:rPr/>
            </w:pPr>
            <w:r>
              <w:rPr/>
              <w:t>909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1,316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4,623</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450" w:right="0" w:hanging="225"/>
              <w:rPr/>
            </w:pPr>
            <w:r>
              <w:rPr/>
              <w:t>Three-months ended December 31, 2009</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(1,551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1,538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pPr>
            <w:r>
              <w:rPr/>
              <w:t>301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579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2,689</w:t>
            </w:r>
          </w:p>
        </w:tc>
        <w:tc>
          <w:tcPr>
            <w:tcW w:w="60"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provision presented in the table above includes only principal and excludes items such as NSF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our only loans that remain as recorded investments when in delinquent/nonaccrual status. We consider an auto title loan past due if it has not been repaid or renewed by the maturity date.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an aging analysis of past due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79"/>
        <w:gridCol w:w="63"/>
        <w:gridCol w:w="140"/>
        <w:gridCol w:w="384"/>
        <w:gridCol w:w="215"/>
        <w:gridCol w:w="63"/>
        <w:gridCol w:w="154"/>
        <w:gridCol w:w="425"/>
        <w:gridCol w:w="215"/>
        <w:gridCol w:w="63"/>
        <w:gridCol w:w="153"/>
        <w:gridCol w:w="425"/>
        <w:gridCol w:w="215"/>
        <w:gridCol w:w="63"/>
        <w:gridCol w:w="140"/>
        <w:gridCol w:w="384"/>
        <w:gridCol w:w="215"/>
        <w:gridCol w:w="63"/>
        <w:gridCol w:w="175"/>
        <w:gridCol w:w="703"/>
        <w:gridCol w:w="215"/>
        <w:gridCol w:w="63"/>
        <w:gridCol w:w="214"/>
        <w:gridCol w:w="860"/>
        <w:gridCol w:w="215"/>
        <w:gridCol w:w="63"/>
        <w:gridCol w:w="214"/>
        <w:gridCol w:w="860"/>
        <w:gridCol w:w="215"/>
        <w:gridCol w:w="63"/>
        <w:gridCol w:w="698"/>
        <w:gridCol w:w="1004"/>
        <w:gridCol w:w="84"/>
      </w:tblGrid>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3039" w:type="dxa"/>
            <w:gridSpan w:val="14"/>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Total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Recorded</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3039" w:type="dxa"/>
            <w:gridSpan w:val="14"/>
            <w:tcBorders>
              <w:bottom w:val="single" w:sz="2" w:space="0" w:color="000000"/>
            </w:tcBorders>
            <w:shd w:fill="auto" w:val="clear"/>
            <w:tcMar>
              <w:bottom w:w="28" w:type="dxa"/>
            </w:tcMar>
            <w:vAlign w:val="bottom"/>
          </w:tcPr>
          <w:p>
            <w:pPr>
              <w:pStyle w:val="TableContents"/>
              <w:spacing w:before="0" w:after="283"/>
              <w:jc w:val="center"/>
              <w:rPr/>
            </w:pPr>
            <w:r>
              <w:rPr/>
              <w:t>Days Past Due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Total</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Current</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Financing</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Investment &gt; 90</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pPr>
            <w:r>
              <w:rPr/>
              <w:t>1-30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79" w:type="dxa"/>
            <w:gridSpan w:val="2"/>
            <w:tcBorders>
              <w:bottom w:val="single" w:sz="2" w:space="0" w:color="000000"/>
            </w:tcBorders>
            <w:shd w:fill="auto" w:val="clear"/>
            <w:tcMar>
              <w:bottom w:w="28" w:type="dxa"/>
            </w:tcMar>
            <w:vAlign w:val="bottom"/>
          </w:tcPr>
          <w:p>
            <w:pPr>
              <w:pStyle w:val="TableContents"/>
              <w:spacing w:before="0" w:after="283"/>
              <w:jc w:val="center"/>
              <w:rPr/>
            </w:pPr>
            <w:r>
              <w:rPr/>
              <w:t>31-60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78" w:type="dxa"/>
            <w:gridSpan w:val="2"/>
            <w:tcBorders>
              <w:bottom w:val="single" w:sz="2" w:space="0" w:color="000000"/>
            </w:tcBorders>
            <w:shd w:fill="auto" w:val="clear"/>
            <w:tcMar>
              <w:bottom w:w="28" w:type="dxa"/>
            </w:tcMar>
            <w:vAlign w:val="bottom"/>
          </w:tcPr>
          <w:p>
            <w:pPr>
              <w:pStyle w:val="TableContents"/>
              <w:spacing w:before="0" w:after="283"/>
              <w:jc w:val="center"/>
              <w:rPr/>
            </w:pPr>
            <w:r>
              <w:rPr/>
              <w:t>61-90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pPr>
            <w:r>
              <w:rPr/>
              <w:t>&gt;90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pPr>
            <w:r>
              <w:rPr/>
              <w:t>Past Due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bottom w:val="single" w:sz="2" w:space="0" w:color="000000"/>
            </w:tcBorders>
            <w:shd w:fill="auto" w:val="clear"/>
            <w:tcMar>
              <w:bottom w:w="28" w:type="dxa"/>
            </w:tcMar>
            <w:vAlign w:val="bottom"/>
          </w:tcPr>
          <w:p>
            <w:pPr>
              <w:pStyle w:val="TableContents"/>
              <w:spacing w:before="0" w:after="283"/>
              <w:jc w:val="center"/>
              <w:rPr/>
            </w:pPr>
            <w:r>
              <w:rPr/>
              <w:t>Days &amp; Accruing</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December 31, 2010</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609</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636</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452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753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2,450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2,173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4,623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109</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218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217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696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1,240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76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1,316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18</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34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48</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92</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51</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3</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28</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225" w:right="0" w:hanging="225"/>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December 31, 2009</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293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205</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118</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368</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984</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1,705</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2,689</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50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111</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85</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282</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528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51</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579</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17</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54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72</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77</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54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3</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22</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225" w:right="0" w:hanging="225"/>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September 30, 2010</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797</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552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432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532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2,313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1,970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4,283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188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229</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256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367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1,040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97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1,137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41</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59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69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45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27</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N: Subsequent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January 12 and 13, 2011, we acquired five pawn stores located in Central and South Florida for approximately $17.6 million in cash. The stores were acquired from two separate sellers. One of the stores was acquired by purchasing all of the capital stock of the corporation that owned it, and the other four were acquired through asset purchases. We preliminarily estimate we will record in the U.S. Pawn Operations segment approximately $2.6 million of net tangible assets and $15.0 million of goodwill related to these acquisitions. Of the total goodwill, $10.0 million is expected to be fully tax deductible and $5.0 million is expected to be non-deductible.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D79164107"/>
      <w:bookmarkEnd w:id="9"/>
      <w:r>
        <w:rPr>
          <w:rFonts w:ascii="Times New Roman;Times;serif" w:hAnsi="Times New Roman;Times;serif"/>
          <w:b/>
          <w:i/>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Three Months Ended December 31, 2010 vs. Three Months Ended December 31, 2009</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three-month periods ended December 31, 2010 and 2009 (the current and prior year quarters): </w:t>
      </w:r>
    </w:p>
    <w:tbl>
      <w:tblPr>
        <w:tblW w:w="5000" w:type="pct"/>
        <w:jc w:val="center"/>
        <w:tblInd w:w="0" w:type="dxa"/>
        <w:tblCellMar>
          <w:top w:w="0" w:type="dxa"/>
          <w:left w:w="0" w:type="dxa"/>
          <w:bottom w:w="0" w:type="dxa"/>
          <w:right w:w="0" w:type="dxa"/>
        </w:tblCellMar>
      </w:tblPr>
      <w:tblGrid>
        <w:gridCol w:w="4258"/>
        <w:gridCol w:w="337"/>
        <w:gridCol w:w="247"/>
        <w:gridCol w:w="1374"/>
        <w:gridCol w:w="138"/>
        <w:gridCol w:w="370"/>
        <w:gridCol w:w="247"/>
        <w:gridCol w:w="1376"/>
        <w:gridCol w:w="105"/>
        <w:gridCol w:w="337"/>
        <w:gridCol w:w="138"/>
        <w:gridCol w:w="1044"/>
        <w:gridCol w:w="234"/>
      </w:tblGrid>
      <w:tr>
        <w:trPr/>
        <w:tc>
          <w:tcPr>
            <w:tcW w:w="425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752" w:type="dxa"/>
            <w:gridSpan w:val="6"/>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jc w:val="center"/>
              <w:rPr/>
            </w:pPr>
            <w:r>
              <w:rPr/>
              <w:t> </w:t>
            </w:r>
          </w:p>
        </w:tc>
        <w:tc>
          <w:tcPr>
            <w:tcW w:w="234" w:type="dxa"/>
            <w:tcBorders/>
            <w:shd w:fill="auto"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752"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jc w:val="center"/>
              <w:rPr/>
            </w:pPr>
            <w:r>
              <w:rPr/>
              <w:t>Percentage</w:t>
            </w:r>
          </w:p>
        </w:tc>
        <w:tc>
          <w:tcPr>
            <w:tcW w:w="234" w:type="dxa"/>
            <w:tcBorders/>
            <w:shd w:fill="auto"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2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182"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34" w:type="dxa"/>
            <w:tcBorders/>
            <w:shd w:fill="auto"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752" w:type="dxa"/>
            <w:gridSpan w:val="6"/>
            <w:tcBorders/>
            <w:shd w:fill="auto" w:val="clear"/>
            <w:vAlign w:val="bottom"/>
          </w:tcPr>
          <w:p>
            <w:pPr>
              <w:pStyle w:val="TableContents"/>
              <w:spacing w:before="0" w:after="283"/>
              <w:jc w:val="center"/>
              <w:rPr>
                <w:i/>
              </w:rPr>
            </w:pPr>
            <w:r>
              <w:rPr>
                <w:i/>
              </w:rPr>
              <w:t>(in thousands)</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258" w:type="dxa"/>
            <w:tcBorders/>
            <w:shd w:fill="CCEEFF" w:val="clear"/>
            <w:vAlign w:val="bottom"/>
          </w:tcPr>
          <w:p>
            <w:pPr>
              <w:pStyle w:val="TableContents"/>
              <w:spacing w:before="0" w:after="0"/>
              <w:ind w:left="225" w:right="0" w:hanging="225"/>
              <w:rPr/>
            </w:pPr>
            <w:r>
              <w:rPr/>
              <w:t>Net revenues:</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0"/>
              <w:ind w:left="450" w:right="0" w:hanging="225"/>
              <w:rPr/>
            </w:pPr>
            <w:r>
              <w:rPr/>
              <w:t>Sales</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w:t>
            </w:r>
          </w:p>
        </w:tc>
        <w:tc>
          <w:tcPr>
            <w:tcW w:w="1374" w:type="dxa"/>
            <w:tcBorders/>
            <w:shd w:fill="auto" w:val="clear"/>
            <w:vAlign w:val="bottom"/>
          </w:tcPr>
          <w:p>
            <w:pPr>
              <w:pStyle w:val="TableContents"/>
              <w:spacing w:before="0" w:after="283"/>
              <w:jc w:val="right"/>
              <w:rPr/>
            </w:pPr>
            <w:r>
              <w:rPr/>
              <w:t>118,395</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w:t>
            </w:r>
          </w:p>
        </w:tc>
        <w:tc>
          <w:tcPr>
            <w:tcW w:w="1376" w:type="dxa"/>
            <w:tcBorders/>
            <w:shd w:fill="auto" w:val="clear"/>
            <w:vAlign w:val="bottom"/>
          </w:tcPr>
          <w:p>
            <w:pPr>
              <w:pStyle w:val="TableContents"/>
              <w:spacing w:before="0" w:after="283"/>
              <w:jc w:val="right"/>
              <w:rPr/>
            </w:pPr>
            <w:r>
              <w:rPr/>
              <w:t>99,918</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1044" w:type="dxa"/>
            <w:tcBorders/>
            <w:shd w:fill="auto" w:val="clear"/>
            <w:vAlign w:val="bottom"/>
          </w:tcPr>
          <w:p>
            <w:pPr>
              <w:pStyle w:val="TableContents"/>
              <w:spacing w:before="0" w:after="283"/>
              <w:jc w:val="right"/>
              <w:rPr/>
            </w:pPr>
            <w:r>
              <w:rPr/>
              <w:t>18.5</w:t>
            </w:r>
          </w:p>
        </w:tc>
        <w:tc>
          <w:tcPr>
            <w:tcW w:w="234" w:type="dxa"/>
            <w:tcBorders/>
            <w:shd w:fill="auto" w:val="clear"/>
            <w:vAlign w:val="bottom"/>
          </w:tcPr>
          <w:p>
            <w:pPr>
              <w:pStyle w:val="TableContents"/>
              <w:spacing w:before="0" w:after="283"/>
              <w:rPr/>
            </w:pPr>
            <w:r>
              <w:rPr/>
              <w:t>%</w:t>
            </w:r>
          </w:p>
        </w:tc>
      </w:tr>
      <w:tr>
        <w:trPr/>
        <w:tc>
          <w:tcPr>
            <w:tcW w:w="4258" w:type="dxa"/>
            <w:tcBorders/>
            <w:shd w:fill="CCEEFF" w:val="clear"/>
            <w:vAlign w:val="bottom"/>
          </w:tcPr>
          <w:p>
            <w:pPr>
              <w:pStyle w:val="TableContents"/>
              <w:spacing w:before="0" w:after="0"/>
              <w:ind w:left="450" w:right="0" w:hanging="225"/>
              <w:rPr/>
            </w:pPr>
            <w:r>
              <w:rPr/>
              <w:t>Pawn service charges</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49,810</w:t>
            </w:r>
          </w:p>
        </w:tc>
        <w:tc>
          <w:tcPr>
            <w:tcW w:w="138"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40,797</w:t>
            </w:r>
          </w:p>
        </w:tc>
        <w:tc>
          <w:tcPr>
            <w:tcW w:w="10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1044" w:type="dxa"/>
            <w:tcBorders/>
            <w:shd w:fill="CCEEFF" w:val="clear"/>
            <w:vAlign w:val="bottom"/>
          </w:tcPr>
          <w:p>
            <w:pPr>
              <w:pStyle w:val="TableContents"/>
              <w:spacing w:before="0" w:after="283"/>
              <w:jc w:val="right"/>
              <w:rPr/>
            </w:pPr>
            <w:r>
              <w:rPr/>
              <w:t>22.1</w:t>
            </w:r>
          </w:p>
        </w:tc>
        <w:tc>
          <w:tcPr>
            <w:tcW w:w="234" w:type="dxa"/>
            <w:tcBorders/>
            <w:shd w:fill="CCEEFF" w:val="clear"/>
            <w:vAlign w:val="bottom"/>
          </w:tcPr>
          <w:p>
            <w:pPr>
              <w:pStyle w:val="TableContents"/>
              <w:spacing w:before="0" w:after="283"/>
              <w:rPr/>
            </w:pPr>
            <w:r>
              <w:rPr/>
              <w:t>%</w:t>
            </w:r>
          </w:p>
        </w:tc>
      </w:tr>
      <w:tr>
        <w:trPr/>
        <w:tc>
          <w:tcPr>
            <w:tcW w:w="4258" w:type="dxa"/>
            <w:tcBorders/>
            <w:shd w:fill="auto" w:val="clear"/>
            <w:vAlign w:val="bottom"/>
          </w:tcPr>
          <w:p>
            <w:pPr>
              <w:pStyle w:val="TableContents"/>
              <w:spacing w:before="0" w:after="0"/>
              <w:ind w:left="450" w:right="0" w:hanging="225"/>
              <w:rPr/>
            </w:pPr>
            <w:r>
              <w:rPr/>
              <w:t>Signature loan fees</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40,066</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38,678</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1044" w:type="dxa"/>
            <w:tcBorders/>
            <w:shd w:fill="auto" w:val="clear"/>
            <w:vAlign w:val="bottom"/>
          </w:tcPr>
          <w:p>
            <w:pPr>
              <w:pStyle w:val="TableContents"/>
              <w:spacing w:before="0" w:after="283"/>
              <w:jc w:val="right"/>
              <w:rPr/>
            </w:pPr>
            <w:r>
              <w:rPr/>
              <w:t>3.6</w:t>
            </w:r>
          </w:p>
        </w:tc>
        <w:tc>
          <w:tcPr>
            <w:tcW w:w="234" w:type="dxa"/>
            <w:tcBorders/>
            <w:shd w:fill="auto" w:val="clear"/>
            <w:vAlign w:val="bottom"/>
          </w:tcPr>
          <w:p>
            <w:pPr>
              <w:pStyle w:val="TableContents"/>
              <w:spacing w:before="0" w:after="283"/>
              <w:rPr/>
            </w:pPr>
            <w:r>
              <w:rPr/>
              <w:t>%</w:t>
            </w:r>
          </w:p>
        </w:tc>
      </w:tr>
      <w:tr>
        <w:trPr/>
        <w:tc>
          <w:tcPr>
            <w:tcW w:w="4258" w:type="dxa"/>
            <w:tcBorders/>
            <w:shd w:fill="CCEEFF" w:val="clear"/>
            <w:vAlign w:val="bottom"/>
          </w:tcPr>
          <w:p>
            <w:pPr>
              <w:pStyle w:val="TableContents"/>
              <w:spacing w:before="0" w:after="0"/>
              <w:ind w:left="450" w:right="0" w:hanging="225"/>
              <w:rPr/>
            </w:pPr>
            <w:r>
              <w:rPr/>
              <w:t>Auto title loan fees</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6,244</w:t>
            </w:r>
          </w:p>
        </w:tc>
        <w:tc>
          <w:tcPr>
            <w:tcW w:w="138"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3,102</w:t>
            </w:r>
          </w:p>
        </w:tc>
        <w:tc>
          <w:tcPr>
            <w:tcW w:w="10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1044" w:type="dxa"/>
            <w:tcBorders/>
            <w:shd w:fill="CCEEFF" w:val="clear"/>
            <w:vAlign w:val="bottom"/>
          </w:tcPr>
          <w:p>
            <w:pPr>
              <w:pStyle w:val="TableContents"/>
              <w:spacing w:before="0" w:after="283"/>
              <w:jc w:val="right"/>
              <w:rPr/>
            </w:pPr>
            <w:r>
              <w:rPr/>
              <w:t>101.3</w:t>
            </w:r>
          </w:p>
        </w:tc>
        <w:tc>
          <w:tcPr>
            <w:tcW w:w="234" w:type="dxa"/>
            <w:tcBorders/>
            <w:shd w:fill="CCEEFF" w:val="clear"/>
            <w:vAlign w:val="bottom"/>
          </w:tcPr>
          <w:p>
            <w:pPr>
              <w:pStyle w:val="TableContents"/>
              <w:spacing w:before="0" w:after="283"/>
              <w:rPr/>
            </w:pPr>
            <w:r>
              <w:rPr/>
              <w:t>%</w:t>
            </w:r>
          </w:p>
        </w:tc>
      </w:tr>
      <w:tr>
        <w:trPr/>
        <w:tc>
          <w:tcPr>
            <w:tcW w:w="4258" w:type="dxa"/>
            <w:tcBorders/>
            <w:shd w:fill="auto" w:val="clear"/>
            <w:vAlign w:val="bottom"/>
          </w:tcPr>
          <w:p>
            <w:pPr>
              <w:pStyle w:val="TableContents"/>
              <w:spacing w:before="0" w:after="0"/>
              <w:ind w:left="450" w:right="0" w:hanging="225"/>
              <w:rPr/>
            </w:pPr>
            <w:r>
              <w:rPr/>
              <w:t>Other</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4,311</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2,256</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1044" w:type="dxa"/>
            <w:tcBorders/>
            <w:shd w:fill="auto" w:val="clear"/>
            <w:vAlign w:val="bottom"/>
          </w:tcPr>
          <w:p>
            <w:pPr>
              <w:pStyle w:val="TableContents"/>
              <w:spacing w:before="0" w:after="283"/>
              <w:jc w:val="right"/>
              <w:rPr/>
            </w:pPr>
            <w:r>
              <w:rPr/>
              <w:t>91.1</w:t>
            </w:r>
          </w:p>
        </w:tc>
        <w:tc>
          <w:tcPr>
            <w:tcW w:w="234" w:type="dxa"/>
            <w:tcBorders/>
            <w:shd w:fill="auto" w:val="clear"/>
            <w:vAlign w:val="bottom"/>
          </w:tcPr>
          <w:p>
            <w:pPr>
              <w:pStyle w:val="TableContents"/>
              <w:spacing w:before="0" w:after="283"/>
              <w:rPr/>
            </w:pPr>
            <w:r>
              <w:rPr/>
              <w:t>%</w:t>
            </w:r>
          </w:p>
        </w:tc>
      </w:tr>
      <w:tr>
        <w:trPr/>
        <w:tc>
          <w:tcPr>
            <w:tcW w:w="4258"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6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6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44"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258" w:type="dxa"/>
            <w:tcBorders/>
            <w:shd w:fill="CCEEFF" w:val="clear"/>
            <w:vAlign w:val="bottom"/>
          </w:tcPr>
          <w:p>
            <w:pPr>
              <w:pStyle w:val="TableContents"/>
              <w:spacing w:before="0" w:after="0"/>
              <w:ind w:left="675" w:right="0" w:hanging="225"/>
              <w:rPr/>
            </w:pPr>
            <w:r>
              <w:rPr/>
              <w:t>Total revenues</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218,826</w:t>
            </w:r>
          </w:p>
        </w:tc>
        <w:tc>
          <w:tcPr>
            <w:tcW w:w="138"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184,751</w:t>
            </w:r>
          </w:p>
        </w:tc>
        <w:tc>
          <w:tcPr>
            <w:tcW w:w="10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1044" w:type="dxa"/>
            <w:tcBorders/>
            <w:shd w:fill="CCEEFF" w:val="clear"/>
            <w:vAlign w:val="bottom"/>
          </w:tcPr>
          <w:p>
            <w:pPr>
              <w:pStyle w:val="TableContents"/>
              <w:spacing w:before="0" w:after="283"/>
              <w:jc w:val="right"/>
              <w:rPr/>
            </w:pPr>
            <w:r>
              <w:rPr/>
              <w:t>18.4</w:t>
            </w:r>
          </w:p>
        </w:tc>
        <w:tc>
          <w:tcPr>
            <w:tcW w:w="234" w:type="dxa"/>
            <w:tcBorders/>
            <w:shd w:fill="CCEEFF" w:val="clear"/>
            <w:vAlign w:val="bottom"/>
          </w:tcPr>
          <w:p>
            <w:pPr>
              <w:pStyle w:val="TableContents"/>
              <w:spacing w:before="0" w:after="283"/>
              <w:rPr/>
            </w:pPr>
            <w:r>
              <w:rPr/>
              <w:t>%</w:t>
            </w:r>
          </w:p>
        </w:tc>
      </w:tr>
      <w:tr>
        <w:trPr/>
        <w:tc>
          <w:tcPr>
            <w:tcW w:w="4258" w:type="dxa"/>
            <w:tcBorders/>
            <w:shd w:fill="auto" w:val="clear"/>
            <w:vAlign w:val="bottom"/>
          </w:tcPr>
          <w:p>
            <w:pPr>
              <w:pStyle w:val="TableContents"/>
              <w:spacing w:before="0" w:after="0"/>
              <w:ind w:left="225" w:right="0" w:hanging="225"/>
              <w:rPr/>
            </w:pPr>
            <w:r>
              <w:rPr/>
              <w:t> </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0"/>
              <w:ind w:left="450" w:right="0" w:hanging="225"/>
              <w:rPr/>
            </w:pPr>
            <w:r>
              <w:rPr/>
              <w:t>Cost of goods sold</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73,566</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62,570</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1044" w:type="dxa"/>
            <w:tcBorders/>
            <w:shd w:fill="auto" w:val="clear"/>
            <w:vAlign w:val="bottom"/>
          </w:tcPr>
          <w:p>
            <w:pPr>
              <w:pStyle w:val="TableContents"/>
              <w:spacing w:before="0" w:after="283"/>
              <w:jc w:val="right"/>
              <w:rPr/>
            </w:pPr>
            <w:r>
              <w:rPr/>
              <w:t>17.6</w:t>
            </w:r>
          </w:p>
        </w:tc>
        <w:tc>
          <w:tcPr>
            <w:tcW w:w="234" w:type="dxa"/>
            <w:tcBorders/>
            <w:shd w:fill="auto" w:val="clear"/>
            <w:vAlign w:val="bottom"/>
          </w:tcPr>
          <w:p>
            <w:pPr>
              <w:pStyle w:val="TableContents"/>
              <w:spacing w:before="0" w:after="283"/>
              <w:rPr/>
            </w:pPr>
            <w:r>
              <w:rPr/>
              <w:t>%</w:t>
            </w:r>
          </w:p>
        </w:tc>
      </w:tr>
      <w:tr>
        <w:trPr/>
        <w:tc>
          <w:tcPr>
            <w:tcW w:w="4258" w:type="dxa"/>
            <w:tcBorders/>
            <w:shd w:fill="CCEEFF" w:val="clear"/>
            <w:vAlign w:val="bottom"/>
          </w:tcPr>
          <w:p>
            <w:pPr>
              <w:pStyle w:val="TableContents"/>
              <w:spacing w:before="0" w:after="0"/>
              <w:ind w:left="450" w:right="0" w:hanging="225"/>
              <w:rPr/>
            </w:pPr>
            <w:r>
              <w:rPr/>
              <w:t>Signature loan bad debt</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10,046</w:t>
            </w:r>
          </w:p>
        </w:tc>
        <w:tc>
          <w:tcPr>
            <w:tcW w:w="138"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8,790</w:t>
            </w:r>
          </w:p>
        </w:tc>
        <w:tc>
          <w:tcPr>
            <w:tcW w:w="10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1044" w:type="dxa"/>
            <w:tcBorders/>
            <w:shd w:fill="CCEEFF" w:val="clear"/>
            <w:vAlign w:val="bottom"/>
          </w:tcPr>
          <w:p>
            <w:pPr>
              <w:pStyle w:val="TableContents"/>
              <w:spacing w:before="0" w:after="283"/>
              <w:jc w:val="right"/>
              <w:rPr/>
            </w:pPr>
            <w:r>
              <w:rPr/>
              <w:t>14.3</w:t>
            </w:r>
          </w:p>
        </w:tc>
        <w:tc>
          <w:tcPr>
            <w:tcW w:w="234" w:type="dxa"/>
            <w:tcBorders/>
            <w:shd w:fill="CCEEFF" w:val="clear"/>
            <w:vAlign w:val="bottom"/>
          </w:tcPr>
          <w:p>
            <w:pPr>
              <w:pStyle w:val="TableContents"/>
              <w:spacing w:before="0" w:after="283"/>
              <w:rPr/>
            </w:pPr>
            <w:r>
              <w:rPr/>
              <w:t>%</w:t>
            </w:r>
          </w:p>
        </w:tc>
      </w:tr>
      <w:tr>
        <w:trPr/>
        <w:tc>
          <w:tcPr>
            <w:tcW w:w="4258" w:type="dxa"/>
            <w:tcBorders/>
            <w:shd w:fill="auto" w:val="clear"/>
            <w:vAlign w:val="bottom"/>
          </w:tcPr>
          <w:p>
            <w:pPr>
              <w:pStyle w:val="TableContents"/>
              <w:spacing w:before="0" w:after="0"/>
              <w:ind w:left="450" w:right="0" w:hanging="225"/>
              <w:rPr/>
            </w:pPr>
            <w:r>
              <w:rPr/>
              <w:t>Auto title loan bad debt</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982</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460</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1044" w:type="dxa"/>
            <w:tcBorders/>
            <w:shd w:fill="auto" w:val="clear"/>
            <w:vAlign w:val="bottom"/>
          </w:tcPr>
          <w:p>
            <w:pPr>
              <w:pStyle w:val="TableContents"/>
              <w:spacing w:before="0" w:after="283"/>
              <w:jc w:val="right"/>
              <w:rPr/>
            </w:pPr>
            <w:r>
              <w:rPr/>
              <w:t>113.5</w:t>
            </w:r>
          </w:p>
        </w:tc>
        <w:tc>
          <w:tcPr>
            <w:tcW w:w="234" w:type="dxa"/>
            <w:tcBorders/>
            <w:shd w:fill="auto" w:val="clear"/>
            <w:vAlign w:val="bottom"/>
          </w:tcPr>
          <w:p>
            <w:pPr>
              <w:pStyle w:val="TableContents"/>
              <w:spacing w:before="0" w:after="283"/>
              <w:rPr/>
            </w:pPr>
            <w:r>
              <w:rPr/>
              <w:t>%</w:t>
            </w:r>
          </w:p>
        </w:tc>
      </w:tr>
      <w:tr>
        <w:trPr/>
        <w:tc>
          <w:tcPr>
            <w:tcW w:w="4258"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6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6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44"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258" w:type="dxa"/>
            <w:tcBorders/>
            <w:shd w:fill="CCEEFF" w:val="clear"/>
            <w:vAlign w:val="bottom"/>
          </w:tcPr>
          <w:p>
            <w:pPr>
              <w:pStyle w:val="TableContents"/>
              <w:spacing w:before="0" w:after="0"/>
              <w:ind w:left="675" w:right="0" w:hanging="225"/>
              <w:rPr/>
            </w:pPr>
            <w:r>
              <w:rPr/>
              <w:t>Net revenues</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1374" w:type="dxa"/>
            <w:tcBorders/>
            <w:shd w:fill="CCEEFF" w:val="clear"/>
            <w:vAlign w:val="bottom"/>
          </w:tcPr>
          <w:p>
            <w:pPr>
              <w:pStyle w:val="TableContents"/>
              <w:spacing w:before="0" w:after="283"/>
              <w:jc w:val="right"/>
              <w:rPr/>
            </w:pPr>
            <w:r>
              <w:rPr/>
              <w:t>134,232</w:t>
            </w:r>
          </w:p>
        </w:tc>
        <w:tc>
          <w:tcPr>
            <w:tcW w:w="138"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1376" w:type="dxa"/>
            <w:tcBorders/>
            <w:shd w:fill="CCEEFF" w:val="clear"/>
            <w:vAlign w:val="bottom"/>
          </w:tcPr>
          <w:p>
            <w:pPr>
              <w:pStyle w:val="TableContents"/>
              <w:spacing w:before="0" w:after="283"/>
              <w:jc w:val="right"/>
              <w:rPr/>
            </w:pPr>
            <w:r>
              <w:rPr/>
              <w:t>112,931</w:t>
            </w:r>
          </w:p>
        </w:tc>
        <w:tc>
          <w:tcPr>
            <w:tcW w:w="10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1044" w:type="dxa"/>
            <w:tcBorders/>
            <w:shd w:fill="CCEEFF" w:val="clear"/>
            <w:vAlign w:val="bottom"/>
          </w:tcPr>
          <w:p>
            <w:pPr>
              <w:pStyle w:val="TableContents"/>
              <w:spacing w:before="0" w:after="283"/>
              <w:jc w:val="right"/>
              <w:rPr/>
            </w:pPr>
            <w:r>
              <w:rPr/>
              <w:t>18.9</w:t>
            </w:r>
          </w:p>
        </w:tc>
        <w:tc>
          <w:tcPr>
            <w:tcW w:w="234" w:type="dxa"/>
            <w:tcBorders/>
            <w:shd w:fill="CCEEFF" w:val="clear"/>
            <w:vAlign w:val="bottom"/>
          </w:tcPr>
          <w:p>
            <w:pPr>
              <w:pStyle w:val="TableContents"/>
              <w:spacing w:before="0" w:after="283"/>
              <w:rPr/>
            </w:pPr>
            <w:r>
              <w:rPr/>
              <w:t>%</w:t>
            </w:r>
          </w:p>
        </w:tc>
      </w:tr>
      <w:tr>
        <w:trPr/>
        <w:tc>
          <w:tcPr>
            <w:tcW w:w="4258"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6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6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44"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258" w:type="dxa"/>
            <w:tcBorders/>
            <w:shd w:fill="auto" w:val="clear"/>
            <w:vAlign w:val="bottom"/>
          </w:tcPr>
          <w:p>
            <w:pPr>
              <w:pStyle w:val="TableContents"/>
              <w:spacing w:before="0" w:after="0"/>
              <w:ind w:left="225" w:right="0" w:hanging="225"/>
              <w:rPr/>
            </w:pPr>
            <w:r>
              <w:rPr/>
              <w:t> </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258" w:type="dxa"/>
            <w:tcBorders/>
            <w:shd w:fill="auto" w:val="clear"/>
            <w:vAlign w:val="bottom"/>
          </w:tcPr>
          <w:p>
            <w:pPr>
              <w:pStyle w:val="TableContents"/>
              <w:spacing w:before="0" w:after="0"/>
              <w:ind w:left="225" w:right="0" w:hanging="225"/>
              <w:rPr/>
            </w:pPr>
            <w:r>
              <w:rPr/>
              <w:t>Net income</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w:t>
            </w:r>
          </w:p>
        </w:tc>
        <w:tc>
          <w:tcPr>
            <w:tcW w:w="1374" w:type="dxa"/>
            <w:tcBorders/>
            <w:shd w:fill="auto" w:val="clear"/>
            <w:vAlign w:val="bottom"/>
          </w:tcPr>
          <w:p>
            <w:pPr>
              <w:pStyle w:val="TableContents"/>
              <w:spacing w:before="0" w:after="283"/>
              <w:jc w:val="right"/>
              <w:rPr/>
            </w:pPr>
            <w:r>
              <w:rPr/>
              <w:t>27,429</w:t>
            </w:r>
          </w:p>
        </w:tc>
        <w:tc>
          <w:tcPr>
            <w:tcW w:w="13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w:t>
            </w:r>
          </w:p>
        </w:tc>
        <w:tc>
          <w:tcPr>
            <w:tcW w:w="1376" w:type="dxa"/>
            <w:tcBorders/>
            <w:shd w:fill="auto" w:val="clear"/>
            <w:vAlign w:val="bottom"/>
          </w:tcPr>
          <w:p>
            <w:pPr>
              <w:pStyle w:val="TableContents"/>
              <w:spacing w:before="0" w:after="283"/>
              <w:jc w:val="right"/>
              <w:rPr/>
            </w:pPr>
            <w:r>
              <w:rPr/>
              <w:t>25,707</w:t>
            </w:r>
          </w:p>
        </w:tc>
        <w:tc>
          <w:tcPr>
            <w:tcW w:w="10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1044" w:type="dxa"/>
            <w:tcBorders/>
            <w:shd w:fill="auto" w:val="clear"/>
            <w:vAlign w:val="bottom"/>
          </w:tcPr>
          <w:p>
            <w:pPr>
              <w:pStyle w:val="TableContents"/>
              <w:spacing w:before="0" w:after="283"/>
              <w:jc w:val="right"/>
              <w:rPr/>
            </w:pPr>
            <w:r>
              <w:rPr/>
              <w:t>6.7</w:t>
            </w:r>
          </w:p>
        </w:tc>
        <w:tc>
          <w:tcPr>
            <w:tcW w:w="234" w:type="dxa"/>
            <w:tcBorders/>
            <w:shd w:fill="auto" w:val="clear"/>
            <w:vAlign w:val="bottom"/>
          </w:tcPr>
          <w:p>
            <w:pPr>
              <w:pStyle w:val="TableContents"/>
              <w:spacing w:before="0" w:after="283"/>
              <w:rPr/>
            </w:pPr>
            <w:r>
              <w:rPr/>
              <w:t>%</w:t>
            </w:r>
          </w:p>
        </w:tc>
      </w:tr>
      <w:tr>
        <w:trPr/>
        <w:tc>
          <w:tcPr>
            <w:tcW w:w="4258"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6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6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44"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signature loan data (combined payday loan, installment loan and related credit service activities) are as follows: </w:t>
      </w:r>
    </w:p>
    <w:tbl>
      <w:tblPr>
        <w:tblW w:w="5000" w:type="pct"/>
        <w:jc w:val="center"/>
        <w:tblInd w:w="0" w:type="dxa"/>
        <w:tblCellMar>
          <w:top w:w="0" w:type="dxa"/>
          <w:left w:w="0" w:type="dxa"/>
          <w:bottom w:w="0" w:type="dxa"/>
          <w:right w:w="0" w:type="dxa"/>
        </w:tblCellMar>
      </w:tblPr>
      <w:tblGrid>
        <w:gridCol w:w="6669"/>
        <w:gridCol w:w="435"/>
        <w:gridCol w:w="184"/>
        <w:gridCol w:w="909"/>
        <w:gridCol w:w="240"/>
        <w:gridCol w:w="439"/>
        <w:gridCol w:w="184"/>
        <w:gridCol w:w="915"/>
        <w:gridCol w:w="230"/>
      </w:tblGrid>
      <w:tr>
        <w:trPr/>
        <w:tc>
          <w:tcPr>
            <w:tcW w:w="666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2871" w:type="dxa"/>
            <w:gridSpan w:val="6"/>
            <w:tcBorders/>
            <w:shd w:fill="auto" w:val="clear"/>
            <w:vAlign w:val="bottom"/>
          </w:tcPr>
          <w:p>
            <w:pPr>
              <w:pStyle w:val="TableContents"/>
              <w:spacing w:before="0" w:after="283"/>
              <w:jc w:val="center"/>
              <w:rPr/>
            </w:pPr>
            <w:r>
              <w:rPr/>
              <w:t>Three Months Ended</w:t>
            </w:r>
          </w:p>
        </w:tc>
        <w:tc>
          <w:tcPr>
            <w:tcW w:w="230" w:type="dxa"/>
            <w:tcBorders/>
            <w:shd w:fill="auto"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2871"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230" w:type="dxa"/>
            <w:tcBorders/>
            <w:shd w:fill="auto"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0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0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0" w:type="dxa"/>
            <w:tcBorders/>
            <w:shd w:fill="auto"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2871" w:type="dxa"/>
            <w:gridSpan w:val="6"/>
            <w:tcBorders/>
            <w:shd w:fill="auto" w:val="clear"/>
            <w:vAlign w:val="bottom"/>
          </w:tcPr>
          <w:p>
            <w:pPr>
              <w:pStyle w:val="TableContents"/>
              <w:spacing w:before="0" w:after="283"/>
              <w:jc w:val="center"/>
              <w:rPr>
                <w:i/>
              </w:rPr>
            </w:pPr>
            <w:r>
              <w:rPr>
                <w:i/>
              </w:rPr>
              <w:t>(Dollars in thousands)</w:t>
            </w:r>
          </w:p>
        </w:tc>
        <w:tc>
          <w:tcPr>
            <w:tcW w:w="230" w:type="dxa"/>
            <w:tcBorders/>
            <w:shd w:fill="auto" w:val="clear"/>
            <w:vAlign w:val="bottom"/>
          </w:tcPr>
          <w:p>
            <w:pPr>
              <w:pStyle w:val="TableContents"/>
              <w:spacing w:before="0" w:after="283"/>
              <w:rPr/>
            </w:pPr>
            <w:r>
              <w:rPr/>
              <w:t> </w:t>
            </w:r>
          </w:p>
        </w:tc>
      </w:tr>
      <w:tr>
        <w:trPr/>
        <w:tc>
          <w:tcPr>
            <w:tcW w:w="6669" w:type="dxa"/>
            <w:tcBorders/>
            <w:shd w:fill="CCEEFF" w:val="clear"/>
            <w:vAlign w:val="bottom"/>
          </w:tcPr>
          <w:p>
            <w:pPr>
              <w:pStyle w:val="TableContents"/>
              <w:spacing w:before="0" w:after="0"/>
              <w:ind w:left="225" w:right="0" w:hanging="225"/>
              <w:rPr/>
            </w:pPr>
            <w:r>
              <w:rPr/>
              <w:t>Fee revenue</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40,066</w:t>
            </w:r>
          </w:p>
        </w:tc>
        <w:tc>
          <w:tcPr>
            <w:tcW w:w="240"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15" w:type="dxa"/>
            <w:tcBorders/>
            <w:shd w:fill="CCEEFF" w:val="clear"/>
            <w:vAlign w:val="bottom"/>
          </w:tcPr>
          <w:p>
            <w:pPr>
              <w:pStyle w:val="TableContents"/>
              <w:spacing w:before="0" w:after="283"/>
              <w:jc w:val="right"/>
              <w:rPr/>
            </w:pPr>
            <w:r>
              <w:rPr/>
              <w:t>38,678</w:t>
            </w:r>
          </w:p>
        </w:tc>
        <w:tc>
          <w:tcPr>
            <w:tcW w:w="230" w:type="dxa"/>
            <w:tcBorders/>
            <w:shd w:fill="CCEEFF"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0"/>
              <w:ind w:left="225" w:right="0" w:hanging="225"/>
              <w:rPr/>
            </w:pPr>
            <w:r>
              <w:rPr/>
              <w:t>Bad debt:</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6669" w:type="dxa"/>
            <w:tcBorders/>
            <w:shd w:fill="CCEEFF" w:val="clear"/>
            <w:vAlign w:val="bottom"/>
          </w:tcPr>
          <w:p>
            <w:pPr>
              <w:pStyle w:val="TableContents"/>
              <w:spacing w:before="0" w:after="0"/>
              <w:ind w:left="450" w:right="0" w:hanging="225"/>
              <w:rPr/>
            </w:pPr>
            <w:r>
              <w:rPr/>
              <w:t>Net defaults, including interest on brokered loans</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8,904</w:t>
            </w:r>
          </w:p>
        </w:tc>
        <w:tc>
          <w:tcPr>
            <w:tcW w:w="240"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8,379</w:t>
            </w:r>
          </w:p>
        </w:tc>
        <w:tc>
          <w:tcPr>
            <w:tcW w:w="230" w:type="dxa"/>
            <w:tcBorders/>
            <w:shd w:fill="CCEEFF"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0"/>
              <w:ind w:left="450" w:right="0" w:hanging="225"/>
              <w:rPr/>
            </w:pPr>
            <w:r>
              <w:rPr/>
              <w:t>Insufficient funds fees, net of collections</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223</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219</w:t>
            </w:r>
          </w:p>
        </w:tc>
        <w:tc>
          <w:tcPr>
            <w:tcW w:w="230" w:type="dxa"/>
            <w:tcBorders/>
            <w:shd w:fill="auto" w:val="clear"/>
            <w:vAlign w:val="bottom"/>
          </w:tcPr>
          <w:p>
            <w:pPr>
              <w:pStyle w:val="TableContents"/>
              <w:spacing w:before="0" w:after="283"/>
              <w:rPr/>
            </w:pPr>
            <w:r>
              <w:rPr/>
              <w:t> </w:t>
            </w:r>
          </w:p>
        </w:tc>
      </w:tr>
      <w:tr>
        <w:trPr/>
        <w:tc>
          <w:tcPr>
            <w:tcW w:w="6669" w:type="dxa"/>
            <w:tcBorders/>
            <w:shd w:fill="CCEEFF" w:val="clear"/>
            <w:vAlign w:val="bottom"/>
          </w:tcPr>
          <w:p>
            <w:pPr>
              <w:pStyle w:val="TableContents"/>
              <w:spacing w:before="0" w:after="0"/>
              <w:ind w:left="450" w:right="0" w:hanging="225"/>
              <w:rPr/>
            </w:pPr>
            <w:r>
              <w:rPr/>
              <w:t>Change in valuation allowance</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868</w:t>
            </w:r>
          </w:p>
        </w:tc>
        <w:tc>
          <w:tcPr>
            <w:tcW w:w="240"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120</w:t>
            </w:r>
          </w:p>
        </w:tc>
        <w:tc>
          <w:tcPr>
            <w:tcW w:w="230" w:type="dxa"/>
            <w:tcBorders/>
            <w:shd w:fill="CCEEFF"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0"/>
              <w:ind w:left="450" w:right="0" w:hanging="225"/>
              <w:rPr/>
            </w:pPr>
            <w:r>
              <w:rPr/>
              <w:t>Other related costs</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51</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72</w:t>
            </w:r>
          </w:p>
        </w:tc>
        <w:tc>
          <w:tcPr>
            <w:tcW w:w="230" w:type="dxa"/>
            <w:tcBorders/>
            <w:shd w:fill="auto" w:val="clear"/>
            <w:vAlign w:val="bottom"/>
          </w:tcPr>
          <w:p>
            <w:pPr>
              <w:pStyle w:val="TableContents"/>
              <w:spacing w:before="0" w:after="283"/>
              <w:rPr/>
            </w:pPr>
            <w:r>
              <w:rPr/>
              <w:t> </w:t>
            </w:r>
          </w:p>
        </w:tc>
      </w:tr>
      <w:tr>
        <w:trPr/>
        <w:tc>
          <w:tcPr>
            <w:tcW w:w="6669" w:type="dxa"/>
            <w:tcBorders/>
            <w:shd w:fill="auto" w:val="clear"/>
            <w:vAlign w:val="center"/>
          </w:tcPr>
          <w:p>
            <w:pPr>
              <w:pStyle w:val="TableContents"/>
              <w:spacing w:before="0" w:after="0"/>
              <w:ind w:left="225" w:right="0" w:hanging="225"/>
              <w:rPr/>
            </w:pPr>
            <w:r>
              <w:rPr/>
              <w:t> </w:t>
            </w:r>
          </w:p>
        </w:tc>
        <w:tc>
          <w:tcPr>
            <w:tcW w:w="435"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10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6669" w:type="dxa"/>
            <w:tcBorders/>
            <w:shd w:fill="CCEEFF" w:val="clear"/>
            <w:vAlign w:val="bottom"/>
          </w:tcPr>
          <w:p>
            <w:pPr>
              <w:pStyle w:val="TableContents"/>
              <w:spacing w:before="0" w:after="0"/>
              <w:ind w:left="675" w:right="0" w:hanging="225"/>
              <w:rPr/>
            </w:pPr>
            <w:r>
              <w:rPr/>
              <w:t>Net bad debt</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10,046</w:t>
            </w:r>
          </w:p>
        </w:tc>
        <w:tc>
          <w:tcPr>
            <w:tcW w:w="240"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8,790</w:t>
            </w:r>
          </w:p>
        </w:tc>
        <w:tc>
          <w:tcPr>
            <w:tcW w:w="230" w:type="dxa"/>
            <w:tcBorders/>
            <w:shd w:fill="CCEEFF" w:val="clear"/>
            <w:vAlign w:val="bottom"/>
          </w:tcPr>
          <w:p>
            <w:pPr>
              <w:pStyle w:val="TableContents"/>
              <w:spacing w:before="0" w:after="283"/>
              <w:rPr/>
            </w:pPr>
            <w:r>
              <w:rPr/>
              <w:t> </w:t>
            </w:r>
          </w:p>
        </w:tc>
      </w:tr>
      <w:tr>
        <w:trPr/>
        <w:tc>
          <w:tcPr>
            <w:tcW w:w="6669" w:type="dxa"/>
            <w:tcBorders/>
            <w:shd w:fill="auto" w:val="clear"/>
            <w:vAlign w:val="center"/>
          </w:tcPr>
          <w:p>
            <w:pPr>
              <w:pStyle w:val="TableContents"/>
              <w:spacing w:before="0" w:after="0"/>
              <w:ind w:left="225" w:right="0" w:hanging="225"/>
              <w:rPr/>
            </w:pPr>
            <w:r>
              <w:rPr/>
              <w:t> </w:t>
            </w:r>
          </w:p>
        </w:tc>
        <w:tc>
          <w:tcPr>
            <w:tcW w:w="435"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10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6669" w:type="dxa"/>
            <w:tcBorders/>
            <w:shd w:fill="auto" w:val="clear"/>
            <w:vAlign w:val="bottom"/>
          </w:tcPr>
          <w:p>
            <w:pPr>
              <w:pStyle w:val="TableContents"/>
              <w:spacing w:before="0" w:after="0"/>
              <w:ind w:left="225" w:right="0" w:hanging="225"/>
              <w:rPr/>
            </w:pPr>
            <w:r>
              <w:rPr/>
              <w:t>Fee revenue less bad debt</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30,020</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15" w:type="dxa"/>
            <w:tcBorders/>
            <w:shd w:fill="auto" w:val="clear"/>
            <w:vAlign w:val="bottom"/>
          </w:tcPr>
          <w:p>
            <w:pPr>
              <w:pStyle w:val="TableContents"/>
              <w:spacing w:before="0" w:after="283"/>
              <w:jc w:val="right"/>
              <w:rPr/>
            </w:pPr>
            <w:r>
              <w:rPr/>
              <w:t>29,888</w:t>
            </w:r>
          </w:p>
        </w:tc>
        <w:tc>
          <w:tcPr>
            <w:tcW w:w="230" w:type="dxa"/>
            <w:tcBorders/>
            <w:shd w:fill="auto" w:val="clear"/>
            <w:vAlign w:val="bottom"/>
          </w:tcPr>
          <w:p>
            <w:pPr>
              <w:pStyle w:val="TableContents"/>
              <w:spacing w:before="0" w:after="283"/>
              <w:rPr/>
            </w:pPr>
            <w:r>
              <w:rPr/>
              <w:t> </w:t>
            </w:r>
          </w:p>
        </w:tc>
      </w:tr>
      <w:tr>
        <w:trPr/>
        <w:tc>
          <w:tcPr>
            <w:tcW w:w="6669" w:type="dxa"/>
            <w:tcBorders/>
            <w:shd w:fill="auto" w:val="clear"/>
            <w:vAlign w:val="center"/>
          </w:tcPr>
          <w:p>
            <w:pPr>
              <w:pStyle w:val="TableContents"/>
              <w:spacing w:before="0" w:after="0"/>
              <w:ind w:left="225" w:right="0" w:hanging="225"/>
              <w:rPr/>
            </w:pPr>
            <w:r>
              <w:rPr/>
              <w:t> </w:t>
            </w:r>
          </w:p>
        </w:tc>
        <w:tc>
          <w:tcPr>
            <w:tcW w:w="435" w:type="dxa"/>
            <w:tcBorders/>
            <w:shd w:fill="auto" w:val="clear"/>
            <w:vAlign w:val="center"/>
          </w:tcPr>
          <w:p>
            <w:pPr>
              <w:pStyle w:val="TableContents"/>
              <w:spacing w:before="0" w:after="283"/>
              <w:rPr/>
            </w:pPr>
            <w:r>
              <w:rPr/>
              <w:t> </w:t>
            </w:r>
          </w:p>
        </w:tc>
        <w:tc>
          <w:tcPr>
            <w:tcW w:w="10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10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6669" w:type="dxa"/>
            <w:tcBorders/>
            <w:shd w:fill="auto" w:val="clear"/>
            <w:vAlign w:val="bottom"/>
          </w:tcPr>
          <w:p>
            <w:pPr>
              <w:pStyle w:val="TableContents"/>
              <w:spacing w:before="0" w:after="0"/>
              <w:ind w:left="225" w:right="0" w:hanging="225"/>
              <w:rPr/>
            </w:pPr>
            <w:r>
              <w:rPr/>
              <w:t> </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6669" w:type="dxa"/>
            <w:tcBorders/>
            <w:shd w:fill="CCEEFF" w:val="clear"/>
            <w:vAlign w:val="bottom"/>
          </w:tcPr>
          <w:p>
            <w:pPr>
              <w:pStyle w:val="TableContents"/>
              <w:spacing w:before="0" w:after="0"/>
              <w:ind w:left="225" w:right="0" w:hanging="225"/>
              <w:rPr/>
            </w:pPr>
            <w:r>
              <w:rPr/>
              <w:t>Average signature loan balance outstanding during period (a)</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34,182</w:t>
            </w:r>
          </w:p>
        </w:tc>
        <w:tc>
          <w:tcPr>
            <w:tcW w:w="240"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15" w:type="dxa"/>
            <w:tcBorders/>
            <w:shd w:fill="CCEEFF" w:val="clear"/>
            <w:vAlign w:val="bottom"/>
          </w:tcPr>
          <w:p>
            <w:pPr>
              <w:pStyle w:val="TableContents"/>
              <w:spacing w:before="0" w:after="283"/>
              <w:jc w:val="right"/>
              <w:rPr/>
            </w:pPr>
            <w:r>
              <w:rPr/>
              <w:t>31,988</w:t>
            </w:r>
          </w:p>
        </w:tc>
        <w:tc>
          <w:tcPr>
            <w:tcW w:w="230" w:type="dxa"/>
            <w:tcBorders/>
            <w:shd w:fill="CCEEFF"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0"/>
              <w:ind w:left="225" w:right="0" w:hanging="225"/>
              <w:rPr/>
            </w:pPr>
            <w:r>
              <w:rPr/>
              <w:t>Signature loan balance at end of period (a)</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36,775</w:t>
            </w:r>
          </w:p>
        </w:tc>
        <w:tc>
          <w:tcPr>
            <w:tcW w:w="240"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15" w:type="dxa"/>
            <w:tcBorders/>
            <w:shd w:fill="auto" w:val="clear"/>
            <w:vAlign w:val="bottom"/>
          </w:tcPr>
          <w:p>
            <w:pPr>
              <w:pStyle w:val="TableContents"/>
              <w:spacing w:before="0" w:after="283"/>
              <w:jc w:val="right"/>
              <w:rPr/>
            </w:pPr>
            <w:r>
              <w:rPr/>
              <w:t>34,433</w:t>
            </w:r>
          </w:p>
        </w:tc>
        <w:tc>
          <w:tcPr>
            <w:tcW w:w="230" w:type="dxa"/>
            <w:tcBorders/>
            <w:shd w:fill="auto" w:val="clear"/>
            <w:vAlign w:val="bottom"/>
          </w:tcPr>
          <w:p>
            <w:pPr>
              <w:pStyle w:val="TableContents"/>
              <w:spacing w:before="0" w:after="283"/>
              <w:rPr/>
            </w:pPr>
            <w:r>
              <w:rPr/>
              <w:t> </w:t>
            </w:r>
          </w:p>
        </w:tc>
      </w:tr>
      <w:tr>
        <w:trPr/>
        <w:tc>
          <w:tcPr>
            <w:tcW w:w="6669" w:type="dxa"/>
            <w:tcBorders/>
            <w:shd w:fill="CCEEFF" w:val="clear"/>
            <w:vAlign w:val="bottom"/>
          </w:tcPr>
          <w:p>
            <w:pPr>
              <w:pStyle w:val="TableContents"/>
              <w:spacing w:before="0" w:after="0"/>
              <w:ind w:left="225" w:right="0" w:hanging="225"/>
              <w:rPr/>
            </w:pPr>
            <w:r>
              <w:rPr/>
              <w:t>Participating stores at end of period</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533</w:t>
            </w:r>
          </w:p>
        </w:tc>
        <w:tc>
          <w:tcPr>
            <w:tcW w:w="240"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556</w:t>
            </w:r>
          </w:p>
        </w:tc>
        <w:tc>
          <w:tcPr>
            <w:tcW w:w="230" w:type="dxa"/>
            <w:tcBorders/>
            <w:shd w:fill="CCEEFF"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0"/>
              <w:ind w:left="225" w:right="0" w:hanging="225"/>
              <w:rPr/>
            </w:pPr>
            <w:r>
              <w:rPr/>
              <w:t>Signature loan bad debt, as a percent of fee revenue</w:t>
            </w:r>
          </w:p>
        </w:tc>
        <w:tc>
          <w:tcPr>
            <w:tcW w:w="43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25.1</w:t>
            </w:r>
          </w:p>
        </w:tc>
        <w:tc>
          <w:tcPr>
            <w:tcW w:w="240"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915" w:type="dxa"/>
            <w:tcBorders/>
            <w:shd w:fill="auto" w:val="clear"/>
            <w:vAlign w:val="bottom"/>
          </w:tcPr>
          <w:p>
            <w:pPr>
              <w:pStyle w:val="TableContents"/>
              <w:spacing w:before="0" w:after="283"/>
              <w:jc w:val="right"/>
              <w:rPr/>
            </w:pPr>
            <w:r>
              <w:rPr/>
              <w:t>22.7</w:t>
            </w:r>
          </w:p>
        </w:tc>
        <w:tc>
          <w:tcPr>
            <w:tcW w:w="230" w:type="dxa"/>
            <w:tcBorders/>
            <w:shd w:fill="auto" w:val="clear"/>
            <w:vAlign w:val="bottom"/>
          </w:tcPr>
          <w:p>
            <w:pPr>
              <w:pStyle w:val="TableContents"/>
              <w:spacing w:before="0" w:after="283"/>
              <w:rPr/>
            </w:pPr>
            <w:r>
              <w:rPr/>
              <w:t>%</w:t>
            </w:r>
          </w:p>
        </w:tc>
      </w:tr>
      <w:tr>
        <w:trPr/>
        <w:tc>
          <w:tcPr>
            <w:tcW w:w="6669" w:type="dxa"/>
            <w:tcBorders/>
            <w:shd w:fill="CCEEFF" w:val="clear"/>
            <w:vAlign w:val="bottom"/>
          </w:tcPr>
          <w:p>
            <w:pPr>
              <w:pStyle w:val="TableContents"/>
              <w:spacing w:before="0" w:after="0"/>
              <w:ind w:left="225" w:right="0" w:hanging="225"/>
              <w:rPr/>
            </w:pPr>
            <w:r>
              <w:rPr/>
              <w:t>Net default rate (a) (b)</w:t>
            </w:r>
          </w:p>
        </w:tc>
        <w:tc>
          <w:tcPr>
            <w:tcW w:w="43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4.9</w:t>
            </w:r>
          </w:p>
        </w:tc>
        <w:tc>
          <w:tcPr>
            <w:tcW w:w="240" w:type="dxa"/>
            <w:tcBorders/>
            <w:shd w:fill="CCEEFF" w:val="clear"/>
            <w:vAlign w:val="bottom"/>
          </w:tcPr>
          <w:p>
            <w:pPr>
              <w:pStyle w:val="TableContents"/>
              <w:spacing w:before="0" w:after="283"/>
              <w:rPr/>
            </w:pPr>
            <w:r>
              <w:rPr/>
              <w:t>%</w:t>
            </w:r>
          </w:p>
        </w:tc>
        <w:tc>
          <w:tcPr>
            <w:tcW w:w="43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915" w:type="dxa"/>
            <w:tcBorders/>
            <w:shd w:fill="CCEEFF" w:val="clear"/>
            <w:vAlign w:val="bottom"/>
          </w:tcPr>
          <w:p>
            <w:pPr>
              <w:pStyle w:val="TableContents"/>
              <w:spacing w:before="0" w:after="283"/>
              <w:jc w:val="right"/>
              <w:rPr/>
            </w:pPr>
            <w:r>
              <w:rPr/>
              <w:t>4.5</w:t>
            </w:r>
          </w:p>
        </w:tc>
        <w:tc>
          <w:tcPr>
            <w:tcW w:w="230"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loans and installment loans (net of valuation allowance) recorded on our balance sheets and the principal portion of similar active brokered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Principal defaults net of collections, as a percentage of signature loans made and renewed.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a leading provider of specialty consumer financial services. We provide collateralized, non-recourse loans, commonly known as pawn loans, and a variety of short-term consumer loans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December 31, 2010, we operated a total of 1,032 locations, consisting of 396 U.S. pawn stores (operating as EZPAWN or Value Pawn), 132 pawn stores in Mexico (operating as Empeño Fácil or Empeñe su Oro), 448 U.S. short-term consumer loan stores (operating primarily as EZMONEY) and 56 short-term consumer loan stores in Canada (operating as CASHMAX). We also own almost 30% of Albemarle &amp; Bond Holdings, PLC, one of the U.K.s largest pawnbroking businesses with over 130 stores, and almost 33% of Cash Converters International Limited, which franchises and operates a worldwide network of over 600 locations that provide financial services and buy and sell second-hand goods.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three segments. The U.S. Pawn Operations segment operates only in the United States. The Empeño Fácil segment operates only in Mexico. The EZMONEY Operations segment operates 442 stores in the United States and 56 stores in Canada. The following tables present store data and products offered in each segment: </w:t>
      </w:r>
    </w:p>
    <w:tbl>
      <w:tblPr>
        <w:tblW w:w="5000" w:type="pct"/>
        <w:jc w:val="center"/>
        <w:tblInd w:w="0" w:type="dxa"/>
        <w:tblCellMar>
          <w:top w:w="0" w:type="dxa"/>
          <w:left w:w="0" w:type="dxa"/>
          <w:bottom w:w="0" w:type="dxa"/>
          <w:right w:w="0" w:type="dxa"/>
        </w:tblCellMar>
      </w:tblPr>
      <w:tblGrid>
        <w:gridCol w:w="2598"/>
        <w:gridCol w:w="216"/>
        <w:gridCol w:w="160"/>
        <w:gridCol w:w="979"/>
        <w:gridCol w:w="117"/>
        <w:gridCol w:w="216"/>
        <w:gridCol w:w="244"/>
        <w:gridCol w:w="1510"/>
        <w:gridCol w:w="244"/>
        <w:gridCol w:w="375"/>
        <w:gridCol w:w="243"/>
        <w:gridCol w:w="1515"/>
        <w:gridCol w:w="117"/>
        <w:gridCol w:w="216"/>
        <w:gridCol w:w="141"/>
        <w:gridCol w:w="1185"/>
        <w:gridCol w:w="129"/>
      </w:tblGrid>
      <w:tr>
        <w:trPr/>
        <w:tc>
          <w:tcPr>
            <w:tcW w:w="259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598" w:type="dxa"/>
            <w:tcBorders>
              <w:bottom w:val="single" w:sz="2" w:space="0" w:color="000000"/>
            </w:tcBorders>
            <w:shd w:fill="auto" w:val="clear"/>
            <w:tcMar>
              <w:bottom w:w="28" w:type="dxa"/>
            </w:tcMar>
            <w:vAlign w:val="bottom"/>
          </w:tcPr>
          <w:p>
            <w:pPr>
              <w:pStyle w:val="TableContents"/>
              <w:spacing w:before="0" w:after="283"/>
              <w:rPr/>
            </w:pPr>
            <w:r>
              <w:rPr/>
              <w:t> </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160" w:type="dxa"/>
            <w:tcBorders>
              <w:bottom w:val="single" w:sz="2" w:space="0" w:color="000000"/>
            </w:tcBorders>
            <w:shd w:fill="auto" w:val="clear"/>
            <w:tcMar>
              <w:bottom w:w="28" w:type="dxa"/>
            </w:tcMar>
            <w:vAlign w:val="bottom"/>
          </w:tcPr>
          <w:p>
            <w:pPr>
              <w:pStyle w:val="TableContents"/>
              <w:spacing w:before="0" w:after="283"/>
              <w:rPr/>
            </w:pPr>
            <w:r>
              <w:rPr/>
              <w:t> </w:t>
            </w:r>
          </w:p>
        </w:tc>
        <w:tc>
          <w:tcPr>
            <w:tcW w:w="979" w:type="dxa"/>
            <w:tcBorders>
              <w:bottom w:val="single" w:sz="2" w:space="0" w:color="000000"/>
            </w:tcBorders>
            <w:shd w:fill="auto" w:val="clear"/>
            <w:tcMar>
              <w:bottom w:w="28" w:type="dxa"/>
            </w:tcMar>
            <w:vAlign w:val="bottom"/>
          </w:tcPr>
          <w:p>
            <w:pPr>
              <w:pStyle w:val="TableContents"/>
              <w:spacing w:before="0" w:after="283"/>
              <w:rPr/>
            </w:pPr>
            <w:r>
              <w:rPr/>
              <w:t> </w:t>
            </w:r>
          </w:p>
        </w:tc>
        <w:tc>
          <w:tcPr>
            <w:tcW w:w="117" w:type="dxa"/>
            <w:tcBorders>
              <w:bottom w:val="single" w:sz="2" w:space="0" w:color="000000"/>
            </w:tcBorders>
            <w:shd w:fill="auto" w:val="clear"/>
            <w:tcMar>
              <w:bottom w:w="28" w:type="dxa"/>
            </w:tcMar>
            <w:vAlign w:val="bottom"/>
          </w:tcPr>
          <w:p>
            <w:pPr>
              <w:pStyle w:val="TableContents"/>
              <w:spacing w:before="0" w:after="283"/>
              <w:rPr/>
            </w:pPr>
            <w:r>
              <w:rPr/>
              <w:t> </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4131"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 2010</w:t>
            </w:r>
          </w:p>
        </w:tc>
        <w:tc>
          <w:tcPr>
            <w:tcW w:w="117" w:type="dxa"/>
            <w:tcBorders>
              <w:bottom w:val="single" w:sz="2" w:space="0" w:color="000000"/>
            </w:tcBorders>
            <w:shd w:fill="auto" w:val="clear"/>
            <w:tcMar>
              <w:bottom w:w="28" w:type="dxa"/>
            </w:tcMar>
            <w:vAlign w:val="bottom"/>
          </w:tcPr>
          <w:p>
            <w:pPr>
              <w:pStyle w:val="TableContents"/>
              <w:spacing w:before="0" w:after="283"/>
              <w:rPr/>
            </w:pPr>
            <w:r>
              <w:rPr/>
              <w:t> </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132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283"/>
              <w:jc w:val="center"/>
              <w:rPr/>
            </w:pPr>
            <w:r>
              <w:rPr/>
              <w:t>U.S. Pawn</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754" w:type="dxa"/>
            <w:gridSpan w:val="2"/>
            <w:tcBorders/>
            <w:shd w:fill="auto" w:val="clear"/>
            <w:vAlign w:val="bottom"/>
          </w:tcPr>
          <w:p>
            <w:pPr>
              <w:pStyle w:val="TableContents"/>
              <w:spacing w:before="0" w:after="283"/>
              <w:jc w:val="center"/>
              <w:rPr/>
            </w:pPr>
            <w:r>
              <w:rPr/>
              <w:t>Empeño</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758" w:type="dxa"/>
            <w:gridSpan w:val="2"/>
            <w:tcBorders/>
            <w:shd w:fill="auto" w:val="clear"/>
            <w:vAlign w:val="bottom"/>
          </w:tcPr>
          <w:p>
            <w:pPr>
              <w:pStyle w:val="TableContents"/>
              <w:spacing w:before="0" w:after="283"/>
              <w:jc w:val="center"/>
              <w:rPr/>
            </w:pPr>
            <w:r>
              <w:rPr/>
              <w:t>EZMONEY</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26"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754"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75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326"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29"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225" w:right="0" w:hanging="225"/>
              <w:rPr/>
            </w:pPr>
            <w:r>
              <w:rPr/>
              <w:t>Stores in operation:</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450" w:right="0" w:hanging="225"/>
              <w:rPr/>
            </w:pPr>
            <w:r>
              <w:rPr/>
              <w:t>Beginning of period</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396</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right"/>
              <w:rPr/>
            </w:pPr>
            <w:r>
              <w:rPr/>
              <w:t>115</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495</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1,006</w:t>
            </w:r>
          </w:p>
        </w:tc>
        <w:tc>
          <w:tcPr>
            <w:tcW w:w="129"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450" w:right="0" w:hanging="225"/>
              <w:rPr/>
            </w:pPr>
            <w:r>
              <w:rPr/>
              <w:t>New openings</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right"/>
              <w:rPr/>
            </w:pPr>
            <w:r>
              <w:rPr/>
              <w:t>17</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5</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25</w:t>
            </w:r>
          </w:p>
        </w:tc>
        <w:tc>
          <w:tcPr>
            <w:tcW w:w="129"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450" w:right="0" w:hanging="225"/>
              <w:rPr/>
            </w:pPr>
            <w:r>
              <w:rPr/>
              <w:t>Acquired</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4</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right"/>
              <w:rPr/>
            </w:pPr>
            <w:r>
              <w:rPr/>
              <w:t></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w:t>
            </w:r>
          </w:p>
        </w:tc>
        <w:tc>
          <w:tcPr>
            <w:tcW w:w="129"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450" w:right="0" w:hanging="225"/>
              <w:rPr/>
            </w:pPr>
            <w:r>
              <w:rPr/>
              <w:t>Sold, combined, or closed</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(1</w:t>
            </w:r>
          </w:p>
        </w:tc>
        <w:tc>
          <w:tcPr>
            <w:tcW w:w="117"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right"/>
              <w:rPr/>
            </w:pPr>
            <w:r>
              <w:rPr/>
              <w:t></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 </w:t>
            </w:r>
          </w:p>
        </w:tc>
        <w:tc>
          <w:tcPr>
            <w:tcW w:w="1515" w:type="dxa"/>
            <w:tcBorders/>
            <w:shd w:fill="CCEEFF" w:val="clear"/>
            <w:vAlign w:val="bottom"/>
          </w:tcPr>
          <w:p>
            <w:pPr>
              <w:pStyle w:val="TableContents"/>
              <w:spacing w:before="0" w:after="283"/>
              <w:jc w:val="right"/>
              <w:rPr/>
            </w:pPr>
            <w:r>
              <w:rPr/>
              <w:t>(2</w:t>
            </w:r>
          </w:p>
        </w:tc>
        <w:tc>
          <w:tcPr>
            <w:tcW w:w="117"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185" w:type="dxa"/>
            <w:tcBorders/>
            <w:shd w:fill="CCEEFF" w:val="clear"/>
            <w:vAlign w:val="bottom"/>
          </w:tcPr>
          <w:p>
            <w:pPr>
              <w:pStyle w:val="TableContents"/>
              <w:spacing w:before="0" w:after="283"/>
              <w:jc w:val="right"/>
              <w:rPr/>
            </w:pPr>
            <w:r>
              <w:rPr/>
              <w:t>(3</w:t>
            </w:r>
          </w:p>
        </w:tc>
        <w:tc>
          <w:tcPr>
            <w:tcW w:w="129" w:type="dxa"/>
            <w:tcBorders/>
            <w:shd w:fill="CCEEFF" w:val="clear"/>
            <w:vAlign w:val="bottom"/>
          </w:tcPr>
          <w:p>
            <w:pPr>
              <w:pStyle w:val="TableContents"/>
              <w:spacing w:before="0" w:after="283"/>
              <w:rPr/>
            </w:pPr>
            <w:r>
              <w:rPr/>
              <w:t>)</w:t>
            </w:r>
          </w:p>
        </w:tc>
      </w:tr>
      <w:tr>
        <w:trPr/>
        <w:tc>
          <w:tcPr>
            <w:tcW w:w="2598" w:type="dxa"/>
            <w:tcBorders/>
            <w:shd w:fill="auto" w:val="clear"/>
            <w:vAlign w:val="center"/>
          </w:tcPr>
          <w:p>
            <w:pPr>
              <w:pStyle w:val="TableContents"/>
              <w:spacing w:before="0" w:after="0"/>
              <w:ind w:left="225" w:right="0" w:hanging="225"/>
              <w:rPr/>
            </w:pPr>
            <w:r>
              <w:rPr/>
              <w:t> </w:t>
            </w:r>
          </w:p>
        </w:tc>
        <w:tc>
          <w:tcPr>
            <w:tcW w:w="216"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7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7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598" w:type="dxa"/>
            <w:tcBorders/>
            <w:shd w:fill="auto" w:val="clear"/>
            <w:vAlign w:val="bottom"/>
          </w:tcPr>
          <w:p>
            <w:pPr>
              <w:pStyle w:val="TableContents"/>
              <w:spacing w:before="0" w:after="0"/>
              <w:ind w:left="450" w:right="0" w:hanging="225"/>
              <w:rPr/>
            </w:pPr>
            <w:r>
              <w:rPr/>
              <w:t>End of period</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402</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right"/>
              <w:rPr/>
            </w:pPr>
            <w:r>
              <w:rPr/>
              <w:t>132</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498</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1,032</w:t>
            </w:r>
          </w:p>
        </w:tc>
        <w:tc>
          <w:tcPr>
            <w:tcW w:w="129" w:type="dxa"/>
            <w:tcBorders/>
            <w:shd w:fill="auto" w:val="clear"/>
            <w:vAlign w:val="bottom"/>
          </w:tcPr>
          <w:p>
            <w:pPr>
              <w:pStyle w:val="TableContents"/>
              <w:spacing w:before="0" w:after="283"/>
              <w:rPr/>
            </w:pPr>
            <w:r>
              <w:rPr/>
              <w:t> </w:t>
            </w:r>
          </w:p>
        </w:tc>
      </w:tr>
      <w:tr>
        <w:trPr/>
        <w:tc>
          <w:tcPr>
            <w:tcW w:w="2598" w:type="dxa"/>
            <w:tcBorders/>
            <w:shd w:fill="auto" w:val="clear"/>
            <w:vAlign w:val="center"/>
          </w:tcPr>
          <w:p>
            <w:pPr>
              <w:pStyle w:val="TableContents"/>
              <w:spacing w:before="0" w:after="0"/>
              <w:ind w:left="225" w:right="0" w:hanging="225"/>
              <w:rPr/>
            </w:pPr>
            <w:r>
              <w:rPr/>
              <w:t> </w:t>
            </w:r>
          </w:p>
        </w:tc>
        <w:tc>
          <w:tcPr>
            <w:tcW w:w="216" w:type="dxa"/>
            <w:tcBorders/>
            <w:shd w:fill="auto" w:val="clear"/>
            <w:vAlign w:val="center"/>
          </w:tcPr>
          <w:p>
            <w:pPr>
              <w:pStyle w:val="TableContents"/>
              <w:spacing w:before="0" w:after="283"/>
              <w:rPr/>
            </w:pPr>
            <w:r>
              <w:rPr/>
              <w:t> </w:t>
            </w:r>
          </w:p>
        </w:tc>
        <w:tc>
          <w:tcPr>
            <w:tcW w:w="11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7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7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598" w:type="dxa"/>
            <w:tcBorders/>
            <w:shd w:fill="auto" w:val="clear"/>
            <w:vAlign w:val="bottom"/>
          </w:tcPr>
          <w:p>
            <w:pPr>
              <w:pStyle w:val="TableContents"/>
              <w:spacing w:before="0" w:after="0"/>
              <w:ind w:left="225" w:right="0" w:hanging="225"/>
              <w:rPr/>
            </w:pPr>
            <w:r>
              <w:rPr/>
              <w:t> </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225" w:right="0" w:hanging="225"/>
              <w:rPr/>
            </w:pPr>
            <w:r>
              <w:rPr/>
              <w:t>Average number of stores during the period</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398</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right"/>
              <w:rPr/>
            </w:pPr>
            <w:r>
              <w:rPr/>
              <w:t>125</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496</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1,019</w:t>
            </w:r>
          </w:p>
        </w:tc>
        <w:tc>
          <w:tcPr>
            <w:tcW w:w="129"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225" w:right="0" w:hanging="225"/>
              <w:rPr/>
            </w:pPr>
            <w:r>
              <w:rPr/>
              <w:t> </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225" w:right="0" w:hanging="225"/>
              <w:rPr/>
            </w:pPr>
            <w:r>
              <w:rPr/>
              <w:t>Composition of ending stores:</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450" w:right="0" w:hanging="225"/>
              <w:rPr/>
            </w:pPr>
            <w:r>
              <w:rPr/>
              <w:t>Pawn</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396</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right"/>
              <w:rPr/>
            </w:pPr>
            <w:r>
              <w:rPr/>
              <w:t>132</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528</w:t>
            </w:r>
          </w:p>
        </w:tc>
        <w:tc>
          <w:tcPr>
            <w:tcW w:w="129"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450" w:right="0" w:hanging="225"/>
              <w:rPr/>
            </w:pPr>
            <w:r>
              <w:rPr/>
              <w:t>Short-term consumer loan stores</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6</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right"/>
              <w:rPr/>
            </w:pPr>
            <w:r>
              <w:rPr/>
              <w:t></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498</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504</w:t>
            </w:r>
          </w:p>
        </w:tc>
        <w:tc>
          <w:tcPr>
            <w:tcW w:w="129" w:type="dxa"/>
            <w:tcBorders/>
            <w:shd w:fill="auto" w:val="clear"/>
            <w:vAlign w:val="bottom"/>
          </w:tcPr>
          <w:p>
            <w:pPr>
              <w:pStyle w:val="TableContents"/>
              <w:spacing w:before="0" w:after="283"/>
              <w:rPr/>
            </w:pPr>
            <w:r>
              <w:rPr/>
              <w:t> </w:t>
            </w:r>
          </w:p>
        </w:tc>
      </w:tr>
      <w:tr>
        <w:trPr/>
        <w:tc>
          <w:tcPr>
            <w:tcW w:w="2598" w:type="dxa"/>
            <w:tcBorders/>
            <w:shd w:fill="auto" w:val="clear"/>
            <w:vAlign w:val="center"/>
          </w:tcPr>
          <w:p>
            <w:pPr>
              <w:pStyle w:val="TableContents"/>
              <w:spacing w:before="0" w:after="0"/>
              <w:ind w:left="225" w:right="0" w:hanging="225"/>
              <w:rPr/>
            </w:pPr>
            <w:r>
              <w:rPr/>
              <w:t> </w:t>
            </w:r>
          </w:p>
        </w:tc>
        <w:tc>
          <w:tcPr>
            <w:tcW w:w="216"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7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7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450" w:right="0" w:hanging="225"/>
              <w:rPr/>
            </w:pPr>
            <w:r>
              <w:rPr/>
              <w:t>Total stores in operation</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402</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right"/>
              <w:rPr/>
            </w:pPr>
            <w:r>
              <w:rPr/>
              <w:t>132</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498</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1,032</w:t>
            </w:r>
          </w:p>
        </w:tc>
        <w:tc>
          <w:tcPr>
            <w:tcW w:w="129" w:type="dxa"/>
            <w:tcBorders/>
            <w:shd w:fill="CCEEFF" w:val="clear"/>
            <w:vAlign w:val="bottom"/>
          </w:tcPr>
          <w:p>
            <w:pPr>
              <w:pStyle w:val="TableContents"/>
              <w:spacing w:before="0" w:after="283"/>
              <w:rPr/>
            </w:pPr>
            <w:r>
              <w:rPr/>
              <w:t> </w:t>
            </w:r>
          </w:p>
        </w:tc>
      </w:tr>
      <w:tr>
        <w:trPr/>
        <w:tc>
          <w:tcPr>
            <w:tcW w:w="2598" w:type="dxa"/>
            <w:tcBorders/>
            <w:shd w:fill="auto" w:val="clear"/>
            <w:vAlign w:val="center"/>
          </w:tcPr>
          <w:p>
            <w:pPr>
              <w:pStyle w:val="TableContents"/>
              <w:spacing w:before="0" w:after="0"/>
              <w:ind w:left="225" w:right="0" w:hanging="225"/>
              <w:rPr/>
            </w:pPr>
            <w:r>
              <w:rPr/>
              <w:t> </w:t>
            </w:r>
          </w:p>
        </w:tc>
        <w:tc>
          <w:tcPr>
            <w:tcW w:w="216" w:type="dxa"/>
            <w:tcBorders/>
            <w:shd w:fill="auto" w:val="clear"/>
            <w:vAlign w:val="center"/>
          </w:tcPr>
          <w:p>
            <w:pPr>
              <w:pStyle w:val="TableContents"/>
              <w:spacing w:before="0" w:after="283"/>
              <w:rPr/>
            </w:pPr>
            <w:r>
              <w:rPr/>
              <w:t> </w:t>
            </w:r>
          </w:p>
        </w:tc>
        <w:tc>
          <w:tcPr>
            <w:tcW w:w="11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7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7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598" w:type="dxa"/>
            <w:tcBorders/>
            <w:shd w:fill="auto" w:val="clear"/>
            <w:vAlign w:val="bottom"/>
          </w:tcPr>
          <w:p>
            <w:pPr>
              <w:pStyle w:val="TableContents"/>
              <w:spacing w:before="0" w:after="0"/>
              <w:ind w:left="225" w:right="0" w:hanging="225"/>
              <w:rPr/>
            </w:pPr>
            <w:r>
              <w:rPr/>
              <w:t> </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450" w:right="0" w:hanging="225"/>
              <w:rPr/>
            </w:pPr>
            <w:r>
              <w:rPr/>
              <w:t>Stores offering payday loans (a)</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35</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right"/>
              <w:rPr/>
            </w:pPr>
            <w:r>
              <w:rPr/>
              <w:t></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464</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499</w:t>
            </w:r>
          </w:p>
        </w:tc>
        <w:tc>
          <w:tcPr>
            <w:tcW w:w="129"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0"/>
              <w:ind w:left="450" w:right="0" w:hanging="225"/>
              <w:rPr/>
            </w:pPr>
            <w:r>
              <w:rPr/>
              <w:t>Stores offering installment loans (a)</w:t>
            </w:r>
          </w:p>
        </w:tc>
        <w:tc>
          <w:tcPr>
            <w:tcW w:w="2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right"/>
              <w:rPr/>
            </w:pPr>
            <w:r>
              <w:rPr/>
              <w:t></w:t>
            </w:r>
          </w:p>
        </w:tc>
        <w:tc>
          <w:tcPr>
            <w:tcW w:w="244"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415</w:t>
            </w:r>
          </w:p>
        </w:tc>
        <w:tc>
          <w:tcPr>
            <w:tcW w:w="11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415</w:t>
            </w:r>
          </w:p>
        </w:tc>
        <w:tc>
          <w:tcPr>
            <w:tcW w:w="129"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0"/>
              <w:ind w:left="450" w:right="0" w:hanging="225"/>
              <w:rPr/>
            </w:pPr>
            <w:r>
              <w:rPr/>
              <w:t>Stores offering auto title loans (a)</w:t>
            </w:r>
          </w:p>
        </w:tc>
        <w:tc>
          <w:tcPr>
            <w:tcW w:w="21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44</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right"/>
              <w:rPr/>
            </w:pPr>
            <w:r>
              <w:rPr/>
              <w:t></w:t>
            </w:r>
          </w:p>
        </w:tc>
        <w:tc>
          <w:tcPr>
            <w:tcW w:w="244"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403</w:t>
            </w:r>
          </w:p>
        </w:tc>
        <w:tc>
          <w:tcPr>
            <w:tcW w:w="11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447</w:t>
            </w:r>
          </w:p>
        </w:tc>
        <w:tc>
          <w:tcPr>
            <w:tcW w:w="129"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571"/>
        <w:gridCol w:w="213"/>
        <w:gridCol w:w="161"/>
        <w:gridCol w:w="988"/>
        <w:gridCol w:w="86"/>
        <w:gridCol w:w="213"/>
        <w:gridCol w:w="277"/>
        <w:gridCol w:w="1223"/>
        <w:gridCol w:w="277"/>
        <w:gridCol w:w="403"/>
        <w:gridCol w:w="277"/>
        <w:gridCol w:w="1717"/>
        <w:gridCol w:w="118"/>
        <w:gridCol w:w="213"/>
        <w:gridCol w:w="188"/>
        <w:gridCol w:w="1152"/>
        <w:gridCol w:w="128"/>
      </w:tblGrid>
      <w:tr>
        <w:trPr/>
        <w:tc>
          <w:tcPr>
            <w:tcW w:w="257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571" w:type="dxa"/>
            <w:tcBorders>
              <w:bottom w:val="single" w:sz="2" w:space="0" w:color="000000"/>
            </w:tcBorders>
            <w:shd w:fill="auto" w:val="clear"/>
            <w:tcMar>
              <w:bottom w:w="28" w:type="dxa"/>
            </w:tcMar>
            <w:vAlign w:val="bottom"/>
          </w:tcPr>
          <w:p>
            <w:pPr>
              <w:pStyle w:val="TableContents"/>
              <w:spacing w:before="0" w:after="283"/>
              <w:rPr/>
            </w:pPr>
            <w:r>
              <w:rPr/>
              <w:t> </w:t>
            </w:r>
          </w:p>
        </w:tc>
        <w:tc>
          <w:tcPr>
            <w:tcW w:w="213" w:type="dxa"/>
            <w:tcBorders>
              <w:bottom w:val="single" w:sz="2" w:space="0" w:color="000000"/>
            </w:tcBorders>
            <w:shd w:fill="auto" w:val="clear"/>
            <w:tcMar>
              <w:bottom w:w="28" w:type="dxa"/>
            </w:tcMar>
            <w:vAlign w:val="bottom"/>
          </w:tcPr>
          <w:p>
            <w:pPr>
              <w:pStyle w:val="TableContents"/>
              <w:spacing w:before="0" w:after="283"/>
              <w:rPr/>
            </w:pPr>
            <w:r>
              <w:rPr/>
              <w:t> </w:t>
            </w:r>
          </w:p>
        </w:tc>
        <w:tc>
          <w:tcPr>
            <w:tcW w:w="161" w:type="dxa"/>
            <w:tcBorders>
              <w:bottom w:val="single" w:sz="2" w:space="0" w:color="000000"/>
            </w:tcBorders>
            <w:shd w:fill="auto" w:val="clear"/>
            <w:tcMar>
              <w:bottom w:w="28" w:type="dxa"/>
            </w:tcMar>
            <w:vAlign w:val="bottom"/>
          </w:tcPr>
          <w:p>
            <w:pPr>
              <w:pStyle w:val="TableContents"/>
              <w:spacing w:before="0" w:after="283"/>
              <w:rPr/>
            </w:pPr>
            <w:r>
              <w:rPr/>
              <w:t> </w:t>
            </w:r>
          </w:p>
        </w:tc>
        <w:tc>
          <w:tcPr>
            <w:tcW w:w="988" w:type="dxa"/>
            <w:tcBorders>
              <w:bottom w:val="single" w:sz="2" w:space="0" w:color="000000"/>
            </w:tcBorders>
            <w:shd w:fill="auto" w:val="clear"/>
            <w:tcMar>
              <w:bottom w:w="28" w:type="dxa"/>
            </w:tcMar>
            <w:vAlign w:val="bottom"/>
          </w:tcPr>
          <w:p>
            <w:pPr>
              <w:pStyle w:val="TableContents"/>
              <w:spacing w:before="0" w:after="283"/>
              <w:rPr/>
            </w:pPr>
            <w:r>
              <w:rPr/>
              <w:t> </w:t>
            </w:r>
          </w:p>
        </w:tc>
        <w:tc>
          <w:tcPr>
            <w:tcW w:w="86" w:type="dxa"/>
            <w:tcBorders>
              <w:bottom w:val="single" w:sz="2" w:space="0" w:color="000000"/>
            </w:tcBorders>
            <w:shd w:fill="auto" w:val="clear"/>
            <w:tcMar>
              <w:bottom w:w="28" w:type="dxa"/>
            </w:tcMar>
            <w:vAlign w:val="bottom"/>
          </w:tcPr>
          <w:p>
            <w:pPr>
              <w:pStyle w:val="TableContents"/>
              <w:spacing w:before="0" w:after="283"/>
              <w:rPr/>
            </w:pPr>
            <w:r>
              <w:rPr/>
              <w:t> </w:t>
            </w:r>
          </w:p>
        </w:tc>
        <w:tc>
          <w:tcPr>
            <w:tcW w:w="213" w:type="dxa"/>
            <w:tcBorders>
              <w:bottom w:val="single" w:sz="2" w:space="0" w:color="000000"/>
            </w:tcBorders>
            <w:shd w:fill="auto" w:val="clear"/>
            <w:tcMar>
              <w:bottom w:w="28" w:type="dxa"/>
            </w:tcMar>
            <w:vAlign w:val="bottom"/>
          </w:tcPr>
          <w:p>
            <w:pPr>
              <w:pStyle w:val="TableContents"/>
              <w:spacing w:before="0" w:after="283"/>
              <w:rPr/>
            </w:pPr>
            <w:r>
              <w:rPr/>
              <w:t> </w:t>
            </w:r>
          </w:p>
        </w:tc>
        <w:tc>
          <w:tcPr>
            <w:tcW w:w="4174"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 2009</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213" w:type="dxa"/>
            <w:tcBorders>
              <w:bottom w:val="single" w:sz="2" w:space="0" w:color="000000"/>
            </w:tcBorders>
            <w:shd w:fill="auto" w:val="clear"/>
            <w:tcMar>
              <w:bottom w:w="28" w:type="dxa"/>
            </w:tcMar>
            <w:vAlign w:val="bottom"/>
          </w:tcPr>
          <w:p>
            <w:pPr>
              <w:pStyle w:val="TableContents"/>
              <w:spacing w:before="0" w:after="283"/>
              <w:rPr/>
            </w:pPr>
            <w:r>
              <w:rPr/>
              <w:t> </w:t>
            </w:r>
          </w:p>
        </w:tc>
        <w:tc>
          <w:tcPr>
            <w:tcW w:w="1340"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49" w:type="dxa"/>
            <w:gridSpan w:val="2"/>
            <w:tcBorders/>
            <w:shd w:fill="auto" w:val="clear"/>
            <w:vAlign w:val="bottom"/>
          </w:tcPr>
          <w:p>
            <w:pPr>
              <w:pStyle w:val="TableContents"/>
              <w:spacing w:before="0" w:after="283"/>
              <w:jc w:val="center"/>
              <w:rPr/>
            </w:pPr>
            <w:r>
              <w:rPr/>
              <w:t>U.S. Pawn</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500" w:type="dxa"/>
            <w:gridSpan w:val="2"/>
            <w:tcBorders/>
            <w:shd w:fill="auto" w:val="clear"/>
            <w:vAlign w:val="bottom"/>
          </w:tcPr>
          <w:p>
            <w:pPr>
              <w:pStyle w:val="TableContents"/>
              <w:spacing w:before="0" w:after="283"/>
              <w:jc w:val="center"/>
              <w:rPr/>
            </w:pPr>
            <w:r>
              <w:rPr/>
              <w:t>Empeño</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994" w:type="dxa"/>
            <w:gridSpan w:val="2"/>
            <w:tcBorders/>
            <w:shd w:fill="auto" w:val="clear"/>
            <w:vAlign w:val="bottom"/>
          </w:tcPr>
          <w:p>
            <w:pPr>
              <w:pStyle w:val="TableContents"/>
              <w:spacing w:before="0" w:after="283"/>
              <w:jc w:val="center"/>
              <w:rPr/>
            </w:pPr>
            <w:r>
              <w:rPr/>
              <w:t>EZMONEY</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4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500"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99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340"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28" w:type="dxa"/>
            <w:tcBorders/>
            <w:shd w:fill="auto" w:val="clear"/>
            <w:vAlign w:val="bottom"/>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225" w:right="0" w:hanging="225"/>
              <w:rPr/>
            </w:pPr>
            <w:r>
              <w:rPr/>
              <w:t>Stores in operation:</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450" w:right="0" w:hanging="225"/>
              <w:rPr/>
            </w:pPr>
            <w:r>
              <w:rPr/>
              <w:t>Beginning of period</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375</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62</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473</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910</w:t>
            </w:r>
          </w:p>
        </w:tc>
        <w:tc>
          <w:tcPr>
            <w:tcW w:w="128" w:type="dxa"/>
            <w:tcBorders/>
            <w:shd w:fill="auto" w:val="clear"/>
            <w:vAlign w:val="bottom"/>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450" w:right="0" w:hanging="225"/>
              <w:rPr/>
            </w:pPr>
            <w:r>
              <w:rPr/>
              <w:t>New openings</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8</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6</w:t>
            </w:r>
          </w:p>
        </w:tc>
        <w:tc>
          <w:tcPr>
            <w:tcW w:w="11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15</w:t>
            </w:r>
          </w:p>
        </w:tc>
        <w:tc>
          <w:tcPr>
            <w:tcW w:w="128" w:type="dxa"/>
            <w:tcBorders/>
            <w:shd w:fill="CCEEFF"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450" w:right="0" w:hanging="225"/>
              <w:rPr/>
            </w:pPr>
            <w:r>
              <w:rPr/>
              <w:t>Acquired</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450" w:right="0" w:hanging="225"/>
              <w:rPr/>
            </w:pPr>
            <w:r>
              <w:rPr/>
              <w:t>Sold, combined, or closed</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jc w:val="left"/>
              <w:rPr/>
            </w:pPr>
            <w:r>
              <w:rPr/>
              <w:t> </w:t>
            </w:r>
          </w:p>
        </w:tc>
        <w:tc>
          <w:tcPr>
            <w:tcW w:w="1717" w:type="dxa"/>
            <w:tcBorders/>
            <w:shd w:fill="CCEEFF" w:val="clear"/>
            <w:vAlign w:val="bottom"/>
          </w:tcPr>
          <w:p>
            <w:pPr>
              <w:pStyle w:val="TableContents"/>
              <w:spacing w:before="0" w:after="283"/>
              <w:jc w:val="right"/>
              <w:rPr/>
            </w:pPr>
            <w:r>
              <w:rPr/>
              <w:t>(5</w:t>
            </w:r>
          </w:p>
        </w:tc>
        <w:tc>
          <w:tcPr>
            <w:tcW w:w="118" w:type="dxa"/>
            <w:tcBorders/>
            <w:shd w:fill="CCEEFF" w:val="clear"/>
            <w:vAlign w:val="bottom"/>
          </w:tcPr>
          <w:p>
            <w:pPr>
              <w:pStyle w:val="TableContents"/>
              <w:spacing w:before="0" w:after="283"/>
              <w:rPr/>
            </w:pPr>
            <w:r>
              <w:rPr/>
              <w:t>)</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(5</w:t>
            </w:r>
          </w:p>
        </w:tc>
        <w:tc>
          <w:tcPr>
            <w:tcW w:w="128" w:type="dxa"/>
            <w:tcBorders/>
            <w:shd w:fill="CCEEFF" w:val="clear"/>
            <w:vAlign w:val="bottom"/>
          </w:tcPr>
          <w:p>
            <w:pPr>
              <w:pStyle w:val="TableContents"/>
              <w:spacing w:before="0" w:after="283"/>
              <w:rPr/>
            </w:pPr>
            <w:r>
              <w:rPr/>
              <w:t>)</w:t>
            </w:r>
          </w:p>
        </w:tc>
      </w:tr>
      <w:tr>
        <w:trPr/>
        <w:tc>
          <w:tcPr>
            <w:tcW w:w="2571" w:type="dxa"/>
            <w:tcBorders/>
            <w:shd w:fill="auto" w:val="clear"/>
            <w:vAlign w:val="center"/>
          </w:tcPr>
          <w:p>
            <w:pPr>
              <w:pStyle w:val="TableContents"/>
              <w:spacing w:before="0" w:after="0"/>
              <w:ind w:left="225" w:right="0" w:hanging="225"/>
              <w:rPr/>
            </w:pPr>
            <w:r>
              <w:rPr/>
              <w:t> </w:t>
            </w:r>
          </w:p>
        </w:tc>
        <w:tc>
          <w:tcPr>
            <w:tcW w:w="213"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03" w:type="dxa"/>
            <w:tcBorders/>
            <w:shd w:fill="auto" w:val="clear"/>
            <w:vAlign w:val="center"/>
          </w:tcPr>
          <w:p>
            <w:pPr>
              <w:pStyle w:val="TableContents"/>
              <w:spacing w:before="0" w:after="283"/>
              <w:rPr/>
            </w:pPr>
            <w:r>
              <w:rPr/>
              <w:t> </w:t>
            </w:r>
          </w:p>
        </w:tc>
        <w:tc>
          <w:tcPr>
            <w:tcW w:w="1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571" w:type="dxa"/>
            <w:tcBorders/>
            <w:shd w:fill="auto" w:val="clear"/>
            <w:vAlign w:val="bottom"/>
          </w:tcPr>
          <w:p>
            <w:pPr>
              <w:pStyle w:val="TableContents"/>
              <w:spacing w:before="0" w:after="0"/>
              <w:ind w:left="450" w:right="0" w:hanging="225"/>
              <w:rPr/>
            </w:pPr>
            <w:r>
              <w:rPr/>
              <w:t>End of period</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376</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70</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474</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920</w:t>
            </w:r>
          </w:p>
        </w:tc>
        <w:tc>
          <w:tcPr>
            <w:tcW w:w="128" w:type="dxa"/>
            <w:tcBorders/>
            <w:shd w:fill="auto" w:val="clear"/>
            <w:vAlign w:val="bottom"/>
          </w:tcPr>
          <w:p>
            <w:pPr>
              <w:pStyle w:val="TableContents"/>
              <w:spacing w:before="0" w:after="283"/>
              <w:rPr/>
            </w:pPr>
            <w:r>
              <w:rPr/>
              <w:t> </w:t>
            </w:r>
          </w:p>
        </w:tc>
      </w:tr>
      <w:tr>
        <w:trPr/>
        <w:tc>
          <w:tcPr>
            <w:tcW w:w="2571" w:type="dxa"/>
            <w:tcBorders/>
            <w:shd w:fill="auto" w:val="clear"/>
            <w:vAlign w:val="center"/>
          </w:tcPr>
          <w:p>
            <w:pPr>
              <w:pStyle w:val="TableContents"/>
              <w:spacing w:before="0" w:after="0"/>
              <w:ind w:left="225" w:right="0" w:hanging="225"/>
              <w:rPr/>
            </w:pPr>
            <w:r>
              <w:rPr/>
              <w:t> </w:t>
            </w:r>
          </w:p>
        </w:tc>
        <w:tc>
          <w:tcPr>
            <w:tcW w:w="213"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03" w:type="dxa"/>
            <w:tcBorders/>
            <w:shd w:fill="auto" w:val="clear"/>
            <w:vAlign w:val="center"/>
          </w:tcPr>
          <w:p>
            <w:pPr>
              <w:pStyle w:val="TableContents"/>
              <w:spacing w:before="0" w:after="283"/>
              <w:rPr/>
            </w:pPr>
            <w:r>
              <w:rPr/>
              <w:t> </w:t>
            </w:r>
          </w:p>
        </w:tc>
        <w:tc>
          <w:tcPr>
            <w:tcW w:w="1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571" w:type="dxa"/>
            <w:tcBorders/>
            <w:shd w:fill="auto" w:val="clear"/>
            <w:vAlign w:val="bottom"/>
          </w:tcPr>
          <w:p>
            <w:pPr>
              <w:pStyle w:val="TableContents"/>
              <w:spacing w:before="0" w:after="0"/>
              <w:ind w:left="225" w:right="0" w:hanging="225"/>
              <w:rPr/>
            </w:pPr>
            <w:r>
              <w:rPr/>
              <w:t> </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225" w:right="0" w:hanging="225"/>
              <w:rPr/>
            </w:pPr>
            <w:r>
              <w:rPr/>
              <w:t>Average number of stores during the period</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375</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66</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472</w:t>
            </w:r>
          </w:p>
        </w:tc>
        <w:tc>
          <w:tcPr>
            <w:tcW w:w="11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914</w:t>
            </w:r>
          </w:p>
        </w:tc>
        <w:tc>
          <w:tcPr>
            <w:tcW w:w="128" w:type="dxa"/>
            <w:tcBorders/>
            <w:shd w:fill="CCEEFF"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225" w:right="0" w:hanging="225"/>
              <w:rPr/>
            </w:pPr>
            <w:r>
              <w:rPr/>
              <w:t> </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225" w:right="0" w:hanging="225"/>
              <w:rPr/>
            </w:pPr>
            <w:r>
              <w:rPr/>
              <w:t>Composition of ending stores:</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450" w:right="0" w:hanging="225"/>
              <w:rPr/>
            </w:pPr>
            <w:r>
              <w:rPr/>
              <w:t>Pawn</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370</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70</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440</w:t>
            </w:r>
          </w:p>
        </w:tc>
        <w:tc>
          <w:tcPr>
            <w:tcW w:w="128" w:type="dxa"/>
            <w:tcBorders/>
            <w:shd w:fill="CCEEFF"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450" w:right="0" w:hanging="225"/>
              <w:rPr/>
            </w:pPr>
            <w:r>
              <w:rPr/>
              <w:t>Short-term consumer loan stores</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474</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480</w:t>
            </w:r>
          </w:p>
        </w:tc>
        <w:tc>
          <w:tcPr>
            <w:tcW w:w="128" w:type="dxa"/>
            <w:tcBorders/>
            <w:shd w:fill="auto" w:val="clear"/>
            <w:vAlign w:val="bottom"/>
          </w:tcPr>
          <w:p>
            <w:pPr>
              <w:pStyle w:val="TableContents"/>
              <w:spacing w:before="0" w:after="283"/>
              <w:rPr/>
            </w:pPr>
            <w:r>
              <w:rPr/>
              <w:t> </w:t>
            </w:r>
          </w:p>
        </w:tc>
      </w:tr>
      <w:tr>
        <w:trPr/>
        <w:tc>
          <w:tcPr>
            <w:tcW w:w="2571" w:type="dxa"/>
            <w:tcBorders/>
            <w:shd w:fill="auto" w:val="clear"/>
            <w:vAlign w:val="center"/>
          </w:tcPr>
          <w:p>
            <w:pPr>
              <w:pStyle w:val="TableContents"/>
              <w:spacing w:before="0" w:after="0"/>
              <w:ind w:left="225" w:right="0" w:hanging="225"/>
              <w:rPr/>
            </w:pPr>
            <w:r>
              <w:rPr/>
              <w:t> </w:t>
            </w:r>
          </w:p>
        </w:tc>
        <w:tc>
          <w:tcPr>
            <w:tcW w:w="213"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03" w:type="dxa"/>
            <w:tcBorders/>
            <w:shd w:fill="auto" w:val="clear"/>
            <w:vAlign w:val="center"/>
          </w:tcPr>
          <w:p>
            <w:pPr>
              <w:pStyle w:val="TableContents"/>
              <w:spacing w:before="0" w:after="283"/>
              <w:rPr/>
            </w:pPr>
            <w:r>
              <w:rPr/>
              <w:t> </w:t>
            </w:r>
          </w:p>
        </w:tc>
        <w:tc>
          <w:tcPr>
            <w:tcW w:w="1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450" w:right="0" w:hanging="225"/>
              <w:rPr/>
            </w:pPr>
            <w:r>
              <w:rPr/>
              <w:t>Total stores in operation</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376</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70</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474</w:t>
            </w:r>
          </w:p>
        </w:tc>
        <w:tc>
          <w:tcPr>
            <w:tcW w:w="11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920</w:t>
            </w:r>
          </w:p>
        </w:tc>
        <w:tc>
          <w:tcPr>
            <w:tcW w:w="128" w:type="dxa"/>
            <w:tcBorders/>
            <w:shd w:fill="CCEEFF" w:val="clear"/>
            <w:vAlign w:val="bottom"/>
          </w:tcPr>
          <w:p>
            <w:pPr>
              <w:pStyle w:val="TableContents"/>
              <w:spacing w:before="0" w:after="283"/>
              <w:rPr/>
            </w:pPr>
            <w:r>
              <w:rPr/>
              <w:t> </w:t>
            </w:r>
          </w:p>
        </w:tc>
      </w:tr>
      <w:tr>
        <w:trPr/>
        <w:tc>
          <w:tcPr>
            <w:tcW w:w="2571" w:type="dxa"/>
            <w:tcBorders/>
            <w:shd w:fill="auto" w:val="clear"/>
            <w:vAlign w:val="center"/>
          </w:tcPr>
          <w:p>
            <w:pPr>
              <w:pStyle w:val="TableContents"/>
              <w:spacing w:before="0" w:after="0"/>
              <w:ind w:left="225" w:right="0" w:hanging="225"/>
              <w:rPr/>
            </w:pPr>
            <w:r>
              <w:rPr/>
              <w:t> </w:t>
            </w:r>
          </w:p>
        </w:tc>
        <w:tc>
          <w:tcPr>
            <w:tcW w:w="213"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03" w:type="dxa"/>
            <w:tcBorders/>
            <w:shd w:fill="auto" w:val="clear"/>
            <w:vAlign w:val="center"/>
          </w:tcPr>
          <w:p>
            <w:pPr>
              <w:pStyle w:val="TableContents"/>
              <w:spacing w:before="0" w:after="283"/>
              <w:rPr/>
            </w:pPr>
            <w:r>
              <w:rPr/>
              <w:t> </w:t>
            </w:r>
          </w:p>
        </w:tc>
        <w:tc>
          <w:tcPr>
            <w:tcW w:w="1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571" w:type="dxa"/>
            <w:tcBorders/>
            <w:shd w:fill="auto" w:val="clear"/>
            <w:vAlign w:val="bottom"/>
          </w:tcPr>
          <w:p>
            <w:pPr>
              <w:pStyle w:val="TableContents"/>
              <w:spacing w:before="0" w:after="0"/>
              <w:ind w:left="225" w:right="0" w:hanging="225"/>
              <w:rPr/>
            </w:pPr>
            <w:r>
              <w:rPr/>
              <w:t> </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450" w:right="0" w:hanging="225"/>
              <w:rPr/>
            </w:pPr>
            <w:r>
              <w:rPr/>
              <w:t>Stores offering payday loans (a)</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82</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474</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556</w:t>
            </w:r>
          </w:p>
        </w:tc>
        <w:tc>
          <w:tcPr>
            <w:tcW w:w="128" w:type="dxa"/>
            <w:tcBorders/>
            <w:shd w:fill="auto" w:val="clear"/>
            <w:vAlign w:val="bottom"/>
          </w:tcPr>
          <w:p>
            <w:pPr>
              <w:pStyle w:val="TableContents"/>
              <w:spacing w:before="0" w:after="283"/>
              <w:rPr/>
            </w:pPr>
            <w:r>
              <w:rPr/>
              <w:t> </w:t>
            </w:r>
          </w:p>
        </w:tc>
      </w:tr>
      <w:tr>
        <w:trPr/>
        <w:tc>
          <w:tcPr>
            <w:tcW w:w="2571" w:type="dxa"/>
            <w:tcBorders/>
            <w:shd w:fill="CCEEFF" w:val="clear"/>
            <w:vAlign w:val="bottom"/>
          </w:tcPr>
          <w:p>
            <w:pPr>
              <w:pStyle w:val="TableContents"/>
              <w:spacing w:before="0" w:after="0"/>
              <w:ind w:left="450" w:right="0" w:hanging="225"/>
              <w:rPr/>
            </w:pPr>
            <w:r>
              <w:rPr/>
              <w:t>Stores offering installment loans (a)</w:t>
            </w:r>
          </w:p>
        </w:tc>
        <w:tc>
          <w:tcPr>
            <w:tcW w:w="21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w:t>
            </w:r>
          </w:p>
        </w:tc>
        <w:tc>
          <w:tcPr>
            <w:tcW w:w="277"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193</w:t>
            </w:r>
          </w:p>
        </w:tc>
        <w:tc>
          <w:tcPr>
            <w:tcW w:w="11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193</w:t>
            </w:r>
          </w:p>
        </w:tc>
        <w:tc>
          <w:tcPr>
            <w:tcW w:w="128" w:type="dxa"/>
            <w:tcBorders/>
            <w:shd w:fill="CCEEFF" w:val="clear"/>
            <w:vAlign w:val="bottom"/>
          </w:tcPr>
          <w:p>
            <w:pPr>
              <w:pStyle w:val="TableContents"/>
              <w:spacing w:before="0" w:after="283"/>
              <w:rPr/>
            </w:pPr>
            <w:r>
              <w:rPr/>
              <w:t> </w:t>
            </w:r>
          </w:p>
        </w:tc>
      </w:tr>
      <w:tr>
        <w:trPr/>
        <w:tc>
          <w:tcPr>
            <w:tcW w:w="2571" w:type="dxa"/>
            <w:tcBorders/>
            <w:shd w:fill="auto" w:val="clear"/>
            <w:vAlign w:val="bottom"/>
          </w:tcPr>
          <w:p>
            <w:pPr>
              <w:pStyle w:val="TableContents"/>
              <w:spacing w:before="0" w:after="0"/>
              <w:ind w:left="450" w:right="0" w:hanging="225"/>
              <w:rPr/>
            </w:pPr>
            <w:r>
              <w:rPr/>
              <w:t>Stores offering auto title loans (a)</w:t>
            </w:r>
          </w:p>
        </w:tc>
        <w:tc>
          <w:tcPr>
            <w:tcW w:w="21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68</w:t>
            </w:r>
          </w:p>
        </w:tc>
        <w:tc>
          <w:tcPr>
            <w:tcW w:w="8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w:t>
            </w:r>
          </w:p>
        </w:tc>
        <w:tc>
          <w:tcPr>
            <w:tcW w:w="27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393</w:t>
            </w:r>
          </w:p>
        </w:tc>
        <w:tc>
          <w:tcPr>
            <w:tcW w:w="11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461</w:t>
            </w:r>
          </w:p>
        </w:tc>
        <w:tc>
          <w:tcPr>
            <w:tcW w:w="128"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Including credit services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revenues on our pawn lending. While allowable service charges vary by state and loan size, a majority of our U.S. pawn loans earn 20% per month. Our average U.S. pawn loan amount typically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ranges between $80 and $120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we acquire inventory for retail sales through pawn loan forfeitures and, to a lesser extent, through purchases of customers merchandise and purchases of new or refurbished merchandise from third party vendors.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7.6% of gross inventory at December 31, 2010 compared to 8.4% at December 31, 2009 and 7.4% at September 30, 2010. Changes in the valuation allowance are charged to merchandise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December 31, 2010, 289 of our U.S. short-term consumer loan stores and 25 of our U.S. pawn stores offered credit services to customers seeking short-term consumer signature loans from unaffiliated lenders. We do not participate in any of the loans made by the lenders, but earn a fee for helping customers obtain credit and for enhancing customers creditworthiness by providing letters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our credit services, the unaffiliated lenders offer customers two types of signature loans. In all stores offering signature loan credit services, customers can obtain payday loans, with principal amounts up to $1,500 but averaging about $525. Terms of these loans are generally less than 30 days, averaging about 16 days, with due dates corresponding with the customers next payday. We typically earn a fee of 21.75% of the loan amount for our credit services offered in connection with payday loans. In 289 of the U.S. short-term consumer loan stores offering credit services, customers can obtain longer-term unsecured installment loans from the unaffiliated lenders. The installment loans offered in connection with our credit services typically carry terms of about five months with ten equal installment payments due on customers paydays. Installment loan principal amounts range from $1,525 to $3,000, but average about $2,020. With each semi-monthly or bi-weekly installment payment, we earn a fee of 10% of the initial loan amount. At December 31, 2010, payday loans comprised 95% of the balance of signature loans brokered through our credit services, and installment loans comprised the remaining 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signature loan fee revenue on our payday loans. In four U.S. pawn stores, 125 U.S. short-term consumer loan stores and 56 Canadian short-term consumer loan stores, we make payday loans subject to state or provincial law. The average payday loan amount is approximately $425 and the term is generally less than 30 days, averaging about 16 days. We typically charge a fee of 15% to 22% of the loan amount for a 7 to 23-day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126 of our U.S. short-term consumer loan stores, we make installment loans subject to state law. Outside Colorado, these installment loans typically carry a term of five months, with ten equal installment payments due on customers paydays. On those loans, we typically charge a fee of 10% of the initial loan amount with each semi-monthly or bi-weekly installment payment. Outside Colorado, loan principal amounts range from $525 to $3,000 but average approximately $940. In August 2010, we stopped offering payday loans in Colorado following a legislative change and instead began offering six-month installment loans ranging from $100 to $500 in principal, with a 45% annual interest rate plus certain finance charges and maintenance fees. Including loans made in Colorado, installment loan principal amounts averaged approximately $535.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December 31, 2010, 403 of our U.S. short-term consumer loan stores and 44 of our U.S. pawn stores offered auto title loans or credit services to assist customers in obtaining auto title loans from unaffiliated lenders. Auto title loans are 30-day loans secured by the titles to customers automobiles. Loan principal amounts range from $100 to $9,000, but average about $805. We earn a fee of 12.5% to 25% of auto title loan amounts.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ended September 30, 2010, we acquired sixteen pawn stores located in the Chicago metropolitan area, Central and South Florida, Corpus Christi, Texas and Las Vegas, Nevada for approximately $21.8 million in cash. In the quarter ended December 31, 2010 we acquired three pawn stores located in the Chicago metropolitan area and one located in Marietta, Georgia for approximately $13.7 million in cash. All stores were acquired as part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our continuing strategy to acquire domestic pawn stores to enhance and diversify our earnings. The results of all acquired stores have been consolidated with our results since their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legislation adversely affecting our business was enacted in Colorado and Wisconsin. The Colorado law, which became effective in August 2010, essentially eliminated the traditional short-term payday loan product by requiring that payday loans have a minimum term of six months and changed the allowed fees. The Wisconsin law, which became effective January 1, 2011, limits the availability of payday loans and completely eliminated auto title loans. Although we decided in fiscal 2010 to close or consolidate 11 short-term consumer loan stores in those states, we continue to operate the remaining stores with new or modified products that fit within the new regulatory frameworks and are evaluating the feasibility of additional product offerings to enhance our business in those stores. If we are unable to continue to operate profitably under the new laws in either or both of these states, we may decide to close or consolidate additional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current quarter results is a pre-tax administrative expense charge of $10.9 million related to the retirement of our former Chief Executive Officer, including $3.4 million attributable to a cash payment and $7.5 million attributable to the vesting of restricted stock. The current quarter income tax expense reflects a $3.8 million tax benefit related to this charge.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Three Months Ended December 31, 2010 vs. Three Months Ended December 31, 2009</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quarter ended December 31, 2010 to the quarter ended December 31, 2009. It should be read with the accompanying financial statements and related notes.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consolidated total revenues increased 18%, or $34.1 million to $218.8 million, compared to the prior year quarter. Same store total revenues increased 13%, with the remainder of the increase coming from new and acquired stores. The overall increase in total consolidated revenues was comprised of an $18.5 million increase in merchandise and jewelry scrapping sales, a $9.0 million increase in pawn service charges, a $3.1 million increase in auto title loan fees, a $1.4 million increase in signature loan fees and a $2.1 million increase in other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U.S. Pawn Operations segment contributed $11.6 million greater store operating income compared to the prior year quarter, primarily as the result of a $7.5 million increase in pawn service charges, a $5.3 million increase in gross profit on sales and a $1.9 million increase in other revenues, partially offset by higher operating costs and lower signature and auto title loan fees. The Empeño Fácil segment contributed $1.6 million greater store operating income compared to the prior year quarter, primarily as the result of a $2.1 million increase in gross profit on sales and a $1.5 million increase in pawn service charges, partially offset by higher operating expenses at new stores. Our EZMONEY Operations segment contributed $1.8 million greater store operating income, primarily from auto title and installment loans, partially offset by an increase in bad debt as a percent of fees and higher operating expenses at new stores. After a $13.8 million increase in administrative expenses, a $0.8 million increase in depreciation and amortization and a $0.2 million decrease in loss on disposal of assets, operating income improved $0.5 million to $39.4 million. After a $2.1 million increase in our equity in the net income of unconsolidated affiliates, and a $1.0 million increase in income taxes and other smaller items, our consolidated net income improved 7% to $27.4 million from $25.7 million in the prior year quarter. Excluding the $10.9 million administrative expense charge and $3.8 million tax benefit related to the retirement of our former Chief Executive Officer, net income increased 34% to $34.5 million.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5633"/>
        <w:gridCol w:w="365"/>
        <w:gridCol w:w="246"/>
        <w:gridCol w:w="1365"/>
        <w:gridCol w:w="344"/>
        <w:gridCol w:w="394"/>
        <w:gridCol w:w="246"/>
        <w:gridCol w:w="1367"/>
        <w:gridCol w:w="245"/>
      </w:tblGrid>
      <w:tr>
        <w:trPr/>
        <w:tc>
          <w:tcPr>
            <w:tcW w:w="563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3962"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61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61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3962"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450" w:right="0" w:hanging="225"/>
              <w:rPr/>
            </w:pPr>
            <w:r>
              <w:rPr/>
              <w:t>Merchandise sales</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365" w:type="dxa"/>
            <w:tcBorders/>
            <w:shd w:fill="CCEEFF" w:val="clear"/>
            <w:vAlign w:val="bottom"/>
          </w:tcPr>
          <w:p>
            <w:pPr>
              <w:pStyle w:val="TableContents"/>
              <w:spacing w:before="0" w:after="283"/>
              <w:jc w:val="right"/>
              <w:rPr/>
            </w:pPr>
            <w:r>
              <w:rPr/>
              <w:t>62,341</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367" w:type="dxa"/>
            <w:tcBorders/>
            <w:shd w:fill="CCEEFF" w:val="clear"/>
            <w:vAlign w:val="bottom"/>
          </w:tcPr>
          <w:p>
            <w:pPr>
              <w:pStyle w:val="TableContents"/>
              <w:spacing w:before="0" w:after="283"/>
              <w:jc w:val="right"/>
              <w:rPr/>
            </w:pPr>
            <w:r>
              <w:rPr/>
              <w:t>59,211</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Jewelry scrapping sales</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47,006</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36,823</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450" w:right="0" w:hanging="225"/>
              <w:rPr/>
            </w:pPr>
            <w:r>
              <w:rPr/>
              <w:t>Pawn service charges</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46,436</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38,941</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Signature loan fees</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509</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553</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450" w:right="0" w:hanging="225"/>
              <w:rPr/>
            </w:pPr>
            <w:r>
              <w:rPr/>
              <w:t>Auto title loan fees</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393</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475</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Other</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4,081</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2,167</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6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6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675" w:right="0" w:hanging="225"/>
              <w:rPr/>
            </w:pPr>
            <w:r>
              <w:rPr/>
              <w:t>Total revenues</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160,766</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138,170</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Merchandise cost of goods sold</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38,197</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36,906</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450" w:right="0" w:hanging="225"/>
              <w:rPr/>
            </w:pPr>
            <w:r>
              <w:rPr/>
              <w:t>Jewelry scrapping cost of goods sold</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29,538</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22,824</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Signature loan bad debt</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165</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186</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450" w:right="0" w:hanging="225"/>
              <w:rPr/>
            </w:pPr>
            <w:r>
              <w:rPr/>
              <w:t>Auto title loan bad debt</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61</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70</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6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6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633" w:type="dxa"/>
            <w:tcBorders/>
            <w:shd w:fill="auto" w:val="clear"/>
            <w:vAlign w:val="bottom"/>
          </w:tcPr>
          <w:p>
            <w:pPr>
              <w:pStyle w:val="TableContents"/>
              <w:spacing w:before="0" w:after="0"/>
              <w:ind w:left="675" w:right="0" w:hanging="225"/>
              <w:rPr/>
            </w:pPr>
            <w:r>
              <w:rPr/>
              <w:t>Net revenues</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92,805</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78,184</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450" w:right="0" w:hanging="225"/>
              <w:rPr/>
            </w:pPr>
            <w:r>
              <w:rPr/>
              <w:t>Operations expense</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43,196</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40,199</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6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6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633" w:type="dxa"/>
            <w:tcBorders/>
            <w:shd w:fill="auto" w:val="clear"/>
            <w:vAlign w:val="bottom"/>
          </w:tcPr>
          <w:p>
            <w:pPr>
              <w:pStyle w:val="TableContents"/>
              <w:spacing w:before="0" w:after="0"/>
              <w:ind w:left="675" w:right="0" w:hanging="225"/>
              <w:rPr/>
            </w:pPr>
            <w:r>
              <w:rPr/>
              <w:t>Store operating income</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65" w:type="dxa"/>
            <w:tcBorders/>
            <w:shd w:fill="auto" w:val="clear"/>
            <w:vAlign w:val="bottom"/>
          </w:tcPr>
          <w:p>
            <w:pPr>
              <w:pStyle w:val="TableContents"/>
              <w:spacing w:before="0" w:after="283"/>
              <w:jc w:val="right"/>
              <w:rPr/>
            </w:pPr>
            <w:r>
              <w:rPr/>
              <w:t>49,609</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67" w:type="dxa"/>
            <w:tcBorders/>
            <w:shd w:fill="auto" w:val="clear"/>
            <w:vAlign w:val="bottom"/>
          </w:tcPr>
          <w:p>
            <w:pPr>
              <w:pStyle w:val="TableContents"/>
              <w:spacing w:before="0" w:after="283"/>
              <w:jc w:val="right"/>
              <w:rPr/>
            </w:pPr>
            <w:r>
              <w:rPr/>
              <w:t>37,985</w:t>
            </w:r>
          </w:p>
        </w:tc>
        <w:tc>
          <w:tcPr>
            <w:tcW w:w="245" w:type="dxa"/>
            <w:tcBorders/>
            <w:shd w:fill="auto" w:val="clear"/>
            <w:vAlign w:val="bottom"/>
          </w:tcPr>
          <w:p>
            <w:pPr>
              <w:pStyle w:val="TableContents"/>
              <w:spacing w:before="0" w:after="283"/>
              <w:rPr/>
            </w:pPr>
            <w:r>
              <w:rPr/>
              <w:t> </w:t>
            </w:r>
          </w:p>
        </w:tc>
      </w:tr>
      <w:tr>
        <w:trPr/>
        <w:tc>
          <w:tcPr>
            <w:tcW w:w="5633"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6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6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633"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633" w:type="dxa"/>
            <w:tcBorders/>
            <w:shd w:fill="CCEEFF" w:val="clear"/>
            <w:vAlign w:val="bottom"/>
          </w:tcPr>
          <w:p>
            <w:pPr>
              <w:pStyle w:val="TableContents"/>
              <w:spacing w:before="0" w:after="0"/>
              <w:ind w:left="225" w:right="0" w:hanging="225"/>
              <w:rPr/>
            </w:pPr>
            <w:r>
              <w:rPr/>
              <w:t>Other data:</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Gross margin on merchandise sales</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65" w:type="dxa"/>
            <w:tcBorders/>
            <w:shd w:fill="auto" w:val="clear"/>
            <w:vAlign w:val="bottom"/>
          </w:tcPr>
          <w:p>
            <w:pPr>
              <w:pStyle w:val="TableContents"/>
              <w:spacing w:before="0" w:after="283"/>
              <w:jc w:val="right"/>
              <w:rPr/>
            </w:pPr>
            <w:r>
              <w:rPr/>
              <w:t>38.7</w:t>
            </w:r>
          </w:p>
        </w:tc>
        <w:tc>
          <w:tcPr>
            <w:tcW w:w="344"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67" w:type="dxa"/>
            <w:tcBorders/>
            <w:shd w:fill="auto" w:val="clear"/>
            <w:vAlign w:val="bottom"/>
          </w:tcPr>
          <w:p>
            <w:pPr>
              <w:pStyle w:val="TableContents"/>
              <w:spacing w:before="0" w:after="283"/>
              <w:jc w:val="right"/>
              <w:rPr/>
            </w:pPr>
            <w:r>
              <w:rPr/>
              <w:t>37.7</w:t>
            </w:r>
          </w:p>
        </w:tc>
        <w:tc>
          <w:tcPr>
            <w:tcW w:w="245" w:type="dxa"/>
            <w:tcBorders/>
            <w:shd w:fill="auto" w:val="clear"/>
            <w:vAlign w:val="bottom"/>
          </w:tcPr>
          <w:p>
            <w:pPr>
              <w:pStyle w:val="TableContents"/>
              <w:spacing w:before="0" w:after="283"/>
              <w:rPr/>
            </w:pPr>
            <w:r>
              <w:rPr/>
              <w:t>%</w:t>
            </w:r>
          </w:p>
        </w:tc>
      </w:tr>
      <w:tr>
        <w:trPr/>
        <w:tc>
          <w:tcPr>
            <w:tcW w:w="5633" w:type="dxa"/>
            <w:tcBorders/>
            <w:shd w:fill="CCEEFF" w:val="clear"/>
            <w:vAlign w:val="bottom"/>
          </w:tcPr>
          <w:p>
            <w:pPr>
              <w:pStyle w:val="TableContents"/>
              <w:spacing w:before="0" w:after="0"/>
              <w:ind w:left="450" w:right="0" w:hanging="225"/>
              <w:rPr/>
            </w:pPr>
            <w:r>
              <w:rPr/>
              <w:t>Gross margin on jewelry scrapping sales</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pPr>
            <w:r>
              <w:rPr/>
              <w:t>37.2</w:t>
            </w:r>
          </w:p>
        </w:tc>
        <w:tc>
          <w:tcPr>
            <w:tcW w:w="344"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367" w:type="dxa"/>
            <w:tcBorders/>
            <w:shd w:fill="CCEEFF" w:val="clear"/>
            <w:vAlign w:val="bottom"/>
          </w:tcPr>
          <w:p>
            <w:pPr>
              <w:pStyle w:val="TableContents"/>
              <w:spacing w:before="0" w:after="283"/>
              <w:jc w:val="right"/>
              <w:rPr/>
            </w:pPr>
            <w:r>
              <w:rPr/>
              <w:t>38.0</w:t>
            </w:r>
          </w:p>
        </w:tc>
        <w:tc>
          <w:tcPr>
            <w:tcW w:w="245" w:type="dxa"/>
            <w:tcBorders/>
            <w:shd w:fill="CCEEFF" w:val="clear"/>
            <w:vAlign w:val="bottom"/>
          </w:tcPr>
          <w:p>
            <w:pPr>
              <w:pStyle w:val="TableContents"/>
              <w:spacing w:before="0" w:after="283"/>
              <w:rPr/>
            </w:pPr>
            <w:r>
              <w:rPr/>
              <w:t>%</w:t>
            </w:r>
          </w:p>
        </w:tc>
      </w:tr>
      <w:tr>
        <w:trPr/>
        <w:tc>
          <w:tcPr>
            <w:tcW w:w="5633" w:type="dxa"/>
            <w:tcBorders/>
            <w:shd w:fill="auto" w:val="clear"/>
            <w:vAlign w:val="bottom"/>
          </w:tcPr>
          <w:p>
            <w:pPr>
              <w:pStyle w:val="TableContents"/>
              <w:spacing w:before="0" w:after="0"/>
              <w:ind w:left="450" w:right="0" w:hanging="225"/>
              <w:rPr/>
            </w:pPr>
            <w:r>
              <w:rPr/>
              <w:t>Gross margin on total sales</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65" w:type="dxa"/>
            <w:tcBorders/>
            <w:shd w:fill="auto" w:val="clear"/>
            <w:vAlign w:val="bottom"/>
          </w:tcPr>
          <w:p>
            <w:pPr>
              <w:pStyle w:val="TableContents"/>
              <w:spacing w:before="0" w:after="283"/>
              <w:jc w:val="right"/>
              <w:rPr/>
            </w:pPr>
            <w:r>
              <w:rPr/>
              <w:t>38.1</w:t>
            </w:r>
          </w:p>
        </w:tc>
        <w:tc>
          <w:tcPr>
            <w:tcW w:w="344"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67" w:type="dxa"/>
            <w:tcBorders/>
            <w:shd w:fill="auto" w:val="clear"/>
            <w:vAlign w:val="bottom"/>
          </w:tcPr>
          <w:p>
            <w:pPr>
              <w:pStyle w:val="TableContents"/>
              <w:spacing w:before="0" w:after="283"/>
              <w:jc w:val="right"/>
              <w:rPr/>
            </w:pPr>
            <w:r>
              <w:rPr/>
              <w:t>37.8</w:t>
            </w:r>
          </w:p>
        </w:tc>
        <w:tc>
          <w:tcPr>
            <w:tcW w:w="245" w:type="dxa"/>
            <w:tcBorders/>
            <w:shd w:fill="auto" w:val="clear"/>
            <w:vAlign w:val="bottom"/>
          </w:tcPr>
          <w:p>
            <w:pPr>
              <w:pStyle w:val="TableContents"/>
              <w:spacing w:before="0" w:after="283"/>
              <w:rPr/>
            </w:pPr>
            <w:r>
              <w:rPr/>
              <w:t>%</w:t>
            </w:r>
          </w:p>
        </w:tc>
      </w:tr>
      <w:tr>
        <w:trPr/>
        <w:tc>
          <w:tcPr>
            <w:tcW w:w="5633" w:type="dxa"/>
            <w:tcBorders/>
            <w:shd w:fill="CCEEFF" w:val="clear"/>
            <w:vAlign w:val="bottom"/>
          </w:tcPr>
          <w:p>
            <w:pPr>
              <w:pStyle w:val="TableContents"/>
              <w:spacing w:before="0" w:after="0"/>
              <w:ind w:left="450" w:right="0" w:hanging="225"/>
              <w:rPr/>
            </w:pPr>
            <w:r>
              <w:rPr/>
              <w:t>Average pawn loan balance per pawn store at quarter-end</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365" w:type="dxa"/>
            <w:tcBorders/>
            <w:shd w:fill="CCEEFF" w:val="clear"/>
            <w:vAlign w:val="bottom"/>
          </w:tcPr>
          <w:p>
            <w:pPr>
              <w:pStyle w:val="TableContents"/>
              <w:spacing w:before="0" w:after="283"/>
              <w:jc w:val="right"/>
              <w:rPr/>
            </w:pPr>
            <w:r>
              <w:rPr/>
              <w:t>297</w:t>
            </w:r>
          </w:p>
        </w:tc>
        <w:tc>
          <w:tcPr>
            <w:tcW w:w="34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367" w:type="dxa"/>
            <w:tcBorders/>
            <w:shd w:fill="CCEEFF" w:val="clear"/>
            <w:vAlign w:val="bottom"/>
          </w:tcPr>
          <w:p>
            <w:pPr>
              <w:pStyle w:val="TableContents"/>
              <w:spacing w:before="0" w:after="283"/>
              <w:jc w:val="right"/>
              <w:rPr/>
            </w:pPr>
            <w:r>
              <w:rPr/>
              <w:t>268</w:t>
            </w:r>
          </w:p>
        </w:tc>
        <w:tc>
          <w:tcPr>
            <w:tcW w:w="245" w:type="dxa"/>
            <w:tcBorders/>
            <w:shd w:fill="CCEEFF" w:val="clear"/>
            <w:vAlign w:val="bottom"/>
          </w:tcPr>
          <w:p>
            <w:pPr>
              <w:pStyle w:val="TableContents"/>
              <w:spacing w:before="0" w:after="283"/>
              <w:rPr/>
            </w:pPr>
            <w:r>
              <w:rPr/>
              <w:t> </w:t>
            </w:r>
          </w:p>
        </w:tc>
      </w:tr>
      <w:tr>
        <w:trPr/>
        <w:tc>
          <w:tcPr>
            <w:tcW w:w="5633" w:type="dxa"/>
            <w:tcBorders/>
            <w:shd w:fill="auto" w:val="clear"/>
            <w:vAlign w:val="bottom"/>
          </w:tcPr>
          <w:p>
            <w:pPr>
              <w:pStyle w:val="TableContents"/>
              <w:spacing w:before="0" w:after="0"/>
              <w:ind w:left="450" w:right="0" w:hanging="225"/>
              <w:rPr/>
            </w:pPr>
            <w:r>
              <w:rPr/>
              <w:t>Average yield on pawn loan portfolio (a)</w:t>
            </w:r>
          </w:p>
        </w:tc>
        <w:tc>
          <w:tcPr>
            <w:tcW w:w="36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65" w:type="dxa"/>
            <w:tcBorders/>
            <w:shd w:fill="auto" w:val="clear"/>
            <w:vAlign w:val="bottom"/>
          </w:tcPr>
          <w:p>
            <w:pPr>
              <w:pStyle w:val="TableContents"/>
              <w:spacing w:before="0" w:after="283"/>
              <w:jc w:val="right"/>
              <w:rPr/>
            </w:pPr>
            <w:r>
              <w:rPr/>
              <w:t>161</w:t>
            </w:r>
          </w:p>
        </w:tc>
        <w:tc>
          <w:tcPr>
            <w:tcW w:w="344"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67" w:type="dxa"/>
            <w:tcBorders/>
            <w:shd w:fill="auto" w:val="clear"/>
            <w:vAlign w:val="bottom"/>
          </w:tcPr>
          <w:p>
            <w:pPr>
              <w:pStyle w:val="TableContents"/>
              <w:spacing w:before="0" w:after="283"/>
              <w:jc w:val="right"/>
              <w:rPr/>
            </w:pPr>
            <w:r>
              <w:rPr/>
              <w:t>159</w:t>
            </w:r>
          </w:p>
        </w:tc>
        <w:tc>
          <w:tcPr>
            <w:tcW w:w="245" w:type="dxa"/>
            <w:tcBorders/>
            <w:shd w:fill="auto" w:val="clear"/>
            <w:vAlign w:val="bottom"/>
          </w:tcPr>
          <w:p>
            <w:pPr>
              <w:pStyle w:val="TableContents"/>
              <w:spacing w:before="0" w:after="283"/>
              <w:rPr/>
            </w:pPr>
            <w:r>
              <w:rPr/>
              <w:t>%</w:t>
            </w:r>
          </w:p>
        </w:tc>
      </w:tr>
      <w:tr>
        <w:trPr/>
        <w:tc>
          <w:tcPr>
            <w:tcW w:w="5633" w:type="dxa"/>
            <w:tcBorders/>
            <w:shd w:fill="CCEEFF" w:val="clear"/>
            <w:vAlign w:val="bottom"/>
          </w:tcPr>
          <w:p>
            <w:pPr>
              <w:pStyle w:val="TableContents"/>
              <w:spacing w:before="0" w:after="0"/>
              <w:ind w:left="450" w:right="0" w:hanging="225"/>
              <w:rPr/>
            </w:pPr>
            <w:r>
              <w:rPr/>
              <w:t>Pawn loan redemption rate</w:t>
            </w:r>
          </w:p>
        </w:tc>
        <w:tc>
          <w:tcPr>
            <w:tcW w:w="36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pPr>
            <w:r>
              <w:rPr/>
              <w:t>80</w:t>
            </w:r>
          </w:p>
        </w:tc>
        <w:tc>
          <w:tcPr>
            <w:tcW w:w="344"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367" w:type="dxa"/>
            <w:tcBorders/>
            <w:shd w:fill="CCEEFF" w:val="clear"/>
            <w:vAlign w:val="bottom"/>
          </w:tcPr>
          <w:p>
            <w:pPr>
              <w:pStyle w:val="TableContents"/>
              <w:spacing w:before="0" w:after="283"/>
              <w:jc w:val="right"/>
              <w:rPr/>
            </w:pPr>
            <w:r>
              <w:rPr/>
              <w:t>79</w:t>
            </w:r>
          </w:p>
        </w:tc>
        <w:tc>
          <w:tcPr>
            <w:tcW w:w="24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we acquired four U.S. pawn stores and opened three new stores. We expect to open seven additional new stores by September 30, 2011, and continue to evaluate additional acquisition opportunities. New stores are expected to create a drag on earnings until their second year of operation, and acquisitions are generally expected to be immediately accretive to earnings.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$22.6 million, or 16% from the prior year quarter to $160.8 million. Same store total revenues increased $15.8 million, or 12%, and new and acquired stores net of closed stores contributed $6.8 million. The overall increase in total revenues was comprised of a $13.3 million increase in merchandise and jewelry scrapping sales, a $7.5 million increase in pawn service charges and a $1.9 million increase in other revenues, partially offset by a $0.1 million decrease in signature and auto title loan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quarter U.S. pawn service charge revenues increased $7.5 million, or 19% from the prior year quarter to $46.4 million. Same store pawn service charges increased $5.8 million, or 15%, while new and acquired stores net of closed stores contributed $1.7 million. The same store improvement was due to a higher average same store pawn loan balance coupled with a higher yield. The yield improved primarily due to a higher loan redemption rate as we focused on loan values and better qualifying customers to determine those that prefer to sell their merchandise rather than use it as collateral for a loan. Inventory purchases from customers increased 38% and represent 32% of total inventory additions, excluding acquisitions, compared to 28% of total inventory additions in the prior year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sales gross profit increased $1.8 million, or 8% from the prior year quarter to $24.1 million. This was due to a $2.5 million increase in sales from new and acquired stores net of closed stores, a 1.0 percentage point improvement in gross margins to 38.7% and a $0.6 million, or 1% increase in same store sales.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$3.5 million, or 25% from the prior year quarter to $17.5 million. Jewelry scrapping revenues increased $10.2 million, or 28% due to a 29% increase in proceeds realized per gram of jewelry scrapped, partially offset by a 2% decrease in volume. Jewelry scrapping sales include the sale of approximately $0.7 million in the current quarter and $0.3 million in the prior year quarter of loose diamonds removed from scrapped jewelry. As a result of the higher average cost per gram of jewelry scrapped, scrap cost of goods increased $6.7 million, or 29%. Gross margins on gold scrapping decreased 0.8 percentage points to 37.2% due to our more aggressive buying and lending programs designed to be competitive and maximize overall income including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revenues include merchandise sales related programs and layaway fees. Other revenues increased to $4.1 million in the current quarter, from $2.2 million in the prior year quarter primarily from the introduction and growth of new programs and an increase in layaway transactions following enhancements to our layaway program to make layaways more affordable to our customers.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$43.2 million (47% of net revenues) in the current quarter from $40.2 million (51% of net revenues) in the prior year quarter. The dollar increase in expense was primarily due to higher operating costs at new and acquired stores and higher incentive compensation and related taxes.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$14.7 million greater net revenues from U.S. pawn activities, partially offset by a $0.1 million decrease in signature and auto title loan contribution and the $3.0 million higher operations expense resulted in an $11.6 million overall increase in store operating income from the U.S. Pawn Operations segment. For the current quarter, the segment comprised 71% of consolidated store operating income compared to 69% in the prior year quarter.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762"/>
        <w:gridCol w:w="332"/>
        <w:gridCol w:w="187"/>
        <w:gridCol w:w="921"/>
        <w:gridCol w:w="257"/>
        <w:gridCol w:w="341"/>
        <w:gridCol w:w="187"/>
        <w:gridCol w:w="812"/>
        <w:gridCol w:w="225"/>
        <w:gridCol w:w="332"/>
        <w:gridCol w:w="166"/>
        <w:gridCol w:w="909"/>
        <w:gridCol w:w="225"/>
        <w:gridCol w:w="332"/>
        <w:gridCol w:w="166"/>
        <w:gridCol w:w="816"/>
        <w:gridCol w:w="235"/>
      </w:tblGrid>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5876" w:type="dxa"/>
            <w:gridSpan w:val="14"/>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w:t>
            </w:r>
          </w:p>
        </w:tc>
        <w:tc>
          <w:tcPr>
            <w:tcW w:w="235" w:type="dxa"/>
            <w:tcBorders/>
            <w:shd w:fill="auto" w:val="clear"/>
          </w:tcPr>
          <w:p>
            <w:pPr>
              <w:pStyle w:val="TableContents"/>
              <w:spacing w:before="0" w:after="283"/>
              <w:rPr>
                <w:sz w:val="4"/>
                <w:szCs w:val="4"/>
              </w:rPr>
            </w:pPr>
            <w:r>
              <w:rPr>
                <w:sz w:val="4"/>
                <w:szCs w:val="4"/>
              </w:rPr>
            </w:r>
          </w:p>
        </w:tc>
      </w:tr>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05" w:type="dxa"/>
            <w:gridSpan w:val="6"/>
            <w:tcBorders/>
            <w:shd w:fill="auto" w:val="clear"/>
            <w:vAlign w:val="bottom"/>
          </w:tcPr>
          <w:p>
            <w:pPr>
              <w:pStyle w:val="TableContents"/>
              <w:spacing w:before="0" w:after="283"/>
              <w:jc w:val="center"/>
              <w:rPr>
                <w:i/>
              </w:rPr>
            </w:pPr>
            <w:r>
              <w:rPr>
                <w:i/>
              </w:rPr>
              <w:t>(Dollars in thousands)</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614" w:type="dxa"/>
            <w:gridSpan w:val="6"/>
            <w:tcBorders/>
            <w:shd w:fill="auto" w:val="clear"/>
            <w:vAlign w:val="bottom"/>
          </w:tcPr>
          <w:p>
            <w:pPr>
              <w:pStyle w:val="TableContents"/>
              <w:spacing w:before="0" w:after="283"/>
              <w:jc w:val="center"/>
              <w:rPr>
                <w:i/>
              </w:rPr>
            </w:pPr>
            <w:r>
              <w:rPr>
                <w:i/>
              </w:rPr>
              <w:t>(Pesos in thousands)</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Merchandise sales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5,389</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3,265</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66,774</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42,530</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Jewelry scrapping sales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3,462</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607</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42,892</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7,912</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Pawn service charges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3,374</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1,856</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41,805</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24,279</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Other</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189</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89</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2,345</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1,159</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675" w:right="0" w:hanging="225"/>
              <w:rPr/>
            </w:pPr>
            <w:r>
              <w:rPr/>
              <w:t>Total revenues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12,414</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5,817</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153,816</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75,880</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Merchandise cost of goods sold</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3,114</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2,358</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38,588</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30,681</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Jewelry scrapping cost of goods sold</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2,638</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475</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32,682</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6,185</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auto" w:val="clear"/>
            <w:vAlign w:val="bottom"/>
          </w:tcPr>
          <w:p>
            <w:pPr>
              <w:pStyle w:val="TableContents"/>
              <w:spacing w:before="0" w:after="0"/>
              <w:ind w:left="675" w:right="0" w:hanging="225"/>
              <w:rPr/>
            </w:pPr>
            <w:r>
              <w:rPr/>
              <w:t>Net revenues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6,662</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2,984</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82,546</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39,014</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Operations expense</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4,278</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2,164</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52,991</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28,283</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auto" w:val="clear"/>
            <w:vAlign w:val="bottom"/>
          </w:tcPr>
          <w:p>
            <w:pPr>
              <w:pStyle w:val="TableContents"/>
              <w:spacing w:before="0" w:after="0"/>
              <w:ind w:left="675" w:right="0" w:hanging="225"/>
              <w:rPr/>
            </w:pPr>
            <w:r>
              <w:rPr/>
              <w:t>Store operating income</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921" w:type="dxa"/>
            <w:tcBorders/>
            <w:shd w:fill="auto" w:val="clear"/>
            <w:vAlign w:val="bottom"/>
          </w:tcPr>
          <w:p>
            <w:pPr>
              <w:pStyle w:val="TableContents"/>
              <w:spacing w:before="0" w:after="283"/>
              <w:jc w:val="right"/>
              <w:rPr/>
            </w:pPr>
            <w:r>
              <w:rPr/>
              <w:t>2,384</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820</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29,555</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10,731</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auto" w:val="clear"/>
            <w:vAlign w:val="bottom"/>
          </w:tcPr>
          <w:p>
            <w:pPr>
              <w:pStyle w:val="TableContents"/>
              <w:spacing w:before="0" w:after="0"/>
              <w:ind w:left="225" w:right="0" w:hanging="225"/>
              <w:rPr/>
            </w:pPr>
            <w:r>
              <w:rPr/>
              <w:t> </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225" w:right="0" w:hanging="225"/>
              <w:rPr/>
            </w:pPr>
            <w:r>
              <w:rPr/>
              <w:t>Other data:</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Gross margin on merchandise sales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42.2</w:t>
            </w:r>
          </w:p>
        </w:tc>
        <w:tc>
          <w:tcPr>
            <w:tcW w:w="257"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27.8</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42.2</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27.8</w:t>
            </w:r>
          </w:p>
        </w:tc>
        <w:tc>
          <w:tcPr>
            <w:tcW w:w="235" w:type="dxa"/>
            <w:tcBorders/>
            <w:shd w:fill="auto" w:val="clear"/>
            <w:vAlign w:val="bottom"/>
          </w:tcPr>
          <w:p>
            <w:pPr>
              <w:pStyle w:val="TableContents"/>
              <w:spacing w:before="0" w:after="283"/>
              <w:rPr/>
            </w:pPr>
            <w:r>
              <w:rPr/>
              <w:t>%</w:t>
            </w:r>
          </w:p>
        </w:tc>
      </w:tr>
      <w:tr>
        <w:trPr/>
        <w:tc>
          <w:tcPr>
            <w:tcW w:w="3762" w:type="dxa"/>
            <w:tcBorders/>
            <w:shd w:fill="CCEEFF" w:val="clear"/>
            <w:vAlign w:val="bottom"/>
          </w:tcPr>
          <w:p>
            <w:pPr>
              <w:pStyle w:val="TableContents"/>
              <w:spacing w:before="0" w:after="0"/>
              <w:ind w:left="450" w:right="0" w:hanging="225"/>
              <w:rPr/>
            </w:pPr>
            <w:r>
              <w:rPr/>
              <w:t>Gross margin on jewelry scrapping sales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23.8</w:t>
            </w:r>
          </w:p>
        </w:tc>
        <w:tc>
          <w:tcPr>
            <w:tcW w:w="257"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12" w:type="dxa"/>
            <w:tcBorders/>
            <w:shd w:fill="CCEEFF" w:val="clear"/>
            <w:vAlign w:val="bottom"/>
          </w:tcPr>
          <w:p>
            <w:pPr>
              <w:pStyle w:val="TableContents"/>
              <w:spacing w:before="0" w:after="283"/>
              <w:jc w:val="right"/>
              <w:rPr/>
            </w:pPr>
            <w:r>
              <w:rPr/>
              <w:t>21.7</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23.8</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21.7</w:t>
            </w:r>
          </w:p>
        </w:tc>
        <w:tc>
          <w:tcPr>
            <w:tcW w:w="235" w:type="dxa"/>
            <w:tcBorders/>
            <w:shd w:fill="CCEEFF" w:val="clear"/>
            <w:vAlign w:val="bottom"/>
          </w:tcPr>
          <w:p>
            <w:pPr>
              <w:pStyle w:val="TableContents"/>
              <w:spacing w:before="0" w:after="283"/>
              <w:rPr/>
            </w:pPr>
            <w:r>
              <w:rPr/>
              <w:t>%</w:t>
            </w:r>
          </w:p>
        </w:tc>
      </w:tr>
      <w:tr>
        <w:trPr/>
        <w:tc>
          <w:tcPr>
            <w:tcW w:w="3762" w:type="dxa"/>
            <w:tcBorders/>
            <w:shd w:fill="auto" w:val="clear"/>
            <w:vAlign w:val="bottom"/>
          </w:tcPr>
          <w:p>
            <w:pPr>
              <w:pStyle w:val="TableContents"/>
              <w:spacing w:before="0" w:after="0"/>
              <w:ind w:left="450" w:right="0" w:hanging="225"/>
              <w:rPr/>
            </w:pPr>
            <w:r>
              <w:rPr/>
              <w:t>Gross margin on total sales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35.0</w:t>
            </w:r>
          </w:p>
        </w:tc>
        <w:tc>
          <w:tcPr>
            <w:tcW w:w="257"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26.8</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35.0</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26.8</w:t>
            </w:r>
          </w:p>
        </w:tc>
        <w:tc>
          <w:tcPr>
            <w:tcW w:w="235" w:type="dxa"/>
            <w:tcBorders/>
            <w:shd w:fill="auto" w:val="clear"/>
            <w:vAlign w:val="bottom"/>
          </w:tcPr>
          <w:p>
            <w:pPr>
              <w:pStyle w:val="TableContents"/>
              <w:spacing w:before="0" w:after="283"/>
              <w:rPr/>
            </w:pPr>
            <w:r>
              <w:rPr/>
              <w:t>%</w:t>
            </w:r>
          </w:p>
        </w:tc>
      </w:tr>
      <w:tr>
        <w:trPr/>
        <w:tc>
          <w:tcPr>
            <w:tcW w:w="3762" w:type="dxa"/>
            <w:tcBorders/>
            <w:shd w:fill="CCEEFF" w:val="clear"/>
            <w:vAlign w:val="bottom"/>
          </w:tcPr>
          <w:p>
            <w:pPr>
              <w:pStyle w:val="TableContents"/>
              <w:spacing w:before="0" w:after="0"/>
              <w:ind w:left="450" w:right="0" w:hanging="225"/>
              <w:rPr/>
            </w:pPr>
            <w:r>
              <w:rPr/>
              <w:t>Average pawn loan balance per pawn store at quarter end</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52</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59</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635</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769</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Average yield on pawn loan portfolio (a)</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185</w:t>
            </w:r>
          </w:p>
        </w:tc>
        <w:tc>
          <w:tcPr>
            <w:tcW w:w="257"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184</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185</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184</w:t>
            </w:r>
          </w:p>
        </w:tc>
        <w:tc>
          <w:tcPr>
            <w:tcW w:w="235" w:type="dxa"/>
            <w:tcBorders/>
            <w:shd w:fill="auto" w:val="clear"/>
            <w:vAlign w:val="bottom"/>
          </w:tcPr>
          <w:p>
            <w:pPr>
              <w:pStyle w:val="TableContents"/>
              <w:spacing w:before="0" w:after="283"/>
              <w:rPr/>
            </w:pPr>
            <w:r>
              <w:rPr/>
              <w:t>%</w:t>
            </w:r>
          </w:p>
        </w:tc>
      </w:tr>
      <w:tr>
        <w:trPr/>
        <w:tc>
          <w:tcPr>
            <w:tcW w:w="3762" w:type="dxa"/>
            <w:tcBorders/>
            <w:shd w:fill="CCEEFF" w:val="clear"/>
            <w:vAlign w:val="bottom"/>
          </w:tcPr>
          <w:p>
            <w:pPr>
              <w:pStyle w:val="TableContents"/>
              <w:spacing w:before="0" w:after="0"/>
              <w:ind w:left="450" w:right="0" w:hanging="225"/>
              <w:rPr/>
            </w:pPr>
            <w:r>
              <w:rPr/>
              <w:t>Pawn loan redemption rate</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72</w:t>
            </w:r>
          </w:p>
        </w:tc>
        <w:tc>
          <w:tcPr>
            <w:tcW w:w="257"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12" w:type="dxa"/>
            <w:tcBorders/>
            <w:shd w:fill="CCEEFF" w:val="clear"/>
            <w:vAlign w:val="bottom"/>
          </w:tcPr>
          <w:p>
            <w:pPr>
              <w:pStyle w:val="TableContents"/>
              <w:spacing w:before="0" w:after="283"/>
              <w:jc w:val="right"/>
              <w:rPr/>
            </w:pPr>
            <w:r>
              <w:rPr/>
              <w:t>81</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72</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81</w:t>
            </w:r>
          </w:p>
        </w:tc>
        <w:tc>
          <w:tcPr>
            <w:tcW w:w="23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quarter results from Mexican pesos to U.S. dollars was 6% stronger than in the prior year quarter, affecting all revenue and expense items. Store operating income improved 191% in the current quarter in dollars and 175% in peso terms. The 123% increase in net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revenues was partially offset by higher costs from new stores that we expect will be a drag on earnings until they become profitable in their second year of operation. Approximately 47% of the stores open at December 31, 2010 had been open less than a year. We opened 17 new stores in the current quarter, five of which are Empeñe su Oro jewelry-only pawn stores. These jewelry-only stores are much smaller and require less staff than our typical pawn stores, but also carry smaller average loan balances per store and immediately sell for scrap any forfeited loan collateral.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$6.6 million, or 113% in the current quarter to $12.4 million. Same store total revenues increased $3.3 million or 56%, and new stores contributed $3.3 million. The overall increase in total revenues was comprised of a $5.0 million increase in merchandise and jewelry scrapping sales, a $1.5 million improvement in pawn service charges and a $0.1 million increase in other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$1.5 million, or 82% in the current quarter to $3.4 million. Same store pawn service charges increased approximately $0.9 million, or 48% and new stores contributed $0.6 million. The same store increase was due to an increase in average loan balance during the quarter, coupled with a slight improvement in the average pawn loan yield. The yield increased primarily due to an increase in pawn service charge rates in certain geographic areas compared to the prior year, mostly offset by a lower loan redemption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gross profit increased $1.4 million from the prior year quarter to $2.3 million. This was due to a $1.0 million, or 32% same store sales increase and $1.1 million in sales from new stores, combined with a 14.4 percentage point increase in gross margins to 42.2%. The prior year cost of goods was unusually high due to promotions to liquidate aged and damaged inventory.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$0.7 million from the prior year quarter to $0.8 million. Jewelry scrapping revenues increased $2.9 million due to an increase in volume and a 2.1 percentage point increase in margins to 23.8%. The significant volume increase is due primarily to new store openings and the continuing maturation of stores opened in the prior year. Increased purchases from customers in our jewelry-only pawn stores contributed to the margin improvement.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$4.3 million (64% of net revenues) in the current quarter from $2.2 million (73% of net revenues) in the prior year quarter. The dollar increase in expense was primarily due to new stores and higher incentive compensation and related taxes. The improvement as a percent of net revenues is primarily from greater scale at same stores as they mature. We expect further percentage improvements in future periods as we continue to build a larger base of maturing stores to support our new store growth.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$3.7 million greater net revenues were partially offset by the $2.1 million higher operations expense, resulting in a $1.6 million increase in store operating income from the Empeño Fácil segment. Empeño Fácil comprised 3% of consolidated store operating income in current quarter compared to 2%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5547"/>
        <w:gridCol w:w="369"/>
        <w:gridCol w:w="274"/>
        <w:gridCol w:w="1346"/>
        <w:gridCol w:w="388"/>
        <w:gridCol w:w="409"/>
        <w:gridCol w:w="274"/>
        <w:gridCol w:w="1348"/>
        <w:gridCol w:w="250"/>
      </w:tblGrid>
      <w:tr>
        <w:trPr/>
        <w:tc>
          <w:tcPr>
            <w:tcW w:w="55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039"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2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797" w:type="dxa"/>
            <w:gridSpan w:val="2"/>
            <w:tcBorders>
              <w:bottom w:val="single" w:sz="2" w:space="0" w:color="000000"/>
            </w:tcBorders>
            <w:shd w:fill="auto" w:val="clear"/>
            <w:tcMar>
              <w:bottom w:w="28" w:type="dxa"/>
            </w:tcMar>
            <w:vAlign w:val="bottom"/>
          </w:tcPr>
          <w:p>
            <w:pPr>
              <w:pStyle w:val="TableContents"/>
              <w:spacing w:before="0" w:after="283"/>
              <w:rPr/>
            </w:pPr>
            <w:r>
              <w:rPr/>
              <w:t> </w:t>
            </w:r>
          </w:p>
        </w:tc>
        <w:tc>
          <w:tcPr>
            <w:tcW w:w="162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039" w:type="dxa"/>
            <w:gridSpan w:val="6"/>
            <w:tcBorders/>
            <w:shd w:fill="auto" w:val="clear"/>
            <w:vAlign w:val="bottom"/>
          </w:tcPr>
          <w:p>
            <w:pPr>
              <w:pStyle w:val="TableContents"/>
              <w:spacing w:before="0" w:after="283"/>
              <w:jc w:val="center"/>
              <w:rPr>
                <w:i/>
              </w:rPr>
            </w:pPr>
            <w:r>
              <w:rPr>
                <w:i/>
              </w:rPr>
              <w:t>(Dollars in thousands)</w:t>
            </w:r>
          </w:p>
        </w:tc>
        <w:tc>
          <w:tcPr>
            <w:tcW w:w="250" w:type="dxa"/>
            <w:tcBorders/>
            <w:shd w:fill="auto" w:val="clear"/>
            <w:vAlign w:val="bottom"/>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450" w:right="0" w:hanging="225"/>
              <w:rPr/>
            </w:pPr>
            <w:r>
              <w:rPr/>
              <w:t>Signature loan fees</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1346" w:type="dxa"/>
            <w:tcBorders/>
            <w:shd w:fill="CCEEFF" w:val="clear"/>
            <w:vAlign w:val="bottom"/>
          </w:tcPr>
          <w:p>
            <w:pPr>
              <w:pStyle w:val="TableContents"/>
              <w:spacing w:before="0" w:after="283"/>
              <w:jc w:val="right"/>
              <w:rPr/>
            </w:pPr>
            <w:r>
              <w:rPr/>
              <w:t>39,557</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1348" w:type="dxa"/>
            <w:tcBorders/>
            <w:shd w:fill="CCEEFF" w:val="clear"/>
            <w:vAlign w:val="bottom"/>
          </w:tcPr>
          <w:p>
            <w:pPr>
              <w:pStyle w:val="TableContents"/>
              <w:spacing w:before="0" w:after="283"/>
              <w:jc w:val="right"/>
              <w:rPr/>
            </w:pPr>
            <w:r>
              <w:rPr/>
              <w:t>38,125</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450" w:right="0" w:hanging="225"/>
              <w:rPr/>
            </w:pPr>
            <w:r>
              <w:rPr/>
              <w:t>Auto title loan fees</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5,851</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jc w:val="right"/>
              <w:rPr/>
            </w:pPr>
            <w:r>
              <w:rPr/>
              <w:t>2,627</w:t>
            </w:r>
          </w:p>
        </w:tc>
        <w:tc>
          <w:tcPr>
            <w:tcW w:w="250" w:type="dxa"/>
            <w:tcBorders/>
            <w:shd w:fill="auto" w:val="clear"/>
            <w:vAlign w:val="bottom"/>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450" w:right="0" w:hanging="225"/>
              <w:rPr/>
            </w:pPr>
            <w:r>
              <w:rPr/>
              <w:t>Jewelry scrapping sales</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197</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12</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450" w:right="0" w:hanging="225"/>
              <w:rPr/>
            </w:pPr>
            <w:r>
              <w:rPr/>
              <w:t>Other revenues</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41</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jc w:val="right"/>
              <w:rPr/>
            </w:pPr>
            <w:r>
              <w:rPr/>
              <w:t></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6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8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900" w:right="0" w:hanging="225"/>
              <w:rPr/>
            </w:pPr>
            <w:r>
              <w:rPr/>
              <w:t>Total revenues</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45,646</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40,764</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450" w:right="0" w:hanging="225"/>
              <w:rPr/>
            </w:pPr>
            <w:r>
              <w:rPr/>
              <w:t>Signature loan bad debt</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9,881</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jc w:val="right"/>
              <w:rPr/>
            </w:pPr>
            <w:r>
              <w:rPr/>
              <w:t>8,604</w:t>
            </w:r>
          </w:p>
        </w:tc>
        <w:tc>
          <w:tcPr>
            <w:tcW w:w="250" w:type="dxa"/>
            <w:tcBorders/>
            <w:shd w:fill="auto" w:val="clear"/>
            <w:vAlign w:val="bottom"/>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450" w:right="0" w:hanging="225"/>
              <w:rPr/>
            </w:pPr>
            <w:r>
              <w:rPr/>
              <w:t>Auto title loan bad debt</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921</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390</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450" w:right="0" w:hanging="225"/>
              <w:rPr/>
            </w:pPr>
            <w:r>
              <w:rPr/>
              <w:t>Jewelry scrapping cost of goods sold</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79</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jc w:val="right"/>
              <w:rPr/>
            </w:pPr>
            <w:r>
              <w:rPr/>
              <w:t>7</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6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8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675" w:right="0" w:hanging="225"/>
              <w:rPr/>
            </w:pPr>
            <w:r>
              <w:rPr/>
              <w:t>Net revenues</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34,765</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31,763</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6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8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5547"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450" w:right="0" w:hanging="225"/>
              <w:rPr/>
            </w:pPr>
            <w:r>
              <w:rPr/>
              <w:t>Operations expense</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17,030</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jc w:val="right"/>
              <w:rPr/>
            </w:pPr>
            <w:r>
              <w:rPr/>
              <w:t>15,818</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6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8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6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675" w:right="0" w:hanging="225"/>
              <w:rPr/>
            </w:pPr>
            <w:r>
              <w:rPr/>
              <w:t>Store operating income</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1346" w:type="dxa"/>
            <w:tcBorders/>
            <w:shd w:fill="CCEEFF" w:val="clear"/>
            <w:vAlign w:val="bottom"/>
          </w:tcPr>
          <w:p>
            <w:pPr>
              <w:pStyle w:val="TableContents"/>
              <w:spacing w:before="0" w:after="283"/>
              <w:jc w:val="right"/>
              <w:rPr/>
            </w:pPr>
            <w:r>
              <w:rPr/>
              <w:t>17,735</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1348" w:type="dxa"/>
            <w:tcBorders/>
            <w:shd w:fill="CCEEFF" w:val="clear"/>
            <w:vAlign w:val="bottom"/>
          </w:tcPr>
          <w:p>
            <w:pPr>
              <w:pStyle w:val="TableContents"/>
              <w:spacing w:before="0" w:after="283"/>
              <w:jc w:val="right"/>
              <w:rPr/>
            </w:pPr>
            <w:r>
              <w:rPr/>
              <w:t>15,945</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6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6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5547"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225" w:right="0" w:hanging="225"/>
              <w:rPr/>
            </w:pPr>
            <w:r>
              <w:rPr/>
              <w:t>Other data:</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5547" w:type="dxa"/>
            <w:tcBorders/>
            <w:shd w:fill="CCEEFF" w:val="clear"/>
            <w:vAlign w:val="bottom"/>
          </w:tcPr>
          <w:p>
            <w:pPr>
              <w:pStyle w:val="TableContents"/>
              <w:spacing w:before="0" w:after="0"/>
              <w:ind w:left="450" w:right="0" w:hanging="225"/>
              <w:rPr/>
            </w:pPr>
            <w:r>
              <w:rPr/>
              <w:t>Signature loan bad debt as a percent of signature loan fees</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 </w:t>
            </w:r>
          </w:p>
        </w:tc>
        <w:tc>
          <w:tcPr>
            <w:tcW w:w="1346" w:type="dxa"/>
            <w:tcBorders/>
            <w:shd w:fill="CCEEFF" w:val="clear"/>
            <w:vAlign w:val="bottom"/>
          </w:tcPr>
          <w:p>
            <w:pPr>
              <w:pStyle w:val="TableContents"/>
              <w:spacing w:before="0" w:after="283"/>
              <w:jc w:val="right"/>
              <w:rPr/>
            </w:pPr>
            <w:r>
              <w:rPr/>
              <w:t>25.0</w:t>
            </w:r>
          </w:p>
        </w:tc>
        <w:tc>
          <w:tcPr>
            <w:tcW w:w="38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 </w:t>
            </w:r>
          </w:p>
        </w:tc>
        <w:tc>
          <w:tcPr>
            <w:tcW w:w="1348" w:type="dxa"/>
            <w:tcBorders/>
            <w:shd w:fill="CCEEFF" w:val="clear"/>
            <w:vAlign w:val="bottom"/>
          </w:tcPr>
          <w:p>
            <w:pPr>
              <w:pStyle w:val="TableContents"/>
              <w:spacing w:before="0" w:after="283"/>
              <w:jc w:val="right"/>
              <w:rPr/>
            </w:pPr>
            <w:r>
              <w:rPr/>
              <w:t>22.6</w:t>
            </w:r>
          </w:p>
        </w:tc>
        <w:tc>
          <w:tcPr>
            <w:tcW w:w="250" w:type="dxa"/>
            <w:tcBorders/>
            <w:shd w:fill="CCEEFF" w:val="clear"/>
            <w:vAlign w:val="bottom"/>
          </w:tcPr>
          <w:p>
            <w:pPr>
              <w:pStyle w:val="TableContents"/>
              <w:spacing w:before="0" w:after="283"/>
              <w:rPr/>
            </w:pPr>
            <w:r>
              <w:rPr/>
              <w:t>%</w:t>
            </w:r>
          </w:p>
        </w:tc>
      </w:tr>
      <w:tr>
        <w:trPr/>
        <w:tc>
          <w:tcPr>
            <w:tcW w:w="5547" w:type="dxa"/>
            <w:tcBorders/>
            <w:shd w:fill="auto" w:val="clear"/>
            <w:vAlign w:val="bottom"/>
          </w:tcPr>
          <w:p>
            <w:pPr>
              <w:pStyle w:val="TableContents"/>
              <w:spacing w:before="0" w:after="0"/>
              <w:ind w:left="450" w:right="0" w:hanging="225"/>
              <w:rPr/>
            </w:pPr>
            <w:r>
              <w:rPr/>
              <w:t>Auto title loan bad debt as a percent of auto title loan fees</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 </w:t>
            </w:r>
          </w:p>
        </w:tc>
        <w:tc>
          <w:tcPr>
            <w:tcW w:w="1346" w:type="dxa"/>
            <w:tcBorders/>
            <w:shd w:fill="auto" w:val="clear"/>
            <w:vAlign w:val="bottom"/>
          </w:tcPr>
          <w:p>
            <w:pPr>
              <w:pStyle w:val="TableContents"/>
              <w:spacing w:before="0" w:after="283"/>
              <w:jc w:val="right"/>
              <w:rPr/>
            </w:pPr>
            <w:r>
              <w:rPr/>
              <w:t>15.7</w:t>
            </w:r>
          </w:p>
        </w:tc>
        <w:tc>
          <w:tcPr>
            <w:tcW w:w="38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 </w:t>
            </w:r>
          </w:p>
        </w:tc>
        <w:tc>
          <w:tcPr>
            <w:tcW w:w="1348" w:type="dxa"/>
            <w:tcBorders/>
            <w:shd w:fill="auto" w:val="clear"/>
            <w:vAlign w:val="bottom"/>
          </w:tcPr>
          <w:p>
            <w:pPr>
              <w:pStyle w:val="TableContents"/>
              <w:spacing w:before="0" w:after="283"/>
              <w:jc w:val="right"/>
              <w:rPr/>
            </w:pPr>
            <w:r>
              <w:rPr/>
              <w:t>14.8</w:t>
            </w:r>
          </w:p>
        </w:tc>
        <w:tc>
          <w:tcPr>
            <w:tcW w:w="250" w:type="dxa"/>
            <w:tcBorders/>
            <w:shd w:fill="auto" w:val="clear"/>
            <w:vAlign w:val="bottom"/>
          </w:tcPr>
          <w:p>
            <w:pPr>
              <w:pStyle w:val="TableContents"/>
              <w:spacing w:before="0" w:after="283"/>
              <w:rPr/>
            </w:pPr>
            <w:r>
              <w:rPr/>
              <w:t>%</w:t>
            </w:r>
          </w:p>
        </w:tc>
      </w:tr>
      <w:tr>
        <w:trPr/>
        <w:tc>
          <w:tcPr>
            <w:tcW w:w="5547" w:type="dxa"/>
            <w:tcBorders/>
            <w:shd w:fill="CCEEFF" w:val="clear"/>
            <w:vAlign w:val="bottom"/>
          </w:tcPr>
          <w:p>
            <w:pPr>
              <w:pStyle w:val="TableContents"/>
              <w:spacing w:before="0" w:after="0"/>
              <w:ind w:left="450" w:right="0" w:hanging="225"/>
              <w:rPr/>
            </w:pPr>
            <w:r>
              <w:rPr/>
              <w:t>Average signature loan balance per store offering signature loans at quarter end (a)</w:t>
            </w:r>
          </w:p>
        </w:tc>
        <w:tc>
          <w:tcPr>
            <w:tcW w:w="36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1346" w:type="dxa"/>
            <w:tcBorders/>
            <w:shd w:fill="CCEEFF" w:val="clear"/>
            <w:vAlign w:val="bottom"/>
          </w:tcPr>
          <w:p>
            <w:pPr>
              <w:pStyle w:val="TableContents"/>
              <w:spacing w:before="0" w:after="283"/>
              <w:jc w:val="right"/>
              <w:rPr/>
            </w:pPr>
            <w:r>
              <w:rPr/>
              <w:t>72</w:t>
            </w:r>
          </w:p>
        </w:tc>
        <w:tc>
          <w:tcPr>
            <w:tcW w:w="38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1348" w:type="dxa"/>
            <w:tcBorders/>
            <w:shd w:fill="CCEEFF" w:val="clear"/>
            <w:vAlign w:val="bottom"/>
          </w:tcPr>
          <w:p>
            <w:pPr>
              <w:pStyle w:val="TableContents"/>
              <w:spacing w:before="0" w:after="283"/>
              <w:jc w:val="right"/>
              <w:rPr/>
            </w:pPr>
            <w:r>
              <w:rPr/>
              <w:t>71</w:t>
            </w:r>
          </w:p>
        </w:tc>
        <w:tc>
          <w:tcPr>
            <w:tcW w:w="250" w:type="dxa"/>
            <w:tcBorders/>
            <w:shd w:fill="CCEEFF" w:val="clear"/>
            <w:vAlign w:val="bottom"/>
          </w:tcPr>
          <w:p>
            <w:pPr>
              <w:pStyle w:val="TableContents"/>
              <w:spacing w:before="0" w:after="283"/>
              <w:rPr/>
            </w:pPr>
            <w:r>
              <w:rPr/>
              <w:t> </w:t>
            </w:r>
          </w:p>
        </w:tc>
      </w:tr>
      <w:tr>
        <w:trPr/>
        <w:tc>
          <w:tcPr>
            <w:tcW w:w="5547" w:type="dxa"/>
            <w:tcBorders/>
            <w:shd w:fill="auto" w:val="clear"/>
            <w:vAlign w:val="bottom"/>
          </w:tcPr>
          <w:p>
            <w:pPr>
              <w:pStyle w:val="TableContents"/>
              <w:spacing w:before="0" w:after="0"/>
              <w:ind w:left="450" w:right="0" w:hanging="225"/>
              <w:rPr/>
            </w:pPr>
            <w:r>
              <w:rPr/>
              <w:t>Average auto title loan balance per store offering title loans at quarter end (b)</w:t>
            </w:r>
          </w:p>
        </w:tc>
        <w:tc>
          <w:tcPr>
            <w:tcW w:w="36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w:t>
            </w:r>
          </w:p>
        </w:tc>
        <w:tc>
          <w:tcPr>
            <w:tcW w:w="1346" w:type="dxa"/>
            <w:tcBorders/>
            <w:shd w:fill="auto" w:val="clear"/>
            <w:vAlign w:val="bottom"/>
          </w:tcPr>
          <w:p>
            <w:pPr>
              <w:pStyle w:val="TableContents"/>
              <w:spacing w:before="0" w:after="283"/>
              <w:jc w:val="right"/>
              <w:rPr/>
            </w:pPr>
            <w:r>
              <w:rPr/>
              <w:t>25</w:t>
            </w:r>
          </w:p>
        </w:tc>
        <w:tc>
          <w:tcPr>
            <w:tcW w:w="38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w:t>
            </w:r>
          </w:p>
        </w:tc>
        <w:tc>
          <w:tcPr>
            <w:tcW w:w="1348" w:type="dxa"/>
            <w:tcBorders/>
            <w:shd w:fill="auto" w:val="clear"/>
            <w:vAlign w:val="bottom"/>
          </w:tcPr>
          <w:p>
            <w:pPr>
              <w:pStyle w:val="TableContents"/>
              <w:spacing w:before="0" w:after="283"/>
              <w:jc w:val="right"/>
              <w:rPr/>
            </w:pPr>
            <w:r>
              <w:rPr/>
              <w:t>13</w:t>
            </w:r>
          </w:p>
        </w:tc>
        <w:tc>
          <w:tcPr>
            <w:tcW w:w="250"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$4.9 million, or 12% to $45.7 million, compared to the prior year quarter. This was due to a $4.2 million, or 11% increase in same store total revenues and $0.7 million of total revenues at new stores net of closed or consolidated stores. The overall increase in total revenues was comprised primarily of a $3.2 million increase in auto title loan revenues and a $1.4 million increase in signature loan fees, which includes both installment loans and payday loans. In August 2010, we introduced installment loans in Colorado as a replacement product for payday loans following a regulatory change. This contributed to the migration of some customers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we opened 5 stores in Canada, bringing our total there to 56. At December 31, 2009, we had eight Canadian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revenues increased $0.2 million, or 1% to $29.7 million, compared to the prior year quarter. The increase resulted from the growth in installment loans as the product continues to mature and following its introduction in Colorado, partially offset by a 2.4 percentage point increase in bad debt to 25.0% of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$4.9 million in the current quarter, compared to $2.2 million in the prior year quarter, as the product continues to mature. Bad debt increased to 15.7% of related fees from 14.8% in the prior year quarter, as we accepted slightly higher risk to drive revenue and overall earnings growth. We expect continued growth in the contribution from auto title loans as the product continues to reach maturity in the EZMONEY stores offering the product. Due to a new Wisconsin law effective January 1, 2011, we no longer offer auto title loans in Wisconsin. Excluding Wisconsin, we now offer auto title loans in 368 EZMONEY stores.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the prior year quarter with very little volume. The segment generated $0.1 million of jewelry scrapping gross profit in the current quarter, with a 60% gross margin.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$17.0 million (49% of net revenues) from $15.8 million (50% of net revenues) in the prior year quarter. The improvement as a percent of net revenues was due to the growth in contribution from auto title and installment loan products, with minimal increases in costs at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$2.7 million increase in net revenues from auto title loans, the $0.2 million increase in net revenues from signature loans and the $0.1 million increase in scrap sales gross profit were partially offset by a $1.2 million greater operations expense, resulting in a $1.8 million, or 11% increase in store operating income from the EZMONEY Operations segment. The EZMONEY Operations segment comprised 26% of consolidated store operating income in the current quarter compared to 29% in the prior year quarter.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5887"/>
        <w:gridCol w:w="371"/>
        <w:gridCol w:w="270"/>
        <w:gridCol w:w="1323"/>
        <w:gridCol w:w="204"/>
        <w:gridCol w:w="413"/>
        <w:gridCol w:w="270"/>
        <w:gridCol w:w="1324"/>
        <w:gridCol w:w="143"/>
      </w:tblGrid>
      <w:tr>
        <w:trPr/>
        <w:tc>
          <w:tcPr>
            <w:tcW w:w="58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804"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December 31,</w:t>
            </w:r>
          </w:p>
        </w:tc>
        <w:tc>
          <w:tcPr>
            <w:tcW w:w="143" w:type="dxa"/>
            <w:tcBorders/>
            <w:shd w:fill="auto"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617" w:type="dxa"/>
            <w:gridSpan w:val="2"/>
            <w:tcBorders>
              <w:bottom w:val="single" w:sz="2" w:space="0" w:color="000000"/>
            </w:tcBorders>
            <w:shd w:fill="auto" w:val="clear"/>
            <w:tcMar>
              <w:bottom w:w="28" w:type="dxa"/>
            </w:tcMar>
            <w:vAlign w:val="bottom"/>
          </w:tcPr>
          <w:p>
            <w:pPr>
              <w:pStyle w:val="TableContents"/>
              <w:spacing w:before="0" w:after="283"/>
              <w:rPr/>
            </w:pPr>
            <w:r>
              <w:rPr/>
              <w:t> </w:t>
            </w:r>
          </w:p>
        </w:tc>
        <w:tc>
          <w:tcPr>
            <w:tcW w:w="15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3" w:type="dxa"/>
            <w:tcBorders/>
            <w:shd w:fill="auto"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804" w:type="dxa"/>
            <w:gridSpan w:val="6"/>
            <w:tcBorders/>
            <w:shd w:fill="auto" w:val="clear"/>
            <w:vAlign w:val="bottom"/>
          </w:tcPr>
          <w:p>
            <w:pPr>
              <w:pStyle w:val="TableContents"/>
              <w:spacing w:before="0" w:after="283"/>
              <w:jc w:val="center"/>
              <w:rPr>
                <w:i/>
              </w:rPr>
            </w:pPr>
            <w:r>
              <w:rPr>
                <w:i/>
              </w:rPr>
              <w:t>(Dollars in thousands)</w:t>
            </w:r>
          </w:p>
        </w:tc>
        <w:tc>
          <w:tcPr>
            <w:tcW w:w="143" w:type="dxa"/>
            <w:tcBorders/>
            <w:shd w:fill="auto" w:val="clear"/>
            <w:vAlign w:val="bottom"/>
          </w:tcPr>
          <w:p>
            <w:pPr>
              <w:pStyle w:val="TableContents"/>
              <w:spacing w:before="0" w:after="283"/>
              <w:rPr/>
            </w:pPr>
            <w:r>
              <w:rPr/>
              <w:t> </w:t>
            </w:r>
          </w:p>
        </w:tc>
      </w:tr>
      <w:tr>
        <w:trPr/>
        <w:tc>
          <w:tcPr>
            <w:tcW w:w="5887" w:type="dxa"/>
            <w:tcBorders/>
            <w:shd w:fill="CCEEFF" w:val="clear"/>
            <w:vAlign w:val="bottom"/>
          </w:tcPr>
          <w:p>
            <w:pPr>
              <w:pStyle w:val="TableContents"/>
              <w:spacing w:before="0" w:after="0"/>
              <w:ind w:left="225" w:right="0" w:hanging="225"/>
              <w:rPr/>
            </w:pPr>
            <w:r>
              <w:rPr/>
              <w:t>Consolidated store operating income</w:t>
            </w:r>
          </w:p>
        </w:tc>
        <w:tc>
          <w:tcPr>
            <w:tcW w:w="371"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69,728</w:t>
            </w:r>
          </w:p>
        </w:tc>
        <w:tc>
          <w:tcPr>
            <w:tcW w:w="20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w:t>
            </w:r>
          </w:p>
        </w:tc>
        <w:tc>
          <w:tcPr>
            <w:tcW w:w="1324" w:type="dxa"/>
            <w:tcBorders/>
            <w:shd w:fill="CCEEFF" w:val="clear"/>
            <w:vAlign w:val="bottom"/>
          </w:tcPr>
          <w:p>
            <w:pPr>
              <w:pStyle w:val="TableContents"/>
              <w:spacing w:before="0" w:after="283"/>
              <w:jc w:val="right"/>
              <w:rPr/>
            </w:pPr>
            <w:r>
              <w:rPr/>
              <w:t>54,750</w:t>
            </w:r>
          </w:p>
        </w:tc>
        <w:tc>
          <w:tcPr>
            <w:tcW w:w="143" w:type="dxa"/>
            <w:tcBorders/>
            <w:shd w:fill="CCEEFF"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0"/>
              <w:ind w:left="225" w:right="0" w:hanging="225"/>
              <w:rPr/>
            </w:pPr>
            <w:r>
              <w:rPr/>
              <w:t>Administrative expenses</w:t>
            </w:r>
          </w:p>
        </w:tc>
        <w:tc>
          <w:tcPr>
            <w:tcW w:w="37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26,138</w:t>
            </w:r>
          </w:p>
        </w:tc>
        <w:tc>
          <w:tcPr>
            <w:tcW w:w="2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jc w:val="right"/>
              <w:rPr/>
            </w:pPr>
            <w:r>
              <w:rPr/>
              <w:t>12,297</w:t>
            </w:r>
          </w:p>
        </w:tc>
        <w:tc>
          <w:tcPr>
            <w:tcW w:w="143" w:type="dxa"/>
            <w:tcBorders/>
            <w:shd w:fill="auto" w:val="clear"/>
            <w:vAlign w:val="bottom"/>
          </w:tcPr>
          <w:p>
            <w:pPr>
              <w:pStyle w:val="TableContents"/>
              <w:spacing w:before="0" w:after="283"/>
              <w:rPr/>
            </w:pPr>
            <w:r>
              <w:rPr/>
              <w:t> </w:t>
            </w:r>
          </w:p>
        </w:tc>
      </w:tr>
      <w:tr>
        <w:trPr/>
        <w:tc>
          <w:tcPr>
            <w:tcW w:w="5887" w:type="dxa"/>
            <w:tcBorders/>
            <w:shd w:fill="CCEEFF" w:val="clear"/>
            <w:vAlign w:val="bottom"/>
          </w:tcPr>
          <w:p>
            <w:pPr>
              <w:pStyle w:val="TableContents"/>
              <w:spacing w:before="0" w:after="0"/>
              <w:ind w:left="225" w:right="0" w:hanging="225"/>
              <w:rPr/>
            </w:pPr>
            <w:r>
              <w:rPr/>
              <w:t>Depreciation and amortization</w:t>
            </w:r>
          </w:p>
        </w:tc>
        <w:tc>
          <w:tcPr>
            <w:tcW w:w="371"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4,179</w:t>
            </w:r>
          </w:p>
        </w:tc>
        <w:tc>
          <w:tcPr>
            <w:tcW w:w="20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4" w:type="dxa"/>
            <w:tcBorders/>
            <w:shd w:fill="CCEEFF" w:val="clear"/>
            <w:vAlign w:val="bottom"/>
          </w:tcPr>
          <w:p>
            <w:pPr>
              <w:pStyle w:val="TableContents"/>
              <w:spacing w:before="0" w:after="283"/>
              <w:jc w:val="right"/>
              <w:rPr/>
            </w:pPr>
            <w:r>
              <w:rPr/>
              <w:t>3,356</w:t>
            </w:r>
          </w:p>
        </w:tc>
        <w:tc>
          <w:tcPr>
            <w:tcW w:w="143" w:type="dxa"/>
            <w:tcBorders/>
            <w:shd w:fill="CCEEFF"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0"/>
              <w:ind w:left="225" w:right="0" w:hanging="225"/>
              <w:rPr/>
            </w:pPr>
            <w:r>
              <w:rPr/>
              <w:t>Loss on sale / disposal of assets</w:t>
            </w:r>
          </w:p>
        </w:tc>
        <w:tc>
          <w:tcPr>
            <w:tcW w:w="37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7</w:t>
            </w:r>
          </w:p>
        </w:tc>
        <w:tc>
          <w:tcPr>
            <w:tcW w:w="2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jc w:val="right"/>
              <w:rPr/>
            </w:pPr>
            <w:r>
              <w:rPr/>
              <w:t>211</w:t>
            </w:r>
          </w:p>
        </w:tc>
        <w:tc>
          <w:tcPr>
            <w:tcW w:w="143" w:type="dxa"/>
            <w:tcBorders/>
            <w:shd w:fill="auto" w:val="clear"/>
            <w:vAlign w:val="bottom"/>
          </w:tcPr>
          <w:p>
            <w:pPr>
              <w:pStyle w:val="TableContents"/>
              <w:spacing w:before="0" w:after="283"/>
              <w:rPr/>
            </w:pPr>
            <w:r>
              <w:rPr/>
              <w:t> </w:t>
            </w:r>
          </w:p>
        </w:tc>
      </w:tr>
      <w:tr>
        <w:trPr/>
        <w:tc>
          <w:tcPr>
            <w:tcW w:w="5887" w:type="dxa"/>
            <w:tcBorders/>
            <w:shd w:fill="CCEEFF" w:val="clear"/>
            <w:vAlign w:val="bottom"/>
          </w:tcPr>
          <w:p>
            <w:pPr>
              <w:pStyle w:val="TableContents"/>
              <w:spacing w:before="0" w:after="0"/>
              <w:ind w:left="225" w:right="0" w:hanging="225"/>
              <w:rPr/>
            </w:pPr>
            <w:r>
              <w:rPr/>
              <w:t>Interest income</w:t>
            </w:r>
          </w:p>
        </w:tc>
        <w:tc>
          <w:tcPr>
            <w:tcW w:w="371"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 </w:t>
            </w:r>
          </w:p>
        </w:tc>
        <w:tc>
          <w:tcPr>
            <w:tcW w:w="1323" w:type="dxa"/>
            <w:tcBorders/>
            <w:shd w:fill="CCEEFF" w:val="clear"/>
            <w:vAlign w:val="bottom"/>
          </w:tcPr>
          <w:p>
            <w:pPr>
              <w:pStyle w:val="TableContents"/>
              <w:spacing w:before="0" w:after="283"/>
              <w:jc w:val="right"/>
              <w:rPr/>
            </w:pPr>
            <w:r>
              <w:rPr/>
              <w:t>(3</w:t>
            </w:r>
          </w:p>
        </w:tc>
        <w:tc>
          <w:tcPr>
            <w:tcW w:w="204" w:type="dxa"/>
            <w:tcBorders/>
            <w:shd w:fill="CCEEFF" w:val="clear"/>
            <w:vAlign w:val="bottom"/>
          </w:tcPr>
          <w:p>
            <w:pPr>
              <w:pStyle w:val="TableContents"/>
              <w:spacing w:before="0" w:after="283"/>
              <w:rPr/>
            </w:pPr>
            <w:r>
              <w:rPr/>
              <w:t>)</w:t>
            </w:r>
          </w:p>
        </w:tc>
        <w:tc>
          <w:tcPr>
            <w:tcW w:w="413"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 </w:t>
            </w:r>
          </w:p>
        </w:tc>
        <w:tc>
          <w:tcPr>
            <w:tcW w:w="1324" w:type="dxa"/>
            <w:tcBorders/>
            <w:shd w:fill="CCEEFF" w:val="clear"/>
            <w:vAlign w:val="bottom"/>
          </w:tcPr>
          <w:p>
            <w:pPr>
              <w:pStyle w:val="TableContents"/>
              <w:spacing w:before="0" w:after="283"/>
              <w:jc w:val="right"/>
              <w:rPr/>
            </w:pPr>
            <w:r>
              <w:rPr/>
              <w:t>(8</w:t>
            </w:r>
          </w:p>
        </w:tc>
        <w:tc>
          <w:tcPr>
            <w:tcW w:w="143" w:type="dxa"/>
            <w:tcBorders/>
            <w:shd w:fill="CCEEFF" w:val="clear"/>
            <w:vAlign w:val="bottom"/>
          </w:tcPr>
          <w:p>
            <w:pPr>
              <w:pStyle w:val="TableContents"/>
              <w:spacing w:before="0" w:after="283"/>
              <w:rPr/>
            </w:pPr>
            <w:r>
              <w:rPr/>
              <w:t>)</w:t>
            </w:r>
          </w:p>
        </w:tc>
      </w:tr>
      <w:tr>
        <w:trPr/>
        <w:tc>
          <w:tcPr>
            <w:tcW w:w="5887" w:type="dxa"/>
            <w:tcBorders/>
            <w:shd w:fill="auto" w:val="clear"/>
            <w:vAlign w:val="bottom"/>
          </w:tcPr>
          <w:p>
            <w:pPr>
              <w:pStyle w:val="TableContents"/>
              <w:spacing w:before="0" w:after="0"/>
              <w:ind w:left="225" w:right="0" w:hanging="225"/>
              <w:rPr/>
            </w:pPr>
            <w:r>
              <w:rPr/>
              <w:t>Interest expense</w:t>
            </w:r>
          </w:p>
        </w:tc>
        <w:tc>
          <w:tcPr>
            <w:tcW w:w="37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300</w:t>
            </w:r>
          </w:p>
        </w:tc>
        <w:tc>
          <w:tcPr>
            <w:tcW w:w="2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jc w:val="right"/>
              <w:rPr/>
            </w:pPr>
            <w:r>
              <w:rPr/>
              <w:t>365</w:t>
            </w:r>
          </w:p>
        </w:tc>
        <w:tc>
          <w:tcPr>
            <w:tcW w:w="143" w:type="dxa"/>
            <w:tcBorders/>
            <w:shd w:fill="auto" w:val="clear"/>
            <w:vAlign w:val="bottom"/>
          </w:tcPr>
          <w:p>
            <w:pPr>
              <w:pStyle w:val="TableContents"/>
              <w:spacing w:before="0" w:after="283"/>
              <w:rPr/>
            </w:pPr>
            <w:r>
              <w:rPr/>
              <w:t> </w:t>
            </w:r>
          </w:p>
        </w:tc>
      </w:tr>
      <w:tr>
        <w:trPr/>
        <w:tc>
          <w:tcPr>
            <w:tcW w:w="5887" w:type="dxa"/>
            <w:tcBorders/>
            <w:shd w:fill="CCEEFF" w:val="clear"/>
            <w:vAlign w:val="bottom"/>
          </w:tcPr>
          <w:p>
            <w:pPr>
              <w:pStyle w:val="TableContents"/>
              <w:spacing w:before="0" w:after="0"/>
              <w:ind w:left="225" w:right="0" w:hanging="225"/>
              <w:rPr/>
            </w:pPr>
            <w:r>
              <w:rPr/>
              <w:t>Equity in net income of unconsolidated affiliates</w:t>
            </w:r>
          </w:p>
        </w:tc>
        <w:tc>
          <w:tcPr>
            <w:tcW w:w="371"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 </w:t>
            </w:r>
          </w:p>
        </w:tc>
        <w:tc>
          <w:tcPr>
            <w:tcW w:w="1323" w:type="dxa"/>
            <w:tcBorders/>
            <w:shd w:fill="CCEEFF" w:val="clear"/>
            <w:vAlign w:val="bottom"/>
          </w:tcPr>
          <w:p>
            <w:pPr>
              <w:pStyle w:val="TableContents"/>
              <w:spacing w:before="0" w:after="283"/>
              <w:jc w:val="right"/>
              <w:rPr/>
            </w:pPr>
            <w:r>
              <w:rPr/>
              <w:t>(3,367</w:t>
            </w:r>
          </w:p>
        </w:tc>
        <w:tc>
          <w:tcPr>
            <w:tcW w:w="204" w:type="dxa"/>
            <w:tcBorders/>
            <w:shd w:fill="CCEEFF" w:val="clear"/>
            <w:vAlign w:val="bottom"/>
          </w:tcPr>
          <w:p>
            <w:pPr>
              <w:pStyle w:val="TableContents"/>
              <w:spacing w:before="0" w:after="283"/>
              <w:rPr/>
            </w:pPr>
            <w:r>
              <w:rPr/>
              <w:t>)</w:t>
            </w:r>
          </w:p>
        </w:tc>
        <w:tc>
          <w:tcPr>
            <w:tcW w:w="413"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 </w:t>
            </w:r>
          </w:p>
        </w:tc>
        <w:tc>
          <w:tcPr>
            <w:tcW w:w="1324" w:type="dxa"/>
            <w:tcBorders/>
            <w:shd w:fill="CCEEFF" w:val="clear"/>
            <w:vAlign w:val="bottom"/>
          </w:tcPr>
          <w:p>
            <w:pPr>
              <w:pStyle w:val="TableContents"/>
              <w:spacing w:before="0" w:after="283"/>
              <w:jc w:val="right"/>
              <w:rPr/>
            </w:pPr>
            <w:r>
              <w:rPr/>
              <w:t>(1,283</w:t>
            </w:r>
          </w:p>
        </w:tc>
        <w:tc>
          <w:tcPr>
            <w:tcW w:w="143" w:type="dxa"/>
            <w:tcBorders/>
            <w:shd w:fill="CCEEFF" w:val="clear"/>
            <w:vAlign w:val="bottom"/>
          </w:tcPr>
          <w:p>
            <w:pPr>
              <w:pStyle w:val="TableContents"/>
              <w:spacing w:before="0" w:after="283"/>
              <w:rPr/>
            </w:pPr>
            <w:r>
              <w:rPr/>
              <w:t>)</w:t>
            </w:r>
          </w:p>
        </w:tc>
      </w:tr>
      <w:tr>
        <w:trPr/>
        <w:tc>
          <w:tcPr>
            <w:tcW w:w="5887" w:type="dxa"/>
            <w:tcBorders/>
            <w:shd w:fill="auto" w:val="clear"/>
            <w:vAlign w:val="bottom"/>
          </w:tcPr>
          <w:p>
            <w:pPr>
              <w:pStyle w:val="TableContents"/>
              <w:spacing w:before="0" w:after="0"/>
              <w:ind w:left="225" w:right="0" w:hanging="225"/>
              <w:rPr/>
            </w:pPr>
            <w:r>
              <w:rPr/>
              <w:t>Other</w:t>
            </w:r>
          </w:p>
        </w:tc>
        <w:tc>
          <w:tcPr>
            <w:tcW w:w="37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right"/>
              <w:rPr/>
            </w:pPr>
            <w:r>
              <w:rPr/>
              <w:t>(61</w:t>
            </w:r>
          </w:p>
        </w:tc>
        <w:tc>
          <w:tcPr>
            <w:tcW w:w="204" w:type="dxa"/>
            <w:tcBorders/>
            <w:shd w:fill="auto" w:val="clear"/>
            <w:vAlign w:val="bottom"/>
          </w:tcPr>
          <w:p>
            <w:pPr>
              <w:pStyle w:val="TableContents"/>
              <w:spacing w:before="0" w:after="283"/>
              <w:rPr/>
            </w:pPr>
            <w:r>
              <w:rPr/>
              <w:t>)</w:t>
            </w:r>
          </w:p>
        </w:tc>
        <w:tc>
          <w:tcPr>
            <w:tcW w:w="4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left"/>
              <w:rPr/>
            </w:pPr>
            <w:r>
              <w:rPr/>
              <w:t> </w:t>
            </w:r>
          </w:p>
        </w:tc>
        <w:tc>
          <w:tcPr>
            <w:tcW w:w="1324" w:type="dxa"/>
            <w:tcBorders/>
            <w:shd w:fill="auto" w:val="clear"/>
            <w:vAlign w:val="bottom"/>
          </w:tcPr>
          <w:p>
            <w:pPr>
              <w:pStyle w:val="TableContents"/>
              <w:spacing w:before="0" w:after="283"/>
              <w:jc w:val="right"/>
              <w:rPr/>
            </w:pPr>
            <w:r>
              <w:rPr/>
              <w:t>(15</w:t>
            </w:r>
          </w:p>
        </w:tc>
        <w:tc>
          <w:tcPr>
            <w:tcW w:w="143" w:type="dxa"/>
            <w:tcBorders/>
            <w:shd w:fill="auto" w:val="clear"/>
            <w:vAlign w:val="bottom"/>
          </w:tcPr>
          <w:p>
            <w:pPr>
              <w:pStyle w:val="TableContents"/>
              <w:spacing w:before="0" w:after="283"/>
              <w:rPr/>
            </w:pPr>
            <w:r>
              <w:rPr/>
              <w:t>)</w:t>
            </w:r>
          </w:p>
        </w:tc>
      </w:tr>
      <w:tr>
        <w:trPr/>
        <w:tc>
          <w:tcPr>
            <w:tcW w:w="588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5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5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5887" w:type="dxa"/>
            <w:tcBorders/>
            <w:shd w:fill="CCEEFF" w:val="clear"/>
            <w:vAlign w:val="bottom"/>
          </w:tcPr>
          <w:p>
            <w:pPr>
              <w:pStyle w:val="TableContents"/>
              <w:spacing w:before="0" w:after="0"/>
              <w:ind w:left="450" w:right="0" w:hanging="225"/>
              <w:rPr/>
            </w:pPr>
            <w:r>
              <w:rPr/>
              <w:t>Consolidated income before income taxes</w:t>
            </w:r>
          </w:p>
        </w:tc>
        <w:tc>
          <w:tcPr>
            <w:tcW w:w="371"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42,535</w:t>
            </w:r>
          </w:p>
        </w:tc>
        <w:tc>
          <w:tcPr>
            <w:tcW w:w="20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4" w:type="dxa"/>
            <w:tcBorders/>
            <w:shd w:fill="CCEEFF" w:val="clear"/>
            <w:vAlign w:val="bottom"/>
          </w:tcPr>
          <w:p>
            <w:pPr>
              <w:pStyle w:val="TableContents"/>
              <w:spacing w:before="0" w:after="283"/>
              <w:jc w:val="right"/>
              <w:rPr/>
            </w:pPr>
            <w:r>
              <w:rPr/>
              <w:t>39,827</w:t>
            </w:r>
          </w:p>
        </w:tc>
        <w:tc>
          <w:tcPr>
            <w:tcW w:w="143" w:type="dxa"/>
            <w:tcBorders/>
            <w:shd w:fill="CCEEFF"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0"/>
              <w:ind w:left="225" w:right="0" w:hanging="225"/>
              <w:rPr/>
            </w:pPr>
            <w:r>
              <w:rPr/>
              <w:t>Income tax expense</w:t>
            </w:r>
          </w:p>
        </w:tc>
        <w:tc>
          <w:tcPr>
            <w:tcW w:w="37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15,106</w:t>
            </w:r>
          </w:p>
        </w:tc>
        <w:tc>
          <w:tcPr>
            <w:tcW w:w="20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jc w:val="right"/>
              <w:rPr/>
            </w:pPr>
            <w:r>
              <w:rPr/>
              <w:t>14,120</w:t>
            </w:r>
          </w:p>
        </w:tc>
        <w:tc>
          <w:tcPr>
            <w:tcW w:w="143" w:type="dxa"/>
            <w:tcBorders/>
            <w:shd w:fill="auto" w:val="clear"/>
            <w:vAlign w:val="bottom"/>
          </w:tcPr>
          <w:p>
            <w:pPr>
              <w:pStyle w:val="TableContents"/>
              <w:spacing w:before="0" w:after="283"/>
              <w:rPr/>
            </w:pPr>
            <w:r>
              <w:rPr/>
              <w:t> </w:t>
            </w:r>
          </w:p>
        </w:tc>
      </w:tr>
      <w:tr>
        <w:trPr/>
        <w:tc>
          <w:tcPr>
            <w:tcW w:w="588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5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5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5887" w:type="dxa"/>
            <w:tcBorders/>
            <w:shd w:fill="CCEEFF" w:val="clear"/>
            <w:vAlign w:val="bottom"/>
          </w:tcPr>
          <w:p>
            <w:pPr>
              <w:pStyle w:val="TableContents"/>
              <w:spacing w:before="0" w:after="0"/>
              <w:ind w:left="450" w:right="0" w:hanging="225"/>
              <w:rPr/>
            </w:pPr>
            <w:r>
              <w:rPr/>
              <w:t>Net income</w:t>
            </w:r>
          </w:p>
        </w:tc>
        <w:tc>
          <w:tcPr>
            <w:tcW w:w="371"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27,429</w:t>
            </w:r>
          </w:p>
        </w:tc>
        <w:tc>
          <w:tcPr>
            <w:tcW w:w="20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w:t>
            </w:r>
          </w:p>
        </w:tc>
        <w:tc>
          <w:tcPr>
            <w:tcW w:w="1324" w:type="dxa"/>
            <w:tcBorders/>
            <w:shd w:fill="CCEEFF" w:val="clear"/>
            <w:vAlign w:val="bottom"/>
          </w:tcPr>
          <w:p>
            <w:pPr>
              <w:pStyle w:val="TableContents"/>
              <w:spacing w:before="0" w:after="283"/>
              <w:jc w:val="right"/>
              <w:rPr/>
            </w:pPr>
            <w:r>
              <w:rPr/>
              <w:t>25,707</w:t>
            </w:r>
          </w:p>
        </w:tc>
        <w:tc>
          <w:tcPr>
            <w:tcW w:w="143" w:type="dxa"/>
            <w:tcBorders/>
            <w:shd w:fill="CCEEFF" w:val="clear"/>
            <w:vAlign w:val="bottom"/>
          </w:tcPr>
          <w:p>
            <w:pPr>
              <w:pStyle w:val="TableContents"/>
              <w:spacing w:before="0" w:after="283"/>
              <w:rPr/>
            </w:pPr>
            <w:r>
              <w:rPr/>
              <w:t> </w:t>
            </w:r>
          </w:p>
        </w:tc>
      </w:tr>
      <w:tr>
        <w:trPr/>
        <w:tc>
          <w:tcPr>
            <w:tcW w:w="588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5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5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quarter were $26.1 million (19% of net revenues) compared to $12.3 million (11% of net revenues) in the prior year quarter. This increase is primarily due to a pre-tax charge of $10.9 million related to the retirement of our former Chief Executive Officer. This charge included $3.4 million attributable to a cash payment and $7.5 million attributable to the vesting of restricted stock. Excluding this charge, administrative expense increased $2.9 million over the prior year quarter, but remained unchanged at 11% of net revenues in the current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$4.2 million in the current quarter, compared to $3.4 million in the prior year quarter. Depreciation on assets placed in service, primarily at new and acquired stores, was partially offset by assets that were retired or became fully depreciated during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losses on disposal of assets related to store closures were offset by gains on disposal of assets. In the prior year quarter we recognized a $0.2 million loss on store closures or consolidations.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$0.3 million net interest expense in the current quarter and $0.4 million in the prior year quarter represent primarily interest on borrowed funds, the amortization of deferred financing costs and the commitment fee on our unused available credit. The only debt outstanding at the end of each period was our term debt, the terms of which require $2.5 million quarterly principal repayments.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increased $0.4 million, or 32% in the current quarter to $1.7 million as a result of Albemarle &amp; Bonds higher earnings, partially offset by a weaker British pound in relation to the U.S. dollar. On November 6, 2009, we acquired approximately 30% of the capital stock of Cash Converters International Limited, a publicly traded company headquartered in Perth, Australia. We acquired additional shares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20, 2010 which increased our ownership level to almost 33%. In the current quarter our equity in the net income of Cash Converters was $1.7 million. As we account for our earnings from Cash Converters on a 3-month lag, the prior year quarter included no earnings contribution from Cash Converters.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 income tax expense was $15.1 million (35.5% of pretax income) compared to $14.1 million (35.5% of pretax income) for the prior year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quarter improved $0.5 million over the prior year quarter to $39.4 million. Contributing to this were the $11.6 million, $1.6 million and $1.8 million increases in store operating income in our U.S. Pawn, Empeño Fácil and EZMONEY segments and the $0.2 million decrease in loss on disposal of assets. Mostly offsetting these was the $10.9 million charge related to the retirement of our former Chief Executive Officer, the $2.9 million increase in other administrative expenses and the $0.8 million increase in depreciation and amortization. After a $2.1 million increase in our equity in the net income of unconsolidated affiliates and a $1.0 million increase in income taxes and other smaller items, net income improved to $27.4 million. Excluding the one-time $10.9 million charge related to the retirement of our former Chief Executive Officer and the related tax benefit, net income increased 34% to $34.5 million from $25.7 million in the prior year quarter.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our $35.2 million cash flow from operations consisted of (a) net income plus several non-cash items, aggregating to $42.6 million, net of (b) $7.4 million of normal, recurring changes in operating assets and liabilities. In the prior year quarter, our $35.3 million cash flow from operations consisted of (a) net income plus several non-cash items, aggregating to $33.3 million, net of (b) $2.0 million of normal, recurring changes in operating assets and liabilities.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$30.5 million of net cash used in investing activities during the current quarter was funded by cash flow from operations and cash on hand. In the current quarter, we acquired four pawn stores for $13.7 million, invested $7.9 million in additional property and equipment and invested $10.7 million in loans made in excess of customer loan repayments and the recovery of principal through the sale of forfeited pawn loan collateral. In the current quarter we also received $1.8 million in dividends from Cash Converters and repaid $2.5 million of our term loan. Net of related tax benefits and proceeds from option exercises, we also paid $4.1 million of withholding tax upon the net share settlement of restricted stock vesting.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and other smaller cash flows was a $1.9 million decrease in cash on hand, providing a $23.9 million ending cash balance.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our cash needs to meet future aggregate contractual obligations (in millions): </w:t>
      </w:r>
    </w:p>
    <w:tbl>
      <w:tblPr>
        <w:tblW w:w="5000" w:type="pct"/>
        <w:jc w:val="center"/>
        <w:tblInd w:w="0" w:type="dxa"/>
        <w:tblCellMar>
          <w:top w:w="0" w:type="dxa"/>
          <w:left w:w="0" w:type="dxa"/>
          <w:bottom w:w="0" w:type="dxa"/>
          <w:right w:w="0" w:type="dxa"/>
        </w:tblCellMar>
      </w:tblPr>
      <w:tblGrid>
        <w:gridCol w:w="3475"/>
        <w:gridCol w:w="243"/>
        <w:gridCol w:w="158"/>
        <w:gridCol w:w="670"/>
        <w:gridCol w:w="89"/>
        <w:gridCol w:w="243"/>
        <w:gridCol w:w="265"/>
        <w:gridCol w:w="906"/>
        <w:gridCol w:w="89"/>
        <w:gridCol w:w="243"/>
        <w:gridCol w:w="221"/>
        <w:gridCol w:w="770"/>
        <w:gridCol w:w="88"/>
        <w:gridCol w:w="243"/>
        <w:gridCol w:w="221"/>
        <w:gridCol w:w="770"/>
        <w:gridCol w:w="89"/>
        <w:gridCol w:w="243"/>
        <w:gridCol w:w="243"/>
        <w:gridCol w:w="837"/>
        <w:gridCol w:w="99"/>
      </w:tblGrid>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388"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71" w:type="dxa"/>
            <w:gridSpan w:val="2"/>
            <w:tcBorders>
              <w:bottom w:val="single" w:sz="2" w:space="0" w:color="000000"/>
            </w:tcBorders>
            <w:shd w:fill="auto" w:val="clear"/>
            <w:tcMar>
              <w:bottom w:w="28" w:type="dxa"/>
            </w:tcMar>
            <w:vAlign w:val="bottom"/>
          </w:tcPr>
          <w:p>
            <w:pPr>
              <w:pStyle w:val="TableContents"/>
              <w:spacing w:before="0" w:after="283"/>
              <w:jc w:val="center"/>
              <w:rPr/>
            </w:pPr>
            <w:r>
              <w:rPr/>
              <w:t>Less than 1</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pPr>
            <w:r>
              <w:rPr/>
              <w:t>More than</w:t>
            </w:r>
          </w:p>
        </w:tc>
        <w:tc>
          <w:tcPr>
            <w:tcW w:w="99" w:type="dxa"/>
            <w:tcBorders/>
            <w:shd w:fill="auto" w:val="clear"/>
            <w:vAlign w:val="bottom"/>
          </w:tcPr>
          <w:p>
            <w:pPr>
              <w:pStyle w:val="TableContents"/>
              <w:spacing w:before="0" w:after="283"/>
              <w:rPr/>
            </w:pPr>
            <w:r>
              <w:rPr/>
              <w:t> </w:t>
            </w:r>
          </w:p>
        </w:tc>
      </w:tr>
      <w:tr>
        <w:trPr/>
        <w:tc>
          <w:tcPr>
            <w:tcW w:w="3475"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2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71" w:type="dxa"/>
            <w:gridSpan w:val="2"/>
            <w:tcBorders>
              <w:bottom w:val="single" w:sz="2" w:space="0" w:color="000000"/>
            </w:tcBorders>
            <w:shd w:fill="auto" w:val="clear"/>
            <w:tcMar>
              <w:bottom w:w="28" w:type="dxa"/>
            </w:tcMar>
            <w:vAlign w:val="bottom"/>
          </w:tcPr>
          <w:p>
            <w:pPr>
              <w:pStyle w:val="TableContents"/>
              <w:spacing w:before="0" w:after="283"/>
              <w:jc w:val="center"/>
              <w:rPr/>
            </w:pPr>
            <w:r>
              <w:rPr/>
              <w:t>year</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4-5 years</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pPr>
            <w:r>
              <w:rPr/>
              <w:t>5 years</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Long-term debt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670" w:type="dxa"/>
            <w:tcBorders/>
            <w:shd w:fill="CCEEFF" w:val="clear"/>
            <w:vAlign w:val="bottom"/>
          </w:tcPr>
          <w:p>
            <w:pPr>
              <w:pStyle w:val="TableContents"/>
              <w:spacing w:before="0" w:after="283"/>
              <w:jc w:val="right"/>
              <w:rPr/>
            </w:pPr>
            <w:r>
              <w:rPr/>
              <w:t>22.5</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10.0</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12.5</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Interest on long-term debt obligations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0.9</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0.5</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0.4</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Operating lease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pPr>
            <w:r>
              <w:rPr/>
              <w:t>148.4</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38.8</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60.8</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30.0</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18.8</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center"/>
          </w:tcPr>
          <w:p>
            <w:pPr>
              <w:pStyle w:val="TableContents"/>
              <w:spacing w:before="0" w:after="0"/>
              <w:ind w:left="225" w:right="0" w:hanging="225"/>
              <w:rPr/>
            </w:pPr>
            <w:r>
              <w:rPr/>
              <w:t> </w:t>
            </w:r>
          </w:p>
        </w:tc>
        <w:tc>
          <w:tcPr>
            <w:tcW w:w="243" w:type="dxa"/>
            <w:tcBorders/>
            <w:shd w:fill="auto" w:val="clear"/>
            <w:vAlign w:val="center"/>
          </w:tcPr>
          <w:p>
            <w:pPr>
              <w:pStyle w:val="TableContents"/>
              <w:spacing w:before="0" w:after="283"/>
              <w:rPr/>
            </w:pPr>
            <w:r>
              <w:rPr/>
              <w:t> </w:t>
            </w:r>
          </w:p>
        </w:tc>
        <w:tc>
          <w:tcPr>
            <w:tcW w:w="8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0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Total</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670" w:type="dxa"/>
            <w:tcBorders/>
            <w:shd w:fill="auto" w:val="clear"/>
            <w:vAlign w:val="bottom"/>
          </w:tcPr>
          <w:p>
            <w:pPr>
              <w:pStyle w:val="TableContents"/>
              <w:spacing w:before="0" w:after="283"/>
              <w:jc w:val="right"/>
              <w:rPr/>
            </w:pPr>
            <w:r>
              <w:rPr/>
              <w:t>171.8</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w:t>
            </w:r>
          </w:p>
        </w:tc>
        <w:tc>
          <w:tcPr>
            <w:tcW w:w="906" w:type="dxa"/>
            <w:tcBorders/>
            <w:shd w:fill="auto" w:val="clear"/>
            <w:vAlign w:val="bottom"/>
          </w:tcPr>
          <w:p>
            <w:pPr>
              <w:pStyle w:val="TableContents"/>
              <w:spacing w:before="0" w:after="283"/>
              <w:jc w:val="right"/>
              <w:rPr/>
            </w:pPr>
            <w:r>
              <w:rPr/>
              <w:t>49.3</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770" w:type="dxa"/>
            <w:tcBorders/>
            <w:shd w:fill="auto" w:val="clear"/>
            <w:vAlign w:val="bottom"/>
          </w:tcPr>
          <w:p>
            <w:pPr>
              <w:pStyle w:val="TableContents"/>
              <w:spacing w:before="0" w:after="283"/>
              <w:jc w:val="right"/>
              <w:rPr/>
            </w:pPr>
            <w:r>
              <w:rPr/>
              <w:t>73.7</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770" w:type="dxa"/>
            <w:tcBorders/>
            <w:shd w:fill="auto" w:val="clear"/>
            <w:vAlign w:val="bottom"/>
          </w:tcPr>
          <w:p>
            <w:pPr>
              <w:pStyle w:val="TableContents"/>
              <w:spacing w:before="0" w:after="283"/>
              <w:jc w:val="right"/>
              <w:rPr/>
            </w:pPr>
            <w:r>
              <w:rPr/>
              <w:t>30.0</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18.8</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center"/>
          </w:tcPr>
          <w:p>
            <w:pPr>
              <w:pStyle w:val="TableContents"/>
              <w:spacing w:before="0" w:after="0"/>
              <w:ind w:left="225" w:right="0" w:hanging="225"/>
              <w:rPr/>
            </w:pPr>
            <w:r>
              <w:rPr/>
              <w:t> </w:t>
            </w:r>
          </w:p>
        </w:tc>
        <w:tc>
          <w:tcPr>
            <w:tcW w:w="243" w:type="dxa"/>
            <w:tcBorders/>
            <w:shd w:fill="auto" w:val="clear"/>
            <w:vAlign w:val="center"/>
          </w:tcPr>
          <w:p>
            <w:pPr>
              <w:pStyle w:val="TableContents"/>
              <w:spacing w:before="0" w:after="283"/>
              <w:rPr/>
            </w:pPr>
            <w:r>
              <w:rPr/>
              <w:t> </w:t>
            </w:r>
          </w:p>
        </w:tc>
        <w:tc>
          <w:tcPr>
            <w:tcW w:w="8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December 31, 2010, our maximum exposure for losses on letters of credit, if all brokered signature loans defaulted and none was collected, was $27.9 million. At that date, our maximum exposure for losses on letters of credit, if all brokered auto title loans defaulted and none was collected, was $8.0 million. Auto title loans are secured by customers automobiles. These amounts include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most recent fiscal year ended September 30, 2010, these collectively amounted to $14.9 million.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operating lease obligations in the table above include expected rent for all our store locations for the full expected lease terms. Of the 448 U.S. EZMONEY short-term consumer loan stores, 159 adjoin an EZPAWN store. The lease agreements at approximately 93% of the remaining 289 free-standing EZMONEY stores contain provisions that limit our exposure to additional rent if laws were enacted that had a significant negative effect on our operations at these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ending September 30, 2011, we plan to open approximately 55 to 60 Empeño Fácil pawn stores in Mexico, 35 to 40 CASHMAX payday loan locations in Canada and ten pawn stores in the United States. This includes the 17 Empeño Fácil pawn stores, five CASHMAX payday loan stores and three U.S. pawn stores opened in the current quarter. In the remaining nine months of fiscal 2011, we expect an additional $8.0 million of capital expenditures plus the funding of working capital and start-up losses related to these store openings. We believe new stores will create a drag on earnings and liquidity until their second year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syndicated credit agreement provides for, among other things, (i) an $80 million revolving credit facility expiring December 31, 2011 that we may, under the terms of the agreement, request to be increased to a total of $110 million and (ii) a $40 million term loan maturing December 31, 2012. Our term loan requires $2.5 million quarterly principal payments. At December 31, 2010, $22.5 million was outstanding under the term loan and bank letters of credit totaling $5.0 million were outstanding, leaving $75.0 million available on our revolving credit facility. The outstanding bank letters of credit secure our obligations under letters of credit we issue to unaffiliated lenders as part of our credit service operations. Terms of the credit agreement require, among other things, that we meet certain financial covenants. We were in compliance with all covenants at December 31, 2010 and expect to remain in compliance based on our expected future performance. The payment of dividends and additional debt are restricted under our credit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December 3, 2010, we filed a shelf Registration Statement on Form S-4, registering 2 million shares of our Class A Non-Voting Common Stock that we may offer from time to time in connection with future acquisitions of businesses, assets or securities. That registration statement was declared effective by the Securities and Exchange Commission on January 13, 2011. To date, we have not issued any of the shares covered by the registration statement.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Off-Balance Sheet Arrangements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include an allowance for Expected LOC Losses in Accounts payable and other accrued expenses on our balance sheet. At December 31, 2010, the allowance for Expected LOC Losses was $2.0 million. At that date, our maximum exposure for losses on letters of credit, if all brokered signature and auto title loans defaulted and none was collected, was $35.9 million. This amount includes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no other off-balance sheet arrangements.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Use of Estimates and Assumptions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are based upon our condensed consolidated financial statements, which have been prepared according to accounting principles generally accepted in the United States for interim financial information. The preparation of these financial statements require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spacing w:before="240" w:after="283"/>
        <w:jc w:val="left"/>
        <w:rPr>
          <w:rFonts w:ascii="Times New Roman;Times;serif" w:hAnsi="Times New Roman;Times;serif"/>
          <w:sz w:val="17"/>
        </w:rPr>
      </w:pPr>
      <w:bookmarkStart w:id="10" w:name="D79164108"/>
      <w:bookmarkEnd w:id="10"/>
      <w:r>
        <w:rPr>
          <w:rFonts w:ascii="Times New Roman;Times;serif" w:hAnsi="Times New Roman;Times;serif"/>
          <w:b/>
          <w:i/>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exposed to market risk related to interest rates, gold values and changes in foreign currency exchange rates.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are affected by changes in interest rates as our debt has a variable rate. If interest rates average 50 basis points more than our current rate in the remaining nine months of the fiscal year ending September 30, 2011, our interest expense during those nine months would increase by approximately $66,000. This amount is determined by considering the impact of the hypothetical interest rate change on our variable-rate term debt at December 31, 2010, including mandatory quarterly principal repayments of $2.5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For further discussion, you should read Part I, Item 1A  Risk Factors of our Annual Report on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exchange rate fluctuations related to our equity investments in Albemarle &amp; Bond and Cash Converters, our Empeño Fácil pawn operations in Mexico, and our Canadian CASHMAX stores. Albemarle &amp; Bonds functional currency is the British pound, Cash Converters functional currency is the Australian dollar, Empeño Fácils functional currency is the Mexican peso, and CASHMAXs functional currency is the Canadian dollar. The impact on our results of operations and financial position of hypothetical changes in foreign currency exchange rates cannot be reasonably estimated due to the interrelationship of operating results and exchange rates. Separate discussion regarding the Canadian dollar is not presented as our Canadian operations are not yet material.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Albemarle &amp; Bond representing the strengthening in the British pound during the quarter ended September 30, 2010 (included in our December 31, 2010 results on a three-month lag) was a $0.9 million increase to stockholders equity. On December 31, 2010, the British pound weakened to £1.00 to $1.5471 U.S. compared to $1.5809 at September 30, 2010.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Cash Converters representing the strengthening in the Australian dollar during the quarter ended September 30, 2010 (included in our December 31, 2010 results on a three-month lag) was a $5.1 million increase to stockholders equity. On December 31, 2010, the Australian dollar strengthened to $1.00 Australian dollar to $1.0163 U.S. from $0.9701 at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Empeño Fácil representing the strengthening of the Mexican peso during the quarter ended December 31, 2010 was a $0.4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December 31, 2010, the peso strengthened to $1.00 Mexican peso to $0.0809 U.S. from $0.0800 at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cannot predict the future valuation of foreign currencies or how further movements in them could affect our future earnings or financial position.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in Part II, Item 1A  Risk Factors of this Quarterly Report and Part I, Item 1A  Risk Factors of our Annual Report on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D79164109"/>
      <w:bookmarkEnd w:id="11"/>
      <w:r>
        <w:rPr>
          <w:rFonts w:ascii="Times New Roman;Times;serif" w:hAnsi="Times New Roman;Times;serif"/>
          <w:b/>
          <w:i/>
          <w:sz w:val="17"/>
        </w:rPr>
        <w:t>Item 4.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Evaluation of Disclosure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2010. Based on that evaluation, our Chief Executive Officer and Chief Financial Officer concluded that our disclosure controls and procedures were effective as of December 31, 2010.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Changes in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 over financial reporting during the quarter ended December 31, 2010 that have materially affected, or are reasonably likely to materially affect, our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Inherent Limitations on Internal Controls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Judgments in decision-making can be faulty, and control and process breakdowns can occur because of simple errors or mistakes.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Controls can be circumvented by individuals, acting alone or in collusion with others, or by management override.</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any system of controls is based in part on certain assumptions about the likelihood of future events, and there can be no assurance that any design will succeed in achieving its stated goals under all potential future conditions.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Over time, controls may become inadequate because of changes in conditions or deterioration in the degree of compliance with associated policies or procedures.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 control system must reflect the fact that resources are constrained, and the benefits of controls must be considered relative to their costs.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the inherent limitations in all control systems, no evaluation of controls can provide absolute assurance that all control issues and instances of fraud, if any, have been detected.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D79164110"/>
      <w:bookmarkEnd w:id="12"/>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3" w:name="D79164111"/>
      <w:bookmarkEnd w:id="13"/>
      <w:r>
        <w:rPr>
          <w:rFonts w:ascii="Times New Roman;Times;serif" w:hAnsi="Times New Roman;Times;serif"/>
          <w:b/>
          <w:i/>
          <w:sz w:val="17"/>
        </w:rPr>
        <w:t>Item 1.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 J, Contingencies, in the Notes to Interim Condensed Consolidated Financial Statements (unaudited) included in this filing and incorporated herein by reference. </w:t>
      </w:r>
    </w:p>
    <w:p>
      <w:pPr>
        <w:pStyle w:val="TextBody"/>
        <w:spacing w:before="240" w:after="283"/>
        <w:jc w:val="left"/>
        <w:rPr>
          <w:rFonts w:ascii="Times New Roman;Times;serif" w:hAnsi="Times New Roman;Times;serif"/>
          <w:sz w:val="17"/>
        </w:rPr>
      </w:pPr>
      <w:bookmarkStart w:id="14" w:name="D79164112"/>
      <w:bookmarkEnd w:id="14"/>
      <w:r>
        <w:rPr>
          <w:rFonts w:ascii="Times New Roman;Times;serif" w:hAnsi="Times New Roman;Times;serif"/>
          <w:b/>
          <w:i/>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Important risk factors that could affect our operations and financial performance, or that could cause results or events to differ from current expectations, are described in Part I, Item 1A, Risk Factors of our Annual Report on Form 10-K for the year ended September 30, 2010. These factors are supplemented by those discussed under Quantitative and Qualitative Disclosures about Market Risk in Part I, Item 3 of this report and in Part II, Item 7A of our Annual Report on Form 10-K for the year ended September 30, 2010.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240" w:after="283"/>
        <w:jc w:val="left"/>
        <w:rPr>
          <w:rFonts w:ascii="Times New Roman;Times;serif" w:hAnsi="Times New Roman;Times;serif"/>
          <w:sz w:val="17"/>
        </w:rPr>
      </w:pPr>
      <w:bookmarkStart w:id="15" w:name="D79164113"/>
      <w:bookmarkEnd w:id="15"/>
      <w:r>
        <w:rPr>
          <w:rFonts w:ascii="Times New Roman;Times;serif" w:hAnsi="Times New Roman;Times;serif"/>
          <w:b/>
          <w:i/>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43"/>
        <w:gridCol w:w="287"/>
        <w:gridCol w:w="8775"/>
      </w:tblGrid>
      <w:tr>
        <w:trPr/>
        <w:tc>
          <w:tcPr>
            <w:tcW w:w="1143"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vAlign w:val="bottom"/>
          </w:tcPr>
          <w:p>
            <w:pPr>
              <w:pStyle w:val="TableContents"/>
              <w:spacing w:before="0" w:after="283"/>
              <w:rPr/>
            </w:pPr>
            <w:r>
              <w:rPr/>
              <w:t> </w:t>
            </w:r>
          </w:p>
        </w:tc>
      </w:tr>
      <w:tr>
        <w:trPr/>
        <w:tc>
          <w:tcPr>
            <w:tcW w:w="1143" w:type="dxa"/>
            <w:tcBorders>
              <w:bottom w:val="single" w:sz="2" w:space="0" w:color="000000"/>
            </w:tcBorders>
            <w:shd w:fill="auto" w:val="clear"/>
            <w:tcMar>
              <w:bottom w:w="28" w:type="dxa"/>
            </w:tcMar>
            <w:vAlign w:val="bottom"/>
          </w:tcPr>
          <w:p>
            <w:pPr>
              <w:pStyle w:val="TableContents"/>
              <w:spacing w:before="0" w:after="283"/>
              <w:jc w:val="left"/>
              <w:rPr/>
            </w:pPr>
            <w:r>
              <w:rPr/>
              <w:t>Exhibit No.</w:t>
            </w:r>
          </w:p>
        </w:tc>
        <w:tc>
          <w:tcPr>
            <w:tcW w:w="287" w:type="dxa"/>
            <w:tcBorders/>
            <w:shd w:fill="auto" w:val="clear"/>
            <w:vAlign w:val="bottom"/>
          </w:tcPr>
          <w:p>
            <w:pPr>
              <w:pStyle w:val="TableContents"/>
              <w:spacing w:before="0" w:after="283"/>
              <w:rPr/>
            </w:pPr>
            <w:r>
              <w:rPr/>
              <w:t> </w:t>
            </w:r>
          </w:p>
        </w:tc>
        <w:tc>
          <w:tcPr>
            <w:tcW w:w="8775" w:type="dxa"/>
            <w:tcBorders>
              <w:bottom w:val="single" w:sz="2" w:space="0" w:color="000000"/>
            </w:tcBorders>
            <w:shd w:fill="auto" w:val="clear"/>
            <w:tcMar>
              <w:bottom w:w="28" w:type="dxa"/>
            </w:tcMar>
            <w:vAlign w:val="bottom"/>
          </w:tcPr>
          <w:p>
            <w:pPr>
              <w:pStyle w:val="TableContents"/>
              <w:spacing w:before="0" w:after="283"/>
              <w:jc w:val="left"/>
              <w:rPr/>
            </w:pPr>
            <w:r>
              <w:rPr/>
              <w:t>Description of Exhibit</w:t>
            </w:r>
          </w:p>
        </w:tc>
      </w:tr>
      <w:tr>
        <w:trPr/>
        <w:tc>
          <w:tcPr>
            <w:tcW w:w="1143" w:type="dxa"/>
            <w:tcBorders/>
            <w:shd w:fill="auto" w:val="clear"/>
          </w:tcPr>
          <w:p>
            <w:pPr>
              <w:pStyle w:val="TableContents"/>
              <w:spacing w:before="0" w:after="0"/>
              <w:ind w:left="0" w:right="0" w:hanging="0"/>
              <w:rPr/>
            </w:pPr>
            <w:r>
              <w:rPr/>
              <w:t xml:space="preserve">31.1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31.2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32.1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Certifications of Paul E. Rothamel, Chief Executive Officer, and Stephen A. Stamp, Chief Financial Officer, pursuant to 18 U.S.C. Section 1350, as adopted pursuant to Section 906 of the Sarbanes-Oxley Act of 2002</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101.INS*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Instance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101.SCH*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Schema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101.CAL*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Calculation Linkbase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101.LAB*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Label Linkbase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101.DEF*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Definition Linkbase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101.PRE*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December 31, 2010, December 31, 2009 and September 30, 2010; (ii) Consolidated Statements of Income for the three months ended December 31, 2010 and December 31, 2009; (iii) Consolidated Statements of Cash Flows for the three months ended December 31, 2010 and December 31, 2009; and (iv) Notes to Consolidated Financial Statements (tagged as a block of text).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D79164114"/>
      <w:bookmarkEnd w:id="1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706"/>
        <w:gridCol w:w="354"/>
        <w:gridCol w:w="354"/>
        <w:gridCol w:w="3398"/>
        <w:gridCol w:w="1393"/>
      </w:tblGrid>
      <w:tr>
        <w:trPr/>
        <w:tc>
          <w:tcPr>
            <w:tcW w:w="4706"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398" w:type="dxa"/>
            <w:tcBorders/>
            <w:shd w:fill="auto" w:val="clear"/>
            <w:vAlign w:val="center"/>
          </w:tcPr>
          <w:p>
            <w:pPr>
              <w:pStyle w:val="TableContents"/>
              <w:spacing w:before="0" w:after="283"/>
              <w:rPr/>
            </w:pPr>
            <w:r>
              <w:rPr/>
              <w:t>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EZCORP, INC.</w:t>
              <w:br/>
              <w:t>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Date: February 8, 2011 </w:t>
            </w:r>
          </w:p>
        </w:tc>
        <w:tc>
          <w:tcPr>
            <w:tcW w:w="4106"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Stephen A. Stamp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Senior Vice President and</w:t>
              <w:br/>
              <w:t>Chief Financial Officer </w:t>
            </w:r>
          </w:p>
        </w:tc>
        <w:tc>
          <w:tcPr>
            <w:tcW w:w="139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D7916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17" w:name="D79164115"/>
      <w:bookmarkEnd w:id="17"/>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1143"/>
        <w:gridCol w:w="287"/>
        <w:gridCol w:w="8775"/>
      </w:tblGrid>
      <w:tr>
        <w:trPr/>
        <w:tc>
          <w:tcPr>
            <w:tcW w:w="1143"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vAlign w:val="bottom"/>
          </w:tcPr>
          <w:p>
            <w:pPr>
              <w:pStyle w:val="TableContents"/>
              <w:spacing w:before="0" w:after="283"/>
              <w:rPr/>
            </w:pPr>
            <w:r>
              <w:rPr/>
              <w:t> </w:t>
            </w:r>
          </w:p>
        </w:tc>
      </w:tr>
      <w:tr>
        <w:trPr/>
        <w:tc>
          <w:tcPr>
            <w:tcW w:w="1143" w:type="dxa"/>
            <w:tcBorders>
              <w:bottom w:val="single" w:sz="2" w:space="0" w:color="000000"/>
            </w:tcBorders>
            <w:shd w:fill="auto" w:val="clear"/>
            <w:tcMar>
              <w:bottom w:w="28" w:type="dxa"/>
            </w:tcMar>
            <w:vAlign w:val="bottom"/>
          </w:tcPr>
          <w:p>
            <w:pPr>
              <w:pStyle w:val="TableContents"/>
              <w:spacing w:before="0" w:after="283"/>
              <w:jc w:val="left"/>
              <w:rPr/>
            </w:pPr>
            <w:r>
              <w:rPr/>
              <w:t>Exhibit No.</w:t>
            </w:r>
          </w:p>
        </w:tc>
        <w:tc>
          <w:tcPr>
            <w:tcW w:w="287" w:type="dxa"/>
            <w:tcBorders/>
            <w:shd w:fill="auto" w:val="clear"/>
            <w:vAlign w:val="bottom"/>
          </w:tcPr>
          <w:p>
            <w:pPr>
              <w:pStyle w:val="TableContents"/>
              <w:spacing w:before="0" w:after="283"/>
              <w:rPr/>
            </w:pPr>
            <w:r>
              <w:rPr/>
              <w:t> </w:t>
            </w:r>
          </w:p>
        </w:tc>
        <w:tc>
          <w:tcPr>
            <w:tcW w:w="8775" w:type="dxa"/>
            <w:tcBorders>
              <w:bottom w:val="single" w:sz="2" w:space="0" w:color="000000"/>
            </w:tcBorders>
            <w:shd w:fill="auto" w:val="clear"/>
            <w:tcMar>
              <w:bottom w:w="28" w:type="dxa"/>
            </w:tcMar>
            <w:vAlign w:val="bottom"/>
          </w:tcPr>
          <w:p>
            <w:pPr>
              <w:pStyle w:val="TableContents"/>
              <w:spacing w:before="0" w:after="283"/>
              <w:jc w:val="left"/>
              <w:rPr/>
            </w:pPr>
            <w:r>
              <w:rPr/>
              <w:t>Description of Exhibit</w:t>
            </w:r>
          </w:p>
        </w:tc>
      </w:tr>
      <w:tr>
        <w:trPr/>
        <w:tc>
          <w:tcPr>
            <w:tcW w:w="1143" w:type="dxa"/>
            <w:tcBorders/>
            <w:shd w:fill="auto" w:val="clear"/>
          </w:tcPr>
          <w:p>
            <w:pPr>
              <w:pStyle w:val="TableContents"/>
              <w:spacing w:before="0" w:after="0"/>
              <w:ind w:left="0" w:right="0" w:hanging="0"/>
              <w:rPr/>
            </w:pPr>
            <w:r>
              <w:rPr/>
              <w:t xml:space="preserve">31.1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31.2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32.1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Certifications of Paul E. Rothamel, Chief Executive Officer, and Stephen A. Stamp, Chief Financial Officer, pursuant to 18 U.S.C. Section 1350, as adopted pursuant to Section 906 of the Sarbanes-Oxley Act of 2002</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101.INS*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Instance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101.SCH*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Schema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101.CAL*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Calculation Linkbase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101.LAB*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Label Linkbase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101.DEF*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Definition Linkbase Document</w:t>
            </w:r>
          </w:p>
        </w:tc>
      </w:tr>
      <w:tr>
        <w:trPr/>
        <w:tc>
          <w:tcPr>
            <w:tcW w:w="1143" w:type="dxa"/>
            <w:tcBorders/>
            <w:shd w:fill="auto" w:val="clear"/>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 </w:t>
            </w:r>
          </w:p>
        </w:tc>
      </w:tr>
      <w:tr>
        <w:trPr/>
        <w:tc>
          <w:tcPr>
            <w:tcW w:w="1143" w:type="dxa"/>
            <w:tcBorders/>
            <w:shd w:fill="auto" w:val="clear"/>
          </w:tcPr>
          <w:p>
            <w:pPr>
              <w:pStyle w:val="TableContents"/>
              <w:spacing w:before="0" w:after="0"/>
              <w:ind w:left="0" w:right="0" w:hanging="0"/>
              <w:rPr/>
            </w:pPr>
            <w:r>
              <w:rPr/>
              <w:t xml:space="preserve">101.PRE* </w:t>
            </w:r>
          </w:p>
        </w:tc>
        <w:tc>
          <w:tcPr>
            <w:tcW w:w="287" w:type="dxa"/>
            <w:tcBorders/>
            <w:shd w:fill="auto" w:val="clear"/>
            <w:vAlign w:val="bottom"/>
          </w:tcPr>
          <w:p>
            <w:pPr>
              <w:pStyle w:val="TableContents"/>
              <w:spacing w:before="0" w:after="283"/>
              <w:rPr/>
            </w:pPr>
            <w:r>
              <w:rPr/>
              <w:t> </w:t>
            </w:r>
          </w:p>
        </w:tc>
        <w:tc>
          <w:tcPr>
            <w:tcW w:w="8775"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December 31, 2010, December 31, 2009 and September 30, 2010; (ii) Consolidated Statements of Income for the three months ended December 31, 2010 and December 31, 2009; (iii) Consolidated Statements of Cash Flows for the three months ended December 31, 2010 and December 31, 2009; and (iv) Notes to Consolidated Financial Statements (tagged as a block of text).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34 </w:t>
      </w:r>
      <w:r>
        <w:br w:type="page"/>
      </w:r>
    </w:p>
    <w:p>
      <w:pPr>
        <w:pStyle w:val="TextBody"/>
        <w:spacing w:before="240" w:after="283"/>
        <w:jc w:val="right"/>
        <w:rPr>
          <w:rFonts w:ascii="Times New Roman;Times;serif" w:hAnsi="Times New Roman;Times;serif"/>
          <w:sz w:val="17"/>
        </w:rPr>
      </w:pPr>
      <w:bookmarkStart w:id="18" w:name="d79164exv31w1.htm"/>
      <w:bookmarkStart w:id="19" w:name="ksd79164exv31w1"/>
      <w:bookmarkEnd w:id="18"/>
      <w:bookmarkEnd w:id="19"/>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Paul E. Rothamel, Chief Executive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Paul E. Rothamel,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Quarterly Report on Form 10-Q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19"/>
        <w:gridCol w:w="376"/>
        <w:gridCol w:w="330"/>
        <w:gridCol w:w="3384"/>
        <w:gridCol w:w="1396"/>
      </w:tblGrid>
      <w:tr>
        <w:trPr/>
        <w:tc>
          <w:tcPr>
            <w:tcW w:w="4719"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February 8,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Executive Officer </w:t>
            </w:r>
          </w:p>
        </w:tc>
        <w:tc>
          <w:tcPr>
            <w:tcW w:w="1396"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20" w:name="d79164exv31w2.htm"/>
      <w:bookmarkStart w:id="21" w:name="ksd79164exv31w2"/>
      <w:bookmarkStart w:id="22" w:name="d79164exv31w2.htm"/>
      <w:bookmarkStart w:id="23" w:name="ksd79164exv31w2"/>
      <w:bookmarkEnd w:id="22"/>
      <w:bookmarkEnd w:id="23"/>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Stephen A. Stamp, Chief Financial Officer,</w:t>
        <w:br/>
        <w:t>pursuant to Rule 13a-14(a) under the Securities Exchange Act of 1934, as adopted pursuant to</w:t>
        <w:br/>
        <w:t>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Stephen A. Stamp,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Quarterly Report on Form 10-Q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50"/>
        <w:gridCol w:w="479"/>
        <w:gridCol w:w="258"/>
        <w:gridCol w:w="3318"/>
        <w:gridCol w:w="1400"/>
      </w:tblGrid>
      <w:tr>
        <w:trPr/>
        <w:tc>
          <w:tcPr>
            <w:tcW w:w="4750"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3318"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Date: February 8, 2011 </w:t>
            </w:r>
          </w:p>
        </w:tc>
        <w:tc>
          <w:tcPr>
            <w:tcW w:w="405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Stephen A. Stamp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Chief Financial Officer </w:t>
            </w:r>
          </w:p>
        </w:tc>
        <w:tc>
          <w:tcPr>
            <w:tcW w:w="1400"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24" w:name="d79164exv32w1.htm"/>
      <w:bookmarkStart w:id="25" w:name="ksd79164exv32w1"/>
      <w:bookmarkStart w:id="26" w:name="d79164exv32w1.htm"/>
      <w:bookmarkStart w:id="27" w:name="ksd79164exv32w1"/>
      <w:bookmarkEnd w:id="26"/>
      <w:bookmarkEnd w:id="27"/>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Certifications of Paul E. Rothamel, Chief Executive Officer, and Stephen A. Stamp, Chief Financial Officer,</w:t>
        <w:br/>
        <w:t>pursuant to 18 U.S.C. Section 1350, as adopted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undersigned officers of EZCORP, Inc. hereby certify that (a) EZCORPs Quarterly Report on Form 10-Q for the quarter ended December 31, 2010,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tbl>
      <w:tblPr>
        <w:tblW w:w="5000" w:type="pct"/>
        <w:jc w:val="left"/>
        <w:tblInd w:w="0" w:type="dxa"/>
        <w:tblCellMar>
          <w:top w:w="0" w:type="dxa"/>
          <w:left w:w="0" w:type="dxa"/>
          <w:bottom w:w="0" w:type="dxa"/>
          <w:right w:w="0" w:type="dxa"/>
        </w:tblCellMar>
      </w:tblPr>
      <w:tblGrid>
        <w:gridCol w:w="4719"/>
        <w:gridCol w:w="376"/>
        <w:gridCol w:w="330"/>
        <w:gridCol w:w="3384"/>
        <w:gridCol w:w="1396"/>
      </w:tblGrid>
      <w:tr>
        <w:trPr/>
        <w:tc>
          <w:tcPr>
            <w:tcW w:w="4719"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February 8,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Executive Officer </w:t>
            </w:r>
          </w:p>
        </w:tc>
        <w:tc>
          <w:tcPr>
            <w:tcW w:w="139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February 8,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Stephen A. Stamp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Financial Officer </w:t>
            </w:r>
          </w:p>
        </w:tc>
        <w:tc>
          <w:tcPr>
            <w:tcW w:w="139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39</Pages>
  <Words>19119</Words>
  <CharactersWithSpaces>122993</CharactersWithSpaces>
  <Paragraphs>8776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exv32w1</dc:title>
</cp:coreProperties>
</file>