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5, 2020 (March 5, 2020)</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5, 2020, the sole holder of the Company’s Class B Voting Common Stock (the “Voting Stockholder”) re-elected the following persons to serve on the Company’s Board of Directors, effective at the Annual Meeting of Stockholders held on March 5, 2020: Matthew W. Appel, Zena Srivatsa Arnold, Shelaghmichael Brown, Phillip E. Cohen, Stuart I. Grimshaw, Pablo Lagos Espinosa, Kent V. Stone, Gary L. Tillett, Robert W. K. Webb and Rosa C. Zeegers. Each of such persons shall serve a one-year term until the next annual meeting of stockholders (or, if earlier, until his or her death, removal or resignation).</w:t>
      </w:r>
    </w:p>
    <w:p>
      <w:pPr>
        <w:spacing w:after="0" w:line="1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March 5, 2020, there were 2,970,171 shares of the Company's Class B Voting Common Stock outstanding, all of which are held by MS Pawn Limited Partnership.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held its 2020 Annual Meeting of Stockholders on March 5, 2020. The Company’s publicly-traded Class A Non-Voting Common Stock is not entitled to vote on any matters, and thus, no proposals or other matters were presented for voting at the 2020 Annual Meeting. Management discussed the Company’s strategic plans and initiatives and responded to stockholders’ questions. A copy of the presentation materials that management reviewed during the 2020 Annual Meeting has been posted in the Investor Relations section of the Company’s website at www.ezcorp.com.</w:t>
      </w:r>
    </w:p>
    <w:p>
      <w:pPr>
        <w:spacing w:after="0" w:line="1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420"/>
      </w:cols>
      <w:pgMar w:left="240" w:top="7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2020-03-05T15:22:51Z</dcterms:created>
  <dcterms:modified xsi:type="dcterms:W3CDTF">2020-03-05T15:22:51Z</dcterms:modified>
</cp:coreProperties>
</file>