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-597535</wp:posOffset>
            </wp:positionV>
            <wp:extent cx="8255" cy="5981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-605790</wp:posOffset>
            </wp:positionV>
            <wp:extent cx="825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-581660</wp:posOffset>
            </wp:positionV>
            <wp:extent cx="1269365" cy="558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5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34290</wp:posOffset>
            </wp:positionV>
            <wp:extent cx="6969760" cy="1722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2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Kulas Jason A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>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58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-2487295</wp:posOffset>
            </wp:positionH>
            <wp:positionV relativeFrom="paragraph">
              <wp:posOffset>180340</wp:posOffset>
            </wp:positionV>
            <wp:extent cx="6969760" cy="8648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9164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91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253,479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253,479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382,996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vest in whole or in part on September 30, 2023, subject to the attainment of specified performance goals.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2020. However, no consideration was paid for the award other than services rendered and to be rendered by the Reporting Person.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Carrie Putnam,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96158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2021-02-24T07:10:48Z</dcterms:created>
  <dcterms:modified xsi:type="dcterms:W3CDTF">2021-02-24T07:10:48Z</dcterms:modified>
</cp:coreProperties>
</file>