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18415</wp:posOffset>
            </wp:positionV>
            <wp:extent cx="6995795" cy="5803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80326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Jugmans Timothy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2500 BEE CAVE RD, BLDG. 1, SUITE 200</w:t>
      </w:r>
    </w:p>
    <w:p>
      <w:pPr>
        <w:spacing w:after="0" w:line="34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2580" w:val="left"/>
        </w:tabs>
        <w:rPr>
          <w:sz w:val="20"/>
          <w:szCs w:val="20"/>
          <w:color w:val="auto"/>
        </w:rPr>
      </w:pPr>
      <w:r>
        <w:rPr>
          <w:rFonts w:ascii="Arial" w:cs="Arial" w:eastAsia="Arial" w:hAnsi="Arial"/>
          <w:sz w:val="16"/>
          <w:szCs w:val="16"/>
          <w:color w:val="0000FF"/>
        </w:rPr>
        <w:t>ROLLINGWOOD TX</w:t>
      </w:r>
      <w:r>
        <w:rPr>
          <w:sz w:val="20"/>
          <w:szCs w:val="20"/>
          <w:color w:val="auto"/>
        </w:rPr>
        <w:tab/>
      </w:r>
      <w:r>
        <w:rPr>
          <w:rFonts w:ascii="Arial" w:cs="Arial" w:eastAsia="Arial" w:hAnsi="Arial"/>
          <w:sz w:val="14"/>
          <w:szCs w:val="14"/>
          <w:color w:val="0000FF"/>
        </w:rPr>
        <w:t>78746</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gridSpan w:val="4"/>
          </w:tcPr>
          <w:p>
            <w:pPr>
              <w:ind w:left="8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EZCORP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EZPW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1240" w:type="dxa"/>
            <w:vAlign w:val="bottom"/>
            <w:gridSpan w:val="3"/>
          </w:tcPr>
          <w:p>
            <w:pPr>
              <w:ind w:left="80"/>
              <w:spacing w:after="0"/>
              <w:rPr>
                <w:sz w:val="20"/>
                <w:szCs w:val="20"/>
                <w:color w:val="auto"/>
              </w:rPr>
            </w:pPr>
            <w:r>
              <w:rPr>
                <w:rFonts w:ascii="Arial" w:cs="Arial" w:eastAsia="Arial" w:hAnsi="Arial"/>
                <w:sz w:val="16"/>
                <w:szCs w:val="16"/>
                <w:color w:val="0000FF"/>
              </w:rPr>
              <w:t>11/14/2023</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00"/>
              <w:spacing w:after="0"/>
              <w:rPr>
                <w:sz w:val="20"/>
                <w:szCs w:val="20"/>
                <w:color w:val="auto"/>
              </w:rPr>
            </w:pPr>
            <w:r>
              <w:rPr>
                <w:rFonts w:ascii="Arial" w:cs="Arial" w:eastAsia="Arial" w:hAnsi="Arial"/>
                <w:sz w:val="16"/>
                <w:szCs w:val="16"/>
                <w:color w:val="0000FF"/>
              </w:rPr>
              <w:t>Chief Financial Officer</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00"/>
        <w:spacing w:after="0" w:line="27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38"/>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6"/>
                <w:szCs w:val="16"/>
                <w:color w:val="0000FF"/>
              </w:rPr>
              <w:t>85,327</w:t>
            </w:r>
          </w:p>
        </w:tc>
        <w:tc>
          <w:tcPr>
            <w:tcW w:w="640" w:type="dxa"/>
            <w:vAlign w:val="bottom"/>
          </w:tcPr>
          <w:p>
            <w:pPr>
              <w:ind w:left="340"/>
              <w:spacing w:after="0"/>
              <w:rPr>
                <w:sz w:val="20"/>
                <w:szCs w:val="20"/>
                <w:color w:val="auto"/>
              </w:rPr>
            </w:pPr>
            <w:r>
              <w:rPr>
                <w:rFonts w:ascii="Arial" w:cs="Arial" w:eastAsia="Arial" w:hAnsi="Arial"/>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jc w:val="right"/>
              <w:ind w:right="302"/>
              <w:spacing w:after="0"/>
              <w:rPr>
                <w:sz w:val="20"/>
                <w:szCs w:val="20"/>
                <w:color w:val="auto"/>
              </w:rPr>
            </w:pPr>
            <w:r>
              <w:rPr>
                <w:rFonts w:ascii="Arial" w:cs="Arial" w:eastAsia="Arial" w:hAnsi="Arial"/>
                <w:sz w:val="16"/>
                <w:szCs w:val="16"/>
                <w:color w:val="0000FF"/>
              </w:rPr>
              <w:t>124,182</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F</w:t>
            </w:r>
          </w:p>
        </w:tc>
        <w:tc>
          <w:tcPr>
            <w:tcW w:w="700" w:type="dxa"/>
            <w:vAlign w:val="bottom"/>
          </w:tcPr>
          <w:p>
            <w:pPr>
              <w:jc w:val="right"/>
              <w:spacing w:after="0"/>
              <w:rPr>
                <w:sz w:val="20"/>
                <w:szCs w:val="20"/>
                <w:color w:val="auto"/>
              </w:rPr>
            </w:pPr>
            <w:r>
              <w:rPr>
                <w:rFonts w:ascii="Arial" w:cs="Arial" w:eastAsia="Arial" w:hAnsi="Arial"/>
                <w:sz w:val="16"/>
                <w:szCs w:val="16"/>
                <w:color w:val="0000FF"/>
              </w:rPr>
              <w:t>25,043</w:t>
            </w:r>
          </w:p>
        </w:tc>
        <w:tc>
          <w:tcPr>
            <w:tcW w:w="640" w:type="dxa"/>
            <w:vAlign w:val="bottom"/>
          </w:tcPr>
          <w:p>
            <w:pPr>
              <w:ind w:left="340"/>
              <w:spacing w:after="0"/>
              <w:rPr>
                <w:sz w:val="20"/>
                <w:szCs w:val="20"/>
                <w:color w:val="auto"/>
              </w:rPr>
            </w:pPr>
            <w:r>
              <w:rPr>
                <w:rFonts w:ascii="Arial" w:cs="Arial" w:eastAsia="Arial" w:hAnsi="Arial"/>
                <w:sz w:val="16"/>
                <w:szCs w:val="16"/>
                <w:color w:val="0000FF"/>
              </w:rPr>
              <w:t>D</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jc w:val="right"/>
              <w:ind w:right="342"/>
              <w:spacing w:after="0"/>
              <w:rPr>
                <w:sz w:val="20"/>
                <w:szCs w:val="20"/>
                <w:color w:val="auto"/>
              </w:rPr>
            </w:pPr>
            <w:r>
              <w:rPr>
                <w:rFonts w:ascii="Arial" w:cs="Arial" w:eastAsia="Arial" w:hAnsi="Arial"/>
                <w:sz w:val="16"/>
                <w:szCs w:val="16"/>
                <w:color w:val="0000FF"/>
              </w:rPr>
              <w:t>99,139</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58"/>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22,099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w w:val="91"/>
              </w:rPr>
              <w:t>A</w:t>
            </w:r>
          </w:p>
        </w:tc>
        <w:tc>
          <w:tcPr>
            <w:tcW w:w="520" w:type="dxa"/>
            <w:vAlign w:val="bottom"/>
          </w:tcPr>
          <w:p>
            <w:pPr>
              <w:ind w:left="100"/>
              <w:spacing w:after="0" w:line="140" w:lineRule="exact"/>
              <w:rPr>
                <w:sz w:val="20"/>
                <w:szCs w:val="20"/>
                <w:color w:val="auto"/>
              </w:rPr>
            </w:pPr>
            <w:r>
              <w:rPr>
                <w:rFonts w:ascii="Arial" w:cs="Arial" w:eastAsia="Arial" w:hAnsi="Arial"/>
                <w:sz w:val="13"/>
                <w:szCs w:val="13"/>
                <w:color w:val="0000FF"/>
              </w:rPr>
              <w:t>22,099</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233,458</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85,327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Arial" w:cs="Arial" w:eastAsia="Arial" w:hAnsi="Arial"/>
                <w:sz w:val="13"/>
                <w:szCs w:val="13"/>
                <w:color w:val="0000FF"/>
              </w:rPr>
              <w:t>85,327</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148,131</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3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2349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at the time of vesting.</w:t>
      </w:r>
    </w:p>
    <w:p>
      <w:pPr>
        <w:spacing w:after="0" w:line="40" w:lineRule="exact"/>
        <w:rPr>
          <w:rFonts w:ascii="Arial" w:cs="Arial" w:eastAsia="Arial" w:hAnsi="Arial"/>
          <w:sz w:val="13"/>
          <w:szCs w:val="13"/>
          <w:color w:val="008000"/>
        </w:rPr>
      </w:pPr>
    </w:p>
    <w:p>
      <w:pPr>
        <w:ind w:left="40" w:right="160"/>
        <w:spacing w:after="0" w:line="23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following "bonus" units: (1) 6,865 units attributable to the fiscal 2021 Restricted Stock Unit award earned with achievement of the specified performance goal for fiscal 2023 and vesting on September 30, 2023, subject to continued employment, plus (2) 9,138 units attributable to the fiscal 2022 Restricted Stock Unit award earned with achievement of the specified performance goal for fiscal 2023 and vesting on September 30, 2024, subject to continued employment, plus (3) 6,096 units attributable to the fiscal 2023 Restricted Stock Unit award earned with achievement of the specified performance goal for fiscal 2023 and vesting on September 30, 2025, subject to continued employment.</w:t>
      </w:r>
    </w:p>
    <w:p>
      <w:pPr>
        <w:sectPr>
          <w:pgSz w:w="11900" w:h="16838" w:orient="portrait"/>
          <w:cols w:equalWidth="0" w:num="1">
            <w:col w:w="11080"/>
          </w:cols>
          <w:pgMar w:left="460" w:top="220" w:right="35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3. The units vested on November 14, 2023 after specified performance goals were achieved.</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2"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Carrie Putnam,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635</wp:posOffset>
            </wp:positionV>
            <wp:extent cx="1309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17"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1300"/>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0000FF"/>
        </w:rPr>
        <w:t>11/16/2023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4" w:lineRule="exact"/>
        <w:rPr>
          <w:sz w:val="24"/>
          <w:szCs w:val="24"/>
          <w:color w:val="auto"/>
        </w:rPr>
      </w:pPr>
    </w:p>
    <w:p>
      <w:pPr>
        <w:sectPr>
          <w:pgSz w:w="11900" w:h="16838" w:orient="portrait"/>
          <w:cols w:equalWidth="0" w:num="2">
            <w:col w:w="8660" w:space="14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4431"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2023-11-16T14:34:29Z</dcterms:created>
  <dcterms:modified xsi:type="dcterms:W3CDTF">2023-11-16T14:34:29Z</dcterms:modified>
</cp:coreProperties>
</file>