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654685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65"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November 6, 2014</w:t>
      </w:r>
    </w:p>
    <w:p>
      <w:pPr>
        <w:spacing w:after="0" w:line="7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167"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80" w:type="dxa"/>
            <w:vAlign w:val="bottom"/>
          </w:tcPr>
          <w:p>
            <w:pPr>
              <w:jc w:val="center"/>
              <w:ind w:right="162"/>
              <w:spacing w:after="0"/>
              <w:rPr>
                <w:sz w:val="20"/>
                <w:szCs w:val="20"/>
                <w:color w:val="auto"/>
              </w:rPr>
            </w:pPr>
            <w:r>
              <w:rPr>
                <w:rFonts w:ascii="Arial" w:cs="Arial" w:eastAsia="Arial" w:hAnsi="Arial"/>
                <w:sz w:val="18"/>
                <w:szCs w:val="18"/>
                <w:b w:val="1"/>
                <w:bCs w:val="1"/>
                <w:color w:val="auto"/>
                <w:w w:val="91"/>
              </w:rPr>
              <w:t>Delaware</w:t>
            </w:r>
          </w:p>
        </w:tc>
        <w:tc>
          <w:tcPr>
            <w:tcW w:w="5740" w:type="dxa"/>
            <w:vAlign w:val="bottom"/>
          </w:tcPr>
          <w:p>
            <w:pPr>
              <w:jc w:val="center"/>
              <w:ind w:right="98"/>
              <w:spacing w:after="0"/>
              <w:rPr>
                <w:sz w:val="20"/>
                <w:szCs w:val="20"/>
                <w:color w:val="auto"/>
              </w:rPr>
            </w:pPr>
            <w:r>
              <w:rPr>
                <w:rFonts w:ascii="Arial" w:cs="Arial" w:eastAsia="Arial" w:hAnsi="Arial"/>
                <w:sz w:val="18"/>
                <w:szCs w:val="18"/>
                <w:b w:val="1"/>
                <w:bCs w:val="1"/>
                <w:color w:val="auto"/>
                <w:w w:val="90"/>
              </w:rPr>
              <w:t>0-19424</w:t>
            </w:r>
          </w:p>
        </w:tc>
        <w:tc>
          <w:tcPr>
            <w:tcW w:w="1460" w:type="dxa"/>
            <w:vAlign w:val="bottom"/>
          </w:tcPr>
          <w:p>
            <w:pPr>
              <w:jc w:val="center"/>
              <w:ind w:left="26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3"/>
              </w:rPr>
              <w:t>(State or other jurisdiction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(Commission</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2"/>
              </w:rPr>
              <w:t>of incorporation)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File Number)</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4"/>
              </w:rPr>
              <w:t>Identification No.)</w:t>
            </w:r>
          </w:p>
        </w:tc>
      </w:tr>
      <w:tr>
        <w:trPr>
          <w:trHeight w:val="367"/>
        </w:trPr>
        <w:tc>
          <w:tcPr>
            <w:tcW w:w="1880" w:type="dxa"/>
            <w:vAlign w:val="bottom"/>
          </w:tcPr>
          <w:p>
            <w:pPr>
              <w:spacing w:after="0"/>
              <w:rPr>
                <w:sz w:val="24"/>
                <w:szCs w:val="24"/>
                <w:color w:val="auto"/>
              </w:rPr>
            </w:pPr>
          </w:p>
        </w:tc>
        <w:tc>
          <w:tcPr>
            <w:tcW w:w="5740" w:type="dxa"/>
            <w:vAlign w:val="bottom"/>
          </w:tcPr>
          <w:p>
            <w:pPr>
              <w:jc w:val="center"/>
              <w:ind w:right="18"/>
              <w:spacing w:after="0"/>
              <w:rPr>
                <w:sz w:val="20"/>
                <w:szCs w:val="20"/>
                <w:color w:val="auto"/>
              </w:rPr>
            </w:pPr>
            <w:r>
              <w:rPr>
                <w:rFonts w:ascii="Arial" w:cs="Arial" w:eastAsia="Arial" w:hAnsi="Arial"/>
                <w:sz w:val="18"/>
                <w:szCs w:val="18"/>
                <w:b w:val="1"/>
                <w:bCs w:val="1"/>
                <w:color w:val="auto"/>
                <w:w w:val="90"/>
              </w:rPr>
              <w:t>1901 Capital Parkway, Austin, Texas 78746</w:t>
            </w:r>
          </w:p>
        </w:tc>
        <w:tc>
          <w:tcPr>
            <w:tcW w:w="1460" w:type="dxa"/>
            <w:vAlign w:val="bottom"/>
          </w:tcPr>
          <w:p>
            <w:pPr>
              <w:spacing w:after="0"/>
              <w:rPr>
                <w:sz w:val="24"/>
                <w:szCs w:val="24"/>
                <w:color w:val="auto"/>
              </w:rPr>
            </w:pPr>
          </w:p>
        </w:tc>
      </w:tr>
      <w:tr>
        <w:trPr>
          <w:trHeight w:val="186"/>
        </w:trPr>
        <w:tc>
          <w:tcPr>
            <w:tcW w:w="1880" w:type="dxa"/>
            <w:vAlign w:val="bottom"/>
          </w:tcPr>
          <w:p>
            <w:pPr>
              <w:spacing w:after="0"/>
              <w:rPr>
                <w:sz w:val="16"/>
                <w:szCs w:val="16"/>
                <w:color w:val="auto"/>
              </w:rPr>
            </w:pPr>
          </w:p>
        </w:tc>
        <w:tc>
          <w:tcPr>
            <w:tcW w:w="574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60" w:type="dxa"/>
            <w:vAlign w:val="bottom"/>
          </w:tcPr>
          <w:p>
            <w:pPr>
              <w:spacing w:after="0"/>
              <w:rPr>
                <w:sz w:val="16"/>
                <w:szCs w:val="16"/>
                <w:color w:val="auto"/>
              </w:rPr>
            </w:pPr>
          </w:p>
        </w:tc>
      </w:tr>
      <w:tr>
        <w:trPr>
          <w:trHeight w:val="377"/>
        </w:trPr>
        <w:tc>
          <w:tcPr>
            <w:tcW w:w="188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60" w:type="dxa"/>
            <w:vAlign w:val="bottom"/>
          </w:tcPr>
          <w:p>
            <w:pPr>
              <w:spacing w:after="0"/>
              <w:rPr>
                <w:sz w:val="24"/>
                <w:szCs w:val="24"/>
                <w:color w:val="auto"/>
              </w:rPr>
            </w:pPr>
          </w:p>
        </w:tc>
      </w:tr>
      <w:tr>
        <w:trPr>
          <w:trHeight w:val="284"/>
        </w:trPr>
        <w:tc>
          <w:tcPr>
            <w:tcW w:w="1880" w:type="dxa"/>
            <w:vAlign w:val="bottom"/>
          </w:tcPr>
          <w:p>
            <w:pPr>
              <w:spacing w:after="0"/>
              <w:rPr>
                <w:sz w:val="24"/>
                <w:szCs w:val="24"/>
                <w:color w:val="auto"/>
              </w:rPr>
            </w:pPr>
          </w:p>
        </w:tc>
        <w:tc>
          <w:tcPr>
            <w:tcW w:w="5740" w:type="dxa"/>
            <w:vAlign w:val="bottom"/>
          </w:tcPr>
          <w:p>
            <w:pPr>
              <w:jc w:val="center"/>
              <w:ind w:right="78"/>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60" w:type="dxa"/>
            <w:vAlign w:val="bottom"/>
          </w:tcPr>
          <w:p>
            <w:pPr>
              <w:spacing w:after="0"/>
              <w:rPr>
                <w:sz w:val="24"/>
                <w:szCs w:val="24"/>
                <w:color w:val="auto"/>
              </w:rPr>
            </w:pPr>
          </w:p>
        </w:tc>
      </w:tr>
    </w:tbl>
    <w:p>
      <w:pPr>
        <w:spacing w:after="0" w:line="35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071"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9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On November 6, 2014, EZCORP, Inc. issued a press release announcing its results of operations and financial condition for the fourth fiscal quarter and the fiscal year ended September 30, 2014. A copy of that press release is attached as Exhibit 99.1.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used herein, “GAAP” refers to accounting principles generally accepted in the United States.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press release furnished in Exhibit 99.1 presents the financial results in accordance with GAAP. In addition, income from continuing operations attributable to EZCORP, Inc. and diluted earnings per share for the three months and fiscal year ended September 30, 2014 are also presented on a non-GAAP basis. Information sufficient to reconcile the non-GAAP measure to the GAAP measure is also presented. This non-GAAP financial measure is not meant to be considered in isolation or as a substitute for the corresponding GAAP measure.</w:t>
      </w:r>
    </w:p>
    <w:p>
      <w:pPr>
        <w:spacing w:after="0" w:line="21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information set forth under this Item 2.02, including Exhibit 99.1, shall not be deemed “filed” for purposes of Section 18 of the Securities Exchange Act of 1934 or otherwise subject to the liabilities of that section, and shall not be deemed to be incorporated by reference in any filing made by EZCORP under the Securities Act of 1933 or the Securities Exchange Act of 1934.</w:t>
      </w: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87" w:lineRule="exact"/>
        <w:rPr>
          <w:sz w:val="20"/>
          <w:szCs w:val="20"/>
          <w:color w:val="auto"/>
        </w:rPr>
      </w:pPr>
    </w:p>
    <w:p>
      <w:pPr>
        <w:ind w:left="1120" w:right="660" w:hanging="562"/>
        <w:spacing w:after="0" w:line="277" w:lineRule="auto"/>
        <w:tabs>
          <w:tab w:leader="none" w:pos="1100" w:val="left"/>
        </w:tabs>
        <w:rPr>
          <w:sz w:val="20"/>
          <w:szCs w:val="20"/>
          <w:color w:val="auto"/>
        </w:rPr>
      </w:pPr>
      <w:r>
        <w:rPr>
          <w:rFonts w:ascii="Arial" w:cs="Arial" w:eastAsia="Arial" w:hAnsi="Arial"/>
          <w:sz w:val="18"/>
          <w:szCs w:val="18"/>
          <w:color w:val="auto"/>
        </w:rPr>
        <w:t>99.1</w:t>
        <w:tab/>
        <w:t>Press Release, dated November 6, 2014, announcing EZCORP, Inc.’s results of operations and financial condition for the fourth fiscal quarter and fiscal year ended September 30, 2014.</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580" w:right="25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EZCORP, INC.</w:t>
      </w:r>
    </w:p>
    <w:p>
      <w:pPr>
        <w:spacing w:after="0" w:line="185" w:lineRule="exact"/>
        <w:rPr>
          <w:sz w:val="20"/>
          <w:szCs w:val="20"/>
          <w:color w:val="auto"/>
        </w:rPr>
      </w:pPr>
    </w:p>
    <w:p>
      <w:pPr>
        <w:ind w:left="640" w:right="2620" w:hanging="6941"/>
        <w:spacing w:after="0" w:line="290" w:lineRule="auto"/>
        <w:tabs>
          <w:tab w:leader="none" w:pos="620" w:val="left"/>
        </w:tabs>
        <w:rPr>
          <w:sz w:val="20"/>
          <w:szCs w:val="20"/>
          <w:color w:val="auto"/>
        </w:rPr>
      </w:pPr>
      <w:r>
        <w:rPr>
          <w:rFonts w:ascii="Arial" w:cs="Arial" w:eastAsia="Arial" w:hAnsi="Arial"/>
          <w:sz w:val="18"/>
          <w:szCs w:val="18"/>
          <w:color w:val="auto"/>
        </w:rPr>
        <w:t>Date:</w:t>
        <w:tab/>
        <w:t>November 6, 2014 By: /s/ Mark Kuchenrither Mark Kuchenrither</w:t>
      </w:r>
    </w:p>
    <w:p>
      <w:pPr>
        <w:spacing w:after="0" w:line="290" w:lineRule="exact"/>
        <w:rPr>
          <w:sz w:val="20"/>
          <w:szCs w:val="20"/>
          <w:color w:val="auto"/>
        </w:rPr>
      </w:pPr>
    </w:p>
    <w:p>
      <w:pPr>
        <w:ind w:left="7000"/>
        <w:spacing w:after="0"/>
        <w:rPr>
          <w:sz w:val="20"/>
          <w:szCs w:val="20"/>
          <w:color w:val="auto"/>
        </w:rPr>
      </w:pPr>
      <w:r>
        <w:rPr>
          <w:rFonts w:ascii="Arial" w:cs="Arial" w:eastAsia="Arial" w:hAnsi="Arial"/>
          <w:sz w:val="16"/>
          <w:szCs w:val="16"/>
          <w:color w:val="auto"/>
        </w:rPr>
        <w:t>President and Chief Executive Officer and Chief Financial</w:t>
      </w:r>
    </w:p>
    <w:p>
      <w:pPr>
        <w:spacing w:after="0" w:line="46"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580"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20" w:type="dxa"/>
            <w:vAlign w:val="bottom"/>
          </w:tcPr>
          <w:p>
            <w:pPr>
              <w:jc w:val="center"/>
              <w:ind w:right="1394"/>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88"/>
        </w:trPr>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9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92"/>
        </w:trPr>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No.</w:t>
            </w:r>
          </w:p>
        </w:tc>
        <w:tc>
          <w:tcPr>
            <w:tcW w:w="9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2"/>
        </w:trPr>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99.1</w:t>
            </w:r>
          </w:p>
        </w:tc>
        <w:tc>
          <w:tcPr>
            <w:tcW w:w="140" w:type="dxa"/>
            <w:vAlign w:val="bottom"/>
          </w:tcPr>
          <w:p>
            <w:pPr>
              <w:spacing w:after="0"/>
              <w:rPr>
                <w:sz w:val="24"/>
                <w:szCs w:val="24"/>
                <w:color w:val="auto"/>
              </w:rPr>
            </w:pPr>
          </w:p>
        </w:tc>
        <w:tc>
          <w:tcPr>
            <w:tcW w:w="9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2"/>
              </w:rPr>
              <w:t>Press Release, dated November 6, 2014, announcing EZCORP, Inc.’s results of operations and financial condition for the fourth fiscal</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quarter and fiscal year ended September 30, 2014.</w:t>
            </w:r>
          </w:p>
        </w:tc>
        <w:tc>
          <w:tcPr>
            <w:tcW w:w="0" w:type="dxa"/>
            <w:vAlign w:val="bottom"/>
          </w:tcPr>
          <w:p>
            <w:pPr>
              <w:spacing w:after="0"/>
              <w:rPr>
                <w:sz w:val="1"/>
                <w:szCs w:val="1"/>
                <w:color w:val="auto"/>
              </w:rPr>
            </w:pPr>
          </w:p>
        </w:tc>
      </w:tr>
      <w:tr>
        <w:trPr>
          <w:trHeight w:val="702"/>
        </w:trPr>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920" w:type="dxa"/>
            <w:vAlign w:val="bottom"/>
          </w:tcPr>
          <w:p>
            <w:pPr>
              <w:jc w:val="right"/>
              <w:ind w:right="557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251460</wp:posOffset>
            </wp:positionV>
            <wp:extent cx="2006600" cy="3517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0660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line="269" w:lineRule="auto"/>
        <w:rPr>
          <w:sz w:val="20"/>
          <w:szCs w:val="20"/>
          <w:color w:val="auto"/>
        </w:rPr>
      </w:pPr>
      <w:r>
        <w:rPr>
          <w:rFonts w:ascii="Arial" w:cs="Arial" w:eastAsia="Arial" w:hAnsi="Arial"/>
          <w:sz w:val="22"/>
          <w:szCs w:val="22"/>
          <w:b w:val="1"/>
          <w:bCs w:val="1"/>
          <w:color w:val="auto"/>
        </w:rPr>
        <w:t>EZCORP REPORTS 2014 FINANCIAL RESULTS AND ESTABLISHES FOUNDATION FOR SUSTAINABLE GROWTH IN 2015 AND BEYOND</w:t>
      </w:r>
    </w:p>
    <w:p>
      <w:pPr>
        <w:spacing w:after="0" w:line="311"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 xml:space="preserve">AUSTIN, Texas </w:t>
      </w:r>
      <w:r>
        <w:rPr>
          <w:rFonts w:ascii="Arial" w:cs="Arial" w:eastAsia="Arial" w:hAnsi="Arial"/>
          <w:sz w:val="19"/>
          <w:szCs w:val="19"/>
          <w:color w:val="auto"/>
        </w:rPr>
        <w:t>(November 6, 2014)</w:t>
      </w:r>
      <w:r>
        <w:rPr>
          <w:rFonts w:ascii="Arial" w:cs="Arial" w:eastAsia="Arial" w:hAnsi="Arial"/>
          <w:sz w:val="19"/>
          <w:szCs w:val="19"/>
          <w:b w:val="1"/>
          <w:bCs w:val="1"/>
          <w:color w:val="auto"/>
        </w:rPr>
        <w:t xml:space="preserve"> — </w:t>
      </w:r>
      <w:r>
        <w:rPr>
          <w:rFonts w:ascii="Arial" w:cs="Arial" w:eastAsia="Arial" w:hAnsi="Arial"/>
          <w:sz w:val="19"/>
          <w:szCs w:val="19"/>
          <w:color w:val="auto"/>
        </w:rPr>
        <w:t>EZCORP, Inc. (NASDAQ: EZPW), a leading provider of easy cash solutions for</w:t>
      </w:r>
      <w:r>
        <w:rPr>
          <w:rFonts w:ascii="Arial" w:cs="Arial" w:eastAsia="Arial" w:hAnsi="Arial"/>
          <w:sz w:val="19"/>
          <w:szCs w:val="19"/>
          <w:b w:val="1"/>
          <w:bCs w:val="1"/>
          <w:color w:val="auto"/>
        </w:rPr>
        <w:t xml:space="preserve"> </w:t>
      </w:r>
      <w:r>
        <w:rPr>
          <w:rFonts w:ascii="Arial" w:cs="Arial" w:eastAsia="Arial" w:hAnsi="Arial"/>
          <w:sz w:val="19"/>
          <w:szCs w:val="19"/>
          <w:color w:val="auto"/>
        </w:rPr>
        <w:t>consumers, today announced fiscal fourth quarter financial results consistent with its October 27 pre-release. Adjusted non-GAAP net income from continuing operations was $14 million, or $0.27 per share. On a GAAP-basis, net loss from continuing operations attributable to EZCORP was $2 million or $(0.04) per share.* For the fiscal year ended September 30, 2014 total revenues were $990 million, and net income from continuing operations attributable to EZCORP was $47 million or $0.86 per share.</w:t>
      </w:r>
    </w:p>
    <w:p>
      <w:pPr>
        <w:spacing w:after="0" w:line="149"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The fourth quarter marked a significant turning point for EZCORP as the company completed the review of its business units and initiated a number of actions designed to align organizational structure with strategic focus. During the quarter, the company discontinued operations in its online lending businesses in the U.S. and the U.K.; reevaluated its organizational design and overhead structure; and reduced expenses, which will immediately benefit the bottom line and allow the company to reinvest in its storefront businesses. The company improved the depth and experience of its Board of Directors with the addition of experienced and successful pawn, finance and international business executives.</w:t>
      </w:r>
    </w:p>
    <w:p>
      <w:pPr>
        <w:spacing w:after="0" w:line="221"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Mark Kuchenrither, EZCORP’s President and Chief Executive Officer, stated, “In the fourth quarter, we established our foundation for sustainable growth as a customer-focused company, and we are pleased to welcome our new Executive Chairman, Stuart Grimshaw, to help us build on this foundation. Stuart has an established track record of success in creating and developing customer-centric businesses, and we will benefit from his experience and expertise as we focus our energies and resources on delivering a superior customer experience."</w:t>
      </w:r>
    </w:p>
    <w:p>
      <w:pPr>
        <w:spacing w:after="0" w:line="192" w:lineRule="exact"/>
        <w:rPr>
          <w:sz w:val="20"/>
          <w:szCs w:val="20"/>
          <w:color w:val="auto"/>
        </w:rPr>
      </w:pPr>
    </w:p>
    <w:p>
      <w:pPr>
        <w:jc w:val="both"/>
        <w:ind w:right="20"/>
        <w:spacing w:after="0" w:line="343" w:lineRule="auto"/>
        <w:rPr>
          <w:sz w:val="20"/>
          <w:szCs w:val="20"/>
          <w:color w:val="auto"/>
        </w:rPr>
      </w:pPr>
      <w:r>
        <w:rPr>
          <w:rFonts w:ascii="Arial" w:cs="Arial" w:eastAsia="Arial" w:hAnsi="Arial"/>
          <w:sz w:val="19"/>
          <w:szCs w:val="19"/>
          <w:color w:val="auto"/>
        </w:rPr>
        <w:t>Mr. Grimshaw stated, “I am excited about the tremendous opportunities for growth I see at EZCORP. I look forward to working with the Board of Directors and the management team to deliver superior long-term growth and shareholder returns.”</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See the attached non-GAAP EPS reconciliation table.</w:t>
      </w:r>
    </w:p>
    <w:p>
      <w:pPr>
        <w:spacing w:after="0" w:line="200" w:lineRule="exact"/>
        <w:rPr>
          <w:sz w:val="20"/>
          <w:szCs w:val="20"/>
          <w:color w:val="auto"/>
        </w:rPr>
      </w:pPr>
    </w:p>
    <w:p>
      <w:pPr>
        <w:spacing w:after="0" w:line="282" w:lineRule="exact"/>
        <w:rPr>
          <w:sz w:val="20"/>
          <w:szCs w:val="20"/>
          <w:color w:val="auto"/>
        </w:rPr>
      </w:pPr>
    </w:p>
    <w:p>
      <w:pPr>
        <w:ind w:right="3120"/>
        <w:spacing w:after="0" w:line="451" w:lineRule="auto"/>
        <w:rPr>
          <w:sz w:val="20"/>
          <w:szCs w:val="20"/>
          <w:color w:val="auto"/>
        </w:rPr>
      </w:pPr>
      <w:r>
        <w:rPr>
          <w:rFonts w:ascii="Arial" w:cs="Arial" w:eastAsia="Arial" w:hAnsi="Arial"/>
          <w:sz w:val="22"/>
          <w:szCs w:val="22"/>
          <w:b w:val="1"/>
          <w:bCs w:val="1"/>
          <w:u w:val="single" w:color="auto"/>
          <w:color w:val="auto"/>
        </w:rPr>
        <w:t xml:space="preserve">Financial and Operating Highlights - Fiscal Year ended September 30, 2014 vs. Prior Year </w:t>
      </w:r>
      <w:r>
        <w:rPr>
          <w:rFonts w:ascii="Arial" w:cs="Arial" w:eastAsia="Arial" w:hAnsi="Arial"/>
          <w:sz w:val="22"/>
          <w:szCs w:val="22"/>
          <w:b w:val="1"/>
          <w:bCs w:val="1"/>
          <w:color w:val="auto"/>
        </w:rPr>
        <w:t>Consolidated</w:t>
      </w:r>
    </w:p>
    <w:p>
      <w:pPr>
        <w:spacing w:after="0" w:line="1" w:lineRule="exact"/>
        <w:rPr>
          <w:sz w:val="20"/>
          <w:szCs w:val="20"/>
          <w:color w:val="auto"/>
        </w:rPr>
      </w:pPr>
    </w:p>
    <w:p>
      <w:pPr>
        <w:ind w:left="660" w:hanging="328"/>
        <w:spacing w:after="0" w:line="263"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For the fiscal year ended September 30, 2014, total revenues were $990 million as compared to $980 million for the same period last year.</w:t>
      </w:r>
    </w:p>
    <w:p>
      <w:pPr>
        <w:spacing w:after="0" w:line="174" w:lineRule="exact"/>
        <w:rPr>
          <w:rFonts w:ascii="Arial" w:cs="Arial" w:eastAsia="Arial" w:hAnsi="Arial"/>
          <w:sz w:val="22"/>
          <w:szCs w:val="22"/>
          <w:color w:val="auto"/>
        </w:rPr>
      </w:pPr>
    </w:p>
    <w:p>
      <w:pPr>
        <w:ind w:left="660" w:hanging="328"/>
        <w:spacing w:after="0" w:line="263"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Net income from continuing operations attributable to EZCORP was $47 million or $0.86 per share, as compared to $69 million or $1.27 per share in the same period a year earlier.</w:t>
      </w:r>
    </w:p>
    <w:p>
      <w:pPr>
        <w:sectPr>
          <w:pgSz w:w="11900" w:h="16838" w:orient="portrait"/>
          <w:cols w:equalWidth="0" w:num="1">
            <w:col w:w="11420"/>
          </w:cols>
          <w:pgMar w:left="240" w:top="585" w:right="239" w:bottom="1440" w:gutter="0" w:footer="0" w:header="0"/>
        </w:sectPr>
      </w:pPr>
    </w:p>
    <w:bookmarkStart w:id="5" w:name="page6"/>
    <w:bookmarkEnd w:id="5"/>
    <w:p>
      <w:pPr>
        <w:ind w:left="660" w:hanging="328"/>
        <w:spacing w:after="0"/>
        <w:tabs>
          <w:tab w:leader="none" w:pos="660" w:val="left"/>
        </w:tabs>
        <w:numPr>
          <w:ilvl w:val="0"/>
          <w:numId w:val="3"/>
        </w:numPr>
        <w:rPr>
          <w:rFonts w:ascii="Arial" w:cs="Arial" w:eastAsia="Arial" w:hAnsi="Arial"/>
          <w:sz w:val="19"/>
          <w:szCs w:val="19"/>
          <w:color w:val="auto"/>
        </w:rPr>
      </w:pPr>
      <w:r>
        <w:rPr>
          <w:rFonts w:ascii="Arial" w:cs="Arial" w:eastAsia="Arial" w:hAnsi="Arial"/>
          <w:sz w:val="19"/>
          <w:szCs w:val="19"/>
          <w:color w:val="auto"/>
        </w:rPr>
        <w:t>Cash and cash equivalents, including restricted cash, were $123 million at year-end, with aggregate consolidated debt of</w:t>
      </w:r>
    </w:p>
    <w:p>
      <w:pPr>
        <w:spacing w:after="0" w:line="56" w:lineRule="exact"/>
        <w:rPr>
          <w:rFonts w:ascii="Arial" w:cs="Arial" w:eastAsia="Arial" w:hAnsi="Arial"/>
          <w:sz w:val="19"/>
          <w:szCs w:val="19"/>
          <w:color w:val="auto"/>
        </w:rPr>
      </w:pPr>
    </w:p>
    <w:p>
      <w:pPr>
        <w:ind w:left="660" w:right="140"/>
        <w:spacing w:after="0" w:line="246" w:lineRule="auto"/>
        <w:rPr>
          <w:rFonts w:ascii="Arial" w:cs="Arial" w:eastAsia="Arial" w:hAnsi="Arial"/>
          <w:sz w:val="19"/>
          <w:szCs w:val="19"/>
          <w:color w:val="auto"/>
        </w:rPr>
      </w:pPr>
      <w:r>
        <w:rPr>
          <w:rFonts w:ascii="Arial" w:cs="Arial" w:eastAsia="Arial" w:hAnsi="Arial"/>
          <w:sz w:val="22"/>
          <w:szCs w:val="22"/>
          <w:color w:val="auto"/>
        </w:rPr>
        <w:t>$367 million comprised of the $223 million of convertible debt and $144 million of Grupo Finmart third-party debt, which is non-recourse to EZCORP.</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&amp; Canada Segment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Pawn —</w:t>
      </w:r>
    </w:p>
    <w:p>
      <w:pPr>
        <w:spacing w:after="0" w:line="220" w:lineRule="exact"/>
        <w:rPr>
          <w:sz w:val="20"/>
          <w:szCs w:val="20"/>
          <w:color w:val="auto"/>
        </w:rPr>
      </w:pPr>
    </w:p>
    <w:p>
      <w:pPr>
        <w:ind w:left="1300" w:hanging="320"/>
        <w:spacing w:after="0"/>
        <w:tabs>
          <w:tab w:leader="none" w:pos="1300" w:val="left"/>
        </w:tabs>
        <w:numPr>
          <w:ilvl w:val="0"/>
          <w:numId w:val="4"/>
        </w:numPr>
        <w:rPr>
          <w:rFonts w:ascii="Arial" w:cs="Arial" w:eastAsia="Arial" w:hAnsi="Arial"/>
          <w:sz w:val="22"/>
          <w:szCs w:val="22"/>
          <w:color w:val="auto"/>
        </w:rPr>
      </w:pPr>
      <w:r>
        <w:rPr>
          <w:rFonts w:ascii="Arial" w:cs="Arial" w:eastAsia="Arial" w:hAnsi="Arial"/>
          <w:sz w:val="22"/>
          <w:szCs w:val="22"/>
          <w:color w:val="auto"/>
        </w:rPr>
        <w:t>Pawn loan balances were $145 million at year-end, up 2% in total and up 3% on a same-store basis.</w:t>
      </w:r>
    </w:p>
    <w:p>
      <w:pPr>
        <w:spacing w:after="0" w:line="219" w:lineRule="exact"/>
        <w:rPr>
          <w:rFonts w:ascii="Arial" w:cs="Arial" w:eastAsia="Arial" w:hAnsi="Arial"/>
          <w:sz w:val="22"/>
          <w:szCs w:val="22"/>
          <w:color w:val="auto"/>
        </w:rPr>
      </w:pPr>
    </w:p>
    <w:p>
      <w:pPr>
        <w:ind w:left="1300" w:hanging="320"/>
        <w:spacing w:after="0" w:line="343" w:lineRule="auto"/>
        <w:tabs>
          <w:tab w:leader="none" w:pos="1300" w:val="left"/>
        </w:tabs>
        <w:numPr>
          <w:ilvl w:val="0"/>
          <w:numId w:val="4"/>
        </w:numPr>
        <w:rPr>
          <w:rFonts w:ascii="Arial" w:cs="Arial" w:eastAsia="Arial" w:hAnsi="Arial"/>
          <w:sz w:val="19"/>
          <w:szCs w:val="19"/>
          <w:color w:val="auto"/>
        </w:rPr>
      </w:pPr>
      <w:r>
        <w:rPr>
          <w:rFonts w:ascii="Arial" w:cs="Arial" w:eastAsia="Arial" w:hAnsi="Arial"/>
          <w:sz w:val="19"/>
          <w:szCs w:val="19"/>
          <w:color w:val="auto"/>
        </w:rPr>
        <w:t>Redemption rates were 83%, up 100 basis points compared to a year ago, driven by a 200 basis point increase in the jewelry redemption rate to 88% with the general merchandise redemption rate remaining flat at 76%.</w:t>
      </w:r>
    </w:p>
    <w:p>
      <w:pPr>
        <w:spacing w:after="0" w:line="104" w:lineRule="exact"/>
        <w:rPr>
          <w:rFonts w:ascii="Arial" w:cs="Arial" w:eastAsia="Arial" w:hAnsi="Arial"/>
          <w:sz w:val="19"/>
          <w:szCs w:val="19"/>
          <w:color w:val="auto"/>
        </w:rPr>
      </w:pPr>
    </w:p>
    <w:p>
      <w:pPr>
        <w:ind w:left="1300" w:right="20" w:hanging="320"/>
        <w:spacing w:after="0" w:line="263" w:lineRule="auto"/>
        <w:tabs>
          <w:tab w:leader="none" w:pos="1300" w:val="left"/>
        </w:tabs>
        <w:numPr>
          <w:ilvl w:val="0"/>
          <w:numId w:val="4"/>
        </w:numPr>
        <w:rPr>
          <w:rFonts w:ascii="Arial" w:cs="Arial" w:eastAsia="Arial" w:hAnsi="Arial"/>
          <w:sz w:val="22"/>
          <w:szCs w:val="22"/>
          <w:color w:val="auto"/>
        </w:rPr>
      </w:pPr>
      <w:r>
        <w:rPr>
          <w:rFonts w:ascii="Arial" w:cs="Arial" w:eastAsia="Arial" w:hAnsi="Arial"/>
          <w:sz w:val="22"/>
          <w:szCs w:val="22"/>
          <w:color w:val="auto"/>
        </w:rPr>
        <w:t>Total merchandise sales were $328 million, an increase of 6% in total and 4% on a same-store basis. Gross margin on merchandise sales was 37% as compared to 41% in the prior year.</w:t>
      </w:r>
    </w:p>
    <w:p>
      <w:pPr>
        <w:spacing w:after="0" w:line="174" w:lineRule="exact"/>
        <w:rPr>
          <w:rFonts w:ascii="Arial" w:cs="Arial" w:eastAsia="Arial" w:hAnsi="Arial"/>
          <w:sz w:val="22"/>
          <w:szCs w:val="22"/>
          <w:color w:val="auto"/>
        </w:rPr>
      </w:pPr>
    </w:p>
    <w:p>
      <w:pPr>
        <w:ind w:left="1300" w:hanging="320"/>
        <w:spacing w:after="0"/>
        <w:tabs>
          <w:tab w:leader="none" w:pos="1300" w:val="left"/>
        </w:tabs>
        <w:numPr>
          <w:ilvl w:val="0"/>
          <w:numId w:val="4"/>
        </w:numPr>
        <w:rPr>
          <w:rFonts w:ascii="Arial" w:cs="Arial" w:eastAsia="Arial" w:hAnsi="Arial"/>
          <w:sz w:val="22"/>
          <w:szCs w:val="22"/>
          <w:color w:val="auto"/>
        </w:rPr>
      </w:pPr>
      <w:r>
        <w:rPr>
          <w:rFonts w:ascii="Arial" w:cs="Arial" w:eastAsia="Arial" w:hAnsi="Arial"/>
          <w:sz w:val="22"/>
          <w:szCs w:val="22"/>
          <w:color w:val="auto"/>
        </w:rPr>
        <w:t>Inventory turns were 2.3 times as compared to 2.6 times for the same period last year.</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Financial Services —</w:t>
      </w:r>
    </w:p>
    <w:p>
      <w:pPr>
        <w:spacing w:after="0" w:line="220" w:lineRule="exact"/>
        <w:rPr>
          <w:sz w:val="20"/>
          <w:szCs w:val="20"/>
          <w:color w:val="auto"/>
        </w:rPr>
      </w:pPr>
    </w:p>
    <w:p>
      <w:pPr>
        <w:jc w:val="both"/>
        <w:ind w:left="1300" w:hanging="320"/>
        <w:spacing w:after="0" w:line="253" w:lineRule="auto"/>
        <w:tabs>
          <w:tab w:leader="none" w:pos="1300" w:val="left"/>
        </w:tabs>
        <w:numPr>
          <w:ilvl w:val="0"/>
          <w:numId w:val="5"/>
        </w:numPr>
        <w:rPr>
          <w:rFonts w:ascii="Arial" w:cs="Arial" w:eastAsia="Arial" w:hAnsi="Arial"/>
          <w:sz w:val="22"/>
          <w:szCs w:val="22"/>
          <w:color w:val="auto"/>
        </w:rPr>
      </w:pPr>
      <w:r>
        <w:rPr>
          <w:rFonts w:ascii="Arial" w:cs="Arial" w:eastAsia="Arial" w:hAnsi="Arial"/>
          <w:sz w:val="22"/>
          <w:szCs w:val="22"/>
          <w:color w:val="auto"/>
        </w:rPr>
        <w:t>Total loan balances including CSO loans, net of reserves, were $46 million at year-end, a 10% decrease over the prior year. At year end including CSO loans, installment loans were up 12% while auto title loans decreased 16% and traditional payday loans declined 15%.</w:t>
      </w:r>
    </w:p>
    <w:p>
      <w:pPr>
        <w:spacing w:after="0" w:line="185" w:lineRule="exact"/>
        <w:rPr>
          <w:rFonts w:ascii="Arial" w:cs="Arial" w:eastAsia="Arial" w:hAnsi="Arial"/>
          <w:sz w:val="22"/>
          <w:szCs w:val="22"/>
          <w:color w:val="auto"/>
        </w:rPr>
      </w:pPr>
    </w:p>
    <w:p>
      <w:pPr>
        <w:ind w:left="1300" w:hanging="320"/>
        <w:spacing w:after="0"/>
        <w:tabs>
          <w:tab w:leader="none" w:pos="1300" w:val="left"/>
        </w:tabs>
        <w:numPr>
          <w:ilvl w:val="0"/>
          <w:numId w:val="5"/>
        </w:numPr>
        <w:rPr>
          <w:rFonts w:ascii="Arial" w:cs="Arial" w:eastAsia="Arial" w:hAnsi="Arial"/>
          <w:sz w:val="22"/>
          <w:szCs w:val="22"/>
          <w:color w:val="auto"/>
        </w:rPr>
      </w:pPr>
      <w:r>
        <w:rPr>
          <w:rFonts w:ascii="Arial" w:cs="Arial" w:eastAsia="Arial" w:hAnsi="Arial"/>
          <w:sz w:val="22"/>
          <w:szCs w:val="22"/>
          <w:color w:val="auto"/>
        </w:rPr>
        <w:t>Total loan fees were $167 million, down 2% over the prior year.</w:t>
      </w:r>
    </w:p>
    <w:p>
      <w:pPr>
        <w:spacing w:after="0" w:line="219" w:lineRule="exact"/>
        <w:rPr>
          <w:rFonts w:ascii="Arial" w:cs="Arial" w:eastAsia="Arial" w:hAnsi="Arial"/>
          <w:sz w:val="22"/>
          <w:szCs w:val="22"/>
          <w:color w:val="auto"/>
        </w:rPr>
      </w:pPr>
    </w:p>
    <w:p>
      <w:pPr>
        <w:jc w:val="both"/>
        <w:ind w:left="1300" w:hanging="320"/>
        <w:spacing w:after="0" w:line="312" w:lineRule="auto"/>
        <w:tabs>
          <w:tab w:leader="none" w:pos="1300" w:val="left"/>
        </w:tabs>
        <w:numPr>
          <w:ilvl w:val="0"/>
          <w:numId w:val="5"/>
        </w:numPr>
        <w:rPr>
          <w:rFonts w:ascii="Arial" w:cs="Arial" w:eastAsia="Arial" w:hAnsi="Arial"/>
          <w:sz w:val="19"/>
          <w:szCs w:val="19"/>
          <w:color w:val="auto"/>
        </w:rPr>
      </w:pPr>
      <w:r>
        <w:rPr>
          <w:rFonts w:ascii="Arial" w:cs="Arial" w:eastAsia="Arial" w:hAnsi="Arial"/>
          <w:sz w:val="19"/>
          <w:szCs w:val="19"/>
          <w:color w:val="auto"/>
        </w:rPr>
        <w:t>Bad debt as a percentage of fees was 28%, up 400 basis points over the prior year. Bad debt in installment loans was 31%, up 400 basis points over the prior year; auto title loans bad debt was 21%, up 400 basis points over the prior year; and traditional payday loans bad debt was 29%, an increase of 300 basis points over the prior year</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Latin America Segment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Consumer Lending —</w:t>
      </w:r>
    </w:p>
    <w:p>
      <w:pPr>
        <w:spacing w:after="0" w:line="220" w:lineRule="exact"/>
        <w:rPr>
          <w:sz w:val="20"/>
          <w:szCs w:val="20"/>
          <w:color w:val="auto"/>
        </w:rPr>
      </w:pPr>
    </w:p>
    <w:p>
      <w:pPr>
        <w:ind w:left="1300" w:hanging="320"/>
        <w:spacing w:after="0"/>
        <w:tabs>
          <w:tab w:leader="none" w:pos="1300" w:val="left"/>
        </w:tabs>
        <w:numPr>
          <w:ilvl w:val="0"/>
          <w:numId w:val="6"/>
        </w:numPr>
        <w:rPr>
          <w:rFonts w:ascii="Arial" w:cs="Arial" w:eastAsia="Arial" w:hAnsi="Arial"/>
          <w:sz w:val="22"/>
          <w:szCs w:val="22"/>
          <w:color w:val="auto"/>
        </w:rPr>
      </w:pPr>
      <w:r>
        <w:rPr>
          <w:rFonts w:ascii="Arial" w:cs="Arial" w:eastAsia="Arial" w:hAnsi="Arial"/>
          <w:sz w:val="22"/>
          <w:szCs w:val="22"/>
          <w:color w:val="auto"/>
        </w:rPr>
        <w:t>New loan originations for the year were $81 million, up 30% over the prior year.</w:t>
      </w:r>
    </w:p>
    <w:p>
      <w:pPr>
        <w:spacing w:after="0" w:line="219" w:lineRule="exact"/>
        <w:rPr>
          <w:rFonts w:ascii="Arial" w:cs="Arial" w:eastAsia="Arial" w:hAnsi="Arial"/>
          <w:sz w:val="22"/>
          <w:szCs w:val="22"/>
          <w:color w:val="auto"/>
        </w:rPr>
      </w:pPr>
    </w:p>
    <w:p>
      <w:pPr>
        <w:ind w:left="1300" w:hanging="320"/>
        <w:spacing w:after="0"/>
        <w:tabs>
          <w:tab w:leader="none" w:pos="1300" w:val="left"/>
        </w:tabs>
        <w:numPr>
          <w:ilvl w:val="0"/>
          <w:numId w:val="6"/>
        </w:numPr>
        <w:rPr>
          <w:rFonts w:ascii="Arial" w:cs="Arial" w:eastAsia="Arial" w:hAnsi="Arial"/>
          <w:sz w:val="22"/>
          <w:szCs w:val="22"/>
          <w:color w:val="auto"/>
        </w:rPr>
      </w:pPr>
      <w:r>
        <w:rPr>
          <w:rFonts w:ascii="Arial" w:cs="Arial" w:eastAsia="Arial" w:hAnsi="Arial"/>
          <w:sz w:val="22"/>
          <w:szCs w:val="22"/>
          <w:color w:val="auto"/>
        </w:rPr>
        <w:t>Total consumer loan and interest fees were $54 million, up 7% as compared to the prior year.</w:t>
      </w:r>
    </w:p>
    <w:p>
      <w:pPr>
        <w:spacing w:after="0" w:line="219" w:lineRule="exact"/>
        <w:rPr>
          <w:rFonts w:ascii="Arial" w:cs="Arial" w:eastAsia="Arial" w:hAnsi="Arial"/>
          <w:sz w:val="22"/>
          <w:szCs w:val="22"/>
          <w:color w:val="auto"/>
        </w:rPr>
      </w:pPr>
    </w:p>
    <w:p>
      <w:pPr>
        <w:jc w:val="both"/>
        <w:ind w:left="1300" w:hanging="320"/>
        <w:spacing w:after="0" w:line="253" w:lineRule="auto"/>
        <w:tabs>
          <w:tab w:leader="none" w:pos="1300" w:val="left"/>
        </w:tabs>
        <w:numPr>
          <w:ilvl w:val="0"/>
          <w:numId w:val="6"/>
        </w:numPr>
        <w:rPr>
          <w:rFonts w:ascii="Arial" w:cs="Arial" w:eastAsia="Arial" w:hAnsi="Arial"/>
          <w:sz w:val="22"/>
          <w:szCs w:val="22"/>
          <w:color w:val="auto"/>
        </w:rPr>
      </w:pPr>
      <w:r>
        <w:rPr>
          <w:rFonts w:ascii="Arial" w:cs="Arial" w:eastAsia="Arial" w:hAnsi="Arial"/>
          <w:sz w:val="22"/>
          <w:szCs w:val="22"/>
          <w:color w:val="auto"/>
        </w:rPr>
        <w:t>Structured financing transactions in fiscal 2014 resulted in approximately $26 million of gains (consisting of consumer loan and interest fees, less commission and other related expenses) reported in “Consumer loan sales and other.”</w:t>
      </w:r>
    </w:p>
    <w:p>
      <w:pPr>
        <w:spacing w:after="0" w:line="185" w:lineRule="exact"/>
        <w:rPr>
          <w:rFonts w:ascii="Arial" w:cs="Arial" w:eastAsia="Arial" w:hAnsi="Arial"/>
          <w:sz w:val="22"/>
          <w:szCs w:val="22"/>
          <w:color w:val="auto"/>
        </w:rPr>
      </w:pPr>
    </w:p>
    <w:p>
      <w:pPr>
        <w:jc w:val="both"/>
        <w:ind w:left="1300" w:hanging="320"/>
        <w:spacing w:after="0" w:line="253"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22"/>
          <w:szCs w:val="22"/>
          <w:color w:val="auto"/>
        </w:rPr>
        <w:t>Bad debt as a percentage of fees was 13%, up from a bad debt benefit in the prior year. The increase is primarily due to an increase in bad debt reserves after a government agency offered early retirement to its workers, which increased the number of loans outside of the automatic payroll deduction system.</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 of 12</w:t>
      </w:r>
    </w:p>
    <w:p>
      <w:pPr>
        <w:sectPr>
          <w:pgSz w:w="11900" w:h="16838" w:orient="portrait"/>
          <w:cols w:equalWidth="0" w:num="1">
            <w:col w:w="11420"/>
          </w:cols>
          <w:pgMar w:left="240" w:top="591" w:right="239" w:bottom="1440" w:gutter="0" w:footer="0" w:header="0"/>
        </w:sectPr>
      </w:pPr>
    </w:p>
    <w:bookmarkStart w:id="6" w:name="page7"/>
    <w:bookmarkEnd w:id="6"/>
    <w:p>
      <w:pPr>
        <w:ind w:left="1300" w:hanging="320"/>
        <w:spacing w:after="0" w:line="263" w:lineRule="auto"/>
        <w:tabs>
          <w:tab w:leader="none" w:pos="1300"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number of contracts, primarily with government agencies, grew by 75% for the fiscal year, from 72 contracts in fiscal year 2013 to 126 contracts in fiscal year 2014.</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Pawn —</w:t>
      </w:r>
    </w:p>
    <w:p>
      <w:pPr>
        <w:spacing w:after="0" w:line="220" w:lineRule="exact"/>
        <w:rPr>
          <w:sz w:val="20"/>
          <w:szCs w:val="20"/>
          <w:color w:val="auto"/>
        </w:rPr>
      </w:pPr>
    </w:p>
    <w:p>
      <w:pPr>
        <w:ind w:left="1300" w:hanging="320"/>
        <w:spacing w:after="0"/>
        <w:tabs>
          <w:tab w:leader="none" w:pos="1300" w:val="left"/>
        </w:tabs>
        <w:numPr>
          <w:ilvl w:val="0"/>
          <w:numId w:val="8"/>
        </w:numPr>
        <w:rPr>
          <w:rFonts w:ascii="Arial" w:cs="Arial" w:eastAsia="Arial" w:hAnsi="Arial"/>
          <w:sz w:val="22"/>
          <w:szCs w:val="22"/>
          <w:color w:val="auto"/>
        </w:rPr>
      </w:pPr>
      <w:r>
        <w:rPr>
          <w:rFonts w:ascii="Arial" w:cs="Arial" w:eastAsia="Arial" w:hAnsi="Arial"/>
          <w:sz w:val="22"/>
          <w:szCs w:val="22"/>
          <w:color w:val="auto"/>
        </w:rPr>
        <w:t>Pawn loan balances were $17 million, up 25% over the prior year.</w:t>
      </w:r>
    </w:p>
    <w:p>
      <w:pPr>
        <w:spacing w:after="0" w:line="219" w:lineRule="exact"/>
        <w:rPr>
          <w:rFonts w:ascii="Arial" w:cs="Arial" w:eastAsia="Arial" w:hAnsi="Arial"/>
          <w:sz w:val="22"/>
          <w:szCs w:val="22"/>
          <w:color w:val="auto"/>
        </w:rPr>
      </w:pPr>
    </w:p>
    <w:p>
      <w:pPr>
        <w:ind w:left="1300" w:hanging="320"/>
        <w:spacing w:after="0" w:line="343" w:lineRule="auto"/>
        <w:tabs>
          <w:tab w:leader="none" w:pos="1300" w:val="left"/>
        </w:tabs>
        <w:numPr>
          <w:ilvl w:val="0"/>
          <w:numId w:val="8"/>
        </w:numPr>
        <w:rPr>
          <w:rFonts w:ascii="Arial" w:cs="Arial" w:eastAsia="Arial" w:hAnsi="Arial"/>
          <w:sz w:val="19"/>
          <w:szCs w:val="19"/>
          <w:color w:val="auto"/>
        </w:rPr>
      </w:pPr>
      <w:r>
        <w:rPr>
          <w:rFonts w:ascii="Arial" w:cs="Arial" w:eastAsia="Arial" w:hAnsi="Arial"/>
          <w:sz w:val="19"/>
          <w:szCs w:val="19"/>
          <w:color w:val="auto"/>
        </w:rPr>
        <w:t>Redemption rates were 77%, up 300 basis points. Jewelry redemption rates were 76%, up 500 basis points from prior year. General merchandise redemption rates were 78%, a 200 basis point increase over the prior year.</w:t>
      </w:r>
    </w:p>
    <w:p>
      <w:pPr>
        <w:spacing w:after="0" w:line="104" w:lineRule="exact"/>
        <w:rPr>
          <w:rFonts w:ascii="Arial" w:cs="Arial" w:eastAsia="Arial" w:hAnsi="Arial"/>
          <w:sz w:val="19"/>
          <w:szCs w:val="19"/>
          <w:color w:val="auto"/>
        </w:rPr>
      </w:pPr>
    </w:p>
    <w:p>
      <w:pPr>
        <w:ind w:left="1300" w:hanging="320"/>
        <w:spacing w:after="0" w:line="263" w:lineRule="auto"/>
        <w:tabs>
          <w:tab w:leader="none" w:pos="1300" w:val="left"/>
        </w:tabs>
        <w:numPr>
          <w:ilvl w:val="0"/>
          <w:numId w:val="8"/>
        </w:numPr>
        <w:rPr>
          <w:rFonts w:ascii="Arial" w:cs="Arial" w:eastAsia="Arial" w:hAnsi="Arial"/>
          <w:sz w:val="22"/>
          <w:szCs w:val="22"/>
          <w:color w:val="auto"/>
        </w:rPr>
      </w:pPr>
      <w:r>
        <w:rPr>
          <w:rFonts w:ascii="Arial" w:cs="Arial" w:eastAsia="Arial" w:hAnsi="Arial"/>
          <w:sz w:val="22"/>
          <w:szCs w:val="22"/>
          <w:color w:val="auto"/>
        </w:rPr>
        <w:t>Total merchandise sales were $60 million, an increase of 2% in total and a 5% decrease on a same-store basis over last year, with gross margin of 29%, as compared to 39% in the prior year.</w:t>
      </w:r>
    </w:p>
    <w:p>
      <w:pPr>
        <w:spacing w:after="0" w:line="174" w:lineRule="exact"/>
        <w:rPr>
          <w:rFonts w:ascii="Arial" w:cs="Arial" w:eastAsia="Arial" w:hAnsi="Arial"/>
          <w:sz w:val="22"/>
          <w:szCs w:val="22"/>
          <w:color w:val="auto"/>
        </w:rPr>
      </w:pPr>
    </w:p>
    <w:p>
      <w:pPr>
        <w:ind w:left="1300" w:hanging="320"/>
        <w:spacing w:after="0"/>
        <w:tabs>
          <w:tab w:leader="none" w:pos="1300" w:val="left"/>
        </w:tabs>
        <w:numPr>
          <w:ilvl w:val="0"/>
          <w:numId w:val="8"/>
        </w:numPr>
        <w:rPr>
          <w:rFonts w:ascii="Arial" w:cs="Arial" w:eastAsia="Arial" w:hAnsi="Arial"/>
          <w:sz w:val="22"/>
          <w:szCs w:val="22"/>
          <w:color w:val="auto"/>
        </w:rPr>
      </w:pPr>
      <w:r>
        <w:rPr>
          <w:rFonts w:ascii="Arial" w:cs="Arial" w:eastAsia="Arial" w:hAnsi="Arial"/>
          <w:sz w:val="22"/>
          <w:szCs w:val="22"/>
          <w:color w:val="auto"/>
        </w:rPr>
        <w:t>Inventory turns were 2.3 times as compared to 2.5 times for the prior fiscal year.</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International Segment</w:t>
      </w:r>
    </w:p>
    <w:p>
      <w:pPr>
        <w:spacing w:after="0" w:line="226" w:lineRule="exact"/>
        <w:rPr>
          <w:sz w:val="20"/>
          <w:szCs w:val="20"/>
          <w:color w:val="auto"/>
        </w:rPr>
      </w:pPr>
    </w:p>
    <w:p>
      <w:pPr>
        <w:jc w:val="both"/>
        <w:ind w:left="1300" w:hanging="320"/>
        <w:spacing w:after="0" w:line="250" w:lineRule="auto"/>
        <w:tabs>
          <w:tab w:leader="none" w:pos="1300" w:val="left"/>
        </w:tabs>
        <w:numPr>
          <w:ilvl w:val="0"/>
          <w:numId w:val="9"/>
        </w:numPr>
        <w:rPr>
          <w:rFonts w:ascii="Arial" w:cs="Arial" w:eastAsia="Arial" w:hAnsi="Arial"/>
          <w:sz w:val="22"/>
          <w:szCs w:val="22"/>
          <w:color w:val="auto"/>
        </w:rPr>
      </w:pPr>
      <w:r>
        <w:rPr>
          <w:rFonts w:ascii="Arial" w:cs="Arial" w:eastAsia="Arial" w:hAnsi="Arial"/>
          <w:sz w:val="22"/>
          <w:szCs w:val="22"/>
          <w:color w:val="auto"/>
        </w:rPr>
        <w:t>Income from Cash Converters International was $7 million compared to $10 million in fiscal 2013. The decrease is mainly due to an interest rate cap commencing in Australia on July 1, 2013, which impacted both margins and volumes. The decrease in their financial services operations was partially offset by increases in profitability of store and franchise operations.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Discontinued Operations</w:t>
      </w:r>
    </w:p>
    <w:p>
      <w:pPr>
        <w:spacing w:after="0" w:line="226" w:lineRule="exact"/>
        <w:rPr>
          <w:sz w:val="20"/>
          <w:szCs w:val="20"/>
          <w:color w:val="auto"/>
        </w:rPr>
      </w:pPr>
    </w:p>
    <w:p>
      <w:pPr>
        <w:jc w:val="both"/>
        <w:ind w:left="660" w:hanging="328"/>
        <w:spacing w:after="0" w:line="302" w:lineRule="auto"/>
        <w:tabs>
          <w:tab w:leader="none" w:pos="660" w:val="left"/>
        </w:tabs>
        <w:numPr>
          <w:ilvl w:val="0"/>
          <w:numId w:val="10"/>
        </w:numPr>
        <w:rPr>
          <w:rFonts w:ascii="Arial" w:cs="Arial" w:eastAsia="Arial" w:hAnsi="Arial"/>
          <w:sz w:val="19"/>
          <w:szCs w:val="19"/>
          <w:color w:val="auto"/>
        </w:rPr>
      </w:pPr>
      <w:r>
        <w:rPr>
          <w:rFonts w:ascii="Arial" w:cs="Arial" w:eastAsia="Arial" w:hAnsi="Arial"/>
          <w:sz w:val="19"/>
          <w:szCs w:val="19"/>
          <w:color w:val="auto"/>
        </w:rPr>
        <w:t>During the fourth quarter of fiscal 2014 the company discontinued operations of its stand-alone online lending businesses in the U.S. and the U.K. and incurred pre-tax charges for goodwill impairment, asset write-down to net realizable liquidation value, uncollectible receivables, employee severance and lease termination costs of approximately $103 million. These costs have been recorded as part of "Loss from discontinued operations, net of tax."</w:t>
      </w:r>
    </w:p>
    <w:p>
      <w:pPr>
        <w:spacing w:after="0" w:line="183" w:lineRule="exact"/>
        <w:rPr>
          <w:rFonts w:ascii="Arial" w:cs="Arial" w:eastAsia="Arial" w:hAnsi="Arial"/>
          <w:sz w:val="19"/>
          <w:szCs w:val="19"/>
          <w:color w:val="auto"/>
        </w:rPr>
      </w:pPr>
    </w:p>
    <w:p>
      <w:pPr>
        <w:ind w:left="660" w:right="20" w:hanging="328"/>
        <w:spacing w:after="0" w:line="263" w:lineRule="auto"/>
        <w:tabs>
          <w:tab w:leader="none" w:pos="660" w:val="left"/>
        </w:tabs>
        <w:numPr>
          <w:ilvl w:val="0"/>
          <w:numId w:val="10"/>
        </w:numPr>
        <w:rPr>
          <w:rFonts w:ascii="Arial" w:cs="Arial" w:eastAsia="Arial" w:hAnsi="Arial"/>
          <w:sz w:val="22"/>
          <w:szCs w:val="22"/>
          <w:color w:val="auto"/>
        </w:rPr>
      </w:pPr>
      <w:r>
        <w:rPr>
          <w:rFonts w:ascii="Arial" w:cs="Arial" w:eastAsia="Arial" w:hAnsi="Arial"/>
          <w:sz w:val="22"/>
          <w:szCs w:val="22"/>
          <w:color w:val="auto"/>
        </w:rPr>
        <w:t>Discontinued operations in fiscal 2014 include $12 million in pre-tax operating losses from the company's online businesses.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CEO Commentary</w:t>
      </w:r>
    </w:p>
    <w:p>
      <w:pPr>
        <w:spacing w:after="0" w:line="226"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Mr. Kuchenrither added, “Our organization is focused on one strategy comprised of four pillars: a high-performance culture, a customer-centric business, operational excellence, and disciplined growth. The pillars are being implemented throughout the company using a balanced scorecard approach that measures and manages critical success factors and Key Performance Indicators.</w:t>
      </w:r>
    </w:p>
    <w:p>
      <w:pPr>
        <w:spacing w:after="0" w:line="174"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“We are one month into our first fiscal quarter of 2015, and we are seeing positive signs from the renewed strategic focus in each of our operating segments. Same-store pawn sales and pawn service charges in the U.S. and Mexico, and new loan originations at U.S. Financial Services, are exceeding our expectations. New loan originations at Grupo Finmart in October were a record for the company. While these results are encouraging, we are still in the very early stages of fundamental changes in operations and implementation of key initiatives. Our strategy is in place, and we are confident that through focused execution, we will create a great experience for our customers and superior returns for our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 of 12</w:t>
      </w:r>
    </w:p>
    <w:p>
      <w:pPr>
        <w:sectPr>
          <w:pgSz w:w="11900" w:h="16838" w:orient="portrait"/>
          <w:cols w:equalWidth="0" w:num="1">
            <w:col w:w="11420"/>
          </w:cols>
          <w:pgMar w:left="240" w:top="591" w:right="2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About EZCORP</w:t>
      </w:r>
    </w:p>
    <w:p>
      <w:pPr>
        <w:spacing w:after="0" w:line="181"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EZCORP is a leader in delivering easy cash solutions to our customers across channels, products, services and markets. With approximately 7,300 team members and approximately 1,400 locations and branches, we give our customers multiple ways to access instant cash, including pawn loans and consumer loans in the United States, Mexico and Canada, and fee-based credit services to customers seeking loans. At our pawn and buy/sell stores and online, we also sell merchandise, primarily collateral forfeited from pawn lending operations and used merchandise purchased from customers.</w:t>
      </w:r>
    </w:p>
    <w:p>
      <w:pPr>
        <w:spacing w:after="0" w:line="15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EZCORP owns controlling interests in Prestaciones Finmart, S.A.P.I. de C.V., SOFOM, E.N.R. (doing business under the names “Crediamigo” and “Adex”), a leading provider of consumer loans in Mexico, and in Renueva Commercial, S.A.P.I. de C.V., an operator of buy/sell stores in Mexico under the name “TUYO.” The company also has a significant investment in Cash Converters International Limited (CCV.ASX), which franchises and operates a worldwide network of over 700 stores that provide personal financial services and sell pre-owned merchandise.</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This announcement contains certain forward-looking statements regarding the company’s strategy, initiatives and expected performance. These statements are based on the company’s current expectations as to the outcome and timing of future events. All statements, other than statements of historical facts, including all statements regarding the company's strategy, initiatives and future performance, that address activities or results that the company plans, expects, believes, projects, estimates or anticipates will, should or may occur in the future, including future financial or operating results, are forward-looking statements. Actual results for future periods may differ materially from those expressed or implied by these forward-looking statements due to a number of uncertainties and other factors, including operating risks, liquidity risks, legislative or regulatory developments, market factors or current or future litigation. For a discussion of these and other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Mark Trinske</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 and Communications</w:t>
      </w:r>
    </w:p>
    <w:p>
      <w:pPr>
        <w:spacing w:after="0"/>
        <w:rPr>
          <w:sz w:val="20"/>
          <w:szCs w:val="20"/>
          <w:color w:val="auto"/>
        </w:rPr>
      </w:pPr>
      <w:r>
        <w:rPr>
          <w:rFonts w:ascii="Arial" w:cs="Arial" w:eastAsia="Arial" w:hAnsi="Arial"/>
          <w:sz w:val="20"/>
          <w:szCs w:val="20"/>
          <w:color w:val="auto"/>
        </w:rPr>
        <w:t>EZCORP, Inc.</w:t>
      </w:r>
    </w:p>
    <w:p>
      <w:pPr>
        <w:spacing w:after="0"/>
        <w:rPr>
          <w:sz w:val="20"/>
          <w:szCs w:val="20"/>
          <w:color w:val="auto"/>
        </w:rPr>
      </w:pPr>
      <w:r>
        <w:rPr>
          <w:rFonts w:ascii="Arial" w:cs="Arial" w:eastAsia="Arial" w:hAnsi="Arial"/>
          <w:sz w:val="20"/>
          <w:szCs w:val="20"/>
          <w:color w:val="auto"/>
        </w:rPr>
        <w:t>(512) 314-2220</w:t>
      </w:r>
    </w:p>
    <w:p>
      <w:pPr>
        <w:spacing w:after="0"/>
        <w:rPr>
          <w:sz w:val="20"/>
          <w:szCs w:val="20"/>
          <w:color w:val="auto"/>
        </w:rPr>
      </w:pPr>
      <w:r>
        <w:rPr>
          <w:rFonts w:ascii="Arial" w:cs="Arial" w:eastAsia="Arial" w:hAnsi="Arial"/>
          <w:sz w:val="20"/>
          <w:szCs w:val="20"/>
          <w:color w:val="auto"/>
        </w:rPr>
        <w:t>Investor_Relations@ezcorp.com</w:t>
      </w:r>
    </w:p>
    <w:p>
      <w:pPr>
        <w:spacing w:after="0"/>
        <w:rPr>
          <w:sz w:val="20"/>
          <w:szCs w:val="20"/>
          <w:color w:val="auto"/>
        </w:rPr>
      </w:pPr>
      <w:r>
        <w:rPr>
          <w:rFonts w:ascii="Arial" w:cs="Arial" w:eastAsia="Arial" w:hAnsi="Arial"/>
          <w:sz w:val="20"/>
          <w:szCs w:val="20"/>
          <w:color w:val="auto"/>
        </w:rPr>
        <w:t>http://investors.ezcorp.com/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 of 12</w:t>
      </w:r>
    </w:p>
    <w:p>
      <w:pPr>
        <w:sectPr>
          <w:pgSz w:w="11900" w:h="16838" w:orient="portrait"/>
          <w:cols w:equalWidth="0" w:num="1">
            <w:col w:w="11420"/>
          </w:cols>
          <w:pgMar w:left="240" w:top="576"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data)</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1900" w:type="dxa"/>
            <w:vAlign w:val="bottom"/>
            <w:gridSpan w:val="6"/>
          </w:tcPr>
          <w:p>
            <w:pPr>
              <w:jc w:val="right"/>
              <w:spacing w:after="0"/>
              <w:rPr>
                <w:sz w:val="20"/>
                <w:szCs w:val="20"/>
                <w:color w:val="auto"/>
              </w:rPr>
            </w:pPr>
            <w:r>
              <w:rPr>
                <w:rFonts w:ascii="Arial" w:cs="Arial" w:eastAsia="Arial" w:hAnsi="Arial"/>
                <w:sz w:val="14"/>
                <w:szCs w:val="14"/>
                <w:b w:val="1"/>
                <w:bCs w:val="1"/>
                <w:color w:val="auto"/>
                <w:w w:val="94"/>
              </w:rPr>
              <w:t>Fiscal Year Ended September</w:t>
            </w:r>
          </w:p>
        </w:tc>
      </w:tr>
      <w:tr>
        <w:trPr>
          <w:trHeight w:val="192"/>
        </w:trPr>
        <w:tc>
          <w:tcPr>
            <w:tcW w:w="7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gridSpan w:val="5"/>
          </w:tcPr>
          <w:p>
            <w:pPr>
              <w:ind w:left="3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2"/>
              </w:rPr>
              <w:t>30,</w:t>
            </w:r>
          </w:p>
        </w:tc>
        <w:tc>
          <w:tcPr>
            <w:tcW w:w="700" w:type="dxa"/>
            <w:vAlign w:val="bottom"/>
          </w:tcPr>
          <w:p>
            <w:pPr>
              <w:spacing w:after="0"/>
              <w:rPr>
                <w:sz w:val="16"/>
                <w:szCs w:val="16"/>
                <w:color w:val="auto"/>
              </w:rPr>
            </w:pPr>
          </w:p>
        </w:tc>
      </w:tr>
      <w:tr>
        <w:trPr>
          <w:trHeight w:val="263"/>
        </w:trPr>
        <w:tc>
          <w:tcPr>
            <w:tcW w:w="744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2014</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2013</w:t>
            </w:r>
          </w:p>
        </w:tc>
      </w:tr>
      <w:tr>
        <w:trPr>
          <w:trHeight w:val="258"/>
        </w:trPr>
        <w:tc>
          <w:tcPr>
            <w:tcW w:w="7440" w:type="dxa"/>
            <w:vAlign w:val="bottom"/>
          </w:tcPr>
          <w:p>
            <w:pPr>
              <w:ind w:left="40"/>
              <w:spacing w:after="0"/>
              <w:rPr>
                <w:sz w:val="20"/>
                <w:szCs w:val="20"/>
                <w:color w:val="auto"/>
              </w:rPr>
            </w:pPr>
            <w:r>
              <w:rPr>
                <w:rFonts w:ascii="Arial" w:cs="Arial" w:eastAsia="Arial" w:hAnsi="Arial"/>
                <w:sz w:val="14"/>
                <w:szCs w:val="14"/>
                <w:color w:val="auto"/>
              </w:rPr>
              <w:t>Revenues:</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76"/>
        </w:trPr>
        <w:tc>
          <w:tcPr>
            <w:tcW w:w="7440" w:type="dxa"/>
            <w:vAlign w:val="bottom"/>
          </w:tcPr>
          <w:p>
            <w:pPr>
              <w:ind w:left="180"/>
              <w:spacing w:after="0"/>
              <w:rPr>
                <w:sz w:val="20"/>
                <w:szCs w:val="20"/>
                <w:color w:val="auto"/>
              </w:rPr>
            </w:pPr>
            <w:r>
              <w:rPr>
                <w:rFonts w:ascii="Arial" w:cs="Arial" w:eastAsia="Arial" w:hAnsi="Arial"/>
                <w:sz w:val="14"/>
                <w:szCs w:val="14"/>
                <w:color w:val="auto"/>
              </w:rPr>
              <w:t>Merchandise sales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89,120</w:t>
            </w:r>
          </w:p>
        </w:tc>
        <w:tc>
          <w:tcPr>
            <w:tcW w:w="12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87,504</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387,331</w:t>
            </w:r>
          </w:p>
        </w:tc>
        <w:tc>
          <w:tcPr>
            <w:tcW w:w="3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368,766</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Jewelry scrapping sales</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22,074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18,123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96,243</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131,702</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Pawn service charges</w:t>
            </w: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65,166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63,542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248,378</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251,354</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Consumer loan fees and interest</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52,202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59,059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220,643</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219,752</w:t>
            </w:r>
          </w:p>
        </w:tc>
      </w:tr>
      <w:tr>
        <w:trPr>
          <w:trHeight w:val="264"/>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Consumer loan sales and other</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14,755</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37,045</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8,547</w:t>
            </w:r>
          </w:p>
        </w:tc>
      </w:tr>
      <w:tr>
        <w:trPr>
          <w:trHeight w:val="256"/>
        </w:trPr>
        <w:tc>
          <w:tcPr>
            <w:tcW w:w="7440" w:type="dxa"/>
            <w:vAlign w:val="bottom"/>
            <w:shd w:val="clear" w:color="auto" w:fill="CCEEFF"/>
          </w:tcPr>
          <w:p>
            <w:pPr>
              <w:ind w:left="600"/>
              <w:spacing w:after="0"/>
              <w:rPr>
                <w:sz w:val="20"/>
                <w:szCs w:val="20"/>
                <w:color w:val="auto"/>
              </w:rPr>
            </w:pPr>
            <w:r>
              <w:rPr>
                <w:rFonts w:ascii="Arial" w:cs="Arial" w:eastAsia="Arial" w:hAnsi="Arial"/>
                <w:sz w:val="14"/>
                <w:szCs w:val="14"/>
                <w:color w:val="auto"/>
              </w:rPr>
              <w:t>Total revenues</w:t>
            </w: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243,317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227,980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989,640</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980,121</w:t>
            </w: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Merchandise cost of goods sold</w:t>
            </w: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64,197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53,906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247,393</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218,617</w:t>
            </w: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Jewelry scrapping cost of goods sold</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17,574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15,140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72,836</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96,133</w:t>
            </w: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Consumer loan bad debt</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17,628</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15,235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53,206</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40,667</w:t>
            </w:r>
          </w:p>
        </w:tc>
      </w:tr>
      <w:tr>
        <w:trPr>
          <w:trHeight w:val="256"/>
        </w:trPr>
        <w:tc>
          <w:tcPr>
            <w:tcW w:w="7440" w:type="dxa"/>
            <w:vAlign w:val="bottom"/>
            <w:shd w:val="clear" w:color="auto" w:fill="CCEEFF"/>
          </w:tcPr>
          <w:p>
            <w:pPr>
              <w:ind w:left="600"/>
              <w:spacing w:after="0"/>
              <w:rPr>
                <w:sz w:val="20"/>
                <w:szCs w:val="20"/>
                <w:color w:val="auto"/>
              </w:rPr>
            </w:pPr>
            <w:r>
              <w:rPr>
                <w:rFonts w:ascii="Arial" w:cs="Arial" w:eastAsia="Arial" w:hAnsi="Arial"/>
                <w:sz w:val="14"/>
                <w:szCs w:val="14"/>
                <w:color w:val="auto"/>
              </w:rPr>
              <w:t>Net revenues</w:t>
            </w: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143,918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143,699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616,205</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624,704</w:t>
            </w: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Operations</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110,136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97,868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420,350</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389,386</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Administrative</w:t>
            </w: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13,875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17,556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64,119</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52,474</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Depreciation</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7,587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7,192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29,801</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27,858</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Amortization</w:t>
            </w: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1,411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1,148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5,475</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3,485</w:t>
            </w:r>
          </w:p>
        </w:tc>
      </w:tr>
      <w:tr>
        <w:trPr>
          <w:trHeight w:val="270"/>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(Gain) loss on sale or disposal of assets</w:t>
            </w: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440</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1,139</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(5,629)</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1,359</w:t>
            </w:r>
          </w:p>
        </w:tc>
      </w:tr>
      <w:tr>
        <w:trPr>
          <w:trHeight w:val="250"/>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Total operating expenses</w:t>
            </w: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133,449</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124,903</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514,116</w:t>
            </w: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474,562</w:t>
            </w:r>
          </w:p>
        </w:tc>
      </w:tr>
      <w:tr>
        <w:trPr>
          <w:trHeight w:val="256"/>
        </w:trPr>
        <w:tc>
          <w:tcPr>
            <w:tcW w:w="7440" w:type="dxa"/>
            <w:vAlign w:val="bottom"/>
            <w:shd w:val="clear" w:color="auto" w:fill="CCEEFF"/>
          </w:tcPr>
          <w:p>
            <w:pPr>
              <w:ind w:left="600"/>
              <w:spacing w:after="0"/>
              <w:rPr>
                <w:sz w:val="20"/>
                <w:szCs w:val="20"/>
                <w:color w:val="auto"/>
              </w:rPr>
            </w:pPr>
            <w:r>
              <w:rPr>
                <w:rFonts w:ascii="Arial" w:cs="Arial" w:eastAsia="Arial" w:hAnsi="Arial"/>
                <w:sz w:val="14"/>
                <w:szCs w:val="14"/>
                <w:color w:val="auto"/>
              </w:rPr>
              <w:t>Operating income</w:t>
            </w: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10,469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18,796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102,089</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150,142</w:t>
            </w: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Interest expense, net</w:t>
            </w: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7,147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4,140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22,832</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15,168</w:t>
            </w: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Restructuring expense</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6,664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6,664</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Equity in net (income) loss of unconsolidated affiliates</w:t>
            </w: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(2,068)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1,613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(5,948)</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(11,878)</w:t>
            </w: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Impairment of investments</w:t>
            </w:r>
          </w:p>
        </w:tc>
        <w:tc>
          <w:tcPr>
            <w:tcW w:w="2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44,598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7,940</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44,598</w:t>
            </w: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income</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(1,693)</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(907)</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w:t>
            </w: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(loss) from continuing operations before income taxes</w:t>
            </w: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(31,350)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71,508</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102,459</w:t>
            </w: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Income tax expense (benefit)</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2,001</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(12,062)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20,465</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29,582</w:t>
            </w: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(loss) from continuing operations, net of tax</w:t>
            </w: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(19,288)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51,043</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72,877</w:t>
            </w: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Loss from discontinued operations, net of tax</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(86,606)</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(4,482)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(93,426)</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(34,452)</w:t>
            </w: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income</w:t>
            </w: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(88,188)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(23,770)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(42,383)</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38,425</w:t>
            </w: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Net income from continuing operations attributable to redeemable noncontrolling interest</w:t>
            </w: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470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984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4,208</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4,424</w:t>
            </w: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from discontinued operations attributable to redeemable noncontrolling interest</w:t>
            </w: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w:t>
            </w:r>
          </w:p>
        </w:tc>
      </w:tr>
      <w:tr>
        <w:trPr>
          <w:trHeight w:val="283"/>
        </w:trPr>
        <w:tc>
          <w:tcPr>
            <w:tcW w:w="7440" w:type="dxa"/>
            <w:vAlign w:val="bottom"/>
          </w:tcPr>
          <w:p>
            <w:pPr>
              <w:ind w:left="40"/>
              <w:spacing w:after="0"/>
              <w:rPr>
                <w:sz w:val="20"/>
                <w:szCs w:val="20"/>
                <w:color w:val="auto"/>
              </w:rPr>
            </w:pPr>
            <w:r>
              <w:rPr>
                <w:rFonts w:ascii="Arial" w:cs="Arial" w:eastAsia="Arial" w:hAnsi="Arial"/>
                <w:sz w:val="14"/>
                <w:szCs w:val="14"/>
                <w:color w:val="auto"/>
              </w:rPr>
              <w:t>Net (loss) income attributable to EZCORP, Inc.</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(88,658)</w:t>
            </w:r>
          </w:p>
        </w:tc>
        <w:tc>
          <w:tcPr>
            <w:tcW w:w="12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(24,740)</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(46,591)</w:t>
            </w:r>
          </w:p>
        </w:tc>
        <w:tc>
          <w:tcPr>
            <w:tcW w:w="3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34,077</w:t>
            </w:r>
          </w:p>
        </w:tc>
      </w:tr>
      <w:tr>
        <w:trPr>
          <w:trHeight w:val="210"/>
        </w:trPr>
        <w:tc>
          <w:tcPr>
            <w:tcW w:w="7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Diluted earnings (loss) per share attributable to EZCORP, Inc.:</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76"/>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Continuing operations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(0.37)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0.86</w:t>
            </w: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w:t>
            </w:r>
          </w:p>
        </w:tc>
      </w:tr>
      <w:tr>
        <w:trPr>
          <w:trHeight w:val="264"/>
        </w:trPr>
        <w:tc>
          <w:tcPr>
            <w:tcW w:w="744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Discontinued operations</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(0.09)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(0.64)</w:t>
            </w:r>
          </w:p>
        </w:tc>
      </w:tr>
      <w:tr>
        <w:trPr>
          <w:trHeight w:val="243"/>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Diluted earnings (loss) per share</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(0.46)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(0.86)</w:t>
            </w: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0.63</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7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70"/>
        </w:trPr>
        <w:tc>
          <w:tcPr>
            <w:tcW w:w="7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Weighted average shares outstanding diluted</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53,657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54,310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54,292</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53,737</w:t>
            </w:r>
          </w:p>
        </w:tc>
      </w:tr>
      <w:tr>
        <w:trPr>
          <w:trHeight w:val="230"/>
        </w:trPr>
        <w:tc>
          <w:tcPr>
            <w:tcW w:w="7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 from continuing operations attributable to EZCORP, Inc.</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(20,258)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46,835</w:t>
            </w: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68,529</w:t>
            </w: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Loss from discontinued operations attributable to EZCORP, Inc.</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(86,606)</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(4,482)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(93,426)</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(34,452)</w:t>
            </w: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income attributable to EZCORP, Inc.</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(88,658)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(24,740)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(46,591)</w:t>
            </w: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34,077</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96"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 of 12</w:t>
      </w:r>
    </w:p>
    <w:p>
      <w:pPr>
        <w:sectPr>
          <w:pgSz w:w="11900" w:h="16838" w:orient="portrait"/>
          <w:cols w:equalWidth="0" w:num="1">
            <w:col w:w="11420"/>
          </w:cols>
          <w:pgMar w:left="240" w:top="796" w:right="239" w:bottom="1440" w:gutter="0" w:footer="0" w:header="0"/>
          <w:type w:val="continuous"/>
        </w:sectPr>
      </w:pPr>
    </w:p>
    <w:bookmarkStart w:id="9" w:name="page10"/>
    <w:bookmarkEnd w:id="9"/>
    <w:p>
      <w:pPr>
        <w:jc w:val="center"/>
        <w:ind w:left="3080"/>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ind w:left="3080"/>
        <w:spacing w:after="0"/>
        <w:rPr>
          <w:sz w:val="20"/>
          <w:szCs w:val="20"/>
          <w:color w:val="auto"/>
        </w:rPr>
      </w:pPr>
      <w:r>
        <w:rPr>
          <w:rFonts w:ascii="Arial" w:cs="Arial" w:eastAsia="Arial" w:hAnsi="Arial"/>
          <w:sz w:val="16"/>
          <w:szCs w:val="16"/>
          <w:b w:val="1"/>
          <w:bCs w:val="1"/>
          <w:color w:val="auto"/>
        </w:rPr>
        <w:t>Consolidated Balance Sheets (Unaudited)</w:t>
      </w:r>
    </w:p>
    <w:p>
      <w:pPr>
        <w:spacing w:after="0" w:line="32" w:lineRule="exact"/>
        <w:rPr>
          <w:sz w:val="20"/>
          <w:szCs w:val="20"/>
          <w:color w:val="auto"/>
        </w:rPr>
      </w:pPr>
    </w:p>
    <w:p>
      <w:pPr>
        <w:jc w:val="center"/>
        <w:ind w:left="3080"/>
        <w:spacing w:after="0"/>
        <w:rPr>
          <w:sz w:val="20"/>
          <w:szCs w:val="20"/>
          <w:color w:val="auto"/>
        </w:rPr>
      </w:pPr>
      <w:r>
        <w:rPr>
          <w:rFonts w:ascii="Arial" w:cs="Arial" w:eastAsia="Arial" w:hAnsi="Arial"/>
          <w:sz w:val="18"/>
          <w:szCs w:val="18"/>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Current assets:</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Restricted cash</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Pawn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Consumer loans, net</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Pawn service charges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Consumer loan fees and interest receivable, net</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Inventory,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Deferred tax asset</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Income tax prepaid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Prepaid expenses and other assets</w:t>
      </w:r>
    </w:p>
    <w:p>
      <w:pPr>
        <w:spacing w:after="0" w:line="109"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Investments in unconsolidated affiliates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Restricted cash, non-current</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Intangible assets, net</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Non-current consumer loans,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Deferred tax asset</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Other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57"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Total assets</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Current liabilities:</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Current maturities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Current capital lease obligations</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Accounts payable and other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Other current liabilities</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Customer layaway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Total current liabilities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Long-term debt, less current maturities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Long-term capital lease obligations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Deferred gains and 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Total liabilities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Temporary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Redeemable noncontrolling interest</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EZCORP, Inc.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Total liabilities and stockholders’ equity</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6 of 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17145</wp:posOffset>
            </wp:positionV>
            <wp:extent cx="15176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03" w:lineRule="exact"/>
        <w:rPr>
          <w:sz w:val="20"/>
          <w:szCs w:val="20"/>
          <w:color w:val="auto"/>
        </w:rPr>
      </w:pPr>
    </w:p>
    <w:p>
      <w:pPr>
        <w:ind w:left="460"/>
        <w:spacing w:after="0"/>
        <w:tabs>
          <w:tab w:leader="none" w:pos="1680" w:val="left"/>
        </w:tabs>
        <w:rPr>
          <w:sz w:val="20"/>
          <w:szCs w:val="20"/>
          <w:color w:val="auto"/>
        </w:rPr>
      </w:pP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17145</wp:posOffset>
            </wp:positionV>
            <wp:extent cx="15176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56,329</w:t>
            </w:r>
          </w:p>
        </w:tc>
        <w:tc>
          <w:tcPr>
            <w:tcW w:w="100" w:type="dxa"/>
            <w:vAlign w:val="bottom"/>
          </w:tcPr>
          <w:p>
            <w:pPr>
              <w:spacing w:after="0"/>
              <w:rPr>
                <w:sz w:val="14"/>
                <w:szCs w:val="14"/>
                <w:color w:val="auto"/>
              </w:rPr>
            </w:pPr>
          </w:p>
        </w:tc>
        <w:tc>
          <w:tcPr>
            <w:tcW w:w="2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36,317</w:t>
            </w:r>
          </w:p>
        </w:tc>
      </w:tr>
      <w:tr>
        <w:trPr>
          <w:trHeight w:val="270"/>
        </w:trPr>
        <w:tc>
          <w:tcPr>
            <w:tcW w:w="30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62,406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3,312</w:t>
            </w:r>
          </w:p>
        </w:tc>
      </w:tr>
      <w:tr>
        <w:trPr>
          <w:trHeight w:val="270"/>
        </w:trPr>
        <w:tc>
          <w:tcPr>
            <w:tcW w:w="30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162,444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156,637</w:t>
            </w:r>
          </w:p>
        </w:tc>
      </w:tr>
      <w:tr>
        <w:trPr>
          <w:trHeight w:val="270"/>
        </w:trPr>
        <w:tc>
          <w:tcPr>
            <w:tcW w:w="30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67,594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64,683</w:t>
            </w:r>
          </w:p>
        </w:tc>
      </w:tr>
      <w:tr>
        <w:trPr>
          <w:trHeight w:val="270"/>
        </w:trPr>
        <w:tc>
          <w:tcPr>
            <w:tcW w:w="30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31,044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30,362</w:t>
            </w:r>
          </w:p>
        </w:tc>
      </w:tr>
      <w:tr>
        <w:trPr>
          <w:trHeight w:val="270"/>
        </w:trPr>
        <w:tc>
          <w:tcPr>
            <w:tcW w:w="30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31,761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36,292</w:t>
            </w:r>
          </w:p>
        </w:tc>
      </w:tr>
      <w:tr>
        <w:trPr>
          <w:trHeight w:val="270"/>
        </w:trPr>
        <w:tc>
          <w:tcPr>
            <w:tcW w:w="30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139,419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145,200</w:t>
            </w:r>
          </w:p>
        </w:tc>
      </w:tr>
      <w:tr>
        <w:trPr>
          <w:trHeight w:val="270"/>
        </w:trPr>
        <w:tc>
          <w:tcPr>
            <w:tcW w:w="30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20,858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13,825</w:t>
            </w:r>
          </w:p>
        </w:tc>
      </w:tr>
      <w:tr>
        <w:trPr>
          <w:trHeight w:val="270"/>
        </w:trPr>
        <w:tc>
          <w:tcPr>
            <w:tcW w:w="30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15,976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16,105</w:t>
            </w:r>
          </w:p>
        </w:tc>
      </w:tr>
      <w:tr>
        <w:trPr>
          <w:trHeight w:val="278"/>
        </w:trPr>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76,959</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34,217</w:t>
            </w:r>
          </w:p>
        </w:tc>
      </w:tr>
      <w:tr>
        <w:trPr>
          <w:trHeight w:val="243"/>
        </w:trPr>
        <w:tc>
          <w:tcPr>
            <w:tcW w:w="30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664,790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536,950</w:t>
            </w:r>
          </w:p>
        </w:tc>
      </w:tr>
      <w:tr>
        <w:trPr>
          <w:trHeight w:val="270"/>
        </w:trPr>
        <w:tc>
          <w:tcPr>
            <w:tcW w:w="30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91,098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97,085</w:t>
            </w:r>
          </w:p>
        </w:tc>
      </w:tr>
      <w:tr>
        <w:trPr>
          <w:trHeight w:val="270"/>
        </w:trPr>
        <w:tc>
          <w:tcPr>
            <w:tcW w:w="30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105,900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116,281</w:t>
            </w:r>
          </w:p>
        </w:tc>
      </w:tr>
      <w:tr>
        <w:trPr>
          <w:trHeight w:val="270"/>
        </w:trPr>
        <w:tc>
          <w:tcPr>
            <w:tcW w:w="30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4,257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2,156</w:t>
            </w:r>
          </w:p>
        </w:tc>
      </w:tr>
      <w:tr>
        <w:trPr>
          <w:trHeight w:val="270"/>
        </w:trPr>
        <w:tc>
          <w:tcPr>
            <w:tcW w:w="30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346,577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433,300</w:t>
            </w:r>
          </w:p>
        </w:tc>
      </w:tr>
      <w:tr>
        <w:trPr>
          <w:trHeight w:val="270"/>
        </w:trPr>
        <w:tc>
          <w:tcPr>
            <w:tcW w:w="30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49,482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58,772</w:t>
            </w:r>
          </w:p>
        </w:tc>
      </w:tr>
      <w:tr>
        <w:trPr>
          <w:trHeight w:val="270"/>
        </w:trPr>
        <w:tc>
          <w:tcPr>
            <w:tcW w:w="30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40,442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70,294</w:t>
            </w:r>
          </w:p>
        </w:tc>
      </w:tr>
      <w:tr>
        <w:trPr>
          <w:trHeight w:val="270"/>
        </w:trPr>
        <w:tc>
          <w:tcPr>
            <w:tcW w:w="30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26,174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8,214</w:t>
            </w:r>
          </w:p>
        </w:tc>
      </w:tr>
      <w:tr>
        <w:trPr>
          <w:trHeight w:val="278"/>
        </w:trPr>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76,200</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29,138</w:t>
            </w:r>
          </w:p>
        </w:tc>
      </w:tr>
      <w:tr>
        <w:trPr>
          <w:trHeight w:val="237"/>
        </w:trPr>
        <w:tc>
          <w:tcPr>
            <w:tcW w:w="3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1,404,920</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1,352,190</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783"/>
        </w:trPr>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10,673</w:t>
            </w:r>
          </w:p>
        </w:tc>
        <w:tc>
          <w:tcPr>
            <w:tcW w:w="100" w:type="dxa"/>
            <w:vAlign w:val="bottom"/>
          </w:tcPr>
          <w:p>
            <w:pPr>
              <w:spacing w:after="0"/>
              <w:rPr>
                <w:sz w:val="24"/>
                <w:szCs w:val="24"/>
                <w:color w:val="auto"/>
              </w:rPr>
            </w:pPr>
          </w:p>
        </w:tc>
        <w:tc>
          <w:tcPr>
            <w:tcW w:w="2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30,436</w:t>
            </w:r>
          </w:p>
        </w:tc>
      </w:tr>
      <w:tr>
        <w:trPr>
          <w:trHeight w:val="270"/>
        </w:trPr>
        <w:tc>
          <w:tcPr>
            <w:tcW w:w="30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418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533</w:t>
            </w:r>
          </w:p>
        </w:tc>
      </w:tr>
      <w:tr>
        <w:trPr>
          <w:trHeight w:val="270"/>
        </w:trPr>
        <w:tc>
          <w:tcPr>
            <w:tcW w:w="30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97,213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79,967</w:t>
            </w:r>
          </w:p>
        </w:tc>
      </w:tr>
      <w:tr>
        <w:trPr>
          <w:trHeight w:val="270"/>
        </w:trPr>
        <w:tc>
          <w:tcPr>
            <w:tcW w:w="30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8,595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22,337</w:t>
            </w:r>
          </w:p>
        </w:tc>
      </w:tr>
      <w:tr>
        <w:trPr>
          <w:trHeight w:val="278"/>
        </w:trPr>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8,097</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8,628</w:t>
            </w:r>
          </w:p>
        </w:tc>
      </w:tr>
      <w:tr>
        <w:trPr>
          <w:trHeight w:val="243"/>
        </w:trPr>
        <w:tc>
          <w:tcPr>
            <w:tcW w:w="30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124,996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141,901</w:t>
            </w:r>
          </w:p>
        </w:tc>
      </w:tr>
      <w:tr>
        <w:trPr>
          <w:trHeight w:val="270"/>
        </w:trPr>
        <w:tc>
          <w:tcPr>
            <w:tcW w:w="30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356,430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215,939</w:t>
            </w:r>
          </w:p>
        </w:tc>
      </w:tr>
      <w:tr>
        <w:trPr>
          <w:trHeight w:val="270"/>
        </w:trPr>
        <w:tc>
          <w:tcPr>
            <w:tcW w:w="300" w:type="dxa"/>
            <w:vAlign w:val="bottom"/>
          </w:tcPr>
          <w:p>
            <w:pPr>
              <w:spacing w:after="0"/>
              <w:rPr>
                <w:sz w:val="23"/>
                <w:szCs w:val="2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391</w:t>
            </w:r>
          </w:p>
        </w:tc>
      </w:tr>
      <w:tr>
        <w:trPr>
          <w:trHeight w:val="278"/>
        </w:trPr>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11,359</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24,040</w:t>
            </w:r>
          </w:p>
        </w:tc>
      </w:tr>
      <w:tr>
        <w:trPr>
          <w:trHeight w:val="243"/>
        </w:trPr>
        <w:tc>
          <w:tcPr>
            <w:tcW w:w="30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492,785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382,271</w:t>
            </w:r>
          </w:p>
        </w:tc>
      </w:tr>
      <w:tr>
        <w:trPr>
          <w:trHeight w:val="540"/>
        </w:trPr>
        <w:tc>
          <w:tcPr>
            <w:tcW w:w="300" w:type="dxa"/>
            <w:vAlign w:val="bottom"/>
          </w:tcPr>
          <w:p>
            <w:pPr>
              <w:spacing w:after="0"/>
              <w:rPr>
                <w:sz w:val="24"/>
                <w:szCs w:val="24"/>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35,498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55,393</w:t>
            </w:r>
          </w:p>
        </w:tc>
      </w:tr>
      <w:tr>
        <w:trPr>
          <w:trHeight w:val="278"/>
        </w:trPr>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876,637</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914,526</w:t>
            </w:r>
          </w:p>
        </w:tc>
      </w:tr>
      <w:tr>
        <w:trPr>
          <w:trHeight w:val="237"/>
        </w:trPr>
        <w:tc>
          <w:tcPr>
            <w:tcW w:w="3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1,404,920</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1,352,190</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8260" w:space="720"/>
            <w:col w:w="2400"/>
          </w:cols>
          <w:pgMar w:left="280" w:top="58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Segment Results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w w:val="93"/>
              </w:rPr>
              <w:t>Three Months Ended September 30, 2014</w:t>
            </w: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U.S. &amp; Canada</w:t>
            </w:r>
          </w:p>
        </w:tc>
        <w:tc>
          <w:tcPr>
            <w:tcW w:w="120" w:type="dxa"/>
            <w:vAlign w:val="bottom"/>
          </w:tcPr>
          <w:p>
            <w:pPr>
              <w:spacing w:after="0"/>
              <w:rPr>
                <w:sz w:val="13"/>
                <w:szCs w:val="13"/>
                <w:color w:val="auto"/>
              </w:rPr>
            </w:pPr>
          </w:p>
        </w:tc>
        <w:tc>
          <w:tcPr>
            <w:tcW w:w="104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w w:val="94"/>
              </w:rPr>
              <w:t>Latin America</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6"/>
              </w:rPr>
              <w:t>Other</w:t>
            </w: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Total Segments</w:t>
            </w:r>
          </w:p>
        </w:tc>
        <w:tc>
          <w:tcPr>
            <w:tcW w:w="12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Corporate Items</w:t>
            </w:r>
          </w:p>
        </w:tc>
        <w:tc>
          <w:tcPr>
            <w:tcW w:w="140" w:type="dxa"/>
            <w:vAlign w:val="bottom"/>
          </w:tcPr>
          <w:p>
            <w:pPr>
              <w:spacing w:after="0"/>
              <w:rPr>
                <w:sz w:val="13"/>
                <w:szCs w:val="13"/>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International</w:t>
            </w:r>
          </w:p>
        </w:tc>
        <w:tc>
          <w:tcPr>
            <w:tcW w:w="1240" w:type="dxa"/>
            <w:vAlign w:val="bottom"/>
            <w:gridSpan w:val="3"/>
            <w:vMerge w:val="continue"/>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74,219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14,901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89,120</w:t>
            </w:r>
          </w:p>
        </w:tc>
        <w:tc>
          <w:tcPr>
            <w:tcW w:w="100" w:type="dxa"/>
            <w:vAlign w:val="bottom"/>
          </w:tcPr>
          <w:p>
            <w:pPr>
              <w:spacing w:after="0"/>
              <w:rPr>
                <w:sz w:val="21"/>
                <w:szCs w:val="21"/>
                <w:color w:val="auto"/>
              </w:rPr>
            </w:pP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89,120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20,410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22,074</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56,774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8,392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65,166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65,166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 fees and interest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41,524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52,202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52,202</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Consumer loan sales and other</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14,443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14,755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14,755</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193,239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50,078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243,317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243,317</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Merchandise cost of goods sold</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51,485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12,712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64,197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64,197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Jewelry scrapping cost of goods sold</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15,772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17,574</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Consumer loan bad debt</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13,967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3,661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17,628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17,628</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revenues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112,015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31,903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143,918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143,918</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Operating expenses (income):</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84,247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25,889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110,136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110,136</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Administrative</w:t>
            </w: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13,875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13,875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7,587</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Amortization</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1,411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sale or disposal of assets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Interest expense (income), net</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3,615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3,609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3,538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7,147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Restructuring expense</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6,664</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w w:val="97"/>
              </w:rPr>
              <w:t>Equity in net income of unconsolidated affiliates</w:t>
            </w: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(2,068)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 expense</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0" w:type="dxa"/>
            <w:vAlign w:val="bottom"/>
          </w:tcPr>
          <w:p>
            <w:pPr>
              <w:spacing w:after="0"/>
              <w:rPr>
                <w:sz w:val="1"/>
                <w:szCs w:val="1"/>
                <w:color w:val="auto"/>
              </w:rPr>
            </w:pPr>
          </w:p>
        </w:tc>
      </w:tr>
      <w:tr>
        <w:trPr>
          <w:trHeight w:val="297"/>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Segment contribution</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23,102</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2,540</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2,299</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27,941</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CCEEFF"/>
            </w:tcBorders>
          </w:tcPr>
          <w:p>
            <w:pPr>
              <w:spacing w:after="0"/>
              <w:rPr>
                <w:sz w:val="24"/>
                <w:szCs w:val="24"/>
                <w:color w:val="auto"/>
              </w:rPr>
            </w:pPr>
          </w:p>
        </w:tc>
        <w:tc>
          <w:tcPr>
            <w:tcW w:w="84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1000" w:type="dxa"/>
            <w:vAlign w:val="bottom"/>
            <w:tcBorders>
              <w:top w:val="single" w:sz="8" w:color="auto"/>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00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Income (loss) from continuing operations before</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27,941</w:t>
            </w:r>
          </w:p>
        </w:tc>
        <w:tc>
          <w:tcPr>
            <w:tcW w:w="100" w:type="dxa"/>
            <w:vAlign w:val="bottom"/>
            <w:shd w:val="clear" w:color="auto" w:fill="CCEEFF"/>
          </w:tcPr>
          <w:p>
            <w:pPr>
              <w:spacing w:after="0"/>
              <w:rPr>
                <w:sz w:val="16"/>
                <w:szCs w:val="16"/>
                <w:color w:val="auto"/>
              </w:rPr>
            </w:pPr>
          </w:p>
        </w:tc>
        <w:tc>
          <w:tcPr>
            <w:tcW w:w="300" w:type="dxa"/>
            <w:vAlign w:val="bottom"/>
            <w:vMerge w:val="restart"/>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(27,522)</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vMerge w:val="restart"/>
          </w:tcPr>
          <w:p>
            <w:pPr>
              <w:jc w:val="right"/>
              <w:ind w:right="411"/>
              <w:spacing w:after="0"/>
              <w:rPr>
                <w:sz w:val="20"/>
                <w:szCs w:val="20"/>
                <w:color w:val="auto"/>
              </w:rPr>
            </w:pPr>
            <w:r>
              <w:rPr>
                <w:rFonts w:ascii="Arial" w:cs="Arial" w:eastAsia="Arial" w:hAnsi="Arial"/>
                <w:sz w:val="18"/>
                <w:szCs w:val="18"/>
                <w:color w:val="auto"/>
                <w:w w:val="94"/>
              </w:rPr>
              <w:t>7 of 12</w:t>
            </w: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Segment Results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w w:val="93"/>
              </w:rPr>
              <w:t>Three Months Ended September 30, 2013</w:t>
            </w: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U.S. &amp; Canada</w:t>
            </w:r>
          </w:p>
        </w:tc>
        <w:tc>
          <w:tcPr>
            <w:tcW w:w="120" w:type="dxa"/>
            <w:vAlign w:val="bottom"/>
          </w:tcPr>
          <w:p>
            <w:pPr>
              <w:spacing w:after="0"/>
              <w:rPr>
                <w:sz w:val="13"/>
                <w:szCs w:val="13"/>
                <w:color w:val="auto"/>
              </w:rPr>
            </w:pPr>
          </w:p>
        </w:tc>
        <w:tc>
          <w:tcPr>
            <w:tcW w:w="104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w w:val="94"/>
              </w:rPr>
              <w:t>Latin America</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6"/>
              </w:rPr>
              <w:t>Other</w:t>
            </w: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Segments Total</w:t>
            </w:r>
          </w:p>
        </w:tc>
        <w:tc>
          <w:tcPr>
            <w:tcW w:w="12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Corporate Items</w:t>
            </w:r>
          </w:p>
        </w:tc>
        <w:tc>
          <w:tcPr>
            <w:tcW w:w="140" w:type="dxa"/>
            <w:vAlign w:val="bottom"/>
          </w:tcPr>
          <w:p>
            <w:pPr>
              <w:spacing w:after="0"/>
              <w:rPr>
                <w:sz w:val="13"/>
                <w:szCs w:val="13"/>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International</w:t>
            </w:r>
          </w:p>
        </w:tc>
        <w:tc>
          <w:tcPr>
            <w:tcW w:w="1240" w:type="dxa"/>
            <w:vAlign w:val="bottom"/>
            <w:gridSpan w:val="3"/>
            <w:vMerge w:val="continue"/>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72,944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14,560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87,504</w:t>
            </w:r>
          </w:p>
        </w:tc>
        <w:tc>
          <w:tcPr>
            <w:tcW w:w="100" w:type="dxa"/>
            <w:vAlign w:val="bottom"/>
          </w:tcPr>
          <w:p>
            <w:pPr>
              <w:spacing w:after="0"/>
              <w:rPr>
                <w:sz w:val="21"/>
                <w:szCs w:val="21"/>
                <w:color w:val="auto"/>
              </w:rPr>
            </w:pP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87,504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14,385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18,123</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56,573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6,969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63,542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63,542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 fees and interest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45,181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59,059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59,059</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Consumer loan sales and other</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188,518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39,462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227,980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227,980</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Merchandise cost of goods sold</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44,211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9,695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53,906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53,906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Jewelry scrapping cost of goods sold</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15,140</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Consumer loan bad debt expense</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14,324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911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15,235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15,235</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revenues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118,268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25,431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143,699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143,699</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Operating expenses (income):</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81,445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97,868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97,868</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Administrative</w:t>
            </w: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17,556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17,556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7,192</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Amortization</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(gain) on sale or disposal of assets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3,074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3,083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4,140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7"/>
              </w:rPr>
              <w:t>Equity in net income of unconsolidated affiliates</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Impairment of investments</w:t>
            </w: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44,598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44,598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44,598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 expense</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97"/>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Segment (loss) contribution</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32,704</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4,459</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(46,843)</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(9,680)</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CCEEFF"/>
            </w:tcBorders>
          </w:tcPr>
          <w:p>
            <w:pPr>
              <w:spacing w:after="0"/>
              <w:rPr>
                <w:sz w:val="24"/>
                <w:szCs w:val="24"/>
                <w:color w:val="auto"/>
              </w:rPr>
            </w:pPr>
          </w:p>
        </w:tc>
        <w:tc>
          <w:tcPr>
            <w:tcW w:w="84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1000" w:type="dxa"/>
            <w:vAlign w:val="bottom"/>
            <w:tcBorders>
              <w:top w:val="single" w:sz="8" w:color="auto"/>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Loss from continuing operations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(31,350)</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vMerge w:val="restart"/>
          </w:tcPr>
          <w:p>
            <w:pPr>
              <w:jc w:val="right"/>
              <w:ind w:right="411"/>
              <w:spacing w:after="0"/>
              <w:rPr>
                <w:sz w:val="20"/>
                <w:szCs w:val="20"/>
                <w:color w:val="auto"/>
              </w:rPr>
            </w:pPr>
            <w:r>
              <w:rPr>
                <w:rFonts w:ascii="Arial" w:cs="Arial" w:eastAsia="Arial" w:hAnsi="Arial"/>
                <w:sz w:val="18"/>
                <w:szCs w:val="18"/>
                <w:color w:val="auto"/>
                <w:w w:val="94"/>
              </w:rPr>
              <w:t>8 of 12</w:t>
            </w: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Segment Results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Year Ended September 30, 2014</w:t>
            </w: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U.S. &amp; Canada</w:t>
            </w:r>
          </w:p>
        </w:tc>
        <w:tc>
          <w:tcPr>
            <w:tcW w:w="120" w:type="dxa"/>
            <w:vAlign w:val="bottom"/>
          </w:tcPr>
          <w:p>
            <w:pPr>
              <w:spacing w:after="0"/>
              <w:rPr>
                <w:sz w:val="13"/>
                <w:szCs w:val="13"/>
                <w:color w:val="auto"/>
              </w:rPr>
            </w:pPr>
          </w:p>
        </w:tc>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Latin America</w:t>
            </w:r>
          </w:p>
        </w:tc>
        <w:tc>
          <w:tcPr>
            <w:tcW w:w="140" w:type="dxa"/>
            <w:vAlign w:val="bottom"/>
          </w:tcPr>
          <w:p>
            <w:pPr>
              <w:spacing w:after="0"/>
              <w:rPr>
                <w:sz w:val="13"/>
                <w:szCs w:val="13"/>
                <w:color w:val="auto"/>
              </w:rPr>
            </w:pPr>
          </w:p>
        </w:tc>
        <w:tc>
          <w:tcPr>
            <w:tcW w:w="11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6"/>
              </w:rPr>
              <w:t>Other</w:t>
            </w: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Total Segments</w:t>
            </w:r>
          </w:p>
        </w:tc>
        <w:tc>
          <w:tcPr>
            <w:tcW w:w="12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Corporate Items</w:t>
            </w:r>
          </w:p>
        </w:tc>
        <w:tc>
          <w:tcPr>
            <w:tcW w:w="140" w:type="dxa"/>
            <w:vAlign w:val="bottom"/>
          </w:tcPr>
          <w:p>
            <w:pPr>
              <w:spacing w:after="0"/>
              <w:rPr>
                <w:sz w:val="13"/>
                <w:szCs w:val="13"/>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International</w:t>
            </w:r>
          </w:p>
        </w:tc>
        <w:tc>
          <w:tcPr>
            <w:tcW w:w="1240" w:type="dxa"/>
            <w:vAlign w:val="bottom"/>
            <w:gridSpan w:val="3"/>
            <w:vMerge w:val="continue"/>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327,720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59,611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387,331</w:t>
            </w:r>
          </w:p>
        </w:tc>
        <w:tc>
          <w:tcPr>
            <w:tcW w:w="100" w:type="dxa"/>
            <w:vAlign w:val="bottom"/>
          </w:tcPr>
          <w:p>
            <w:pPr>
              <w:spacing w:after="0"/>
              <w:rPr>
                <w:sz w:val="21"/>
                <w:szCs w:val="21"/>
                <w:color w:val="auto"/>
              </w:rPr>
            </w:pP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387,331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89,941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96,243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96,243</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217,891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30,487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248,378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248,378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 fees and interest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166,505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54,138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220,643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220,643</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Consumer loan sales and other</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2,082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34,963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37,045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37,045</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804,139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185,501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989,640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989,640</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Merchandise cost of goods sold</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205,349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42,044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247,393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247,393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Jewelry scrapping cost of goods sold</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67,029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72,836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72,836</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Consumer loan bad debt</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46,339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6,867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53,206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53,206</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revenues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485,422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130,783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616,205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616,205</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Operating expenses (income):</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335,881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84,469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420,350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420,350</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Administrative</w:t>
            </w: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64,119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64,119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23,138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29,801</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Amortization</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2,004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2,403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3,072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5,475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loss on sale or disposal of assets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(5,629)</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Interest (income) expense, net</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15,243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15,227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7,605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22,832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Restructuring</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6,664</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w w:val="97"/>
              </w:rPr>
              <w:t>Equity in net income of unconsolidated affiliates</w:t>
            </w: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(5,948)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Impairment of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7,940</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Other expense (income)</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1,257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contribution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138,518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25,441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161,852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ind w:left="40"/>
              <w:spacing w:after="0"/>
              <w:rPr>
                <w:sz w:val="20"/>
                <w:szCs w:val="20"/>
                <w:color w:val="auto"/>
              </w:rPr>
            </w:pPr>
            <w:r>
              <w:rPr>
                <w:rFonts w:ascii="Arial" w:cs="Arial" w:eastAsia="Arial" w:hAnsi="Arial"/>
                <w:sz w:val="18"/>
                <w:szCs w:val="18"/>
                <w:color w:val="auto"/>
              </w:rPr>
              <w:t>Income (loss) from continuing operations before</w:t>
            </w: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vMerge w:val="restart"/>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ind w:right="30"/>
              <w:spacing w:after="0"/>
              <w:rPr>
                <w:sz w:val="20"/>
                <w:szCs w:val="20"/>
                <w:color w:val="auto"/>
              </w:rPr>
            </w:pPr>
            <w:r>
              <w:rPr>
                <w:rFonts w:ascii="Arial" w:cs="Arial" w:eastAsia="Arial" w:hAnsi="Arial"/>
                <w:sz w:val="18"/>
                <w:szCs w:val="18"/>
                <w:color w:val="auto"/>
              </w:rPr>
              <w:t>161,852</w:t>
            </w:r>
          </w:p>
        </w:tc>
        <w:tc>
          <w:tcPr>
            <w:tcW w:w="100" w:type="dxa"/>
            <w:vAlign w:val="bottom"/>
          </w:tcPr>
          <w:p>
            <w:pPr>
              <w:spacing w:after="0"/>
              <w:rPr>
                <w:sz w:val="16"/>
                <w:szCs w:val="16"/>
                <w:color w:val="auto"/>
              </w:rPr>
            </w:pPr>
          </w:p>
        </w:tc>
        <w:tc>
          <w:tcPr>
            <w:tcW w:w="300" w:type="dxa"/>
            <w:vAlign w:val="bottom"/>
            <w:vMerge w:val="restart"/>
          </w:tcPr>
          <w:p>
            <w:pPr>
              <w:jc w:val="right"/>
              <w:ind w:right="96"/>
              <w:spacing w:after="0"/>
              <w:rPr>
                <w:sz w:val="20"/>
                <w:szCs w:val="20"/>
                <w:color w:val="auto"/>
              </w:rPr>
            </w:pPr>
            <w:r>
              <w:rPr>
                <w:rFonts w:ascii="Arial" w:cs="Arial" w:eastAsia="Arial" w:hAnsi="Arial"/>
                <w:sz w:val="18"/>
                <w:szCs w:val="18"/>
                <w:color w:val="auto"/>
                <w:w w:val="9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(90,344)</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ind w:right="11"/>
              <w:spacing w:after="0"/>
              <w:rPr>
                <w:sz w:val="20"/>
                <w:szCs w:val="20"/>
                <w:color w:val="auto"/>
              </w:rPr>
            </w:pPr>
            <w:r>
              <w:rPr>
                <w:rFonts w:ascii="Arial" w:cs="Arial" w:eastAsia="Arial" w:hAnsi="Arial"/>
                <w:sz w:val="18"/>
                <w:szCs w:val="18"/>
                <w:color w:val="auto"/>
              </w:rPr>
              <w:t>71,508</w:t>
            </w:r>
          </w:p>
        </w:tc>
        <w:tc>
          <w:tcPr>
            <w:tcW w:w="0" w:type="dxa"/>
            <w:vAlign w:val="bottom"/>
          </w:tcPr>
          <w:p>
            <w:pPr>
              <w:spacing w:after="0"/>
              <w:rPr>
                <w:sz w:val="1"/>
                <w:szCs w:val="1"/>
                <w:color w:val="auto"/>
              </w:rPr>
            </w:pPr>
          </w:p>
        </w:tc>
      </w:tr>
      <w:tr>
        <w:trPr>
          <w:trHeight w:val="242"/>
        </w:trPr>
        <w:tc>
          <w:tcPr>
            <w:tcW w:w="400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8"/>
                <w:szCs w:val="18"/>
                <w:color w:val="auto"/>
              </w:rPr>
              <w:t>9 of 12</w:t>
            </w: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Segment Results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Year Ended September 30, 2013</w:t>
            </w: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U.S. &amp; Canada</w:t>
            </w:r>
          </w:p>
        </w:tc>
        <w:tc>
          <w:tcPr>
            <w:tcW w:w="120" w:type="dxa"/>
            <w:vAlign w:val="bottom"/>
          </w:tcPr>
          <w:p>
            <w:pPr>
              <w:spacing w:after="0"/>
              <w:rPr>
                <w:sz w:val="13"/>
                <w:szCs w:val="13"/>
                <w:color w:val="auto"/>
              </w:rPr>
            </w:pPr>
          </w:p>
        </w:tc>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Latin America</w:t>
            </w:r>
          </w:p>
        </w:tc>
        <w:tc>
          <w:tcPr>
            <w:tcW w:w="140" w:type="dxa"/>
            <w:vAlign w:val="bottom"/>
          </w:tcPr>
          <w:p>
            <w:pPr>
              <w:spacing w:after="0"/>
              <w:rPr>
                <w:sz w:val="13"/>
                <w:szCs w:val="13"/>
                <w:color w:val="auto"/>
              </w:rPr>
            </w:pPr>
          </w:p>
        </w:tc>
        <w:tc>
          <w:tcPr>
            <w:tcW w:w="11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6"/>
              </w:rPr>
              <w:t>Other</w:t>
            </w: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Segments Total</w:t>
            </w:r>
          </w:p>
        </w:tc>
        <w:tc>
          <w:tcPr>
            <w:tcW w:w="12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Corporate Items</w:t>
            </w:r>
          </w:p>
        </w:tc>
        <w:tc>
          <w:tcPr>
            <w:tcW w:w="140" w:type="dxa"/>
            <w:vAlign w:val="bottom"/>
          </w:tcPr>
          <w:p>
            <w:pPr>
              <w:spacing w:after="0"/>
              <w:rPr>
                <w:sz w:val="13"/>
                <w:szCs w:val="13"/>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International</w:t>
            </w:r>
          </w:p>
        </w:tc>
        <w:tc>
          <w:tcPr>
            <w:tcW w:w="1240" w:type="dxa"/>
            <w:vAlign w:val="bottom"/>
            <w:gridSpan w:val="3"/>
            <w:vMerge w:val="continue"/>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310,521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58,245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368,766</w:t>
            </w:r>
          </w:p>
        </w:tc>
        <w:tc>
          <w:tcPr>
            <w:tcW w:w="100" w:type="dxa"/>
            <w:vAlign w:val="bottom"/>
          </w:tcPr>
          <w:p>
            <w:pPr>
              <w:spacing w:after="0"/>
              <w:rPr>
                <w:sz w:val="21"/>
                <w:szCs w:val="21"/>
                <w:color w:val="auto"/>
              </w:rPr>
            </w:pP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368,766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123,162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131,702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131,702</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221,775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29,579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251,354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251,354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 fees and interest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169,291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50,461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219,752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219,752</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Consumer loan sales and other</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3,811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3,197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1,539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8,547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8,547</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828,560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150,022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980,121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980,121</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Merchandise cost of goods sold</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183,147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35,470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218,617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218,617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Jewelry scrapping cost of goods sold</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88,637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96,133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96,133</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Consumer loan bad debt expense (benefit)</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40,780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40,667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40,667</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revenues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515,996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107,169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624,704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624,704</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Operating expenses (income):</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325,795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62,496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389,386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389,386</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Administrative</w:t>
            </w: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52,474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52,474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27,858</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Amortization</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1,711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2,104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1,381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3,485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sale or disposal of assets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Interest expense (income), net</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11,279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11,295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3,873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15,168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7"/>
              </w:rPr>
              <w:t>Equity in net income of unconsolidated affiliates</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(11,878)</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Impairment of investments</w:t>
            </w: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44,598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44,598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44,598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 expense</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97"/>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Segment contribution</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173,772</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26,662</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(32,429)</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168,005</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CCEEFF"/>
            </w:tcBorders>
          </w:tcPr>
          <w:p>
            <w:pPr>
              <w:spacing w:after="0"/>
              <w:rPr>
                <w:sz w:val="24"/>
                <w:szCs w:val="24"/>
                <w:color w:val="auto"/>
              </w:rPr>
            </w:pPr>
          </w:p>
        </w:tc>
        <w:tc>
          <w:tcPr>
            <w:tcW w:w="84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1000" w:type="dxa"/>
            <w:vAlign w:val="bottom"/>
            <w:tcBorders>
              <w:top w:val="single" w:sz="8" w:color="auto"/>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00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Income (loss) from continuing operations before</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168,005</w:t>
            </w:r>
          </w:p>
        </w:tc>
        <w:tc>
          <w:tcPr>
            <w:tcW w:w="100" w:type="dxa"/>
            <w:vAlign w:val="bottom"/>
            <w:shd w:val="clear" w:color="auto" w:fill="CCEEFF"/>
          </w:tcPr>
          <w:p>
            <w:pPr>
              <w:spacing w:after="0"/>
              <w:rPr>
                <w:sz w:val="16"/>
                <w:szCs w:val="16"/>
                <w:color w:val="auto"/>
              </w:rPr>
            </w:pPr>
          </w:p>
        </w:tc>
        <w:tc>
          <w:tcPr>
            <w:tcW w:w="300" w:type="dxa"/>
            <w:vAlign w:val="bottom"/>
            <w:vMerge w:val="restart"/>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(65,546)</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102,459</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3"/>
            <w:vMerge w:val="restart"/>
          </w:tcPr>
          <w:p>
            <w:pPr>
              <w:ind w:left="120"/>
              <w:spacing w:after="0"/>
              <w:rPr>
                <w:sz w:val="20"/>
                <w:szCs w:val="20"/>
                <w:color w:val="auto"/>
              </w:rPr>
            </w:pPr>
            <w:r>
              <w:rPr>
                <w:rFonts w:ascii="Arial" w:cs="Arial" w:eastAsia="Arial" w:hAnsi="Arial"/>
                <w:sz w:val="18"/>
                <w:szCs w:val="18"/>
                <w:color w:val="auto"/>
              </w:rPr>
              <w:t>10 of 12</w:t>
            </w: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Store Count Activity</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5"/>
          </w:tcPr>
          <w:p>
            <w:pPr>
              <w:ind w:left="1160"/>
              <w:spacing w:after="0"/>
              <w:rPr>
                <w:sz w:val="20"/>
                <w:szCs w:val="20"/>
                <w:color w:val="auto"/>
              </w:rPr>
            </w:pPr>
            <w:r>
              <w:rPr>
                <w:rFonts w:ascii="Arial" w:cs="Arial" w:eastAsia="Arial" w:hAnsi="Arial"/>
                <w:sz w:val="14"/>
                <w:szCs w:val="14"/>
                <w:b w:val="1"/>
                <w:bCs w:val="1"/>
                <w:color w:val="auto"/>
                <w:w w:val="91"/>
              </w:rPr>
              <w:t>Fiscal Year Ended September 30, 2014</w:t>
            </w: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52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rPr>
              <w:t>Company-owned Stores</w:t>
            </w:r>
          </w:p>
        </w:tc>
        <w:tc>
          <w:tcPr>
            <w:tcW w:w="11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Franchises</w:t>
            </w: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5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U.S. &amp; Canada</w:t>
            </w:r>
          </w:p>
        </w:tc>
        <w:tc>
          <w:tcPr>
            <w:tcW w:w="120" w:type="dxa"/>
            <w:vAlign w:val="bottom"/>
            <w:vMerge w:val="restart"/>
          </w:tcPr>
          <w:p>
            <w:pPr>
              <w:spacing w:after="0"/>
              <w:rPr>
                <w:sz w:val="13"/>
                <w:szCs w:val="13"/>
                <w:color w:val="auto"/>
              </w:rPr>
            </w:pPr>
          </w:p>
        </w:tc>
        <w:tc>
          <w:tcPr>
            <w:tcW w:w="150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Latin America</w:t>
            </w:r>
          </w:p>
        </w:tc>
        <w:tc>
          <w:tcPr>
            <w:tcW w:w="120" w:type="dxa"/>
            <w:vAlign w:val="bottom"/>
            <w:vMerge w:val="restart"/>
          </w:tcPr>
          <w:p>
            <w:pPr>
              <w:spacing w:after="0"/>
              <w:rPr>
                <w:sz w:val="13"/>
                <w:szCs w:val="13"/>
                <w:color w:val="auto"/>
              </w:rPr>
            </w:pPr>
          </w:p>
        </w:tc>
        <w:tc>
          <w:tcPr>
            <w:tcW w:w="1900" w:type="dxa"/>
            <w:vAlign w:val="bottom"/>
            <w:gridSpan w:val="3"/>
          </w:tcPr>
          <w:p>
            <w:pPr>
              <w:jc w:val="center"/>
              <w:ind w:right="420"/>
              <w:spacing w:after="0" w:line="153" w:lineRule="exact"/>
              <w:rPr>
                <w:sz w:val="20"/>
                <w:szCs w:val="20"/>
                <w:color w:val="auto"/>
              </w:rPr>
            </w:pPr>
            <w:r>
              <w:rPr>
                <w:rFonts w:ascii="Arial" w:cs="Arial" w:eastAsia="Arial" w:hAnsi="Arial"/>
                <w:sz w:val="14"/>
                <w:szCs w:val="14"/>
                <w:b w:val="1"/>
                <w:bCs w:val="1"/>
                <w:color w:val="auto"/>
                <w:w w:val="96"/>
              </w:rPr>
              <w:t>Other</w:t>
            </w:r>
          </w:p>
        </w:tc>
        <w:tc>
          <w:tcPr>
            <w:tcW w:w="116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w w:val="90"/>
              </w:rPr>
              <w:t>Consolidated</w:t>
            </w:r>
          </w:p>
        </w:tc>
        <w:tc>
          <w:tcPr>
            <w:tcW w:w="100" w:type="dxa"/>
            <w:vAlign w:val="bottom"/>
            <w:vMerge w:val="restart"/>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International</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period</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1,030</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312</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3"/>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De novo</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900" w:type="dxa"/>
            <w:vAlign w:val="bottom"/>
            <w:gridSpan w:val="3"/>
          </w:tcPr>
          <w:p>
            <w:pPr>
              <w:ind w:left="12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Sold, combined, or closed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3"/>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Discontinued operations</w:t>
            </w: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900" w:type="dxa"/>
            <w:vAlign w:val="bottom"/>
            <w:gridSpan w:val="3"/>
          </w:tcPr>
          <w:p>
            <w:pPr>
              <w:ind w:left="12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 of period</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1,044</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314</w:t>
            </w:r>
          </w:p>
        </w:tc>
        <w:tc>
          <w:tcPr>
            <w:tcW w:w="12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gridSpan w:val="3"/>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1,358</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354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5"/>
          </w:tcPr>
          <w:p>
            <w:pPr>
              <w:ind w:left="1160"/>
              <w:spacing w:after="0"/>
              <w:rPr>
                <w:sz w:val="20"/>
                <w:szCs w:val="20"/>
                <w:color w:val="auto"/>
              </w:rPr>
            </w:pPr>
            <w:r>
              <w:rPr>
                <w:rFonts w:ascii="Arial" w:cs="Arial" w:eastAsia="Arial" w:hAnsi="Arial"/>
                <w:sz w:val="14"/>
                <w:szCs w:val="14"/>
                <w:b w:val="1"/>
                <w:bCs w:val="1"/>
                <w:color w:val="auto"/>
                <w:w w:val="91"/>
              </w:rPr>
              <w:t>Fiscal Year Ended September 30, 2013</w:t>
            </w: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52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rPr>
              <w:t>Company-owned Stores</w:t>
            </w:r>
          </w:p>
        </w:tc>
        <w:tc>
          <w:tcPr>
            <w:tcW w:w="11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Franchises</w:t>
            </w: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5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U.S. &amp; Canada</w:t>
            </w:r>
          </w:p>
        </w:tc>
        <w:tc>
          <w:tcPr>
            <w:tcW w:w="120" w:type="dxa"/>
            <w:vAlign w:val="bottom"/>
            <w:vMerge w:val="restart"/>
          </w:tcPr>
          <w:p>
            <w:pPr>
              <w:spacing w:after="0"/>
              <w:rPr>
                <w:sz w:val="13"/>
                <w:szCs w:val="13"/>
                <w:color w:val="auto"/>
              </w:rPr>
            </w:pPr>
          </w:p>
        </w:tc>
        <w:tc>
          <w:tcPr>
            <w:tcW w:w="150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Latin America</w:t>
            </w:r>
          </w:p>
        </w:tc>
        <w:tc>
          <w:tcPr>
            <w:tcW w:w="120" w:type="dxa"/>
            <w:vAlign w:val="bottom"/>
            <w:vMerge w:val="restart"/>
          </w:tcPr>
          <w:p>
            <w:pPr>
              <w:spacing w:after="0"/>
              <w:rPr>
                <w:sz w:val="13"/>
                <w:szCs w:val="13"/>
                <w:color w:val="auto"/>
              </w:rPr>
            </w:pPr>
          </w:p>
        </w:tc>
        <w:tc>
          <w:tcPr>
            <w:tcW w:w="1900" w:type="dxa"/>
            <w:vAlign w:val="bottom"/>
            <w:gridSpan w:val="3"/>
          </w:tcPr>
          <w:p>
            <w:pPr>
              <w:jc w:val="center"/>
              <w:ind w:right="420"/>
              <w:spacing w:after="0" w:line="153" w:lineRule="exact"/>
              <w:rPr>
                <w:sz w:val="20"/>
                <w:szCs w:val="20"/>
                <w:color w:val="auto"/>
              </w:rPr>
            </w:pPr>
            <w:r>
              <w:rPr>
                <w:rFonts w:ascii="Arial" w:cs="Arial" w:eastAsia="Arial" w:hAnsi="Arial"/>
                <w:sz w:val="14"/>
                <w:szCs w:val="14"/>
                <w:b w:val="1"/>
                <w:bCs w:val="1"/>
                <w:color w:val="auto"/>
                <w:w w:val="96"/>
              </w:rPr>
              <w:t>Other</w:t>
            </w:r>
          </w:p>
        </w:tc>
        <w:tc>
          <w:tcPr>
            <w:tcW w:w="116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w w:val="90"/>
              </w:rPr>
              <w:t>Consolidated</w:t>
            </w:r>
          </w:p>
        </w:tc>
        <w:tc>
          <w:tcPr>
            <w:tcW w:w="100" w:type="dxa"/>
            <w:vAlign w:val="bottom"/>
            <w:vMerge w:val="restart"/>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International</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period</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987</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3"/>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De novo</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1900" w:type="dxa"/>
            <w:vAlign w:val="bottom"/>
            <w:gridSpan w:val="3"/>
          </w:tcPr>
          <w:p>
            <w:pPr>
              <w:ind w:left="12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Acquired</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3"/>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Sold, combined, or closed</w:t>
            </w:r>
          </w:p>
        </w:tc>
        <w:tc>
          <w:tcPr>
            <w:tcW w:w="15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900" w:type="dxa"/>
            <w:vAlign w:val="bottom"/>
            <w:gridSpan w:val="3"/>
          </w:tcPr>
          <w:p>
            <w:pPr>
              <w:ind w:left="12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gridSpan w:val="3"/>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End of period</w:t>
            </w:r>
          </w:p>
        </w:tc>
        <w:tc>
          <w:tcPr>
            <w:tcW w:w="15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1,030</w:t>
            </w:r>
          </w:p>
        </w:tc>
        <w:tc>
          <w:tcPr>
            <w:tcW w:w="120" w:type="dxa"/>
            <w:vAlign w:val="bottom"/>
          </w:tcPr>
          <w:p>
            <w:pPr>
              <w:spacing w:after="0"/>
              <w:rPr>
                <w:sz w:val="20"/>
                <w:szCs w:val="20"/>
                <w:color w:val="auto"/>
              </w:rPr>
            </w:pPr>
          </w:p>
        </w:tc>
        <w:tc>
          <w:tcPr>
            <w:tcW w:w="15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0"/>
                <w:szCs w:val="20"/>
                <w:color w:val="auto"/>
              </w:rPr>
            </w:pPr>
          </w:p>
        </w:tc>
        <w:tc>
          <w:tcPr>
            <w:tcW w:w="1480" w:type="dxa"/>
            <w:vAlign w:val="bottom"/>
            <w:tcBorders>
              <w:top w:val="single" w:sz="8" w:color="auto"/>
            </w:tcBorders>
          </w:tcPr>
          <w:p>
            <w:pPr>
              <w:ind w:left="1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1,342</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 of 12</w:t>
      </w:r>
    </w:p>
    <w:p>
      <w:pPr>
        <w:sectPr>
          <w:pgSz w:w="11900" w:h="16838" w:orient="portrait"/>
          <w:cols w:equalWidth="0" w:num="1">
            <w:col w:w="11420"/>
          </w:cols>
          <w:pgMar w:left="240" w:top="58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Results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data)</w:t>
      </w:r>
    </w:p>
    <w:p>
      <w:pPr>
        <w:spacing w:after="0" w:line="29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following tables provide a reconciliation of the differences between the reported or projected non-GAAP financial measures for the periods indicated and the most comparable GAAP financial measures. The non-GAAP financial measures presented may not be directly comparable to similarly titled measures reported by other companies and their usefulness for such purposes are therefore limited. EZCORP management believes presentation of the non-GAAP financial measures enhances investors’ ability to analyze the Company’s operating results. However, non-GAAP financial measures are not an alternative to GAAP financial measures and should be read only in conjunction with financial measures presented on a GAAP basis.</w:t>
      </w:r>
    </w:p>
    <w:p>
      <w:pPr>
        <w:spacing w:after="0" w:line="200" w:lineRule="exact"/>
        <w:rPr>
          <w:sz w:val="20"/>
          <w:szCs w:val="20"/>
          <w:color w:val="auto"/>
        </w:rPr>
      </w:pPr>
    </w:p>
    <w:p>
      <w:pPr>
        <w:spacing w:after="0" w:line="34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Three Months Ended September 30, 2014</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900" w:type="dxa"/>
            <w:vAlign w:val="bottom"/>
            <w:tcBorders>
              <w:top w:val="single" w:sz="8" w:color="auto"/>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shd w:val="clear" w:color="auto" w:fill="CCEEFF"/>
          </w:tcPr>
          <w:p>
            <w:pPr>
              <w:spacing w:after="0"/>
              <w:rPr>
                <w:sz w:val="22"/>
                <w:szCs w:val="22"/>
                <w:color w:val="auto"/>
              </w:rPr>
            </w:pPr>
          </w:p>
        </w:tc>
        <w:tc>
          <w:tcPr>
            <w:tcW w:w="1540" w:type="dxa"/>
            <w:vAlign w:val="bottom"/>
            <w:tcBorders>
              <w:top w:val="single" w:sz="8" w:color="auto"/>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(in millions)</w:t>
            </w:r>
          </w:p>
        </w:tc>
        <w:tc>
          <w:tcPr>
            <w:tcW w:w="180" w:type="dxa"/>
            <w:vAlign w:val="bottom"/>
            <w:tcBorders>
              <w:top w:val="single" w:sz="8" w:color="auto"/>
              <w:bottom w:val="single" w:sz="8" w:color="CCEEFF"/>
            </w:tcBorders>
            <w:shd w:val="clear" w:color="auto" w:fill="CCEEFF"/>
          </w:tcPr>
          <w:p>
            <w:pPr>
              <w:spacing w:after="0"/>
              <w:rPr>
                <w:sz w:val="22"/>
                <w:szCs w:val="22"/>
                <w:color w:val="auto"/>
              </w:rPr>
            </w:pPr>
          </w:p>
        </w:tc>
        <w:tc>
          <w:tcPr>
            <w:tcW w:w="1520" w:type="dxa"/>
            <w:vAlign w:val="bottom"/>
            <w:tcBorders>
              <w:top w:val="single" w:sz="8" w:color="auto"/>
              <w:bottom w:val="single" w:sz="8" w:color="CCEEFF"/>
            </w:tcBorders>
            <w:shd w:val="clear" w:color="auto" w:fill="CCEEFF"/>
          </w:tcPr>
          <w:p>
            <w:pPr>
              <w:jc w:val="right"/>
              <w:ind w:right="151"/>
              <w:spacing w:after="0"/>
              <w:rPr>
                <w:sz w:val="20"/>
                <w:szCs w:val="20"/>
                <w:color w:val="auto"/>
              </w:rPr>
            </w:pPr>
            <w:r>
              <w:rPr>
                <w:rFonts w:ascii="Arial" w:cs="Arial" w:eastAsia="Arial" w:hAnsi="Arial"/>
                <w:sz w:val="16"/>
                <w:szCs w:val="16"/>
                <w:i w:val="1"/>
                <w:iCs w:val="1"/>
                <w:color w:val="auto"/>
                <w:w w:val="97"/>
              </w:rPr>
              <w:t>(per diluted share)</w:t>
            </w:r>
          </w:p>
        </w:tc>
      </w:tr>
      <w:tr>
        <w:trPr>
          <w:trHeight w:val="324"/>
        </w:trPr>
        <w:tc>
          <w:tcPr>
            <w:tcW w:w="7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 Attributable to EZCORP (GAAP)</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(1.65)</w:t>
            </w:r>
          </w:p>
        </w:tc>
      </w:tr>
      <w:tr>
        <w:trPr>
          <w:trHeight w:val="318"/>
        </w:trPr>
        <w:tc>
          <w:tcPr>
            <w:tcW w:w="79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Add Back:</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6"/>
                <w:szCs w:val="16"/>
                <w:color w:val="auto"/>
              </w:rPr>
              <w:t>Discontinued Operations Write-off</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1.59</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324"/>
        </w:trPr>
        <w:tc>
          <w:tcPr>
            <w:tcW w:w="79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6"/>
                <w:szCs w:val="16"/>
                <w:color w:val="auto"/>
              </w:rPr>
              <w:t>Restructuring Charges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0.12</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324"/>
        </w:trPr>
        <w:tc>
          <w:tcPr>
            <w:tcW w:w="79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43"/>
        </w:trPr>
        <w:tc>
          <w:tcPr>
            <w:tcW w:w="7900" w:type="dxa"/>
            <w:vAlign w:val="bottom"/>
          </w:tcPr>
          <w:p>
            <w:pPr>
              <w:ind w:left="500"/>
              <w:spacing w:after="0"/>
              <w:rPr>
                <w:sz w:val="20"/>
                <w:szCs w:val="20"/>
                <w:color w:val="auto"/>
              </w:rPr>
            </w:pPr>
            <w:r>
              <w:rPr>
                <w:rFonts w:ascii="Arial" w:cs="Arial" w:eastAsia="Arial" w:hAnsi="Arial"/>
                <w:sz w:val="16"/>
                <w:szCs w:val="16"/>
                <w:color w:val="auto"/>
              </w:rPr>
              <w:t>Reserve Adjustments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0.12</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Other One Time and Non-trendable Items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0.06</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Total One Time and Non-trendable Items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0.18</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324"/>
        </w:trPr>
        <w:tc>
          <w:tcPr>
            <w:tcW w:w="79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6"/>
                <w:szCs w:val="16"/>
                <w:color w:val="auto"/>
              </w:rPr>
              <w:t>Discontinued Operations Loss (excluding write-off)</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0.03</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324"/>
        </w:trPr>
        <w:tc>
          <w:tcPr>
            <w:tcW w:w="79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spacing w:after="0"/>
              <w:rPr>
                <w:sz w:val="24"/>
                <w:szCs w:val="24"/>
                <w:color w:val="auto"/>
              </w:rPr>
            </w:pPr>
          </w:p>
        </w:tc>
      </w:tr>
      <w:tr>
        <w:trPr>
          <w:trHeight w:val="271"/>
        </w:trPr>
        <w:tc>
          <w:tcPr>
            <w:tcW w:w="7900" w:type="dxa"/>
            <w:vAlign w:val="bottom"/>
          </w:tcPr>
          <w:p>
            <w:pPr>
              <w:ind w:left="180"/>
              <w:spacing w:after="0"/>
              <w:rPr>
                <w:sz w:val="20"/>
                <w:szCs w:val="20"/>
                <w:color w:val="auto"/>
              </w:rPr>
            </w:pPr>
            <w:r>
              <w:rPr>
                <w:rFonts w:ascii="Arial" w:cs="Arial" w:eastAsia="Arial" w:hAnsi="Arial"/>
                <w:sz w:val="16"/>
                <w:szCs w:val="16"/>
                <w:b w:val="1"/>
                <w:bCs w:val="1"/>
                <w:color w:val="auto"/>
              </w:rPr>
              <w:t>Adjusted Net Income from Continuing Operations attributable to EZCORP (non-GAAP)</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14.3</w:t>
            </w:r>
          </w:p>
        </w:tc>
        <w:tc>
          <w:tcPr>
            <w:tcW w:w="10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0.27</w:t>
            </w:r>
          </w:p>
        </w:tc>
      </w:tr>
      <w:tr>
        <w:trPr>
          <w:trHeight w:val="74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Fiscal Year Ended September 30, 2014</w:t>
            </w: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7"/>
        </w:trPr>
        <w:tc>
          <w:tcPr>
            <w:tcW w:w="7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(in millions)</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6"/>
                <w:szCs w:val="16"/>
                <w:i w:val="1"/>
                <w:iCs w:val="1"/>
                <w:color w:val="auto"/>
                <w:w w:val="97"/>
              </w:rPr>
              <w:t>(per diluted share)</w:t>
            </w:r>
          </w:p>
        </w:tc>
      </w:tr>
      <w:tr>
        <w:trPr>
          <w:trHeight w:val="324"/>
        </w:trPr>
        <w:tc>
          <w:tcPr>
            <w:tcW w:w="7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 Attributable to EZCORP (GAAP)</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(0.86)</w:t>
            </w:r>
          </w:p>
        </w:tc>
      </w:tr>
      <w:tr>
        <w:trPr>
          <w:trHeight w:val="318"/>
        </w:trPr>
        <w:tc>
          <w:tcPr>
            <w:tcW w:w="79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Add Back:</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6"/>
                <w:szCs w:val="16"/>
                <w:color w:val="auto"/>
              </w:rPr>
              <w:t>Discontinued Operations Write-off</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1.57</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324"/>
        </w:trPr>
        <w:tc>
          <w:tcPr>
            <w:tcW w:w="79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6"/>
                <w:szCs w:val="16"/>
                <w:color w:val="auto"/>
              </w:rPr>
              <w:t>Restructuring Charges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0.12</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324"/>
        </w:trPr>
        <w:tc>
          <w:tcPr>
            <w:tcW w:w="79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43"/>
        </w:trPr>
        <w:tc>
          <w:tcPr>
            <w:tcW w:w="7900" w:type="dxa"/>
            <w:vAlign w:val="bottom"/>
          </w:tcPr>
          <w:p>
            <w:pPr>
              <w:ind w:left="500"/>
              <w:spacing w:after="0"/>
              <w:rPr>
                <w:sz w:val="20"/>
                <w:szCs w:val="20"/>
                <w:color w:val="auto"/>
              </w:rPr>
            </w:pPr>
            <w:r>
              <w:rPr>
                <w:rFonts w:ascii="Arial" w:cs="Arial" w:eastAsia="Arial" w:hAnsi="Arial"/>
                <w:sz w:val="16"/>
                <w:szCs w:val="16"/>
                <w:color w:val="auto"/>
              </w:rPr>
              <w:t>Reserve Adjustments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0.12</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Other One Time and Non-trendable Items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0.30</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Total One Time and Non-trendable Items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0.42</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324"/>
        </w:trPr>
        <w:tc>
          <w:tcPr>
            <w:tcW w:w="79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6"/>
                <w:szCs w:val="16"/>
                <w:color w:val="auto"/>
              </w:rPr>
              <w:t>Discontinued Operations Loss (excluding write-off)</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0.15</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324"/>
        </w:trPr>
        <w:tc>
          <w:tcPr>
            <w:tcW w:w="79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spacing w:after="0"/>
              <w:rPr>
                <w:sz w:val="24"/>
                <w:szCs w:val="24"/>
                <w:color w:val="auto"/>
              </w:rPr>
            </w:pPr>
          </w:p>
        </w:tc>
      </w:tr>
      <w:tr>
        <w:trPr>
          <w:trHeight w:val="271"/>
        </w:trPr>
        <w:tc>
          <w:tcPr>
            <w:tcW w:w="7900" w:type="dxa"/>
            <w:vAlign w:val="bottom"/>
          </w:tcPr>
          <w:p>
            <w:pPr>
              <w:ind w:left="180"/>
              <w:spacing w:after="0"/>
              <w:rPr>
                <w:sz w:val="20"/>
                <w:szCs w:val="20"/>
                <w:color w:val="auto"/>
              </w:rPr>
            </w:pPr>
            <w:r>
              <w:rPr>
                <w:rFonts w:ascii="Arial" w:cs="Arial" w:eastAsia="Arial" w:hAnsi="Arial"/>
                <w:sz w:val="16"/>
                <w:szCs w:val="16"/>
                <w:b w:val="1"/>
                <w:bCs w:val="1"/>
                <w:color w:val="auto"/>
              </w:rPr>
              <w:t>Adjusted Net Income from Continuing Operations attributable to EZCORP (non-GAAP)</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76.0</w:t>
            </w:r>
          </w:p>
        </w:tc>
        <w:tc>
          <w:tcPr>
            <w:tcW w:w="10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1.40</w:t>
            </w: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 of 12</w:t>
      </w:r>
    </w:p>
    <w:sectPr>
      <w:pgSz w:w="11900" w:h="16838" w:orient="portrait"/>
      <w:cols w:equalWidth="0" w:num="1">
        <w:col w:w="11420"/>
      </w:cols>
      <w:pgMar w:left="240" w:top="58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o"/>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2020-01-29T17:47:54Z</dcterms:created>
  <dcterms:modified xsi:type="dcterms:W3CDTF">2020-01-29T17:47:54Z</dcterms:modified>
</cp:coreProperties>
</file>