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REPORT (DATE OF EARLIEST EVENT REPORTED):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APRIL 25, 2006</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EZCORP,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0-19424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74-2540145</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420"/>
            <w:col w:w="2520" w:space="220"/>
            <w:col w:w="3779"/>
          </w:cols>
          <w:pgMar w:left="240" w:top="452"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1901 CAPITAL PARKWAY</w:t>
      </w:r>
    </w:p>
    <w:p>
      <w:pPr>
        <w:ind w:left="1280"/>
        <w:spacing w:after="0" w:line="238" w:lineRule="auto"/>
        <w:rPr>
          <w:sz w:val="20"/>
          <w:szCs w:val="20"/>
          <w:color w:val="auto"/>
        </w:rPr>
      </w:pPr>
      <w:r>
        <w:rPr>
          <w:rFonts w:ascii="Courier New" w:cs="Courier New" w:eastAsia="Courier New" w:hAnsi="Courier New"/>
          <w:sz w:val="18"/>
          <w:szCs w:val="18"/>
          <w:color w:val="auto"/>
        </w:rPr>
        <w:t>AUSTIN, TEXAS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78746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400" w:space="720"/>
            <w:col w:w="4099"/>
          </w:cols>
          <w:pgMar w:left="240" w:top="452"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(512) 314-3400</w:t>
      </w:r>
    </w:p>
    <w:p>
      <w:pPr>
        <w:spacing w:after="0" w:line="200" w:lineRule="exact"/>
        <w:rPr>
          <w:sz w:val="24"/>
          <w:szCs w:val="24"/>
          <w:color w:val="auto"/>
        </w:rPr>
      </w:pP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1" w:lineRule="exact"/>
        <w:rPr>
          <w:sz w:val="24"/>
          <w:szCs w:val="24"/>
          <w:color w:val="auto"/>
        </w:rPr>
      </w:pPr>
    </w:p>
    <w:p>
      <w:pPr>
        <w:ind w:left="540" w:right="20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23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type w:val="continuous"/>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information set forth under "Item 2.02. Results Of Operations And Financial Condition," including the Exhibit attached hereto, shall not be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On April 25, 2006, EZCORP, Inc. issued a press release announcing its results of operations and financial condition for the quarter ended March 31, 2006. A copy of the press release is attached hereto as Exhibit 99.1.</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April 25, 2006, issued by EZCORP, Inc.</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EZCORP, INC.</w:t>
      </w:r>
    </w:p>
    <w:p>
      <w:pPr>
        <w:ind w:left="328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25, 2006</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Daniel N. Tonissen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(Signature)</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Senior Vice President, Chief Financial Officer,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 Director</w:t>
      </w:r>
    </w:p>
    <w:p>
      <w:pPr>
        <w:sectPr>
          <w:pgSz w:w="11900" w:h="16838" w:orient="portrait"/>
          <w:cols w:equalWidth="0" w:num="2">
            <w:col w:w="2340" w:space="720"/>
            <w:col w:w="7159"/>
          </w:cols>
          <w:pgMar w:left="240" w:top="514"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April 25, 2006, issued by EZCORP, Inc.</w:t>
      </w:r>
    </w:p>
    <w:p>
      <w:pPr>
        <w:sectPr>
          <w:pgSz w:w="11900" w:h="16838" w:orient="portrait"/>
          <w:cols w:equalWidth="0" w:num="1">
            <w:col w:w="10219"/>
          </w:cols>
          <w:pgMar w:left="240" w:top="514"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EZCORP ANNOUNCES 95% EARNINGS GROWTH</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SECOND FISCAL QUARTER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AUSTIN, TEXAS (APRIL 25, 2006) -- EZCORP, Inc. (Nasdaq/NM: EZPW) announced today results for its second fiscal quarter and six month period, which ended March 31,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quarter ended March 31, 2006, EZCORP's net income increased 95% to</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$7,727,000 ($0.56 per share) compared to $3,969,000 ($0.29 per share) for the quarter ended March 31, 2005. Total revenues for the second fiscal quarter increased 25% to $78,941,000 while operating income improved 97% to $11,540,000. Operating income margins for the quarter, measured as a percent of net revenues, improved approximately eight percentage points to 23%.</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six months ended March 31, 2006, EZCORP's net income increased 62% to $14,483,000 ($1.06 per share) compared to $8,918,000 ($0.66 per share) for the same six month period a year ago. Total revenues grew 24% to $154,711,000 while operating income increased 62% to $21,855,000. Operating income margins for the six months, measured as a percent of net revenue, improved approximately five percentage points to 22%.</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Commenting on these results, President and Chief Executive Officer, Joe Rotunda, stated, "Our results for the second fiscal 2006 quarter were driven by continued strong growth in our payday loan and credit service business and double digit growth in our pawn business. Payday loan and credit service contribution, or fee revenue less bad debt and direct transaction expense, improved 109% to $13.2 million. Payday loan and credit service revenues almost doubled to $15.6 million while bad debt and direct transaction expense measured as a percent of revenue improved four percentage points to 15%."</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Rotunda continued, "Our pawn contribution or pawn net revenues improved 12% in the second quarter as a result of an 18% increase in sales gross profit and a 5% increase in pawn service charges. Higher levels of inventory available for sale during the quarter and higher gold values contributed to this strong pawn performance."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Rotunda concluded, "We expect our third fiscal 2006 quarter's earnings to be in the range of $0.20 to $0.23 per share compared to $0.16 for the fiscal 2005 third quarter. For our 2006 fiscal year, we are raising guidance to $1.60 to $1.65 per share compared to fiscal 2005's $1.09 per share. We expect year over year earnings growth to slow in the second half of our fiscal year compared to the first half primarily due to the earnings drag from the large number of stores anticipated to open in the next two quarters. Based on new</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 of 5</w:t>
      </w:r>
    </w:p>
    <w:p>
      <w:pPr>
        <w:sectPr>
          <w:pgSz w:w="11900" w:h="16838" w:orient="portrait"/>
          <w:cols w:equalWidth="0" w:num="1">
            <w:col w:w="10219"/>
          </w:cols>
          <w:pgMar w:left="240" w:top="339" w:right="1440" w:bottom="1440" w:gutter="0" w:footer="0" w:header="0"/>
        </w:sectPr>
      </w:pPr>
    </w:p>
    <w:bookmarkStart w:id="5" w:name="page6"/>
    <w:bookmarkEnd w:id="5"/>
    <w:p>
      <w:pPr>
        <w:ind w:right="2199"/>
        <w:spacing w:after="0" w:line="236" w:lineRule="auto"/>
        <w:rPr>
          <w:sz w:val="20"/>
          <w:szCs w:val="20"/>
          <w:color w:val="auto"/>
        </w:rPr>
      </w:pPr>
      <w:r>
        <w:rPr>
          <w:rFonts w:ascii="Courier New" w:cs="Courier New" w:eastAsia="Courier New" w:hAnsi="Courier New"/>
          <w:sz w:val="18"/>
          <w:szCs w:val="18"/>
          <w:color w:val="auto"/>
        </w:rPr>
        <w:t>EZMONEY locations in the pipeline, we expect to open 80 to 90 EZMONEY stores over the next two quarters for a total of approximately 115 new stores this fiscal year."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EZCORP is a lender and provider of credit services to individuals who do not have cash resources or access to credit to meet their short-term cash needs. In 281 EZPAWN locations, the Company offers non-recourse loans collateralized by tangible personal property, commonly known as pawn loans. At these locations, the Company also sells merchandise, primarily collateral forfeited from its pawn lending operations, to consumers looking for good value. In 263 EZMONEY locations and 83 EZPAWN locations, the Company offers short-term non-collateralized loans, often referred to as payday loans, or fee based credit services to customers seeking loans.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announcement contains certain forward-looking statements regarding the Company's expected performance for future periods including, but not limited to, new store expansion and expected future earnings. Actual results for these periods may materially differ from these statements. Such forward-looking statements involve risks and uncertainties such as changing market conditions in the overall economy and the industry, consumer demand for the Company's services and merchandise, changes in the regulatory environment, and other factors periodically discussed in the Company's annual, quarterly and other reports filed with the Securities and Exchange Commission.</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You are invited to listen to a conference call discussing these results on April 25, 2006 at 3:30pm Central Time. The conference call can be accessed over the Internet (or replayed at your convenience) at the following address.</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http://www.videonewswire.com/event.asp?id=33261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additional information, contact Dan Tonissen at (512) 314-2289.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5</w:t>
      </w:r>
    </w:p>
    <w:p>
      <w:pPr>
        <w:sectPr>
          <w:pgSz w:w="11900" w:h="16838" w:orient="portrait"/>
          <w:cols w:equalWidth="0" w:num="1">
            <w:col w:w="10219"/>
          </w:cols>
          <w:pgMar w:left="240" w:top="520"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EZCORP,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HIGHLIGHTS OF CONSOLIDATED STATEMENTS OF OPERATIONS (UNAUDITED)</w:t>
      </w:r>
    </w:p>
    <w:p>
      <w:pPr>
        <w:jc w:val="center"/>
        <w:ind w:right="167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739"/>
        <w:spacing w:after="0"/>
        <w:rPr>
          <w:sz w:val="20"/>
          <w:szCs w:val="20"/>
          <w:color w:val="auto"/>
        </w:rPr>
      </w:pPr>
      <w:r>
        <w:rPr>
          <w:rFonts w:ascii="Courier New" w:cs="Courier New" w:eastAsia="Courier New" w:hAnsi="Courier New"/>
          <w:sz w:val="18"/>
          <w:szCs w:val="18"/>
          <w:color w:val="auto"/>
        </w:rPr>
        <w:t>THREE MONTHS ENDED MARCH 31,</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380"/>
        <w:spacing w:after="0"/>
        <w:tabs>
          <w:tab w:leader="none" w:pos="874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w:t>
      </w:r>
    </w:p>
    <w:tbl>
      <w:tblPr>
        <w:tblLayout w:type="fixed"/>
        <w:tblInd w:w="0" w:type="dxa"/>
        <w:tblCellMar>
          <w:top w:w="0" w:type="dxa"/>
          <w:left w:w="0" w:type="dxa"/>
          <w:bottom w:w="0" w:type="dxa"/>
          <w:right w:w="0" w:type="dxa"/>
        </w:tblCellMar>
      </w:tblP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Merchandise sales</w:t>
            </w:r>
          </w:p>
        </w:tc>
        <w:tc>
          <w:tcPr>
            <w:tcW w:w="3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$ 39,036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$ 33,293</w:t>
            </w:r>
          </w:p>
        </w:tc>
      </w:t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Jewelry scrapping sales</w:t>
            </w:r>
          </w:p>
        </w:tc>
        <w:tc>
          <w:tcPr>
            <w:tcW w:w="3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8,569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6,966</w:t>
            </w:r>
          </w:p>
        </w:tc>
      </w:t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4</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Pawn service charges</w:t>
            </w:r>
          </w:p>
        </w:tc>
        <w:tc>
          <w:tcPr>
            <w:tcW w:w="3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15,453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14,682</w:t>
            </w:r>
          </w:p>
        </w:tc>
      </w:t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5</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Payday loan service charges</w:t>
            </w:r>
          </w:p>
        </w:tc>
        <w:tc>
          <w:tcPr>
            <w:tcW w:w="3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7,828</w:t>
            </w:r>
          </w:p>
        </w:tc>
      </w:t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6</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Credit service fees</w:t>
            </w:r>
          </w:p>
        </w:tc>
        <w:tc>
          <w:tcPr>
            <w:tcW w:w="3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14,451</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w:t>
            </w:r>
          </w:p>
        </w:tc>
        <w:tc>
          <w:tcPr>
            <w:tcW w:w="4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Other</w:t>
            </w:r>
          </w:p>
        </w:tc>
        <w:tc>
          <w:tcPr>
            <w:tcW w:w="3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329</w:t>
            </w:r>
          </w:p>
        </w:tc>
      </w:tr>
      <w:tr>
        <w:trPr>
          <w:trHeight w:val="203"/>
        </w:trPr>
        <w:tc>
          <w:tcPr>
            <w:tcW w:w="3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8</w:t>
            </w:r>
          </w:p>
        </w:tc>
        <w:tc>
          <w:tcPr>
            <w:tcW w:w="4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Total revenues</w:t>
            </w:r>
          </w:p>
        </w:tc>
        <w:tc>
          <w:tcPr>
            <w:tcW w:w="3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78,941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63,098</w:t>
            </w:r>
          </w:p>
        </w:tc>
      </w:tr>
    </w:tbl>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goods sold:</w:t>
      </w:r>
    </w:p>
    <w:tbl>
      <w:tblPr>
        <w:tblLayout w:type="fixed"/>
        <w:tblInd w:w="0" w:type="dxa"/>
        <w:tblCellMar>
          <w:top w:w="0" w:type="dxa"/>
          <w:left w:w="0" w:type="dxa"/>
          <w:bottom w:w="0" w:type="dxa"/>
          <w:right w:w="0" w:type="dxa"/>
        </w:tblCellMar>
      </w:tblPr>
      <w:tr>
        <w:trPr>
          <w:trHeight w:val="203"/>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10</w:t>
            </w:r>
          </w:p>
        </w:tc>
        <w:tc>
          <w:tcPr>
            <w:tcW w:w="6000" w:type="dxa"/>
            <w:vAlign w:val="bottom"/>
          </w:tcPr>
          <w:p>
            <w:pPr>
              <w:ind w:left="260"/>
              <w:spacing w:after="0"/>
              <w:rPr>
                <w:sz w:val="20"/>
                <w:szCs w:val="20"/>
                <w:color w:val="auto"/>
              </w:rPr>
            </w:pPr>
            <w:r>
              <w:rPr>
                <w:rFonts w:ascii="Courier New" w:cs="Courier New" w:eastAsia="Courier New" w:hAnsi="Courier New"/>
                <w:sz w:val="18"/>
                <w:szCs w:val="18"/>
                <w:color w:val="auto"/>
              </w:rPr>
              <w:t>Cost of merchandise sales</w:t>
            </w:r>
          </w:p>
        </w:tc>
        <w:tc>
          <w:tcPr>
            <w:tcW w:w="940" w:type="dxa"/>
            <w:vAlign w:val="bottom"/>
          </w:tcPr>
          <w:p>
            <w:pPr>
              <w:spacing w:after="0"/>
              <w:rPr>
                <w:sz w:val="17"/>
                <w:szCs w:val="17"/>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22,775</w:t>
            </w:r>
          </w:p>
        </w:tc>
        <w:tc>
          <w:tcPr>
            <w:tcW w:w="320" w:type="dxa"/>
            <w:vAlign w:val="bottom"/>
          </w:tcPr>
          <w:p>
            <w:pPr>
              <w:spacing w:after="0"/>
              <w:rPr>
                <w:sz w:val="17"/>
                <w:szCs w:val="17"/>
                <w:color w:val="auto"/>
              </w:rPr>
            </w:pP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18,961</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11</w:t>
            </w:r>
          </w:p>
        </w:tc>
        <w:tc>
          <w:tcPr>
            <w:tcW w:w="6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Cost of jewelry scrapping sales</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5,562</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4,940</w:t>
            </w:r>
          </w:p>
        </w:tc>
      </w:tr>
      <w:tr>
        <w:trPr>
          <w:trHeight w:val="203"/>
        </w:trPr>
        <w:tc>
          <w:tcPr>
            <w:tcW w:w="3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w:t>
            </w:r>
          </w:p>
        </w:tc>
        <w:tc>
          <w:tcPr>
            <w:tcW w:w="6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Total cost of goods sold</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28,337</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23,901</w:t>
            </w:r>
          </w:p>
        </w:tc>
      </w:tr>
      <w:tr>
        <w:trPr>
          <w:trHeight w:val="203"/>
        </w:trPr>
        <w:tc>
          <w:tcPr>
            <w:tcW w:w="3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Net revenues</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50,604</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39,197</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14</w:t>
            </w:r>
          </w:p>
        </w:tc>
        <w:tc>
          <w:tcPr>
            <w:tcW w:w="6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15</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Operations expense</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27,908</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23,988</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16</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Payday loan bad debt and direct transaction expenses</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1,495</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Credit service bad debt and direct transaction expenses</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1,935</w:t>
            </w:r>
          </w:p>
        </w:tc>
        <w:tc>
          <w:tcPr>
            <w:tcW w:w="32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Administrative expense</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6,695</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5,796</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2,136</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2,071</w:t>
            </w:r>
          </w:p>
        </w:tc>
      </w:tr>
      <w:tr>
        <w:trPr>
          <w:trHeight w:val="203"/>
        </w:trPr>
        <w:tc>
          <w:tcPr>
            <w:tcW w:w="3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w:t>
            </w:r>
          </w:p>
        </w:tc>
        <w:tc>
          <w:tcPr>
            <w:tcW w:w="6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Operating income</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11,540</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5,847</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21</w:t>
            </w:r>
          </w:p>
        </w:tc>
        <w:tc>
          <w:tcPr>
            <w:tcW w:w="6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22</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275</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23</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Equity in net income of unconsolidated affiliate</w:t>
            </w:r>
          </w:p>
        </w:tc>
        <w:tc>
          <w:tcPr>
            <w:tcW w:w="9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(673)</w:t>
            </w:r>
          </w:p>
        </w:tc>
        <w:tc>
          <w:tcPr>
            <w:tcW w:w="32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(636)</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24</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Loss on sale/disposal of assets</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25</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12,149</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6,202</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26</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4,422</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2,233</w:t>
            </w:r>
          </w:p>
        </w:tc>
      </w:tr>
      <w:tr>
        <w:trPr>
          <w:trHeight w:val="203"/>
        </w:trPr>
        <w:tc>
          <w:tcPr>
            <w:tcW w:w="3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27</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Net income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7,727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3,969</w:t>
            </w:r>
          </w:p>
        </w:tc>
      </w:tr>
      <w:tr>
        <w:trPr>
          <w:trHeight w:val="203"/>
        </w:trPr>
        <w:tc>
          <w:tcPr>
            <w:tcW w:w="3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28</w:t>
            </w:r>
          </w:p>
        </w:tc>
        <w:tc>
          <w:tcPr>
            <w:tcW w:w="6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29</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Net income per share, assuming dilution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3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30</w:t>
            </w:r>
          </w:p>
        </w:tc>
        <w:tc>
          <w:tcPr>
            <w:tcW w:w="6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31</w:t>
            </w:r>
          </w:p>
        </w:tc>
        <w:tc>
          <w:tcPr>
            <w:tcW w:w="6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Weighted average shares - assuming dilution</w:t>
            </w:r>
          </w:p>
        </w:tc>
        <w:tc>
          <w:tcPr>
            <w:tcW w:w="94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13,838</w:t>
            </w:r>
          </w:p>
        </w:tc>
        <w:tc>
          <w:tcPr>
            <w:tcW w:w="32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13,755</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5</w:t>
      </w:r>
    </w:p>
    <w:p>
      <w:pPr>
        <w:sectPr>
          <w:pgSz w:w="11900" w:h="16838" w:orient="portrait"/>
          <w:cols w:equalWidth="0" w:num="1">
            <w:col w:w="10219"/>
          </w:cols>
          <w:pgMar w:left="240" w:top="514" w:right="1440" w:bottom="1440" w:gutter="0" w:footer="0" w:header="0"/>
        </w:sectPr>
      </w:pPr>
    </w:p>
    <w:bookmarkStart w:id="7" w:name="page8"/>
    <w:bookmarkEnd w:id="7"/>
    <w:p>
      <w:pPr>
        <w:jc w:val="center"/>
        <w:ind w:right="2000"/>
        <w:spacing w:after="0"/>
        <w:rPr>
          <w:sz w:val="20"/>
          <w:szCs w:val="20"/>
          <w:color w:val="auto"/>
        </w:rPr>
      </w:pPr>
      <w:r>
        <w:rPr>
          <w:rFonts w:ascii="Courier New" w:cs="Courier New" w:eastAsia="Courier New" w:hAnsi="Courier New"/>
          <w:sz w:val="18"/>
          <w:szCs w:val="18"/>
          <w:color w:val="auto"/>
        </w:rPr>
        <w:t>EZCORP, INC.</w:t>
      </w:r>
    </w:p>
    <w:p>
      <w:pPr>
        <w:jc w:val="center"/>
        <w:ind w:right="1900"/>
        <w:spacing w:after="0" w:line="238" w:lineRule="auto"/>
        <w:rPr>
          <w:sz w:val="20"/>
          <w:szCs w:val="20"/>
          <w:color w:val="auto"/>
        </w:rPr>
      </w:pPr>
      <w:r>
        <w:rPr>
          <w:rFonts w:ascii="Courier New" w:cs="Courier New" w:eastAsia="Courier New" w:hAnsi="Courier New"/>
          <w:sz w:val="18"/>
          <w:szCs w:val="18"/>
          <w:color w:val="auto"/>
        </w:rPr>
        <w:t>HIGHLIGHTS OF CONSOLIDATED STATEMENTS OF OPERATIONS (UNAUDITED)</w:t>
      </w:r>
    </w:p>
    <w:p>
      <w:pPr>
        <w:jc w:val="center"/>
        <w:ind w:right="190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SIX MONTHS ENDED MARCH 31,</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180"/>
        <w:spacing w:after="0"/>
        <w:tabs>
          <w:tab w:leader="none" w:pos="884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w:t>
      </w:r>
    </w:p>
    <w:tbl>
      <w:tblPr>
        <w:tblLayout w:type="fixed"/>
        <w:tblInd w:w="0" w:type="dxa"/>
        <w:tblCellMar>
          <w:top w:w="0" w:type="dxa"/>
          <w:left w:w="0" w:type="dxa"/>
          <w:bottom w:w="0" w:type="dxa"/>
          <w:right w:w="0" w:type="dxa"/>
        </w:tblCellMar>
      </w:tblPr>
      <w:tr>
        <w:trPr>
          <w:trHeight w:val="203"/>
        </w:trPr>
        <w:tc>
          <w:tcPr>
            <w:tcW w:w="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w:t>
            </w:r>
          </w:p>
        </w:tc>
        <w:tc>
          <w:tcPr>
            <w:tcW w:w="4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Merchandise sales</w:t>
            </w:r>
          </w:p>
        </w:tc>
        <w:tc>
          <w:tcPr>
            <w:tcW w:w="3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74,692</w:t>
            </w:r>
          </w:p>
        </w:tc>
        <w:tc>
          <w:tcPr>
            <w:tcW w:w="22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65,311</w:t>
            </w:r>
          </w:p>
        </w:tc>
      </w:tr>
      <w:tr>
        <w:trPr>
          <w:trHeight w:val="203"/>
        </w:trPr>
        <w:tc>
          <w:tcPr>
            <w:tcW w:w="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3</w:t>
            </w:r>
          </w:p>
        </w:tc>
        <w:tc>
          <w:tcPr>
            <w:tcW w:w="4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Jewelry scrapping sales</w:t>
            </w:r>
          </w:p>
        </w:tc>
        <w:tc>
          <w:tcPr>
            <w:tcW w:w="3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15,266</w:t>
            </w:r>
          </w:p>
        </w:tc>
        <w:tc>
          <w:tcPr>
            <w:tcW w:w="22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11,272</w:t>
            </w:r>
          </w:p>
        </w:tc>
      </w:tr>
      <w:tr>
        <w:trPr>
          <w:trHeight w:val="203"/>
        </w:trPr>
        <w:tc>
          <w:tcPr>
            <w:tcW w:w="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4</w:t>
            </w:r>
          </w:p>
        </w:tc>
        <w:tc>
          <w:tcPr>
            <w:tcW w:w="4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Pawn service charges</w:t>
            </w:r>
          </w:p>
        </w:tc>
        <w:tc>
          <w:tcPr>
            <w:tcW w:w="3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31,967</w:t>
            </w:r>
          </w:p>
        </w:tc>
        <w:tc>
          <w:tcPr>
            <w:tcW w:w="22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31,351</w:t>
            </w:r>
          </w:p>
        </w:tc>
      </w:tr>
      <w:tr>
        <w:trPr>
          <w:trHeight w:val="203"/>
        </w:trPr>
        <w:tc>
          <w:tcPr>
            <w:tcW w:w="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w:t>
            </w:r>
          </w:p>
        </w:tc>
        <w:tc>
          <w:tcPr>
            <w:tcW w:w="4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Payday loan service charges</w:t>
            </w:r>
          </w:p>
        </w:tc>
        <w:tc>
          <w:tcPr>
            <w:tcW w:w="3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2,255</w:t>
            </w:r>
          </w:p>
        </w:tc>
        <w:tc>
          <w:tcPr>
            <w:tcW w:w="22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16,118</w:t>
            </w:r>
          </w:p>
        </w:tc>
      </w:tr>
      <w:tr>
        <w:trPr>
          <w:trHeight w:val="203"/>
        </w:trPr>
        <w:tc>
          <w:tcPr>
            <w:tcW w:w="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6</w:t>
            </w:r>
          </w:p>
        </w:tc>
        <w:tc>
          <w:tcPr>
            <w:tcW w:w="4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Credit service fees</w:t>
            </w:r>
          </w:p>
        </w:tc>
        <w:tc>
          <w:tcPr>
            <w:tcW w:w="3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29,873</w:t>
            </w:r>
          </w:p>
        </w:tc>
        <w:tc>
          <w:tcPr>
            <w:tcW w:w="22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7</w:t>
            </w:r>
          </w:p>
        </w:tc>
        <w:tc>
          <w:tcPr>
            <w:tcW w:w="4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Other</w:t>
            </w:r>
          </w:p>
        </w:tc>
        <w:tc>
          <w:tcPr>
            <w:tcW w:w="3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658</w:t>
            </w:r>
          </w:p>
        </w:tc>
        <w:tc>
          <w:tcPr>
            <w:tcW w:w="22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674</w:t>
            </w:r>
          </w:p>
        </w:tc>
      </w:tr>
      <w:tr>
        <w:trPr>
          <w:trHeight w:val="203"/>
        </w:trPr>
        <w:tc>
          <w:tcPr>
            <w:tcW w:w="4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5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8</w:t>
            </w:r>
          </w:p>
        </w:tc>
        <w:tc>
          <w:tcPr>
            <w:tcW w:w="4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Total revenues</w:t>
            </w:r>
          </w:p>
        </w:tc>
        <w:tc>
          <w:tcPr>
            <w:tcW w:w="3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154,711</w:t>
            </w:r>
          </w:p>
        </w:tc>
        <w:tc>
          <w:tcPr>
            <w:tcW w:w="22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124,726</w:t>
            </w:r>
          </w:p>
        </w:tc>
      </w:tr>
    </w:tbl>
    <w:p>
      <w:pPr>
        <w:ind w:left="640"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goods sold:</w:t>
      </w:r>
    </w:p>
    <w:tbl>
      <w:tblPr>
        <w:tblLayout w:type="fixed"/>
        <w:tblInd w:w="0" w:type="dxa"/>
        <w:tblCellMar>
          <w:top w:w="0" w:type="dxa"/>
          <w:left w:w="0" w:type="dxa"/>
          <w:bottom w:w="0" w:type="dxa"/>
          <w:right w:w="0" w:type="dxa"/>
        </w:tblCellMar>
      </w:tblPr>
      <w:tr>
        <w:trPr>
          <w:trHeight w:val="203"/>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10</w:t>
            </w:r>
          </w:p>
        </w:tc>
        <w:tc>
          <w:tcPr>
            <w:tcW w:w="6280" w:type="dxa"/>
            <w:vAlign w:val="bottom"/>
          </w:tcPr>
          <w:p>
            <w:pPr>
              <w:ind w:left="440"/>
              <w:spacing w:after="0"/>
              <w:rPr>
                <w:sz w:val="20"/>
                <w:szCs w:val="20"/>
                <w:color w:val="auto"/>
              </w:rPr>
            </w:pPr>
            <w:r>
              <w:rPr>
                <w:rFonts w:ascii="Courier New" w:cs="Courier New" w:eastAsia="Courier New" w:hAnsi="Courier New"/>
                <w:sz w:val="18"/>
                <w:szCs w:val="18"/>
                <w:color w:val="auto"/>
              </w:rPr>
              <w:t>Cost of merchandise sales</w:t>
            </w:r>
          </w:p>
        </w:tc>
        <w:tc>
          <w:tcPr>
            <w:tcW w:w="420" w:type="dxa"/>
            <w:vAlign w:val="bottom"/>
          </w:tcPr>
          <w:p>
            <w:pPr>
              <w:spacing w:after="0"/>
              <w:rPr>
                <w:sz w:val="17"/>
                <w:szCs w:val="17"/>
                <w:color w:val="auto"/>
              </w:rPr>
            </w:pP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43,547</w:t>
            </w:r>
          </w:p>
        </w:tc>
        <w:tc>
          <w:tcPr>
            <w:tcW w:w="480" w:type="dxa"/>
            <w:vAlign w:val="bottom"/>
          </w:tcPr>
          <w:p>
            <w:pPr>
              <w:spacing w:after="0"/>
              <w:rPr>
                <w:sz w:val="17"/>
                <w:szCs w:val="17"/>
                <w:color w:val="auto"/>
              </w:rPr>
            </w:pPr>
          </w:p>
        </w:tc>
        <w:tc>
          <w:tcPr>
            <w:tcW w:w="16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37,741</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11</w:t>
            </w:r>
          </w:p>
        </w:tc>
        <w:tc>
          <w:tcPr>
            <w:tcW w:w="62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Cost of jewelry scrapping sales</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10,451</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8,073</w:t>
            </w:r>
          </w:p>
        </w:tc>
      </w:tr>
      <w:tr>
        <w:trPr>
          <w:trHeight w:val="203"/>
        </w:trPr>
        <w:tc>
          <w:tcPr>
            <w:tcW w:w="420" w:type="dxa"/>
            <w:vAlign w:val="bottom"/>
          </w:tcPr>
          <w:p>
            <w:pPr>
              <w:spacing w:after="0"/>
              <w:rPr>
                <w:sz w:val="17"/>
                <w:szCs w:val="17"/>
                <w:color w:val="auto"/>
              </w:rPr>
            </w:pPr>
          </w:p>
        </w:tc>
        <w:tc>
          <w:tcPr>
            <w:tcW w:w="100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12</w:t>
            </w:r>
          </w:p>
        </w:tc>
        <w:tc>
          <w:tcPr>
            <w:tcW w:w="6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cost of goods sold</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53,998</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45,814</w:t>
            </w:r>
          </w:p>
        </w:tc>
      </w:tr>
      <w:tr>
        <w:trPr>
          <w:trHeight w:val="203"/>
        </w:trPr>
        <w:tc>
          <w:tcPr>
            <w:tcW w:w="420" w:type="dxa"/>
            <w:vAlign w:val="bottom"/>
          </w:tcPr>
          <w:p>
            <w:pPr>
              <w:spacing w:after="0"/>
              <w:rPr>
                <w:sz w:val="17"/>
                <w:szCs w:val="17"/>
                <w:color w:val="auto"/>
              </w:rPr>
            </w:pPr>
          </w:p>
        </w:tc>
        <w:tc>
          <w:tcPr>
            <w:tcW w:w="100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13</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revenues</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100,713</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78,912</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14</w:t>
            </w:r>
          </w:p>
        </w:tc>
        <w:tc>
          <w:tcPr>
            <w:tcW w:w="6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15</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 expense</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54,221</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46,691</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16</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Payday loan bad debt and direct transaction expenses</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1,122</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3,104</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17</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service bad debt and direct transaction expenses</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5,739</w:t>
            </w:r>
          </w:p>
        </w:tc>
        <w:tc>
          <w:tcPr>
            <w:tcW w:w="480" w:type="dxa"/>
            <w:vAlign w:val="bottom"/>
          </w:tcPr>
          <w:p>
            <w:pPr>
              <w:spacing w:after="0"/>
              <w:rPr>
                <w:sz w:val="17"/>
                <w:szCs w:val="17"/>
                <w:color w:val="auto"/>
              </w:rPr>
            </w:pPr>
          </w:p>
        </w:tc>
        <w:tc>
          <w:tcPr>
            <w:tcW w:w="1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18</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expense</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13,517</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11,663</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19</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4,259</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3,958</w:t>
            </w:r>
          </w:p>
        </w:tc>
      </w:tr>
      <w:tr>
        <w:trPr>
          <w:trHeight w:val="203"/>
        </w:trPr>
        <w:tc>
          <w:tcPr>
            <w:tcW w:w="420" w:type="dxa"/>
            <w:vAlign w:val="bottom"/>
          </w:tcPr>
          <w:p>
            <w:pPr>
              <w:spacing w:after="0"/>
              <w:rPr>
                <w:sz w:val="17"/>
                <w:szCs w:val="17"/>
                <w:color w:val="auto"/>
              </w:rPr>
            </w:pPr>
          </w:p>
        </w:tc>
        <w:tc>
          <w:tcPr>
            <w:tcW w:w="100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20</w:t>
            </w:r>
          </w:p>
        </w:tc>
        <w:tc>
          <w:tcPr>
            <w:tcW w:w="6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21,855</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13,496</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21</w:t>
            </w:r>
          </w:p>
        </w:tc>
        <w:tc>
          <w:tcPr>
            <w:tcW w:w="6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22</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263</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614</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23</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net income of unconsolidated affiliate</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(1,188)</w:t>
            </w:r>
          </w:p>
        </w:tc>
        <w:tc>
          <w:tcPr>
            <w:tcW w:w="480" w:type="dxa"/>
            <w:vAlign w:val="bottom"/>
          </w:tcPr>
          <w:p>
            <w:pPr>
              <w:spacing w:after="0"/>
              <w:rPr>
                <w:sz w:val="17"/>
                <w:szCs w:val="17"/>
                <w:color w:val="auto"/>
              </w:rPr>
            </w:pP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(1,096)</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24</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on sale/disposal of assets</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420" w:type="dxa"/>
            <w:vAlign w:val="bottom"/>
          </w:tcPr>
          <w:p>
            <w:pPr>
              <w:spacing w:after="0"/>
              <w:rPr>
                <w:sz w:val="17"/>
                <w:szCs w:val="17"/>
                <w:color w:val="auto"/>
              </w:rPr>
            </w:pPr>
          </w:p>
        </w:tc>
        <w:tc>
          <w:tcPr>
            <w:tcW w:w="100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25</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22,772</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13,935</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26</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8,289</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5,017</w:t>
            </w:r>
          </w:p>
        </w:tc>
      </w:tr>
      <w:tr>
        <w:trPr>
          <w:trHeight w:val="203"/>
        </w:trPr>
        <w:tc>
          <w:tcPr>
            <w:tcW w:w="420" w:type="dxa"/>
            <w:vAlign w:val="bottom"/>
          </w:tcPr>
          <w:p>
            <w:pPr>
              <w:spacing w:after="0"/>
              <w:rPr>
                <w:sz w:val="17"/>
                <w:szCs w:val="17"/>
                <w:color w:val="auto"/>
              </w:rPr>
            </w:pPr>
          </w:p>
        </w:tc>
        <w:tc>
          <w:tcPr>
            <w:tcW w:w="100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27</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14,483</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8,918</w:t>
            </w:r>
          </w:p>
        </w:tc>
      </w:tr>
      <w:tr>
        <w:trPr>
          <w:trHeight w:val="203"/>
        </w:trPr>
        <w:tc>
          <w:tcPr>
            <w:tcW w:w="420" w:type="dxa"/>
            <w:vAlign w:val="bottom"/>
          </w:tcPr>
          <w:p>
            <w:pPr>
              <w:spacing w:after="0"/>
              <w:rPr>
                <w:sz w:val="17"/>
                <w:szCs w:val="17"/>
                <w:color w:val="auto"/>
              </w:rPr>
            </w:pPr>
          </w:p>
        </w:tc>
        <w:tc>
          <w:tcPr>
            <w:tcW w:w="100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28</w:t>
            </w:r>
          </w:p>
        </w:tc>
        <w:tc>
          <w:tcPr>
            <w:tcW w:w="6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00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29</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per share, assuming dilution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1.06</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0.66</w:t>
            </w:r>
          </w:p>
        </w:tc>
      </w:tr>
      <w:tr>
        <w:trPr>
          <w:trHeight w:val="203"/>
        </w:trPr>
        <w:tc>
          <w:tcPr>
            <w:tcW w:w="420" w:type="dxa"/>
            <w:vAlign w:val="bottom"/>
          </w:tcPr>
          <w:p>
            <w:pPr>
              <w:spacing w:after="0"/>
              <w:rPr>
                <w:sz w:val="17"/>
                <w:szCs w:val="17"/>
                <w:color w:val="auto"/>
              </w:rPr>
            </w:pPr>
          </w:p>
        </w:tc>
        <w:tc>
          <w:tcPr>
            <w:tcW w:w="100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30</w:t>
            </w:r>
          </w:p>
        </w:tc>
        <w:tc>
          <w:tcPr>
            <w:tcW w:w="6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31</w:t>
            </w:r>
          </w:p>
        </w:tc>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shares - assuming dilution</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13,646</w:t>
            </w:r>
          </w:p>
        </w:tc>
        <w:tc>
          <w:tcPr>
            <w:tcW w:w="480" w:type="dxa"/>
            <w:vAlign w:val="bottom"/>
          </w:tcPr>
          <w:p>
            <w:pPr>
              <w:spacing w:after="0"/>
              <w:rPr>
                <w:sz w:val="17"/>
                <w:szCs w:val="17"/>
                <w:color w:val="auto"/>
              </w:rPr>
            </w:pPr>
          </w:p>
        </w:tc>
        <w:tc>
          <w:tcPr>
            <w:tcW w:w="1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13,542</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5</w:t>
      </w:r>
    </w:p>
    <w:p>
      <w:pPr>
        <w:sectPr>
          <w:pgSz w:w="11900" w:h="16838" w:orient="portrait"/>
          <w:cols w:equalWidth="0" w:num="1">
            <w:col w:w="10440"/>
          </w:cols>
          <w:pgMar w:left="240" w:top="514" w:right="1219"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EZCORP, INC.</w:t>
      </w:r>
    </w:p>
    <w:p>
      <w:pPr>
        <w:ind w:left="1480"/>
        <w:spacing w:after="0" w:line="238" w:lineRule="auto"/>
        <w:rPr>
          <w:sz w:val="20"/>
          <w:szCs w:val="20"/>
          <w:color w:val="auto"/>
        </w:rPr>
      </w:pPr>
      <w:r>
        <w:rPr>
          <w:rFonts w:ascii="Courier New" w:cs="Courier New" w:eastAsia="Courier New" w:hAnsi="Courier New"/>
          <w:sz w:val="18"/>
          <w:szCs w:val="18"/>
          <w:color w:val="auto"/>
        </w:rPr>
        <w:t>HIGHLIGHTS OF CONSOLIDATED BALANCE SHEETS (UNAUDITED)</w:t>
      </w:r>
    </w:p>
    <w:p>
      <w:pPr>
        <w:ind w:left="1380"/>
        <w:spacing w:after="0"/>
        <w:rPr>
          <w:sz w:val="20"/>
          <w:szCs w:val="20"/>
          <w:color w:val="auto"/>
        </w:rPr>
      </w:pPr>
      <w:r>
        <w:rPr>
          <w:rFonts w:ascii="Courier New" w:cs="Courier New" w:eastAsia="Courier New" w:hAnsi="Courier New"/>
          <w:sz w:val="18"/>
          <w:szCs w:val="18"/>
          <w:color w:val="auto"/>
        </w:rPr>
        <w:t>(in thousands, except per share data and store counts)</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AS OF MARCH 31,</w:t>
      </w:r>
    </w:p>
    <w:p>
      <w:pPr>
        <w:ind w:left="7060"/>
        <w:spacing w:after="0" w:line="238" w:lineRule="auto"/>
        <w:tabs>
          <w:tab w:leader="none" w:pos="862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p>
    <w:p>
      <w:pPr>
        <w:spacing w:after="0" w:line="5"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740" w:hanging="627"/>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960" w:hanging="847"/>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assets:</w:t>
      </w:r>
    </w:p>
    <w:tbl>
      <w:tblPr>
        <w:tblLayout w:type="fixed"/>
        <w:tblInd w:w="0" w:type="dxa"/>
        <w:tblCellMar>
          <w:top w:w="0" w:type="dxa"/>
          <w:left w:w="0" w:type="dxa"/>
          <w:bottom w:w="0" w:type="dxa"/>
          <w:right w:w="0" w:type="dxa"/>
        </w:tblCellMar>
      </w:tblPr>
      <w:tr>
        <w:trPr>
          <w:trHeight w:val="203"/>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w:t>
            </w:r>
          </w:p>
        </w:tc>
        <w:tc>
          <w:tcPr>
            <w:tcW w:w="5640" w:type="dxa"/>
            <w:vAlign w:val="bottom"/>
          </w:tcPr>
          <w:p>
            <w:pPr>
              <w:ind w:left="680"/>
              <w:spacing w:after="0"/>
              <w:rPr>
                <w:sz w:val="20"/>
                <w:szCs w:val="20"/>
                <w:color w:val="auto"/>
              </w:rPr>
            </w:pPr>
            <w:r>
              <w:rPr>
                <w:rFonts w:ascii="Courier New" w:cs="Courier New" w:eastAsia="Courier New" w:hAnsi="Courier New"/>
                <w:sz w:val="18"/>
                <w:szCs w:val="18"/>
                <w:color w:val="auto"/>
              </w:rPr>
              <w:t>Cash and cash equivalents</w:t>
            </w:r>
          </w:p>
        </w:tc>
        <w:tc>
          <w:tcPr>
            <w:tcW w:w="2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$ 26,041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1,405</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5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Pawn loans</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39,044</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40,081</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5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Payday loans, net</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1,507</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7,711</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5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Pawn service charges receivable, net</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6,598</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7,720</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5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Payday loan service charges receivable, net</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1,573</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5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Credit service fees receivable, net</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2,663</w:t>
            </w:r>
          </w:p>
        </w:tc>
        <w:tc>
          <w:tcPr>
            <w:tcW w:w="3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5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Inventory, net</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30,764</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26,967</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w:t>
            </w:r>
          </w:p>
        </w:tc>
        <w:tc>
          <w:tcPr>
            <w:tcW w:w="5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Deferred tax asset</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10,629</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9,711</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11</w:t>
            </w:r>
          </w:p>
        </w:tc>
        <w:tc>
          <w:tcPr>
            <w:tcW w:w="5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4,014</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5,418</w:t>
            </w:r>
          </w:p>
        </w:tc>
      </w:tr>
      <w:tr>
        <w:trPr>
          <w:trHeight w:val="203"/>
        </w:trPr>
        <w:tc>
          <w:tcPr>
            <w:tcW w:w="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12</w:t>
            </w:r>
          </w:p>
        </w:tc>
        <w:tc>
          <w:tcPr>
            <w:tcW w:w="5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121,510</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100,586</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13</w:t>
            </w:r>
          </w:p>
        </w:tc>
        <w:tc>
          <w:tcPr>
            <w:tcW w:w="5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Investment in unconsolidated affiliate</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17,614</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17,094</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14</w:t>
            </w:r>
          </w:p>
        </w:tc>
        <w:tc>
          <w:tcPr>
            <w:tcW w:w="5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27,124</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26,132</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15</w:t>
            </w:r>
          </w:p>
        </w:tc>
        <w:tc>
          <w:tcPr>
            <w:tcW w:w="5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Deferred tax asset, non-current</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4,012</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4,946</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16</w:t>
            </w:r>
          </w:p>
        </w:tc>
        <w:tc>
          <w:tcPr>
            <w:tcW w:w="5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Other assets, net</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3,471</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3,914</w:t>
            </w:r>
          </w:p>
        </w:tc>
      </w:tr>
      <w:tr>
        <w:trPr>
          <w:trHeight w:val="203"/>
        </w:trPr>
        <w:tc>
          <w:tcPr>
            <w:tcW w:w="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17</w:t>
            </w:r>
          </w:p>
        </w:tc>
        <w:tc>
          <w:tcPr>
            <w:tcW w:w="5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Total assets</w:t>
            </w:r>
          </w:p>
        </w:tc>
        <w:tc>
          <w:tcPr>
            <w:tcW w:w="2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$173,731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152,672</w:t>
            </w:r>
          </w:p>
        </w:tc>
      </w:tr>
      <w:tr>
        <w:trPr>
          <w:trHeight w:val="203"/>
        </w:trPr>
        <w:tc>
          <w:tcPr>
            <w:tcW w:w="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740" w:hanging="732"/>
        <w:spacing w:after="0" w:line="238"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and stockholders' equity:</w:t>
      </w:r>
    </w:p>
    <w:p>
      <w:pPr>
        <w:ind w:left="960" w:hanging="952"/>
        <w:spacing w:after="0" w:line="238"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liabilities:</w:t>
      </w:r>
    </w:p>
    <w:tbl>
      <w:tblPr>
        <w:tblLayout w:type="fixed"/>
        <w:tblInd w:w="0" w:type="dxa"/>
        <w:tblCellMar>
          <w:top w:w="0" w:type="dxa"/>
          <w:left w:w="0" w:type="dxa"/>
          <w:bottom w:w="0" w:type="dxa"/>
          <w:right w:w="0" w:type="dxa"/>
        </w:tblCellMar>
      </w:tblPr>
      <w:tr>
        <w:trPr>
          <w:trHeight w:val="203"/>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20</w:t>
            </w:r>
          </w:p>
        </w:tc>
        <w:tc>
          <w:tcPr>
            <w:tcW w:w="5740" w:type="dxa"/>
            <w:vAlign w:val="bottom"/>
          </w:tcPr>
          <w:p>
            <w:pPr>
              <w:ind w:left="680"/>
              <w:spacing w:after="0"/>
              <w:rPr>
                <w:sz w:val="20"/>
                <w:szCs w:val="20"/>
                <w:color w:val="auto"/>
              </w:rPr>
            </w:pPr>
            <w:r>
              <w:rPr>
                <w:rFonts w:ascii="Courier New" w:cs="Courier New" w:eastAsia="Courier New" w:hAnsi="Courier New"/>
                <w:sz w:val="18"/>
                <w:szCs w:val="18"/>
                <w:color w:val="auto"/>
              </w:rPr>
              <w:t>Accounts payable and other accrued expenses</w:t>
            </w:r>
          </w:p>
        </w:tc>
        <w:tc>
          <w:tcPr>
            <w:tcW w:w="196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$ 16,576</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13,359</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21</w:t>
            </w:r>
          </w:p>
        </w:tc>
        <w:tc>
          <w:tcPr>
            <w:tcW w:w="5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Customer layaway deposits</w:t>
            </w:r>
          </w:p>
        </w:tc>
        <w:tc>
          <w:tcPr>
            <w:tcW w:w="96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2,147</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1,848</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22</w:t>
            </w:r>
          </w:p>
        </w:tc>
        <w:tc>
          <w:tcPr>
            <w:tcW w:w="5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Federal income taxes payable</w:t>
            </w:r>
          </w:p>
        </w:tc>
        <w:tc>
          <w:tcPr>
            <w:tcW w:w="96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1,035</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271</w:t>
            </w:r>
          </w:p>
        </w:tc>
      </w:tr>
      <w:tr>
        <w:trPr>
          <w:trHeight w:val="203"/>
        </w:trPr>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23</w:t>
            </w:r>
          </w:p>
        </w:tc>
        <w:tc>
          <w:tcPr>
            <w:tcW w:w="5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96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19,758</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15,478</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24</w:t>
            </w:r>
          </w:p>
        </w:tc>
        <w:tc>
          <w:tcPr>
            <w:tcW w:w="5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25</w:t>
            </w:r>
          </w:p>
        </w:tc>
        <w:tc>
          <w:tcPr>
            <w:tcW w:w="5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Long-term debt</w:t>
            </w:r>
          </w:p>
        </w:tc>
        <w:tc>
          <w:tcPr>
            <w:tcW w:w="96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6,825</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26</w:t>
            </w:r>
          </w:p>
        </w:tc>
        <w:tc>
          <w:tcPr>
            <w:tcW w:w="5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Deferred gains and other long-term liabilities</w:t>
            </w:r>
          </w:p>
        </w:tc>
        <w:tc>
          <w:tcPr>
            <w:tcW w:w="96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3,430</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3,778</w:t>
            </w:r>
          </w:p>
        </w:tc>
      </w:tr>
      <w:tr>
        <w:trPr>
          <w:trHeight w:val="203"/>
        </w:trPr>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5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Total long-term liabilities</w:t>
            </w:r>
          </w:p>
        </w:tc>
        <w:tc>
          <w:tcPr>
            <w:tcW w:w="96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3,430</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10,603</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27</w:t>
            </w:r>
          </w:p>
        </w:tc>
        <w:tc>
          <w:tcPr>
            <w:tcW w:w="5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28</w:t>
            </w:r>
          </w:p>
        </w:tc>
        <w:tc>
          <w:tcPr>
            <w:tcW w:w="5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96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150,543</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126,591</w:t>
            </w:r>
          </w:p>
        </w:tc>
      </w:tr>
      <w:tr>
        <w:trPr>
          <w:trHeight w:val="203"/>
        </w:trPr>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29</w:t>
            </w:r>
          </w:p>
        </w:tc>
        <w:tc>
          <w:tcPr>
            <w:tcW w:w="5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96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$173,731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152,672</w:t>
            </w:r>
          </w:p>
        </w:tc>
      </w:tr>
      <w:tr>
        <w:trPr>
          <w:trHeight w:val="203"/>
        </w:trPr>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30</w:t>
            </w:r>
          </w:p>
        </w:tc>
        <w:tc>
          <w:tcPr>
            <w:tcW w:w="5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31</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Pawn loan balance per ending pawn store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32</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Inventory per ending pawn store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33</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Book value per share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11.41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10.19</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34</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Tangible book value per share</w:t>
            </w:r>
          </w:p>
        </w:tc>
        <w:tc>
          <w:tcPr>
            <w:tcW w:w="96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11.21</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9.99</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35</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Pawn store count - end of period</w:t>
            </w:r>
          </w:p>
        </w:tc>
        <w:tc>
          <w:tcPr>
            <w:tcW w:w="96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281</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36</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Mono-line payday loan store count - end of period</w:t>
            </w:r>
          </w:p>
        </w:tc>
        <w:tc>
          <w:tcPr>
            <w:tcW w:w="96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263</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37</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outstanding - end of period</w:t>
            </w:r>
          </w:p>
        </w:tc>
        <w:tc>
          <w:tcPr>
            <w:tcW w:w="96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13,190</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12,428</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2"/>
      <w:numFmt w:val="bullet"/>
      <w:start w:val="1"/>
    </w:lvl>
  </w:abstractNum>
  <w:abstractNum w:abstractNumId="10">
    <w:nsid w:val="1F16E9E8"/>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2020-02-08T20:01:27Z</dcterms:created>
  <dcterms:modified xsi:type="dcterms:W3CDTF">2020-02-08T20:01:27Z</dcterms:modified>
</cp:coreProperties>
</file>