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40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40829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Swies Nicole</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RD, BLDG. 1, SUITE 200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38"/>
        <w:spacing w:after="0"/>
        <w:rPr>
          <w:sz w:val="20"/>
          <w:szCs w:val="20"/>
          <w:color w:val="auto"/>
        </w:rPr>
      </w:pPr>
      <w:r>
        <w:rPr>
          <w:rFonts w:ascii="Times New Roman" w:cs="Times New Roman" w:eastAsia="Times New Roman" w:hAnsi="Times New Roman"/>
          <w:sz w:val="16"/>
          <w:szCs w:val="16"/>
          <w:color w:val="0000FF"/>
        </w:rPr>
        <w:t>Chief Revenue Officer</w:t>
      </w:r>
    </w:p>
    <w:p>
      <w:pPr>
        <w:spacing w:after="0" w:line="313"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7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740" w:type="dxa"/>
            <w:vAlign w:val="bottom"/>
            <w:gridSpan w:val="6"/>
            <w:vMerge w:val="continue"/>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78746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11/19/2025</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60,007</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161,820</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11/19/2025</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22,416</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139,404</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15,310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19.04</w:t>
            </w:r>
            <w:r>
              <w:rPr>
                <w:rFonts w:ascii="Times New Roman" w:cs="Times New Roman" w:eastAsia="Times New Roman" w:hAnsi="Times New Roman"/>
                <w:sz w:val="21"/>
                <w:szCs w:val="21"/>
                <w:color w:val="008000"/>
                <w:vertAlign w:val="superscript"/>
              </w:rPr>
              <w:t>(3)</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11/19/2025</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15,310</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jc w:val="right"/>
              <w:ind w:right="183"/>
              <w:spacing w:after="0" w:line="140" w:lineRule="exact"/>
              <w:rPr>
                <w:sz w:val="20"/>
                <w:szCs w:val="20"/>
                <w:color w:val="auto"/>
              </w:rPr>
            </w:pPr>
            <w:r>
              <w:rPr>
                <w:rFonts w:ascii="Times New Roman" w:cs="Times New Roman" w:eastAsia="Times New Roman" w:hAnsi="Times New Roman"/>
                <w:sz w:val="13"/>
                <w:szCs w:val="13"/>
                <w:color w:val="0000FF"/>
              </w:rPr>
              <w:t>148,009</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60,007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11/19/2025</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60,007</w:t>
            </w: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6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23"/>
              <w:spacing w:after="0" w:line="140" w:lineRule="exact"/>
              <w:rPr>
                <w:sz w:val="20"/>
                <w:szCs w:val="20"/>
                <w:color w:val="auto"/>
              </w:rPr>
            </w:pPr>
            <w:r>
              <w:rPr>
                <w:rFonts w:ascii="Times New Roman" w:cs="Times New Roman" w:eastAsia="Times New Roman" w:hAnsi="Times New Roman"/>
                <w:sz w:val="13"/>
                <w:szCs w:val="13"/>
                <w:color w:val="0000FF"/>
              </w:rPr>
              <w:t>88,002</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0" w:lineRule="exact"/>
        <w:rPr>
          <w:rFonts w:ascii="Times New Roman" w:cs="Times New Roman" w:eastAsia="Times New Roman" w:hAnsi="Times New Roman"/>
          <w:sz w:val="13"/>
          <w:szCs w:val="13"/>
          <w:color w:val="008000"/>
        </w:rPr>
      </w:pPr>
    </w:p>
    <w:p>
      <w:pPr>
        <w:ind w:left="40" w:right="2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following "bonus" units (1) 8,824 attributable to the fiscal 2023 Restricted Stock Unit award earned with achievement of the specified performance goal for fiscal 2023 and vesting on September 30, 2025, subject to continued employment, plus (2) 4,123 attributable to the fiscal 2024 Restricted Stock Unit award earned with achievement of the specified performance goal for fiscal 2024 and vesting on September 30, 2026, subject to continued employment, plus (3) 2,363 attributable to the fiscal 2025 Restricted Stock Unit award earned with achievement of the specified performance goal for fiscal 2025 and vesting on September 30, 2027, subject to continued employment.</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2025. However, no consideration was paid for the award other than services rendered and to be rendered by the Reporting Person.</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19, 2025 after specified performance goals were achieved.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1" w:lineRule="auto"/>
        <w:rPr>
          <w:sz w:val="20"/>
          <w:szCs w:val="20"/>
          <w:color w:val="auto"/>
        </w:rPr>
      </w:pPr>
      <w:r>
        <w:rPr>
          <w:rFonts w:ascii="Times New Roman" w:cs="Times New Roman" w:eastAsia="Times New Roman" w:hAnsi="Times New Roman"/>
          <w:sz w:val="16"/>
          <w:szCs w:val="16"/>
          <w:color w:val="0000FF"/>
        </w:rPr>
        <w:t xml:space="preserve">/s/ Carrie Putnam, by POA from </w:t>
      </w:r>
      <w:r>
        <w:rPr>
          <w:rFonts w:ascii="Times New Roman" w:cs="Times New Roman" w:eastAsia="Times New Roman" w:hAnsi="Times New Roman"/>
          <w:sz w:val="32"/>
          <w:szCs w:val="32"/>
          <w:color w:val="0000FF"/>
          <w:vertAlign w:val="subscript"/>
        </w:rPr>
        <w:t>11/20/2025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Nicole Swies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555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556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4292"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2025-11-20T14:47:59Z</dcterms:created>
  <dcterms:modified xsi:type="dcterms:W3CDTF">2025-11-20T14:47:59Z</dcterms:modified>
</cp:coreProperties>
</file>