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As filed with the Securities and Exchange Commission on February 8, 2017</w:t>
      </w:r>
    </w:p>
    <w:p>
      <w:pPr>
        <w:spacing w:after="0" w:line="139" w:lineRule="exact"/>
        <w:rPr>
          <w:sz w:val="24"/>
          <w:szCs w:val="24"/>
          <w:color w:val="auto"/>
        </w:rPr>
      </w:pPr>
    </w:p>
    <w:p>
      <w:pPr>
        <w:ind w:left="8360"/>
        <w:spacing w:after="0"/>
        <w:rPr>
          <w:sz w:val="20"/>
          <w:szCs w:val="20"/>
          <w:color w:val="auto"/>
        </w:rPr>
      </w:pPr>
      <w:r>
        <w:rPr>
          <w:rFonts w:ascii="Arial" w:cs="Arial" w:eastAsia="Arial" w:hAnsi="Arial"/>
          <w:sz w:val="18"/>
          <w:szCs w:val="18"/>
          <w:color w:val="auto"/>
        </w:rPr>
        <w:t>Registration No. 333-202627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 to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3"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280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600" w:type="dxa"/>
            <w:vAlign w:val="bottom"/>
          </w:tcPr>
          <w:p>
            <w:pPr>
              <w:jc w:val="center"/>
              <w:ind w:left="2"/>
              <w:spacing w:after="0"/>
              <w:rPr>
                <w:sz w:val="20"/>
                <w:szCs w:val="20"/>
                <w:color w:val="auto"/>
              </w:rPr>
            </w:pPr>
            <w:r>
              <w:rPr>
                <w:rFonts w:ascii="Arial" w:cs="Arial" w:eastAsia="Arial" w:hAnsi="Arial"/>
                <w:sz w:val="18"/>
                <w:szCs w:val="18"/>
                <w:b w:val="1"/>
                <w:bCs w:val="1"/>
                <w:color w:val="auto"/>
                <w:w w:val="99"/>
              </w:rPr>
              <w:t>5900</w:t>
            </w:r>
          </w:p>
        </w:tc>
        <w:tc>
          <w:tcPr>
            <w:tcW w:w="3060" w:type="dxa"/>
            <w:vAlign w:val="bottom"/>
          </w:tcPr>
          <w:p>
            <w:pPr>
              <w:jc w:val="right"/>
              <w:ind w:right="559"/>
              <w:spacing w:after="0"/>
              <w:rPr>
                <w:sz w:val="20"/>
                <w:szCs w:val="20"/>
                <w:color w:val="auto"/>
              </w:rPr>
            </w:pPr>
            <w:r>
              <w:rPr>
                <w:rFonts w:ascii="Arial" w:cs="Arial" w:eastAsia="Arial" w:hAnsi="Arial"/>
                <w:sz w:val="18"/>
                <w:szCs w:val="18"/>
                <w:b w:val="1"/>
                <w:bCs w:val="1"/>
                <w:color w:val="auto"/>
              </w:rPr>
              <w:t>74-2540145</w:t>
            </w:r>
          </w:p>
        </w:tc>
      </w:tr>
      <w:tr>
        <w:trPr>
          <w:trHeight w:val="207"/>
        </w:trPr>
        <w:tc>
          <w:tcPr>
            <w:tcW w:w="2800" w:type="dxa"/>
            <w:vAlign w:val="bottom"/>
          </w:tcPr>
          <w:p>
            <w:pPr>
              <w:jc w:val="center"/>
              <w:ind w:right="882"/>
              <w:spacing w:after="0"/>
              <w:rPr>
                <w:sz w:val="20"/>
                <w:szCs w:val="20"/>
                <w:color w:val="auto"/>
              </w:rPr>
            </w:pPr>
            <w:r>
              <w:rPr>
                <w:rFonts w:ascii="Arial" w:cs="Arial" w:eastAsia="Arial" w:hAnsi="Arial"/>
                <w:sz w:val="14"/>
                <w:szCs w:val="14"/>
                <w:color w:val="auto"/>
              </w:rPr>
              <w:t>(State or other jurisdiction of</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(Primary Standard Industrial</w:t>
            </w:r>
          </w:p>
        </w:tc>
        <w:tc>
          <w:tcPr>
            <w:tcW w:w="3060" w:type="dxa"/>
            <w:vAlign w:val="bottom"/>
          </w:tcPr>
          <w:p>
            <w:pPr>
              <w:jc w:val="center"/>
              <w:ind w:left="759"/>
              <w:spacing w:after="0"/>
              <w:rPr>
                <w:sz w:val="20"/>
                <w:szCs w:val="20"/>
                <w:color w:val="auto"/>
              </w:rPr>
            </w:pPr>
            <w:r>
              <w:rPr>
                <w:rFonts w:ascii="Arial" w:cs="Arial" w:eastAsia="Arial" w:hAnsi="Arial"/>
                <w:sz w:val="14"/>
                <w:szCs w:val="14"/>
                <w:color w:val="auto"/>
              </w:rPr>
              <w:t>(I.R.S. Employer Identification No.)</w:t>
            </w:r>
          </w:p>
        </w:tc>
      </w:tr>
      <w:tr>
        <w:trPr>
          <w:trHeight w:val="172"/>
        </w:trPr>
        <w:tc>
          <w:tcPr>
            <w:tcW w:w="2800" w:type="dxa"/>
            <w:vAlign w:val="bottom"/>
          </w:tcPr>
          <w:p>
            <w:pPr>
              <w:jc w:val="center"/>
              <w:ind w:right="862"/>
              <w:spacing w:after="0"/>
              <w:rPr>
                <w:sz w:val="20"/>
                <w:szCs w:val="20"/>
                <w:color w:val="auto"/>
              </w:rPr>
            </w:pPr>
            <w:r>
              <w:rPr>
                <w:rFonts w:ascii="Arial" w:cs="Arial" w:eastAsia="Arial" w:hAnsi="Arial"/>
                <w:sz w:val="14"/>
                <w:szCs w:val="14"/>
                <w:color w:val="auto"/>
              </w:rPr>
              <w:t>incorporation or organization)</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Classification Code Number)</w:t>
            </w:r>
          </w:p>
        </w:tc>
        <w:tc>
          <w:tcPr>
            <w:tcW w:w="3060" w:type="dxa"/>
            <w:vAlign w:val="bottom"/>
          </w:tcPr>
          <w:p>
            <w:pPr>
              <w:spacing w:after="0"/>
              <w:rPr>
                <w:sz w:val="14"/>
                <w:szCs w:val="14"/>
                <w:color w:val="auto"/>
              </w:rPr>
            </w:pP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Ross Avenue, 3700 Trammel Crow Center, 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220-7800</w:t>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22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24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00" w:type="dxa"/>
            <w:vAlign w:val="bottom"/>
          </w:tcPr>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380" w:type="dxa"/>
            <w:vAlign w:val="bottom"/>
            <w:gridSpan w:val="2"/>
          </w:tcPr>
          <w:p>
            <w:pPr>
              <w:spacing w:after="0" w:line="207" w:lineRule="exact"/>
              <w:rPr>
                <w:sz w:val="20"/>
                <w:szCs w:val="20"/>
                <w:color w:val="auto"/>
              </w:rPr>
            </w:pPr>
            <w:r>
              <w:rPr>
                <w:rFonts w:ascii="Arial" w:cs="Arial" w:eastAsia="Arial" w:hAnsi="Arial"/>
                <w:sz w:val="16"/>
                <w:szCs w:val="16"/>
                <w:color w:val="auto"/>
                <w:w w:val="99"/>
              </w:rPr>
              <w:t xml:space="preserve">Accelerated filer </w:t>
            </w:r>
            <w:r>
              <w:rPr>
                <w:rFonts w:ascii="MS PGothic" w:cs="MS PGothic" w:eastAsia="MS PGothic" w:hAnsi="MS PGothic"/>
                <w:sz w:val="18"/>
                <w:szCs w:val="18"/>
                <w:color w:val="auto"/>
                <w:w w:val="99"/>
              </w:rPr>
              <w:t>☒</w:t>
            </w:r>
          </w:p>
        </w:tc>
        <w:tc>
          <w:tcPr>
            <w:tcW w:w="1400" w:type="dxa"/>
            <w:vAlign w:val="bottom"/>
          </w:tcPr>
          <w:p>
            <w:pPr>
              <w:spacing w:after="0"/>
              <w:rPr>
                <w:sz w:val="24"/>
                <w:szCs w:val="24"/>
                <w:color w:val="auto"/>
              </w:rPr>
            </w:pPr>
          </w:p>
        </w:tc>
        <w:tc>
          <w:tcPr>
            <w:tcW w:w="2220" w:type="dxa"/>
            <w:vAlign w:val="bottom"/>
            <w:gridSpan w:val="2"/>
          </w:tcPr>
          <w:p>
            <w:pPr>
              <w:jc w:val="center"/>
              <w:ind w:right="379"/>
              <w:spacing w:after="0" w:line="184" w:lineRule="exact"/>
              <w:rPr>
                <w:sz w:val="20"/>
                <w:szCs w:val="20"/>
                <w:color w:val="auto"/>
              </w:rPr>
            </w:pPr>
            <w:r>
              <w:rPr>
                <w:rFonts w:ascii="Arial" w:cs="Arial" w:eastAsia="Arial" w:hAnsi="Arial"/>
                <w:sz w:val="16"/>
                <w:szCs w:val="16"/>
                <w:color w:val="auto"/>
                <w:w w:val="99"/>
              </w:rPr>
              <w:t xml:space="preserve">Non-accelerated filer </w:t>
            </w:r>
            <w:r>
              <w:rPr>
                <w:rFonts w:ascii="MS PGothic" w:cs="MS PGothic" w:eastAsia="MS PGothic" w:hAnsi="MS PGothic"/>
                <w:sz w:val="16"/>
                <w:szCs w:val="16"/>
                <w:color w:val="auto"/>
                <w:w w:val="99"/>
              </w:rPr>
              <w:t>☐</w:t>
            </w:r>
          </w:p>
        </w:tc>
        <w:tc>
          <w:tcPr>
            <w:tcW w:w="3620" w:type="dxa"/>
            <w:vAlign w:val="bottom"/>
            <w:gridSpan w:val="2"/>
          </w:tcPr>
          <w:p>
            <w:pPr>
              <w:ind w:left="10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1"/>
        </w:trPr>
        <w:tc>
          <w:tcPr>
            <w:tcW w:w="2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4"/>
          </w:tcPr>
          <w:p>
            <w:pPr>
              <w:jc w:val="center"/>
              <w:ind w:right="799"/>
              <w:spacing w:after="0"/>
              <w:rPr>
                <w:sz w:val="20"/>
                <w:szCs w:val="20"/>
                <w:color w:val="auto"/>
              </w:rPr>
            </w:pPr>
            <w:r>
              <w:rPr>
                <w:rFonts w:ascii="Arial" w:cs="Arial" w:eastAsia="Arial" w:hAnsi="Arial"/>
                <w:sz w:val="16"/>
                <w:szCs w:val="16"/>
                <w:color w:val="auto"/>
              </w:rPr>
              <w:t>(Do not check if a smaller reporting company)</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gridSpan w:val="3"/>
          </w:tcPr>
          <w:p>
            <w:pPr>
              <w:ind w:left="20"/>
              <w:spacing w:after="0"/>
              <w:rPr>
                <w:sz w:val="20"/>
                <w:szCs w:val="20"/>
                <w:color w:val="auto"/>
              </w:rPr>
            </w:pPr>
            <w:r>
              <w:rPr>
                <w:rFonts w:ascii="Arial" w:cs="Arial" w:eastAsia="Arial" w:hAnsi="Arial"/>
                <w:sz w:val="16"/>
                <w:szCs w:val="16"/>
                <w:b w:val="1"/>
                <w:bCs w:val="1"/>
                <w:color w:val="auto"/>
              </w:rPr>
              <w:t>CALCULATION OF REGISTRATION FEE</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0" w:type="dxa"/>
            <w:vAlign w:val="bottom"/>
            <w:vMerge w:val="restart"/>
          </w:tcPr>
          <w:p>
            <w:pPr>
              <w:jc w:val="center"/>
              <w:ind w:left="1259"/>
              <w:spacing w:after="0"/>
              <w:rPr>
                <w:sz w:val="20"/>
                <w:szCs w:val="20"/>
                <w:color w:val="auto"/>
              </w:rPr>
            </w:pPr>
            <w:r>
              <w:rPr>
                <w:rFonts w:ascii="Arial" w:cs="Arial" w:eastAsia="Arial" w:hAnsi="Arial"/>
                <w:sz w:val="16"/>
                <w:szCs w:val="16"/>
                <w:color w:val="auto"/>
              </w:rPr>
              <w:t>Title of each class of</w:t>
            </w:r>
          </w:p>
        </w:tc>
        <w:tc>
          <w:tcPr>
            <w:tcW w:w="13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restart"/>
          </w:tcPr>
          <w:p>
            <w:pPr>
              <w:jc w:val="center"/>
              <w:ind w:left="239"/>
              <w:spacing w:after="0"/>
              <w:rPr>
                <w:sz w:val="20"/>
                <w:szCs w:val="20"/>
                <w:color w:val="auto"/>
              </w:rPr>
            </w:pPr>
            <w:r>
              <w:rPr>
                <w:rFonts w:ascii="Arial" w:cs="Arial" w:eastAsia="Arial" w:hAnsi="Arial"/>
                <w:sz w:val="16"/>
                <w:szCs w:val="16"/>
                <w:color w:val="auto"/>
              </w:rPr>
              <w:t>Amount to be</w:t>
            </w:r>
          </w:p>
        </w:tc>
        <w:tc>
          <w:tcPr>
            <w:tcW w:w="4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Proposed 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Proposed maximum</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Amount of</w:t>
            </w:r>
          </w:p>
        </w:tc>
        <w:tc>
          <w:tcPr>
            <w:tcW w:w="0" w:type="dxa"/>
            <w:vAlign w:val="bottom"/>
          </w:tcPr>
          <w:p>
            <w:pPr>
              <w:spacing w:after="0"/>
              <w:rPr>
                <w:sz w:val="1"/>
                <w:szCs w:val="1"/>
                <w:color w:val="auto"/>
              </w:rPr>
            </w:pPr>
          </w:p>
        </w:tc>
      </w:tr>
      <w:tr>
        <w:trPr>
          <w:trHeight w:val="95"/>
        </w:trPr>
        <w:tc>
          <w:tcPr>
            <w:tcW w:w="280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offering price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aggregate offering price</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securities to be registered</w:t>
            </w:r>
          </w:p>
        </w:tc>
        <w:tc>
          <w:tcPr>
            <w:tcW w:w="40" w:type="dxa"/>
            <w:vAlign w:val="bottom"/>
          </w:tcPr>
          <w:p>
            <w:pPr>
              <w:spacing w:after="0"/>
              <w:rPr>
                <w:sz w:val="8"/>
                <w:szCs w:val="8"/>
                <w:color w:val="auto"/>
              </w:rPr>
            </w:pPr>
          </w:p>
        </w:tc>
        <w:tc>
          <w:tcPr>
            <w:tcW w:w="1400" w:type="dxa"/>
            <w:vAlign w:val="bottom"/>
            <w:vMerge w:val="restart"/>
          </w:tcPr>
          <w:p>
            <w:pPr>
              <w:jc w:val="center"/>
              <w:ind w:left="259"/>
              <w:spacing w:after="0"/>
              <w:rPr>
                <w:sz w:val="20"/>
                <w:szCs w:val="20"/>
                <w:color w:val="auto"/>
              </w:rPr>
            </w:pPr>
            <w:r>
              <w:rPr>
                <w:rFonts w:ascii="Arial" w:cs="Arial" w:eastAsia="Arial" w:hAnsi="Arial"/>
                <w:sz w:val="16"/>
                <w:szCs w:val="16"/>
                <w:color w:val="auto"/>
              </w:rPr>
              <w:t>Registered</w:t>
            </w: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registration fee (1)</w:t>
            </w:r>
          </w:p>
        </w:tc>
        <w:tc>
          <w:tcPr>
            <w:tcW w:w="0" w:type="dxa"/>
            <w:vAlign w:val="bottom"/>
          </w:tcPr>
          <w:p>
            <w:pPr>
              <w:spacing w:after="0"/>
              <w:rPr>
                <w:sz w:val="1"/>
                <w:szCs w:val="1"/>
                <w:color w:val="auto"/>
              </w:rPr>
            </w:pPr>
          </w:p>
        </w:tc>
      </w:tr>
      <w:tr>
        <w:trPr>
          <w:trHeight w:val="100"/>
        </w:trPr>
        <w:tc>
          <w:tcPr>
            <w:tcW w:w="414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 share (1)</w:t>
            </w:r>
          </w:p>
        </w:tc>
        <w:tc>
          <w:tcPr>
            <w:tcW w:w="1820" w:type="dxa"/>
            <w:vAlign w:val="bottom"/>
            <w:tcBorders>
              <w:right w:val="single" w:sz="8" w:color="auto"/>
            </w:tcBorders>
            <w:vMerge w:val="restart"/>
          </w:tcPr>
          <w:p>
            <w:pPr>
              <w:jc w:val="right"/>
              <w:ind w:right="739"/>
              <w:spacing w:after="0"/>
              <w:rPr>
                <w:sz w:val="20"/>
                <w:szCs w:val="20"/>
                <w:color w:val="auto"/>
              </w:rPr>
            </w:pPr>
            <w:r>
              <w:rPr>
                <w:rFonts w:ascii="Arial" w:cs="Arial" w:eastAsia="Arial" w:hAnsi="Arial"/>
                <w:sz w:val="16"/>
                <w:szCs w:val="16"/>
                <w:color w:val="auto"/>
              </w:rPr>
              <w:t>(1)</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1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Class A Non-Voting Common Stock, par value $.01 per</w:t>
            </w:r>
          </w:p>
        </w:tc>
        <w:tc>
          <w:tcPr>
            <w:tcW w:w="40" w:type="dxa"/>
            <w:vAlign w:val="bottom"/>
          </w:tcPr>
          <w:p>
            <w:pPr>
              <w:spacing w:after="0"/>
              <w:rPr>
                <w:sz w:val="18"/>
                <w:szCs w:val="18"/>
                <w:color w:val="auto"/>
              </w:rPr>
            </w:pPr>
          </w:p>
        </w:tc>
        <w:tc>
          <w:tcPr>
            <w:tcW w:w="1400" w:type="dxa"/>
            <w:vAlign w:val="bottom"/>
            <w:vMerge w:val="restart"/>
          </w:tcPr>
          <w:p>
            <w:pPr>
              <w:jc w:val="center"/>
              <w:ind w:left="239"/>
              <w:spacing w:after="0"/>
              <w:rPr>
                <w:sz w:val="20"/>
                <w:szCs w:val="20"/>
                <w:color w:val="auto"/>
              </w:rPr>
            </w:pPr>
            <w:r>
              <w:rPr>
                <w:rFonts w:ascii="Arial" w:cs="Arial" w:eastAsia="Arial" w:hAnsi="Arial"/>
                <w:sz w:val="16"/>
                <w:szCs w:val="16"/>
                <w:color w:val="auto"/>
              </w:rPr>
              <w:t>5,000,000</w:t>
            </w:r>
          </w:p>
        </w:tc>
        <w:tc>
          <w:tcPr>
            <w:tcW w:w="4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$9.39</w:t>
            </w:r>
          </w:p>
        </w:tc>
        <w:tc>
          <w:tcPr>
            <w:tcW w:w="182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$46,950,000</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$5,442 (2)</w:t>
            </w:r>
          </w:p>
        </w:tc>
        <w:tc>
          <w:tcPr>
            <w:tcW w:w="0" w:type="dxa"/>
            <w:vAlign w:val="bottom"/>
          </w:tcPr>
          <w:p>
            <w:pPr>
              <w:spacing w:after="0"/>
              <w:rPr>
                <w:sz w:val="1"/>
                <w:szCs w:val="1"/>
                <w:color w:val="auto"/>
              </w:rPr>
            </w:pPr>
          </w:p>
        </w:tc>
      </w:tr>
      <w:tr>
        <w:trPr>
          <w:trHeight w:val="100"/>
        </w:trPr>
        <w:tc>
          <w:tcPr>
            <w:tcW w:w="2800" w:type="dxa"/>
            <w:vAlign w:val="bottom"/>
            <w:vMerge w:val="restart"/>
          </w:tcPr>
          <w:p>
            <w:pPr>
              <w:ind w:left="40"/>
              <w:spacing w:after="0"/>
              <w:rPr>
                <w:sz w:val="20"/>
                <w:szCs w:val="20"/>
                <w:color w:val="auto"/>
              </w:rPr>
            </w:pPr>
            <w:r>
              <w:rPr>
                <w:rFonts w:ascii="Arial" w:cs="Arial" w:eastAsia="Arial" w:hAnsi="Arial"/>
                <w:sz w:val="16"/>
                <w:szCs w:val="16"/>
                <w:color w:val="auto"/>
              </w:rPr>
              <w:t>share</w:t>
            </w:r>
          </w:p>
        </w:tc>
        <w:tc>
          <w:tcPr>
            <w:tcW w:w="13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tcBorders>
              <w:bottom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00" w:right="60" w:hanging="478"/>
        <w:spacing w:after="0" w:line="258"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457(c), on the basis of the price of securities of the same class, using the average of the high and low prices for the Class A Non-Voting Common Stock reported on The NASDAQ Stock Market on February 7, 2017.</w:t>
      </w:r>
    </w:p>
    <w:p>
      <w:pPr>
        <w:spacing w:after="0" w:line="32" w:lineRule="exact"/>
        <w:rPr>
          <w:rFonts w:ascii="Arial" w:cs="Arial" w:eastAsia="Arial" w:hAnsi="Arial"/>
          <w:sz w:val="14"/>
          <w:szCs w:val="14"/>
          <w:color w:val="auto"/>
        </w:rPr>
      </w:pPr>
    </w:p>
    <w:p>
      <w:pPr>
        <w:jc w:val="both"/>
        <w:ind w:left="500" w:hanging="478"/>
        <w:spacing w:after="0" w:line="247"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(a) $2,306 was paid at the time of the original filing on March 9, 2015 and (b) $3,136 was paid in connection with a Registration Statement on Form S-4 filed on February 3, 2017 (File No. 333-215906) (filing date changed to February 6, 2017), which was withdrawn as of February 8, 2017 (the “Withdrawn S-4”). The Withdrawn S-4 was not declared effective, and no securities were sold thereunder. Pursuant to Rule 457(p), we hereby offset the full amount of the filing fee previously paid in connection with the Withdrawn S-4 against the filing fee for this Pre-Effective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201930</wp:posOffset>
            </wp:positionV>
            <wp:extent cx="3439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ectPr>
          <w:pgSz w:w="11900" w:h="16838" w:orient="portrait"/>
          <w:cols w:equalWidth="0" w:num="1">
            <w:col w:w="11420"/>
          </w:cols>
          <w:pgMar w:left="240" w:top="233" w:right="239" w:bottom="300"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6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February 8,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 Shares of Class A Non-Voting Common Stock</w:t>
      </w:r>
    </w:p>
    <w:p>
      <w:pPr>
        <w:spacing w:after="0" w:line="24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future acquisitions of other businesses, assets or securities by EZCORP or its subsidiaries.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determine the amount and type of consideration to be offered, and the other specific terms of each acquisition, following negotiation with the owners or controlling persons of the businesses, assets or securities to be acquired. The consideration for any such acquisition may consist of shares of our Class A Non-Voting Common Stock or a combination of Class A Non-Voting Common Stock, cash, notes or assumption of liabilities. We may structure business acquisitions in a variety of ways, including acquiring stock, other equity interests or assets of the acquired business or merging the acquired business with EZCORP or one of our subsidiaries. We expect that the shares of Class A Non-Voting Common Stock issued in connection with any of these transactions will be valued at a price reasonably related to the market value of our Class A Non-Voting Common Stock either at the time an agreement is reached regarding the terms of the acquisition, at the time we issue the shares or during some other negotiated period.</w:t>
      </w:r>
    </w:p>
    <w:p>
      <w:pPr>
        <w:spacing w:after="0" w:line="16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any underwriting discounts or commissions in connection with issuing these shares, although we may pay finder’s fees in specific acquisitions. Any person receiving a finder’s fee may be deemed an underwriter within the meaning of Section 2(a)(11) of the Securities Act of 1933.</w:t>
      </w:r>
    </w:p>
    <w:p>
      <w:pPr>
        <w:spacing w:after="0" w:line="1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On February 7, 2017, the last reported sale price for our Class A Non-Voting Common Stock on The NASDAQ Global Select Market was $9.30 per share.</w:t>
      </w:r>
    </w:p>
    <w:p>
      <w:pPr>
        <w:spacing w:after="0" w:line="134"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color w:val="auto"/>
        </w:rPr>
        <w:t>Investing in our Class A Non-Voting Common Stock involves risk. You should carefully consider the “Risk Factors” beginning on page 2 in determining whether to accept our Class A Non-Voting Common Stock as all or part of the purchase price for our acquisition of your business, securities or other assets.</w:t>
      </w:r>
    </w:p>
    <w:p>
      <w:pPr>
        <w:spacing w:after="0" w:line="1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 2017.</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51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37"/>
        </w:trPr>
        <w:tc>
          <w:tcPr>
            <w:tcW w:w="40" w:type="dxa"/>
            <w:vAlign w:val="bottom"/>
          </w:tcPr>
          <w:p>
            <w:pPr>
              <w:spacing w:after="0"/>
              <w:rPr>
                <w:sz w:val="20"/>
                <w:szCs w:val="20"/>
                <w:color w:val="auto"/>
              </w:rPr>
            </w:pPr>
          </w:p>
        </w:tc>
        <w:tc>
          <w:tcPr>
            <w:tcW w:w="1080" w:type="dxa"/>
            <w:vAlign w:val="bottom"/>
            <w:tcBorders>
              <w:top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EZCORP, Inc.</w:t>
              </w:r>
            </w:hyperlink>
          </w:p>
        </w:tc>
        <w:tc>
          <w:tcPr>
            <w:tcW w:w="660" w:type="dxa"/>
            <w:vAlign w:val="bottom"/>
            <w:tcBorders>
              <w:top w:val="single" w:sz="8" w:color="0000EE"/>
            </w:tcBorders>
            <w:gridSpan w:val="2"/>
          </w:tcPr>
          <w:p>
            <w:pPr>
              <w:spacing w:after="0"/>
              <w:rPr>
                <w:sz w:val="20"/>
                <w:szCs w:val="20"/>
                <w:color w:val="auto"/>
              </w:rPr>
            </w:pPr>
          </w:p>
        </w:tc>
        <w:tc>
          <w:tcPr>
            <w:tcW w:w="2680" w:type="dxa"/>
            <w:vAlign w:val="bottom"/>
            <w:gridSpan w:val="6"/>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Risk Factors</w:t>
              </w:r>
            </w:hyperlink>
          </w:p>
        </w:tc>
        <w:tc>
          <w:tcPr>
            <w:tcW w:w="1300" w:type="dxa"/>
            <w:vAlign w:val="bottom"/>
            <w:gridSpan w:val="5"/>
          </w:tcPr>
          <w:p>
            <w:pPr>
              <w:spacing w:after="0"/>
              <w:rPr>
                <w:sz w:val="20"/>
                <w:szCs w:val="20"/>
                <w:color w:val="auto"/>
              </w:rPr>
            </w:pPr>
          </w:p>
        </w:tc>
        <w:tc>
          <w:tcPr>
            <w:tcW w:w="2120" w:type="dxa"/>
            <w:vAlign w:val="bottom"/>
            <w:gridSpan w:val="4"/>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EZCORP's Acquisition Program; Plan of Distribution</w:t>
              </w:r>
            </w:hyperlink>
          </w:p>
        </w:tc>
        <w:tc>
          <w:tcPr>
            <w:tcW w:w="69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280" w:type="dxa"/>
            <w:vAlign w:val="bottom"/>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2220" w:type="dxa"/>
            <w:vAlign w:val="bottom"/>
            <w:gridSpan w:val="5"/>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3340" w:type="dxa"/>
            <w:vAlign w:val="bottom"/>
            <w:gridSpan w:val="8"/>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Incorporation of Documents by Reference</w:t>
              </w:r>
            </w:hyperlink>
          </w:p>
        </w:tc>
        <w:tc>
          <w:tcPr>
            <w:tcW w:w="69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is a part of a “shelf” registration statement on Form S-4 that we filed with the Securities and Exchange Commission (the "SEC"). Under the shelf registration process, we may from time to time offer and issue up to 5,000,000 shares of our Class A Non-Voting Common Stock in connection with future acquisitions of other businesses, assets or securities. This prospectus provides a general description of the Class A Non-Voting Common Stock that we may offer and issue. We may add, update or change the information contained in this prospectus by means of one or more prospectus supplements. Before accepting shares of our Class A Non-Voting Common Stock as all or part of the purchase price for your business, securities or other assets, you should carefully review this prospectus, any prospectus supplement and the additional information described under the heading “Where You Can Find More Information.”</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prospectus incorporates important business and financial information about EZCORP that is not included in or delivered with this prospectus. We will provide, without charge, a copy of any or all of the documents incorporated by reference in this prospectus. Please direct your request for copies to:</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 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 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512-314-2220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To obtain timely delivery, you must request the information no later than five business days before the date that you must make your investment decision.</w:t>
      </w:r>
    </w:p>
    <w:p>
      <w:pPr>
        <w:spacing w:after="0" w:line="12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This prospectus is not an offer to sell nor is it seeking an offer to buy these securities in any jurisdiction where the offer or sale is prohibited.</w:t>
      </w:r>
    </w:p>
    <w:p>
      <w:pPr>
        <w:spacing w:after="0" w:line="14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You should not assume that the information contained in this prospectus or any prospectus supplement, as well as the information we previously filed with the SEC that is incorporated by reference herein or therein, is accurate as of any date other than its respective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4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our pawn stores (517 in the U.S. and 239 in Mexico as of December 31, 2016), we offer pawn loans, which are non-recourse loans collateralized by tangible property, and we sell merchandise, primarily collateral forfeited from pawn lending operations and used merchandise purchased from customers.</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31% of Cash Converters International Limited (“Cash Converters International”), based in Australia, which franchises and operates a worldwide network of nearly 700 locations that provide financial services and also buy and sell second-hand goods.</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under “Risk Factors” below and in our SEC filings that are incorporated by reference into this prospectus. See “Incorporation of Documents by Reference”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could be materially adversely affected. In addition, the trading price of our Class A Non-Voting Common Stock could decline, and you may lose all or part of your investment. Additional risks and uncertainties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not currently known to us or that we currently consider to be immaterial may also materially adversely affect our business, financial condition or results of operations.</w:t>
      </w:r>
    </w:p>
    <w:p>
      <w:pPr>
        <w:spacing w:after="0" w:line="10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You should consider carefully these risks and the risks described in any documents incorporated by reference, including our most recent annual and quarterly reports, before you accept shares of our Class A Non-Voting Common Stock as all or part of the purchase price for your business, securities or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auto"/>
        </w:rPr>
        <w:t>We have exposure to Grupo Finmart through promissory notes that we received as part of the divestiture transaction. Our ability to recover those notes is heavily dependent on the success and performance of the Grupo Finmart business and the guarantee of AlphaCredit.</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received various promissory notes, having an aggregate principal amount of approximately $89.8 million, in connection with the completion of the sale of Prestaciones Finmart, S.A.P.I. de C.V., SOFOM, E.N.R. ("Grupo Finmart") in September 2016. Some, but not all, of these promissory notes are guaranteed by the buyer, Alpha Holding, S.A. de C.V. (“AlphaCredit”), and some are secured by specific portfolios of consumer loans. These promissory notes are repayable in various amounts through September 2019. Our ability to recover full payment of these promissory notes over the next three years is dependent on AlphaCredit’s and Grupo Finmart’s ability to pay the notes, which is heavily dependent on the success and performance of the Grupo Finmart business. To the extent that AlphaCredit and Grupo Finmart do not repay the promissory notes, our financial performance and cash flows would be adversely affected.</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assessment of and expectations concerning various factors affecting the collectability of these notes receivable change in the future, we may be required to record an allowance for losses or otherwise impair the carrying value the notes, which could adversely affect our financial performance in the period of recordation or impairment. These notes receivable were recorded at fair value on the date of the sale of Grupo Finmart, which initially accounted for the risk of default.</w:t>
      </w:r>
    </w:p>
    <w:p>
      <w:pPr>
        <w:spacing w:after="0" w:line="12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affecting our products and services could have a material adverse effect on our operations and financial performance.</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products and services are subject to regulation under various federal, state and local laws and regulations. Adverse legislation or regulations could be adopted in any country, state or municipality in which we operate.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Department of Defense has issued rules that expand certain protections under the Military Lending Act, including a 36% APR rate cap, to a wider range of credit products, including pawn loans. These rules became effective in October 2016. The effective interest rate on our pawn loans varies by state, but in all cases, exceeds 36% APR. Consequently, active military personnel are unable to access our pawn loans. The implementation of this rule could have a significant adverse impact on our business at certain locations, but is not expected to have a material adverse impact on the Company as a whole.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the Note 7 to our consolidated financial statements included in our Quarterly Report on Form 10-Q for the quarter ended December 31, 2016. These matters are subject to inherent uncertainties and unfavorable rulings could occur, which could include monetary damages or other relief. Any unfavorable ruling or outcome could have a material adverse effect on our results of operations and could negatively affect our reputation.</w:t>
      </w:r>
    </w:p>
    <w:p>
      <w:pPr>
        <w:spacing w:after="0" w:line="12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directors or any other matter requiring a vote of stockholders except as required by law. This lack of voting rights may adversely affect the market value of our publicly-traded Class A Non-Voting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30, 2016, a significant portion of our U.S. pawn stores were located in Texas, and those stores account for a significant portion of our revenues and profitability. The legislative, regulatory and general business environment in Texas has been relatively favorable for our pawn business activities, but a negative legislative or regulatory change in Texas could have a material adverse effect on our overall operations and financial performance.</w:t>
      </w:r>
    </w:p>
    <w:p>
      <w:pPr>
        <w:spacing w:after="0" w:line="12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Over the fiscal 2013 to 2015 periods and into fiscal 2016, we experienced a significant softening of gold prices and volumes in the aggregate, which had a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have foreign operations in Mexico and Canada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part, achievement of our growth objectives is dependent upon our ability to open and acquire new stores.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there, which could adversely affect our growth plans.</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growth plans include potential expansion in Latin America.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2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Fluctuations in our sales, pawn loan balances, sales margins and pawn redemption rates could have a material adverse impact on our operating results.</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Changes in our liquidity and capital requirements or in banks’ abilities or willingness to lend to us could limit our ability to achieve our plans.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During fiscal 2016, we obtained a term loan facility of $100 million principal amount, at variable interest, of which we have drawn $50 million. Our ability to obtain additional credit or alternative financing, if needed, will depend upon market conditions, our financial condition and banks’ or other lenders’ willingness to lend capital at acceptable rates. The inability to access capital at acceptable rates and terms could restrict or limit our ability to achieve our growth objectives, which could adversely affect our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encounter significant competition from other pawn stores, other consumer lending companies and other retailers, many of which have significantly greater financial resources than we do. Increases in the number or size of competitors or other changes in competitive influences could adversely affect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currently have a significant investment in Cash Converters International Limited, which is a publicly-traded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We wrote down a portion of our investment in Cash Converters International Limited during the fourth quarter of both fiscal 2016 and fiscal 2015. If we determine that any future other-than-temporary declines in the fair value exist for one of our equity investments, we will be required to write down that investment to its fair value and recognize the related write-down as an investment loss. Any future realized investment loss would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transactions require substantial management resources and have the potential to divert our attention from our existing business. These factors could harm our business and results of operations.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could be subject to changes in tax rates, the adoption of new tax laws in the U.S. or other countries, or exposure to additional tax liabilities.</w:t>
      </w:r>
    </w:p>
    <w:p>
      <w:pPr>
        <w:spacing w:after="0" w:line="12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26"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carrying value of our goodwill is $254 million, or approximately 26% of our total assets, as of September 30, 2016.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2016 and detemined that the calculated fair value of each of the reporting units in the U.S. Pawn and Mexico Pawn segments exceeded their carrying values by approximately 30% and 59%, respectively. We recorded a $73.2 million goodwill impairment charge in fiscal 2016.</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 We engage professional service firms with relevant expertise to perform certain reviews of our compliance under the FCPA.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Non-Voting Common Stock</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b w:val="1"/>
          <w:bCs w:val="1"/>
          <w:i w:val="1"/>
          <w:iCs w:val="1"/>
          <w:color w:val="auto"/>
        </w:rPr>
        <w:t>Our stock price may be volatile, and you may not be able to sell your shares of our stock at or above the price at which those shares were valued when you acquired them.</w:t>
      </w:r>
    </w:p>
    <w:p>
      <w:pPr>
        <w:spacing w:after="0" w:line="121"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price of our Class A Non-Voting Common Stock fluctuates, which may result in losses for investors. From October 1, 2014 to January 31, 2017, the price of our Class A Non-Voting Common Stock, as reported by The NASDAQ Global Select Market, ranged from a low of $2.44 per share to a high of $12.35 per share. We expect our Class A Non-Voting Common Stock to continue to be subject to fluctuations as a result of a variety of factors, some of which are beyond our control. These factors include:</w:t>
      </w:r>
    </w:p>
    <w:p>
      <w:pPr>
        <w:spacing w:after="0" w:line="15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performance of our business, which is subject to the risks described above, among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valuations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or departures of key personnel;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sales of our Class A Non-Voting Common Stock.</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may fail to meet expectations of our stockholders or of securities analysts at some time in the future, and our Class A Non-Voting Common Stock price could decline as a result.</w:t>
      </w:r>
    </w:p>
    <w:p>
      <w:pPr>
        <w:spacing w:after="0" w:line="12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price of our Class A Non-Voting Common Stock may be adversely affected by the issuance and sale of our Class A Non-Voting Common Stock or by the perception that such issuances and sales may occur</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cannot predict the size of future issuances or sales of our Class A Non-Voting Common Stock, including issuances of stock in connection with acquisitions of businesses, assets or securities and sales by the persons receiving such stock, or the effect that such issuances or sales may have on the market price for our Class A Non-Voting Common Stock. The issuance and sale of substantial amounts of Class A Non-Voting Common Stock or the announcement that such issuances and sales may occur, could adversely affect the market price of our Class A Non-Voting Common Stock.</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shares of Class A Non-Voting Common Stock that are issued in connection with acquisitions of other businesses, assets or securities, as described in this prospectus, generally will be freely transferable when issued, and the persons who receive shares in those transactions generally will be able to sell those shares at any time after the closing of the transaction. Sales of a large number of shares in a short period of time could have the effect of depressing the market price for our Class A Non-Voting Common Stock.</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EZCORP'S ACQUISITION PROGRAM; PLAN OF DISTRIBUTION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acquisitions of other businesses, assets or securities. We are actively looking for acquisition opportunities in the U.S. pawn industry. We may also consider acquisitions of short-term consumer loan or other cash advance businesses or other types of businesses that we believe to be related to or complementary to our core pawn and short-term consumer loan businesses.</w:t>
      </w:r>
    </w:p>
    <w:p>
      <w:pPr>
        <w:spacing w:after="0" w:line="1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typically structure an acquisition of a pawn store or a chain of pawn stores as an asset purchase, but we may structure business acquisitions in a variety of ways, including acquiring assets, acquiring stock or other equity interests, or merging the acquired business with EZCORP or one of our subsidiaries.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consideration for any acquisition may consist of shares of our Class A Non-Voting Common Stock or a combination of Class A Non-Voting Common Stock, cash, notes or assumption of liabilities. We expect that the shares of Class A Non-Voting Common Stock issued in connection with any transaction will be valued at a price reasonably related to the market value of our Class A Non-Voting Common Stock either at the time an agreement is reached regarding the terms of the acquisition, at the time we issue the shares or during some other negotiated period. We will determine the amount and type of consideration to be offered, and the other specific terms of each acquisition, following negotiation with the owners or controlling persons of the businesses to be acquired.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This prospectus may be supplemented to furnish the information necessary for a particular negotiated transaction, and the registration statement of which this prospectus is a part will be amended or supplemented, as required, to supply information concerning an acquisition.</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underwriting discounts or commissions in connection with issuing these shares, although we may pay finder’s fees in specific acquisitions. Any person receiving a finder’s fee may be deemed an underwriter within the meaning of Section 2(a)(11) of the Securities Act.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General Corporation Law of the State of Delaware (the “Delaware General Corporation Law”).</w:t>
      </w:r>
    </w:p>
    <w:p>
      <w:pPr>
        <w:spacing w:after="0" w:line="13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i w:val="1"/>
          <w:iCs w:val="1"/>
          <w:color w:val="auto"/>
        </w:rPr>
        <w:t xml:space="preserve">Authorized and Outstanding Capital Stock — </w:t>
      </w:r>
      <w:r>
        <w:rPr>
          <w:rFonts w:ascii="Arial" w:cs="Arial" w:eastAsia="Arial" w:hAnsi="Arial"/>
          <w:sz w:val="17"/>
          <w:szCs w:val="17"/>
          <w:color w:val="auto"/>
        </w:rPr>
        <w:t>We are authorized to issue 100,000,000 shares of Class A Non-Voting Common Stock,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$0.01 per share, and 3,000,000 shares of Class B Voting Common Stock, par value $0.01 per share. As of January 30, 2017, there were 51,321,915 shares of Class A Non-Voting Common Stock and 2,970,171 shares of Class B Voting Common Stock issued and outstanding.</w:t>
      </w:r>
    </w:p>
    <w:p>
      <w:pPr>
        <w:spacing w:after="0" w:line="12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the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 do not anticipate paying any cash dividends in the immediate future. Any future determination to pay cash dividends will be at the discretion of our Board of Directors.</w:t>
      </w:r>
    </w:p>
    <w:p>
      <w:pPr>
        <w:spacing w:after="0" w:line="130"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validity of the Class A Non-Voting Common Stock offered hereby has been passed upon by Vinson &amp; Elkins L.L.P., Dallas, Texas, counsel to EZCORP.</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7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facility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THIS PROSPECTUS INCORPORATES DOCUMENTS BY REFERENCE THAT ARE NOT PRESENTED IN OR DELIVERED WITH THIS PROSPECTUS. YOU SHOULD RELY ONLY ON THE INFORMATION CONTAINED IN THIS PROSPECTUS AND IN THE DOCUMENTS THAT WE HAVE INCORPORATED BY REFERENCE INTO THIS PROSPECTUS. WE HAVE NOT AUTHORIZED ANYONE TO PROVIDE YOU WITH INFORMATION THAT IS DIFFERENT FROM OR IN ADDITION TO THE INFORMATION CONTAINED IN THIS PROSPECTUS AND INCORPORATED BY REFERENCE INTO THIS PROSPECTUS.</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dated October 4, 2016 and December 21, 2016; and</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Class A Non-Voting Common Stock terminates or we have filed with the SEC an amendment to the Registration Statement relating to this offering that deregisters all shares of Class A Non-Voting Common Stock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Corporate Secretary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 Indemnification of Directors and Officers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 Exhibits and Financial Statement Schedules</w:t>
      </w:r>
    </w:p>
    <w:p>
      <w:pPr>
        <w:spacing w:after="0" w:line="193"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exhibits are filed as a part of this Registration Statement: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jc w:val="center"/>
              <w:ind w:left="25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tcPr>
          <w:p>
            <w:pPr>
              <w:spacing w:after="0"/>
              <w:rPr>
                <w:sz w:val="16"/>
                <w:szCs w:val="16"/>
                <w:color w:val="auto"/>
              </w:rPr>
            </w:pPr>
          </w:p>
        </w:tc>
      </w:tr>
      <w:tr>
        <w:trPr>
          <w:trHeight w:val="228"/>
        </w:trPr>
        <w:tc>
          <w:tcPr>
            <w:tcW w:w="96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w w:val="99"/>
              </w:rPr>
              <w:t>Number</w:t>
            </w:r>
          </w:p>
        </w:tc>
        <w:tc>
          <w:tcPr>
            <w:tcW w:w="3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499"/>
        </w:trPr>
        <w:tc>
          <w:tcPr>
            <w:tcW w:w="96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42"/>
        </w:trPr>
        <w:tc>
          <w:tcPr>
            <w:tcW w:w="96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tcPr>
          <w:p>
            <w:pPr>
              <w:ind w:left="4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Commission File No. 0-19424)</w:t>
            </w:r>
          </w:p>
        </w:tc>
      </w:tr>
      <w:tr>
        <w:trPr>
          <w:trHeight w:val="445"/>
        </w:trPr>
        <w:tc>
          <w:tcPr>
            <w:tcW w:w="96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45"/>
        </w:trPr>
        <w:tc>
          <w:tcPr>
            <w:tcW w:w="96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6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BDO USA,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(2)</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3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have been omitted.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 Undertakings</w:t>
      </w:r>
    </w:p>
    <w:p>
      <w:pPr>
        <w:spacing w:after="0" w:line="19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right="20" w:hanging="655"/>
        <w:spacing w:after="0" w:line="25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52" w:lineRule="exact"/>
        <w:rPr>
          <w:rFonts w:ascii="Arial" w:cs="Arial" w:eastAsia="Arial" w:hAnsi="Arial"/>
          <w:sz w:val="18"/>
          <w:szCs w:val="18"/>
          <w:color w:val="auto"/>
        </w:rPr>
      </w:pPr>
    </w:p>
    <w:p>
      <w:pPr>
        <w:ind w:left="1960" w:right="240" w:hanging="655"/>
        <w:spacing w:after="0" w:line="26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300" w:right="18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500" w:hanging="644"/>
        <w:spacing w:after="0" w:line="26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right="60" w:hanging="644"/>
        <w:spacing w:after="0" w:line="25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8" w:lineRule="exact"/>
        <w:rPr>
          <w:rFonts w:ascii="Arial" w:cs="Arial" w:eastAsia="Arial" w:hAnsi="Arial"/>
          <w:sz w:val="18"/>
          <w:szCs w:val="18"/>
          <w:color w:val="auto"/>
        </w:rPr>
      </w:pPr>
    </w:p>
    <w:p>
      <w:pPr>
        <w:ind w:left="1300" w:right="320" w:hanging="644"/>
        <w:spacing w:after="0" w:line="25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8"/>
          <w:szCs w:val="18"/>
          <w:color w:val="auto"/>
        </w:rPr>
      </w:pPr>
    </w:p>
    <w:p>
      <w:pPr>
        <w:ind w:left="1960" w:right="40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20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8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2" w:lineRule="exact"/>
        <w:rPr>
          <w:rFonts w:ascii="Arial" w:cs="Arial" w:eastAsia="Arial" w:hAnsi="Arial"/>
          <w:sz w:val="18"/>
          <w:szCs w:val="18"/>
          <w:color w:val="auto"/>
        </w:rPr>
      </w:pPr>
    </w:p>
    <w:p>
      <w:pPr>
        <w:ind w:left="1960" w:hanging="655"/>
        <w:spacing w:after="0"/>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340" w:hanging="652"/>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hanging="652"/>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54" w:lineRule="exact"/>
        <w:rPr>
          <w:rFonts w:ascii="Arial" w:cs="Arial" w:eastAsia="Arial" w:hAnsi="Arial"/>
          <w:sz w:val="18"/>
          <w:szCs w:val="18"/>
          <w:color w:val="auto"/>
        </w:rPr>
      </w:pPr>
    </w:p>
    <w:p>
      <w:pPr>
        <w:ind w:left="660" w:right="200" w:hanging="652"/>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right="180"/>
        <w:spacing w:after="0" w:line="309" w:lineRule="auto"/>
        <w:rPr>
          <w:sz w:val="20"/>
          <w:szCs w:val="20"/>
          <w:color w:val="auto"/>
        </w:rPr>
      </w:pPr>
      <w:r>
        <w:rPr>
          <w:rFonts w:ascii="Arial" w:cs="Arial" w:eastAsia="Arial" w:hAnsi="Arial"/>
          <w:sz w:val="18"/>
          <w:szCs w:val="18"/>
          <w:color w:val="auto"/>
        </w:rPr>
        <w:t>registration form with respect to reofferings by persons who may be deemed underwriters, in addition to the information called for by the other items of the applicable form.</w:t>
      </w:r>
    </w:p>
    <w:p>
      <w:pPr>
        <w:spacing w:after="0" w:line="115" w:lineRule="exact"/>
        <w:rPr>
          <w:sz w:val="20"/>
          <w:szCs w:val="20"/>
          <w:color w:val="auto"/>
        </w:rPr>
      </w:pPr>
    </w:p>
    <w:p>
      <w:pPr>
        <w:ind w:left="660" w:hanging="652"/>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(d)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ind w:left="660" w:right="20" w:hanging="652"/>
        <w:spacing w:after="0" w:line="25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8" w:lineRule="exact"/>
        <w:rPr>
          <w:rFonts w:ascii="Arial" w:cs="Arial" w:eastAsia="Arial" w:hAnsi="Arial"/>
          <w:sz w:val="18"/>
          <w:szCs w:val="18"/>
          <w:color w:val="auto"/>
        </w:rPr>
      </w:pPr>
    </w:p>
    <w:p>
      <w:pPr>
        <w:ind w:left="660" w:right="400" w:hanging="652"/>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50" w:lineRule="exact"/>
        <w:rPr>
          <w:rFonts w:ascii="Arial" w:cs="Arial" w:eastAsia="Arial" w:hAnsi="Arial"/>
          <w:sz w:val="18"/>
          <w:szCs w:val="18"/>
          <w:color w:val="auto"/>
        </w:rPr>
      </w:pPr>
    </w:p>
    <w:p>
      <w:pPr>
        <w:ind w:left="660" w:right="220" w:hanging="602"/>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Act, the registrant certifies that it has duly caused this registration statement to be signed on its behalf by the undersigned, thereunto duly authorized, in the City of Rollingwood, State of Texas, on February 3, 2017.</w:t>
      </w:r>
    </w:p>
    <w:p>
      <w:pPr>
        <w:spacing w:after="0" w:line="15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52" w:lineRule="exact"/>
        <w:rPr>
          <w:sz w:val="20"/>
          <w:szCs w:val="20"/>
          <w:color w:val="auto"/>
        </w:rPr>
      </w:pPr>
    </w:p>
    <w:p>
      <w:pPr>
        <w:ind w:left="1520"/>
        <w:spacing w:after="0"/>
        <w:tabs>
          <w:tab w:leader="none" w:pos="4020" w:val="left"/>
          <w:tab w:leader="none" w:pos="94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6"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Mark Ashby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6"/>
          <w:szCs w:val="16"/>
          <w:color w:val="auto"/>
        </w:rPr>
        <w:t>February 3, 2017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Deputy Chief Financial Officer and</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470" w:lineRule="exact"/>
        <w:rPr>
          <w:sz w:val="20"/>
          <w:szCs w:val="20"/>
          <w:color w:val="auto"/>
        </w:rPr>
      </w:pPr>
    </w:p>
    <w:p>
      <w:pPr>
        <w:sectPr>
          <w:pgSz w:w="11900" w:h="16838" w:orient="portrait"/>
          <w:cols w:equalWidth="0" w:num="2">
            <w:col w:w="3320" w:space="720"/>
            <w:col w:w="7220"/>
          </w:cols>
          <w:pgMar w:left="240" w:top="125" w:right="399" w:bottom="1440" w:gutter="0" w:footer="0" w:header="0"/>
          <w:type w:val="continuous"/>
        </w:sect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60"/>
          </w:cols>
          <w:pgMar w:left="240" w:top="125" w:right="39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148"/>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2840" w:type="dxa"/>
            <w:vAlign w:val="bottom"/>
          </w:tcPr>
          <w:p>
            <w:pPr>
              <w:spacing w:after="0"/>
              <w:rPr>
                <w:sz w:val="20"/>
                <w:szCs w:val="20"/>
                <w:color w:val="auto"/>
              </w:rPr>
            </w:pPr>
          </w:p>
        </w:tc>
      </w:tr>
      <w:tr>
        <w:trPr>
          <w:trHeight w:val="931"/>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2840" w:type="dxa"/>
            <w:vAlign w:val="bottom"/>
          </w:tcPr>
          <w:p>
            <w:pPr>
              <w:spacing w:after="0"/>
              <w:rPr>
                <w:sz w:val="20"/>
                <w:szCs w:val="20"/>
                <w:color w:val="auto"/>
              </w:rPr>
            </w:pPr>
          </w:p>
        </w:tc>
      </w:tr>
      <w:tr>
        <w:trPr>
          <w:trHeight w:val="931"/>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w:t>
            </w:r>
          </w:p>
        </w:tc>
        <w:tc>
          <w:tcPr>
            <w:tcW w:w="284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2840" w:type="dxa"/>
            <w:vAlign w:val="bottom"/>
          </w:tcPr>
          <w:p>
            <w:pPr>
              <w:spacing w:after="0"/>
              <w:rPr>
                <w:sz w:val="20"/>
                <w:szCs w:val="20"/>
                <w:color w:val="auto"/>
              </w:rPr>
            </w:pPr>
          </w:p>
        </w:tc>
      </w:tr>
    </w:tbl>
    <w:p>
      <w:pPr>
        <w:spacing w:after="0" w:line="181" w:lineRule="exact"/>
        <w:rPr>
          <w:sz w:val="20"/>
          <w:szCs w:val="20"/>
          <w:color w:val="auto"/>
        </w:rPr>
      </w:pPr>
    </w:p>
    <w:p>
      <w:pPr>
        <w:ind w:left="5580" w:right="1900" w:hanging="5572"/>
        <w:spacing w:after="0" w:line="543" w:lineRule="auto"/>
        <w:tabs>
          <w:tab w:leader="none" w:pos="3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 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ectPr>
          <w:pgSz w:w="11900" w:h="16838" w:orient="portrait"/>
          <w:cols w:equalWidth="0" w:num="2">
            <w:col w:w="8320" w:space="720"/>
            <w:col w:w="1240"/>
          </w:cols>
          <w:pgMar w:left="240" w:top="108" w:right="1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95"/>
        </w:trPr>
        <w:tc>
          <w:tcPr>
            <w:tcW w:w="940" w:type="dxa"/>
            <w:vAlign w:val="bottom"/>
          </w:tcPr>
          <w:p>
            <w:pPr>
              <w:jc w:val="center"/>
              <w:ind w:left="23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228"/>
        </w:trPr>
        <w:tc>
          <w:tcPr>
            <w:tcW w:w="94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rPr>
              <w:t>Number</w:t>
            </w:r>
          </w:p>
        </w:tc>
        <w:tc>
          <w:tcPr>
            <w:tcW w:w="3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499"/>
        </w:trPr>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42"/>
        </w:trPr>
        <w:tc>
          <w:tcPr>
            <w:tcW w:w="94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Commission File No. 0-19424)</w:t>
            </w:r>
          </w:p>
        </w:tc>
      </w:tr>
      <w:tr>
        <w:trPr>
          <w:trHeight w:val="445"/>
        </w:trPr>
        <w:tc>
          <w:tcPr>
            <w:tcW w:w="94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45"/>
        </w:trPr>
        <w:tc>
          <w:tcPr>
            <w:tcW w:w="94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4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125" w:right="259" w:bottom="1440" w:gutter="0" w:footer="0" w:header="0"/>
        </w:sectPr>
      </w:pPr>
    </w:p>
    <w:bookmarkStart w:id="20" w:name="page21"/>
    <w:bookmarkEnd w:id="20"/>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181610</wp:posOffset>
            </wp:positionV>
            <wp:extent cx="168973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ectPr>
          <w:pgSz w:w="11900" w:h="16838" w:orient="portrait"/>
          <w:cols w:equalWidth="0" w:num="1">
            <w:col w:w="11240"/>
          </w:cols>
          <w:pgMar w:left="4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February 8, 2017</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Rollingwood, TX 78746</w:t>
      </w:r>
    </w:p>
    <w:p>
      <w:pPr>
        <w:spacing w:after="0" w:line="202"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Registration Statement on Form S-4</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left="480" w:firstLine="648"/>
        <w:spacing w:after="0" w:line="261" w:lineRule="auto"/>
        <w:rPr>
          <w:sz w:val="20"/>
          <w:szCs w:val="20"/>
          <w:color w:val="auto"/>
        </w:rPr>
      </w:pPr>
      <w:r>
        <w:rPr>
          <w:rFonts w:ascii="Arial" w:cs="Arial" w:eastAsia="Arial" w:hAnsi="Arial"/>
          <w:sz w:val="21"/>
          <w:szCs w:val="21"/>
          <w:color w:val="auto"/>
        </w:rPr>
        <w:t>We have acted as counsel to EZCORP,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with respect to certain legal matters in connection with the preparation of a Registration Statement on Form S-4 and the Pre-Effective Amendment No. 1 to Form S-4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including the prospectus constituting a part thereof (the “</w:t>
      </w:r>
      <w:r>
        <w:rPr>
          <w:rFonts w:ascii="Arial" w:cs="Arial" w:eastAsia="Arial" w:hAnsi="Arial"/>
          <w:sz w:val="21"/>
          <w:szCs w:val="21"/>
          <w:b w:val="1"/>
          <w:bCs w:val="1"/>
          <w:color w:val="auto"/>
        </w:rPr>
        <w:t>Prospectus</w:t>
      </w:r>
      <w:r>
        <w:rPr>
          <w:rFonts w:ascii="Arial" w:cs="Arial" w:eastAsia="Arial" w:hAnsi="Arial"/>
          <w:sz w:val="21"/>
          <w:szCs w:val="21"/>
          <w:color w:val="auto"/>
        </w:rPr>
        <w:t>”), to be filed by the Company with the Securities and Exchange Commission (the “</w:t>
      </w:r>
      <w:r>
        <w:rPr>
          <w:rFonts w:ascii="Arial" w:cs="Arial" w:eastAsia="Arial" w:hAnsi="Arial"/>
          <w:sz w:val="21"/>
          <w:szCs w:val="21"/>
          <w:b w:val="1"/>
          <w:bCs w:val="1"/>
          <w:color w:val="auto"/>
        </w:rPr>
        <w:t>Commission</w:t>
      </w:r>
      <w:r>
        <w:rPr>
          <w:rFonts w:ascii="Arial" w:cs="Arial" w:eastAsia="Arial" w:hAnsi="Arial"/>
          <w:sz w:val="21"/>
          <w:szCs w:val="21"/>
          <w:color w:val="auto"/>
        </w:rPr>
        <w:t>”)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relating to the proposed sale from time to time of up to 5,000,000 shares of Class A Non-Voting common stock, par value $0.01 per share, of the Company (the “</w:t>
      </w:r>
      <w:r>
        <w:rPr>
          <w:rFonts w:ascii="Arial" w:cs="Arial" w:eastAsia="Arial" w:hAnsi="Arial"/>
          <w:sz w:val="21"/>
          <w:szCs w:val="21"/>
          <w:b w:val="1"/>
          <w:bCs w:val="1"/>
          <w:color w:val="auto"/>
        </w:rPr>
        <w:t>Class A Common Shares</w:t>
      </w:r>
      <w:r>
        <w:rPr>
          <w:rFonts w:ascii="Arial" w:cs="Arial" w:eastAsia="Arial" w:hAnsi="Arial"/>
          <w:sz w:val="21"/>
          <w:szCs w:val="21"/>
          <w:color w:val="auto"/>
        </w:rPr>
        <w:t>”) in the manner set forth in the Registration Statement.</w:t>
      </w:r>
    </w:p>
    <w:p>
      <w:pPr>
        <w:spacing w:after="0" w:line="180" w:lineRule="exact"/>
        <w:rPr>
          <w:sz w:val="20"/>
          <w:szCs w:val="20"/>
          <w:color w:val="auto"/>
        </w:rPr>
      </w:pPr>
    </w:p>
    <w:p>
      <w:pPr>
        <w:jc w:val="both"/>
        <w:ind w:left="480" w:firstLine="648"/>
        <w:spacing w:after="0" w:line="259" w:lineRule="auto"/>
        <w:rPr>
          <w:sz w:val="20"/>
          <w:szCs w:val="20"/>
          <w:color w:val="auto"/>
        </w:rPr>
      </w:pPr>
      <w:r>
        <w:rPr>
          <w:rFonts w:ascii="Arial" w:cs="Arial" w:eastAsia="Arial" w:hAnsi="Arial"/>
          <w:sz w:val="21"/>
          <w:szCs w:val="21"/>
          <w:color w:val="auto"/>
        </w:rPr>
        <w:t>Before rendering the opinion hereinafter set forth, we examined, reviewed, and relied upon originals or copies, certified or otherwise identified to our satisfaction, of (i) the Amended and Restated Certificate of Incorporation, as amended, and the Amended and Restated Bylaws of the Company, each as in effect on the date hereof; (ii) certain resolutions (the “</w:t>
      </w:r>
      <w:r>
        <w:rPr>
          <w:rFonts w:ascii="Arial" w:cs="Arial" w:eastAsia="Arial" w:hAnsi="Arial"/>
          <w:sz w:val="21"/>
          <w:szCs w:val="21"/>
          <w:b w:val="1"/>
          <w:bCs w:val="1"/>
          <w:color w:val="auto"/>
        </w:rPr>
        <w:t>Resolutions</w:t>
      </w:r>
      <w:r>
        <w:rPr>
          <w:rFonts w:ascii="Arial" w:cs="Arial" w:eastAsia="Arial" w:hAnsi="Arial"/>
          <w:sz w:val="21"/>
          <w:szCs w:val="21"/>
          <w:color w:val="auto"/>
        </w:rPr>
        <w:t>”) adopted by the Board of Directors of the Company (the Board of Directors, or to the extent permitted by Section 141 of the General Corporation Law of the State of Delaware (the “</w:t>
      </w:r>
      <w:r>
        <w:rPr>
          <w:rFonts w:ascii="Arial" w:cs="Arial" w:eastAsia="Arial" w:hAnsi="Arial"/>
          <w:sz w:val="21"/>
          <w:szCs w:val="21"/>
          <w:b w:val="1"/>
          <w:bCs w:val="1"/>
          <w:color w:val="auto"/>
        </w:rPr>
        <w:t>DGCL</w:t>
      </w:r>
      <w:r>
        <w:rPr>
          <w:rFonts w:ascii="Arial" w:cs="Arial" w:eastAsia="Arial" w:hAnsi="Arial"/>
          <w:sz w:val="21"/>
          <w:szCs w:val="21"/>
          <w:color w:val="auto"/>
        </w:rPr>
        <w:t>”), a duly constituted and acting committee thereof, being referred to herein as the “</w:t>
      </w:r>
      <w:r>
        <w:rPr>
          <w:rFonts w:ascii="Arial" w:cs="Arial" w:eastAsia="Arial" w:hAnsi="Arial"/>
          <w:sz w:val="21"/>
          <w:szCs w:val="21"/>
          <w:b w:val="1"/>
          <w:bCs w:val="1"/>
          <w:color w:val="auto"/>
        </w:rPr>
        <w:t>Board</w:t>
      </w:r>
      <w:r>
        <w:rPr>
          <w:rFonts w:ascii="Arial" w:cs="Arial" w:eastAsia="Arial" w:hAnsi="Arial"/>
          <w:sz w:val="21"/>
          <w:szCs w:val="21"/>
          <w:color w:val="auto"/>
        </w:rPr>
        <w:t>”) relating to the registration of the Class A Common Shares and related matters; (iii) the Registration Statement; (iv) the Prospectus; and (v) such other certificates, instruments, and documents as we considered appropriate for purposes of the opinions hereafter expressed. In addition, we reviewed such questions of law as we considered appropriate.</w:t>
      </w:r>
    </w:p>
    <w:p>
      <w:pPr>
        <w:spacing w:after="0" w:line="180" w:lineRule="exact"/>
        <w:rPr>
          <w:sz w:val="20"/>
          <w:szCs w:val="20"/>
          <w:color w:val="auto"/>
        </w:rPr>
      </w:pPr>
    </w:p>
    <w:p>
      <w:pPr>
        <w:jc w:val="both"/>
        <w:ind w:left="480" w:firstLine="648"/>
        <w:spacing w:after="0" w:line="253" w:lineRule="auto"/>
        <w:rPr>
          <w:sz w:val="20"/>
          <w:szCs w:val="20"/>
          <w:color w:val="auto"/>
        </w:rPr>
      </w:pPr>
      <w:r>
        <w:rPr>
          <w:rFonts w:ascii="Arial" w:cs="Arial" w:eastAsia="Arial" w:hAnsi="Arial"/>
          <w:sz w:val="22"/>
          <w:szCs w:val="22"/>
          <w:color w:val="auto"/>
        </w:rPr>
        <w:t>As to any facts material to the opinions contained herein, we have made no independent investigation of such facts and have relied, to the extent that we deem such reliance proper, upon certificates of public officials and officers or other representatives of the Company.</w:t>
      </w:r>
    </w:p>
    <w:p>
      <w:pPr>
        <w:spacing w:after="0" w:line="186" w:lineRule="exact"/>
        <w:rPr>
          <w:sz w:val="20"/>
          <w:szCs w:val="20"/>
          <w:color w:val="auto"/>
        </w:rPr>
      </w:pPr>
    </w:p>
    <w:p>
      <w:pPr>
        <w:jc w:val="both"/>
        <w:ind w:left="480" w:firstLine="648"/>
        <w:spacing w:after="0" w:line="292" w:lineRule="auto"/>
        <w:rPr>
          <w:sz w:val="20"/>
          <w:szCs w:val="20"/>
          <w:color w:val="auto"/>
        </w:rPr>
      </w:pPr>
      <w:r>
        <w:rPr>
          <w:rFonts w:ascii="Arial" w:cs="Arial" w:eastAsia="Arial" w:hAnsi="Arial"/>
          <w:sz w:val="19"/>
          <w:szCs w:val="19"/>
          <w:color w:val="auto"/>
        </w:rPr>
        <w:t>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any document reviewed by us had authority to sign in such capacity; and (vi) to the extent any documents purport to constitute agreements of parties other than the Company, such documents constitute valid, binding, and enforceable obligations of such other parties.</w:t>
      </w:r>
    </w:p>
    <w:p>
      <w:pPr>
        <w:spacing w:after="0" w:line="200" w:lineRule="exact"/>
        <w:rPr>
          <w:sz w:val="20"/>
          <w:szCs w:val="20"/>
          <w:color w:val="auto"/>
        </w:rPr>
      </w:pPr>
    </w:p>
    <w:p>
      <w:pPr>
        <w:spacing w:after="0" w:line="349"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Austin Beijing Dallas Dubai Hong Kong Houston London</w:t>
      </w:r>
      <w:r>
        <w:rPr>
          <w:sz w:val="20"/>
          <w:szCs w:val="20"/>
          <w:color w:val="auto"/>
        </w:rPr>
        <w:tab/>
      </w:r>
      <w:r>
        <w:rPr>
          <w:rFonts w:ascii="Arial" w:cs="Arial" w:eastAsia="Arial" w:hAnsi="Arial"/>
          <w:sz w:val="10"/>
          <w:szCs w:val="10"/>
          <w:color w:val="auto"/>
        </w:rPr>
        <w:t>Trammell Crow Center, 2001 Ross Avenue, Suite 3700</w:t>
      </w:r>
    </w:p>
    <w:p>
      <w:pPr>
        <w:spacing w:after="0" w:line="7"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color w:val="auto"/>
        </w:rPr>
        <w:t>Moscow New York Palo Alto Richmond Riyadh San Francisco Taipei Tokyo Washington</w:t>
      </w:r>
      <w:r>
        <w:rPr>
          <w:sz w:val="20"/>
          <w:szCs w:val="20"/>
          <w:color w:val="auto"/>
        </w:rPr>
        <w:tab/>
      </w:r>
      <w:r>
        <w:rPr>
          <w:rFonts w:ascii="Arial" w:cs="Arial" w:eastAsia="Arial" w:hAnsi="Arial"/>
          <w:sz w:val="10"/>
          <w:szCs w:val="10"/>
          <w:color w:val="auto"/>
        </w:rPr>
        <w:t xml:space="preserve">Dallas, TX 75201-2975 </w:t>
      </w:r>
      <w:r>
        <w:rPr>
          <w:rFonts w:ascii="Arial" w:cs="Arial" w:eastAsia="Arial" w:hAnsi="Arial"/>
          <w:sz w:val="10"/>
          <w:szCs w:val="10"/>
          <w:b w:val="1"/>
          <w:bCs w:val="1"/>
          <w:color w:val="auto"/>
        </w:rPr>
        <w:t>Tel</w:t>
      </w:r>
      <w:r>
        <w:rPr>
          <w:rFonts w:ascii="Arial" w:cs="Arial" w:eastAsia="Arial" w:hAnsi="Arial"/>
          <w:sz w:val="10"/>
          <w:szCs w:val="10"/>
          <w:color w:val="auto"/>
        </w:rPr>
        <w:t xml:space="preserve"> +1.214.220.7700 </w:t>
      </w:r>
      <w:r>
        <w:rPr>
          <w:rFonts w:ascii="Arial" w:cs="Arial" w:eastAsia="Arial" w:hAnsi="Arial"/>
          <w:sz w:val="10"/>
          <w:szCs w:val="10"/>
          <w:b w:val="1"/>
          <w:bCs w:val="1"/>
          <w:color w:val="auto"/>
        </w:rPr>
        <w:t>Fax</w:t>
      </w:r>
      <w:r>
        <w:rPr>
          <w:rFonts w:ascii="Arial" w:cs="Arial" w:eastAsia="Arial" w:hAnsi="Arial"/>
          <w:sz w:val="10"/>
          <w:szCs w:val="10"/>
          <w:color w:val="auto"/>
        </w:rPr>
        <w:t xml:space="preserve"> +1.214.220.7716 </w:t>
      </w:r>
      <w:r>
        <w:rPr>
          <w:rFonts w:ascii="Arial" w:cs="Arial" w:eastAsia="Arial" w:hAnsi="Arial"/>
          <w:sz w:val="10"/>
          <w:szCs w:val="10"/>
          <w:b w:val="1"/>
          <w:bCs w:val="1"/>
          <w:color w:val="auto"/>
        </w:rPr>
        <w:t>www.velaw.com</w:t>
      </w:r>
    </w:p>
    <w:p>
      <w:pPr>
        <w:sectPr>
          <w:pgSz w:w="11900" w:h="16838" w:orient="portrait"/>
          <w:cols w:equalWidth="0" w:num="1">
            <w:col w:w="11240"/>
          </w:cols>
          <w:pgMar w:left="420" w:top="118" w:right="239" w:bottom="1440" w:gutter="0" w:footer="0" w:header="0"/>
          <w:type w:val="continuous"/>
        </w:sectPr>
      </w:pPr>
    </w:p>
    <w:bookmarkStart w:id="21" w:name="page22"/>
    <w:bookmarkEnd w:id="21"/>
    <w:p>
      <w:pPr>
        <w:ind w:left="9000"/>
        <w:spacing w:after="0"/>
        <w:rPr>
          <w:sz w:val="20"/>
          <w:szCs w:val="20"/>
          <w:color w:val="auto"/>
        </w:rPr>
      </w:pPr>
      <w:r>
        <w:rPr>
          <w:rFonts w:ascii="Arial" w:cs="Arial" w:eastAsia="Arial" w:hAnsi="Arial"/>
          <w:sz w:val="15"/>
          <w:szCs w:val="15"/>
          <w:color w:val="auto"/>
        </w:rPr>
        <w:t>February 8, 2017 Page 2</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addition, and for purposes of our opinion, we have assumed that (i) the Registration Statement and any amendment thereto (including Post-Effective Amendments (as defined below)) will have been declared effective by the Commission and will be effective on the date of issuance of any Class A Common Shares; (ii) an appropriate supplement to the Prospectus (each, a “</w:t>
      </w:r>
      <w:r>
        <w:rPr>
          <w:rFonts w:ascii="Arial" w:cs="Arial" w:eastAsia="Arial" w:hAnsi="Arial"/>
          <w:sz w:val="21"/>
          <w:szCs w:val="21"/>
          <w:b w:val="1"/>
          <w:bCs w:val="1"/>
          <w:color w:val="auto"/>
        </w:rPr>
        <w:t>Prospectus Supplement</w:t>
      </w:r>
      <w:r>
        <w:rPr>
          <w:rFonts w:ascii="Arial" w:cs="Arial" w:eastAsia="Arial" w:hAnsi="Arial"/>
          <w:sz w:val="21"/>
          <w:szCs w:val="21"/>
          <w:color w:val="auto"/>
        </w:rPr>
        <w:t>”) or post-effective amendment to the Registration Statement of which the Prospectus is a part (each, a “</w:t>
      </w:r>
      <w:r>
        <w:rPr>
          <w:rFonts w:ascii="Arial" w:cs="Arial" w:eastAsia="Arial" w:hAnsi="Arial"/>
          <w:sz w:val="21"/>
          <w:szCs w:val="21"/>
          <w:b w:val="1"/>
          <w:bCs w:val="1"/>
          <w:color w:val="auto"/>
        </w:rPr>
        <w:t>Post-Effective Amendment</w:t>
      </w:r>
      <w:r>
        <w:rPr>
          <w:rFonts w:ascii="Arial" w:cs="Arial" w:eastAsia="Arial" w:hAnsi="Arial"/>
          <w:sz w:val="21"/>
          <w:szCs w:val="21"/>
          <w:color w:val="auto"/>
        </w:rPr>
        <w:t>”) with respect to the applicable Class A Common Shares being offered thereby will have been prepared and filed with the Commission; and (iii) all Class A Common Shares will have been issued and sold in compliance with applicable federal and state securities laws and in the manner stated in the Registration Statement or any amendment thereto (including Post-Effective Amendments), the Prospectus, and any applicable Prospectus Supplement.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Based upon the foregoing examination and in reliance thereon, and subject to (x) the assumptions stated and in reliance on statements of fact contained in the documents that we have examined and (y) completion of all corporate action to be taken by the Company to duly authorize each proposed issuance of Class A Common Shares, we are of the opinion that the Class A Common Shares, when issued against payment therefor in the manner contemplated in the Registration Statement, will be validly issued, fully paid, and non-assessable.</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foregoing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foregoing opinion is strictly limited to the matters stated herein, and no other or more extensive opinion is intended or implied or to be inferred beyond the matters expressly stated herein. The foregoing opinion is limited in all respects to the laws of the DGCL (including the applicable provisions of the Delaware Constitution and the reported judicial decisions interpreting these laws) and the relevant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do not express any opinions as to the laws of any other jurisdiction.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hereby consent to the filing of this opinion letter as an exhibit to the Registration Statement and the reference to us under the heading “Legal Matters” in the Prospectus. In giving this consent, we do not admit that we are within the category of persons whose consent is required under Section 7 of the Securities Act and the rules and regulations of the Commission issued thereunder.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 Vinson &amp; Elkins L.L.P.</w:t>
      </w:r>
    </w:p>
    <w:p>
      <w:pPr>
        <w:sectPr>
          <w:pgSz w:w="11900" w:h="16838" w:orient="portrait"/>
          <w:cols w:equalWidth="0" w:num="1">
            <w:col w:w="10760"/>
          </w:cols>
          <w:pgMar w:left="90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this Pre-Effective Amendment No. 1 to Registration Statement No. 333-202627 on Form S-4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2017</w:t>
      </w:r>
    </w:p>
    <w:p>
      <w:pPr>
        <w:sectPr>
          <w:pgSz w:w="11900" w:h="16838" w:orient="portrait"/>
          <w:cols w:equalWidth="0" w:num="1">
            <w:col w:w="11420"/>
          </w:cols>
          <w:pgMar w:left="240" w:top="11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incorporation by reference in this Amendment No. 1 to Registration No. 333-202627 on Form S-4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2017</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66EF438D"/>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
    <w:nsid w:val="140E0F7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
    <w:nsid w:val="3352255A"/>
    <w:multiLevelType w:val="hybridMultilevel"/>
    <w:lvl w:ilvl="0">
      <w:lvlJc w:val="left"/>
      <w:lvlText w:val="(%1)"/>
      <w:numFmt w:val="lowerLetter"/>
      <w:start w:val="5"/>
    </w:lvl>
    <w:lvl w:ilvl="1">
      <w:lvlJc w:val="left"/>
      <w:lvlText w:val="(%2)"/>
      <w:numFmt w:val="lowerLetter"/>
      <w:start w:val="8"/>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2020-01-16T06:16:06Z</dcterms:created>
  <dcterms:modified xsi:type="dcterms:W3CDTF">2020-01-16T06:16:06Z</dcterms:modified>
</cp:coreProperties>
</file>