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173990</wp:posOffset>
            </wp:positionV>
            <wp:extent cx="1928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10"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47"/>
          <w:szCs w:val="47"/>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-325120</wp:posOffset>
            </wp:positionV>
            <wp:extent cx="1928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 or</w:t>
      </w:r>
    </w:p>
    <w:p>
      <w:pPr>
        <w:ind w:left="600" w:hanging="565"/>
        <w:spacing w:after="0" w:line="227" w:lineRule="auto"/>
        <w:tabs>
          <w:tab w:leader="none" w:pos="600" w:val="left"/>
        </w:tabs>
        <w:numPr>
          <w:ilvl w:val="0"/>
          <w:numId w:val="2"/>
        </w:numPr>
        <w:rPr>
          <w:rFonts w:ascii="MS PGothic" w:cs="MS PGothic" w:eastAsia="MS PGothic" w:hAnsi="MS PGothic"/>
          <w:sz w:val="47"/>
          <w:szCs w:val="47"/>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307" w:lineRule="exact"/>
        <w:rPr>
          <w:sz w:val="24"/>
          <w:szCs w:val="24"/>
          <w:color w:val="auto"/>
        </w:rPr>
      </w:pPr>
    </w:p>
    <w:p>
      <w:pPr>
        <w:ind w:left="332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3619500</wp:posOffset>
            </wp:positionH>
            <wp:positionV relativeFrom="paragraph">
              <wp:posOffset>-7620</wp:posOffset>
            </wp:positionV>
            <wp:extent cx="140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51435</wp:posOffset>
            </wp:positionV>
            <wp:extent cx="1988820"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882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229" w:right="359" w:bottom="1440" w:gutter="0" w:footer="0" w:header="0"/>
        </w:sectPr>
      </w:pPr>
    </w:p>
    <w:p>
      <w:pPr>
        <w:spacing w:after="0" w:line="163" w:lineRule="exact"/>
        <w:rPr>
          <w:sz w:val="24"/>
          <w:szCs w:val="24"/>
          <w:color w:val="auto"/>
        </w:rPr>
      </w:pPr>
    </w:p>
    <w:p>
      <w:pPr>
        <w:ind w:left="39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2840"/>
        <w:spacing w:after="0"/>
        <w:rPr>
          <w:sz w:val="20"/>
          <w:szCs w:val="20"/>
          <w:color w:val="auto"/>
        </w:rPr>
      </w:pPr>
      <w:r>
        <w:rPr>
          <w:rFonts w:ascii="Arial" w:cs="Arial" w:eastAsia="Arial" w:hAnsi="Arial"/>
          <w:sz w:val="12"/>
          <w:szCs w:val="12"/>
          <w:b w:val="1"/>
          <w:bCs w:val="1"/>
          <w:color w:val="auto"/>
        </w:rPr>
        <w:t>74-2540145</w:t>
      </w:r>
    </w:p>
    <w:p>
      <w:pPr>
        <w:spacing w:after="0" w:line="68" w:lineRule="exact"/>
        <w:rPr>
          <w:sz w:val="24"/>
          <w:szCs w:val="24"/>
          <w:color w:val="auto"/>
        </w:rPr>
      </w:pPr>
    </w:p>
    <w:p>
      <w:pPr>
        <w:sectPr>
          <w:pgSz w:w="11900" w:h="16838" w:orient="portrait"/>
          <w:cols w:equalWidth="0" w:num="2">
            <w:col w:w="6980" w:space="720"/>
            <w:col w:w="3520"/>
          </w:cols>
          <w:pgMar w:left="320" w:top="229" w:right="359" w:bottom="1440" w:gutter="0" w:footer="0" w:header="0"/>
          <w:type w:val="continuous"/>
        </w:sectPr>
      </w:pPr>
    </w:p>
    <w:p>
      <w:pPr>
        <w:ind w:left="25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71" w:lineRule="exact"/>
        <w:rPr>
          <w:sz w:val="24"/>
          <w:szCs w:val="24"/>
          <w:color w:val="auto"/>
        </w:rPr>
      </w:pPr>
    </w:p>
    <w:p>
      <w:pPr>
        <w:sectPr>
          <w:pgSz w:w="11900" w:h="16838" w:orient="portrait"/>
          <w:cols w:equalWidth="0" w:num="2">
            <w:col w:w="6280" w:space="720"/>
            <w:col w:w="4220"/>
          </w:cols>
          <w:pgMar w:left="320" w:top="229" w:right="359" w:bottom="1440" w:gutter="0" w:footer="0" w:header="0"/>
          <w:type w:val="continuous"/>
        </w:sectPr>
      </w:pPr>
    </w:p>
    <w:p>
      <w:pPr>
        <w:ind w:left="2060"/>
        <w:spacing w:after="0"/>
        <w:tabs>
          <w:tab w:leader="none" w:pos="3620" w:val="left"/>
          <w:tab w:leader="none" w:pos="4460" w:val="left"/>
          <w:tab w:leader="none" w:pos="5340" w:val="left"/>
          <w:tab w:leader="none" w:pos="6380" w:val="left"/>
        </w:tabs>
        <w:rPr>
          <w:sz w:val="20"/>
          <w:szCs w:val="20"/>
          <w:color w:val="auto"/>
        </w:rPr>
      </w:pPr>
      <w:r>
        <w:rPr>
          <w:rFonts w:ascii="Arial" w:cs="Arial" w:eastAsia="Arial" w:hAnsi="Arial"/>
          <w:sz w:val="14"/>
          <w:szCs w:val="14"/>
          <w:b w:val="1"/>
          <w:bCs w:val="1"/>
          <w:color w:val="auto"/>
        </w:rPr>
        <w:t>2500 Bee Cave Road</w:t>
      </w:r>
      <w:r>
        <w:rPr>
          <w:sz w:val="20"/>
          <w:szCs w:val="20"/>
          <w:color w:val="auto"/>
        </w:rPr>
        <w:tab/>
      </w:r>
      <w:r>
        <w:rPr>
          <w:rFonts w:ascii="Arial" w:cs="Arial" w:eastAsia="Arial" w:hAnsi="Arial"/>
          <w:sz w:val="14"/>
          <w:szCs w:val="14"/>
          <w:b w:val="1"/>
          <w:bCs w:val="1"/>
          <w:color w:val="auto"/>
        </w:rPr>
        <w:t>Bldg One</w:t>
      </w:r>
      <w:r>
        <w:rPr>
          <w:sz w:val="20"/>
          <w:szCs w:val="20"/>
          <w:color w:val="auto"/>
        </w:rPr>
        <w:tab/>
      </w:r>
      <w:r>
        <w:rPr>
          <w:rFonts w:ascii="Arial" w:cs="Arial" w:eastAsia="Arial" w:hAnsi="Arial"/>
          <w:sz w:val="14"/>
          <w:szCs w:val="14"/>
          <w:b w:val="1"/>
          <w:bCs w:val="1"/>
          <w:color w:val="auto"/>
        </w:rPr>
        <w:t>Suite 200</w:t>
      </w:r>
      <w:r>
        <w:rPr>
          <w:sz w:val="20"/>
          <w:szCs w:val="20"/>
          <w:color w:val="auto"/>
        </w:rPr>
        <w:tab/>
      </w:r>
      <w:r>
        <w:rPr>
          <w:rFonts w:ascii="Arial" w:cs="Arial" w:eastAsia="Arial" w:hAnsi="Arial"/>
          <w:sz w:val="14"/>
          <w:szCs w:val="14"/>
          <w:b w:val="1"/>
          <w:bCs w:val="1"/>
          <w:color w:val="auto"/>
        </w:rPr>
        <w:t>Rollingwood</w:t>
      </w:r>
      <w:r>
        <w:rPr>
          <w:sz w:val="20"/>
          <w:szCs w:val="20"/>
          <w:color w:val="auto"/>
        </w:rPr>
        <w:tab/>
      </w:r>
      <w:r>
        <w:rPr>
          <w:rFonts w:ascii="Arial" w:cs="Arial" w:eastAsia="Arial" w:hAnsi="Arial"/>
          <w:sz w:val="14"/>
          <w:szCs w:val="14"/>
          <w:b w:val="1"/>
          <w:bCs w:val="1"/>
          <w:color w:val="auto"/>
        </w:rPr>
        <w:t>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78746</w:t>
      </w:r>
    </w:p>
    <w:p>
      <w:pPr>
        <w:spacing w:after="0" w:line="69" w:lineRule="exact"/>
        <w:rPr>
          <w:sz w:val="24"/>
          <w:szCs w:val="24"/>
          <w:color w:val="auto"/>
        </w:rPr>
      </w:pPr>
    </w:p>
    <w:p>
      <w:pPr>
        <w:sectPr>
          <w:pgSz w:w="11900" w:h="16838" w:orient="portrait"/>
          <w:cols w:equalWidth="0" w:num="2">
            <w:col w:w="7140" w:space="720"/>
            <w:col w:w="3360"/>
          </w:cols>
          <w:pgMar w:left="320" w:top="229" w:right="359" w:bottom="1440" w:gutter="0" w:footer="0" w:header="0"/>
          <w:type w:val="continuous"/>
        </w:sectPr>
      </w:pPr>
    </w:p>
    <w:p>
      <w:pPr>
        <w:ind w:left="31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57" w:lineRule="exact"/>
        <w:rPr>
          <w:sz w:val="24"/>
          <w:szCs w:val="24"/>
          <w:color w:val="auto"/>
        </w:rPr>
      </w:pPr>
    </w:p>
    <w:p>
      <w:pPr>
        <w:sectPr>
          <w:pgSz w:w="11900" w:h="16838" w:orient="portrait"/>
          <w:cols w:equalWidth="0" w:num="2">
            <w:col w:w="7000" w:space="720"/>
            <w:col w:w="3500"/>
          </w:cols>
          <w:pgMar w:left="320" w:top="229" w:right="35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118110</wp:posOffset>
            </wp:positionV>
            <wp:extent cx="2357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6"/>
                <w:szCs w:val="16"/>
                <w:color w:val="auto"/>
              </w:rPr>
            </w:pPr>
          </w:p>
        </w:tc>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Name of each exchange on which registered</w:t>
            </w:r>
          </w:p>
        </w:tc>
        <w:tc>
          <w:tcPr>
            <w:tcW w:w="3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w:t>
            </w:r>
          </w:p>
        </w:tc>
        <w:tc>
          <w:tcPr>
            <w:tcW w:w="1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EZPW</w:t>
            </w:r>
          </w:p>
        </w:tc>
        <w:tc>
          <w:tcPr>
            <w:tcW w:w="2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NASDAQ Stock Market</w:t>
            </w:r>
          </w:p>
        </w:tc>
        <w:tc>
          <w:tcPr>
            <w:tcW w:w="3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r>
        <w:trPr>
          <w:trHeight w:val="186"/>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90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3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1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61" w:lineRule="exact"/>
        <w:rPr>
          <w:sz w:val="24"/>
          <w:szCs w:val="24"/>
          <w:color w:val="auto"/>
        </w:rPr>
      </w:pPr>
    </w:p>
    <w:tbl>
      <w:tblPr>
        <w:tblLayout w:type="fixed"/>
        <w:tblInd w:w="188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9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9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02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9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1360" w:type="dxa"/>
            <w:vAlign w:val="bottom"/>
          </w:tcPr>
          <w:p>
            <w:pPr>
              <w:ind w:left="12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5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3"/>
          <w:szCs w:val="13"/>
          <w:color w:val="auto"/>
        </w:rPr>
        <w:t>The only class of voting securities of the registrant issued and outstanding is the Class B Voting Common Stock, par value $.01 per share, all of which is owned by an affiliate of the registrant.</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There is no trading market for the Class B Voting Common Stock.</w:t>
      </w:r>
    </w:p>
    <w:p>
      <w:pPr>
        <w:spacing w:after="0" w:line="205" w:lineRule="exact"/>
        <w:rPr>
          <w:sz w:val="24"/>
          <w:szCs w:val="24"/>
          <w:color w:val="auto"/>
        </w:rPr>
      </w:pPr>
    </w:p>
    <w:p>
      <w:pPr>
        <w:ind w:right="60"/>
        <w:spacing w:after="0" w:line="273" w:lineRule="auto"/>
        <w:rPr>
          <w:sz w:val="20"/>
          <w:szCs w:val="20"/>
          <w:color w:val="auto"/>
        </w:rPr>
      </w:pPr>
      <w:r>
        <w:rPr>
          <w:rFonts w:ascii="Arial" w:cs="Arial" w:eastAsia="Arial" w:hAnsi="Arial"/>
          <w:sz w:val="14"/>
          <w:szCs w:val="14"/>
          <w:color w:val="auto"/>
        </w:rPr>
        <w:t>As of July 27, 2020, 52,097,590 shares of the registrant’s Class A Non-voting Common Stock ("Class A Common Stock"), par value $.01 per share, and 2,970,171 shares of the registrant’s Class B Voting Common Stock, par value $.01 per share, were outstanding.</w:t>
      </w:r>
    </w:p>
    <w:p>
      <w:pPr>
        <w:sectPr>
          <w:pgSz w:w="11900" w:h="16838" w:orient="portrait"/>
          <w:cols w:equalWidth="0" w:num="1">
            <w:col w:w="11220"/>
          </w:cols>
          <w:pgMar w:left="320" w:top="22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2"/>
        </w:trPr>
        <w:tc>
          <w:tcPr>
            <w:tcW w:w="10480" w:type="dxa"/>
            <w:vAlign w:val="bottom"/>
            <w:gridSpan w:val="4"/>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740" w:type="dxa"/>
            <w:vAlign w:val="bottom"/>
          </w:tcPr>
          <w:p>
            <w:pPr>
              <w:spacing w:after="0"/>
              <w:rPr>
                <w:sz w:val="15"/>
                <w:szCs w:val="15"/>
                <w:color w:val="auto"/>
              </w:rPr>
            </w:pPr>
          </w:p>
        </w:tc>
      </w:tr>
      <w:tr>
        <w:trPr>
          <w:trHeight w:val="431"/>
        </w:trPr>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0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EZCORP, Inc.</w:t>
            </w:r>
          </w:p>
        </w:tc>
        <w:tc>
          <w:tcPr>
            <w:tcW w:w="740" w:type="dxa"/>
            <w:vAlign w:val="bottom"/>
          </w:tcPr>
          <w:p>
            <w:pPr>
              <w:spacing w:after="0"/>
              <w:rPr>
                <w:sz w:val="24"/>
                <w:szCs w:val="24"/>
                <w:color w:val="auto"/>
              </w:rPr>
            </w:pPr>
          </w:p>
        </w:tc>
      </w:tr>
      <w:tr>
        <w:trPr>
          <w:trHeight w:val="378"/>
        </w:trPr>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5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rPr>
              <w:t>INDEX TO FORM 10-Q</w:t>
            </w:r>
          </w:p>
        </w:tc>
        <w:tc>
          <w:tcPr>
            <w:tcW w:w="740" w:type="dxa"/>
            <w:vAlign w:val="bottom"/>
          </w:tcPr>
          <w:p>
            <w:pPr>
              <w:spacing w:after="0"/>
              <w:rPr>
                <w:sz w:val="24"/>
                <w:szCs w:val="24"/>
                <w:color w:val="auto"/>
              </w:rPr>
            </w:pPr>
          </w:p>
        </w:tc>
      </w:tr>
      <w:tr>
        <w:trPr>
          <w:trHeight w:val="378"/>
        </w:trPr>
        <w:tc>
          <w:tcPr>
            <w:tcW w:w="10480" w:type="dxa"/>
            <w:vAlign w:val="bottom"/>
            <w:gridSpan w:val="4"/>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740" w:type="dxa"/>
            <w:vAlign w:val="bottom"/>
          </w:tcPr>
          <w:p>
            <w:pPr>
              <w:spacing w:after="0"/>
              <w:rPr>
                <w:sz w:val="24"/>
                <w:szCs w:val="24"/>
                <w:color w:val="auto"/>
              </w:rPr>
            </w:pPr>
          </w:p>
        </w:tc>
      </w:tr>
      <w:tr>
        <w:trPr>
          <w:trHeight w:val="392"/>
        </w:trPr>
        <w:tc>
          <w:tcPr>
            <w:tcW w:w="10480" w:type="dxa"/>
            <w:vAlign w:val="bottom"/>
            <w:gridSpan w:val="4"/>
          </w:tcPr>
          <w:p>
            <w:pPr>
              <w:ind w:left="380"/>
              <w:spacing w:after="0"/>
              <w:rPr>
                <w:rFonts w:ascii="Arial" w:cs="Arial" w:eastAsia="Arial" w:hAnsi="Arial"/>
                <w:sz w:val="18"/>
                <w:szCs w:val="18"/>
                <w:i w:val="1"/>
                <w:iCs w:val="1"/>
                <w:u w:val="single" w:color="auto"/>
                <w:color w:val="0000EE"/>
              </w:rPr>
            </w:pPr>
            <w:hyperlink w:anchor="page3">
              <w:r>
                <w:rPr>
                  <w:rFonts w:ascii="Arial" w:cs="Arial" w:eastAsia="Arial" w:hAnsi="Arial"/>
                  <w:sz w:val="18"/>
                  <w:szCs w:val="18"/>
                  <w:i w:val="1"/>
                  <w:iCs w:val="1"/>
                  <w:u w:val="single" w:color="auto"/>
                  <w:color w:val="0000EE"/>
                </w:rPr>
                <w:t>Item 1. Financial Statements</w:t>
              </w:r>
            </w:hyperlink>
          </w:p>
        </w:tc>
        <w:tc>
          <w:tcPr>
            <w:tcW w:w="740" w:type="dxa"/>
            <w:vAlign w:val="bottom"/>
          </w:tcPr>
          <w:p>
            <w:pPr>
              <w:spacing w:after="0"/>
              <w:rPr>
                <w:sz w:val="24"/>
                <w:szCs w:val="24"/>
                <w:color w:val="auto"/>
              </w:rPr>
            </w:pPr>
          </w:p>
        </w:tc>
      </w:tr>
      <w:tr>
        <w:trPr>
          <w:trHeight w:val="392"/>
        </w:trPr>
        <w:tc>
          <w:tcPr>
            <w:tcW w:w="700" w:type="dxa"/>
            <w:vAlign w:val="bottom"/>
          </w:tcPr>
          <w:p>
            <w:pPr>
              <w:spacing w:after="0"/>
              <w:rPr>
                <w:sz w:val="24"/>
                <w:szCs w:val="24"/>
                <w:color w:val="auto"/>
              </w:rPr>
            </w:pPr>
          </w:p>
        </w:tc>
        <w:tc>
          <w:tcPr>
            <w:tcW w:w="9780" w:type="dxa"/>
            <w:vAlign w:val="bottom"/>
            <w:gridSpan w:val="3"/>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2019 and September 30, 2019 (Unaudited)</w:t>
              </w:r>
            </w:hyperlink>
          </w:p>
        </w:tc>
        <w:tc>
          <w:tcPr>
            <w:tcW w:w="74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20"/>
              <w:spacing w:after="0"/>
              <w:rPr>
                <w:rFonts w:ascii="Arial" w:cs="Arial" w:eastAsia="Arial" w:hAnsi="Arial"/>
                <w:sz w:val="18"/>
                <w:szCs w:val="18"/>
                <w:u w:val="single" w:color="auto"/>
                <w:color w:val="0000EE"/>
                <w:w w:val="95"/>
              </w:rPr>
            </w:pPr>
            <w:hyperlink w:anchor="page4">
              <w:r>
                <w:rPr>
                  <w:rFonts w:ascii="Arial" w:cs="Arial" w:eastAsia="Arial" w:hAnsi="Arial"/>
                  <w:sz w:val="18"/>
                  <w:szCs w:val="18"/>
                  <w:u w:val="single" w:color="auto"/>
                  <w:color w:val="0000EE"/>
                  <w:w w:val="95"/>
                </w:rPr>
                <w:t>Condensed Consolidated Statements of Operations for the Three and Nine Months Ended June 30, 2020 and 2019 (Unaudited)</w:t>
              </w:r>
            </w:hyperlink>
          </w:p>
        </w:tc>
        <w:tc>
          <w:tcPr>
            <w:tcW w:w="74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351"/>
        </w:trPr>
        <w:tc>
          <w:tcPr>
            <w:tcW w:w="700" w:type="dxa"/>
            <w:vAlign w:val="bottom"/>
          </w:tcPr>
          <w:p>
            <w:pPr>
              <w:spacing w:after="0"/>
              <w:rPr>
                <w:sz w:val="24"/>
                <w:szCs w:val="24"/>
                <w:color w:val="auto"/>
              </w:rPr>
            </w:pPr>
          </w:p>
        </w:tc>
        <w:tc>
          <w:tcPr>
            <w:tcW w:w="9240" w:type="dxa"/>
            <w:vAlign w:val="bottom"/>
            <w:tcBorders>
              <w:bottom w:val="single" w:sz="8" w:color="0000EE"/>
            </w:tcBorders>
            <w:gridSpan w:val="2"/>
          </w:tcPr>
          <w:p>
            <w:pPr>
              <w:ind w:left="20"/>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Income for the Three and Nine Months Ended June 30, 2020 and</w:t>
              </w:r>
            </w:hyperlink>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9780" w:type="dxa"/>
            <w:vAlign w:val="bottom"/>
            <w:gridSpan w:val="3"/>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(Unaudited)</w:t>
              </w:r>
            </w:hyperlink>
          </w:p>
        </w:tc>
        <w:tc>
          <w:tcPr>
            <w:tcW w:w="740" w:type="dxa"/>
            <w:vAlign w:val="bottom"/>
          </w:tcPr>
          <w:p>
            <w:pPr>
              <w:jc w:val="right"/>
              <w:spacing w:after="0" w:line="19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0"/>
        </w:trPr>
        <w:tc>
          <w:tcPr>
            <w:tcW w:w="7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700" w:type="dxa"/>
            <w:vAlign w:val="bottom"/>
          </w:tcPr>
          <w:p>
            <w:pPr>
              <w:spacing w:after="0"/>
              <w:rPr>
                <w:sz w:val="24"/>
                <w:szCs w:val="24"/>
                <w:color w:val="auto"/>
              </w:rPr>
            </w:pPr>
          </w:p>
        </w:tc>
        <w:tc>
          <w:tcPr>
            <w:tcW w:w="9780" w:type="dxa"/>
            <w:vAlign w:val="bottom"/>
            <w:gridSpan w:val="3"/>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Stockholders’ Equity for the Periods Ended June 30, 2020 and 2019 (Unaudited)</w:t>
              </w:r>
            </w:hyperlink>
          </w:p>
        </w:tc>
        <w:tc>
          <w:tcPr>
            <w:tcW w:w="7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Nine Months Ended June 30, 2020 and 2019 (Unaudited)</w:t>
              </w:r>
            </w:hyperlink>
          </w:p>
        </w:tc>
        <w:tc>
          <w:tcPr>
            <w:tcW w:w="74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Interim Condensed Consolidated Financial Statements (Unaudited)</w:t>
              </w:r>
            </w:hyperlink>
          </w:p>
        </w:tc>
        <w:tc>
          <w:tcPr>
            <w:tcW w:w="74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 1: Organization and Summary of Significant Accounting Policies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 2: Goodwill</w:t>
              </w:r>
            </w:hyperlink>
          </w:p>
        </w:tc>
        <w:tc>
          <w:tcPr>
            <w:tcW w:w="74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391"/>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 3: Acquisitions</w:t>
              </w:r>
            </w:hyperlink>
          </w:p>
        </w:tc>
        <w:tc>
          <w:tcPr>
            <w:tcW w:w="74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 4: Earnings Per Share</w:t>
              </w:r>
            </w:hyperlink>
          </w:p>
        </w:tc>
        <w:tc>
          <w:tcPr>
            <w:tcW w:w="74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10</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 5: Leases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10</w:t>
              </w:r>
            </w:hyperlink>
          </w:p>
        </w:tc>
      </w:tr>
      <w:tr>
        <w:trPr>
          <w:trHeight w:val="391"/>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Note 6: Strategic Investments</w:t>
              </w:r>
            </w:hyperlink>
          </w:p>
        </w:tc>
        <w:tc>
          <w:tcPr>
            <w:tcW w:w="74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Note 7: Fair Value Measurements</w:t>
              </w:r>
            </w:hyperlink>
          </w:p>
        </w:tc>
        <w:tc>
          <w:tcPr>
            <w:tcW w:w="74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12</w:t>
              </w:r>
            </w:hyperlink>
          </w:p>
        </w:tc>
      </w:tr>
      <w:tr>
        <w:trPr>
          <w:trHeight w:val="391"/>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Note 8: Debt</w:t>
              </w:r>
            </w:hyperlink>
          </w:p>
        </w:tc>
        <w:tc>
          <w:tcPr>
            <w:tcW w:w="74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14</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 9: Stock Compensation</w:t>
              </w:r>
            </w:hyperlink>
          </w:p>
        </w:tc>
        <w:tc>
          <w:tcPr>
            <w:tcW w:w="74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391"/>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 10: Income Taxes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 11: Contingencies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r>
      <w:tr>
        <w:trPr>
          <w:trHeight w:val="391"/>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Note 12: Segment Information</w:t>
              </w:r>
            </w:hyperlink>
          </w:p>
        </w:tc>
        <w:tc>
          <w:tcPr>
            <w:tcW w:w="74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18</w:t>
              </w:r>
            </w:hyperlink>
          </w:p>
        </w:tc>
      </w:tr>
      <w:tr>
        <w:trPr>
          <w:trHeight w:val="392"/>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Note 13: Supplemental Consolidated Financial Information</w:t>
              </w:r>
            </w:hyperlink>
          </w:p>
        </w:tc>
        <w:tc>
          <w:tcPr>
            <w:tcW w:w="74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391"/>
        </w:trPr>
        <w:tc>
          <w:tcPr>
            <w:tcW w:w="700" w:type="dxa"/>
            <w:vAlign w:val="bottom"/>
          </w:tcPr>
          <w:p>
            <w:pPr>
              <w:spacing w:after="0"/>
              <w:rPr>
                <w:sz w:val="24"/>
                <w:szCs w:val="24"/>
                <w:color w:val="auto"/>
              </w:rPr>
            </w:pPr>
          </w:p>
        </w:tc>
        <w:tc>
          <w:tcPr>
            <w:tcW w:w="9780" w:type="dxa"/>
            <w:vAlign w:val="bottom"/>
            <w:gridSpan w:val="3"/>
          </w:tcPr>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Note 14: Subsequent Events</w:t>
              </w:r>
            </w:hyperlink>
          </w:p>
        </w:tc>
        <w:tc>
          <w:tcPr>
            <w:tcW w:w="74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392"/>
        </w:trPr>
        <w:tc>
          <w:tcPr>
            <w:tcW w:w="10480" w:type="dxa"/>
            <w:vAlign w:val="bottom"/>
            <w:gridSpan w:val="4"/>
          </w:tcPr>
          <w:p>
            <w:pPr>
              <w:ind w:left="3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 Management’s Discussion and Analysis of Financial Condition and Results of Operations</w:t>
              </w:r>
            </w:hyperlink>
          </w:p>
        </w:tc>
        <w:tc>
          <w:tcPr>
            <w:tcW w:w="74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391"/>
        </w:trPr>
        <w:tc>
          <w:tcPr>
            <w:tcW w:w="10480" w:type="dxa"/>
            <w:vAlign w:val="bottom"/>
            <w:gridSpan w:val="4"/>
          </w:tcPr>
          <w:p>
            <w:pPr>
              <w:ind w:left="3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3. Quantitative and Qualitative Disclosures about Market Risk</w:t>
              </w:r>
            </w:hyperlink>
          </w:p>
        </w:tc>
        <w:tc>
          <w:tcPr>
            <w:tcW w:w="74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392"/>
        </w:trPr>
        <w:tc>
          <w:tcPr>
            <w:tcW w:w="10480" w:type="dxa"/>
            <w:vAlign w:val="bottom"/>
            <w:gridSpan w:val="4"/>
          </w:tcPr>
          <w:p>
            <w:pPr>
              <w:ind w:left="3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 Controls and Procedures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41</w:t>
              </w:r>
            </w:hyperlink>
          </w:p>
        </w:tc>
      </w:tr>
      <w:tr>
        <w:trPr>
          <w:trHeight w:val="391"/>
        </w:trPr>
        <w:tc>
          <w:tcPr>
            <w:tcW w:w="10480" w:type="dxa"/>
            <w:vAlign w:val="bottom"/>
            <w:gridSpan w:val="4"/>
          </w:tcPr>
          <w:p>
            <w:pPr>
              <w:ind w:left="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PART II — OTHER INFORMATION</w:t>
              </w:r>
            </w:hyperlink>
          </w:p>
        </w:tc>
        <w:tc>
          <w:tcPr>
            <w:tcW w:w="740" w:type="dxa"/>
            <w:vAlign w:val="bottom"/>
          </w:tcPr>
          <w:p>
            <w:pPr>
              <w:spacing w:after="0"/>
              <w:rPr>
                <w:sz w:val="24"/>
                <w:szCs w:val="24"/>
                <w:color w:val="auto"/>
              </w:rPr>
            </w:pPr>
          </w:p>
        </w:tc>
      </w:tr>
      <w:tr>
        <w:trPr>
          <w:trHeight w:val="391"/>
        </w:trPr>
        <w:tc>
          <w:tcPr>
            <w:tcW w:w="10480" w:type="dxa"/>
            <w:vAlign w:val="bottom"/>
            <w:gridSpan w:val="4"/>
          </w:tcPr>
          <w:p>
            <w:pPr>
              <w:ind w:left="3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 Legal Proceedings</w:t>
              </w:r>
            </w:hyperlink>
          </w:p>
        </w:tc>
        <w:tc>
          <w:tcPr>
            <w:tcW w:w="74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42</w:t>
              </w:r>
            </w:hyperlink>
          </w:p>
        </w:tc>
      </w:tr>
      <w:tr>
        <w:trPr>
          <w:trHeight w:val="391"/>
        </w:trPr>
        <w:tc>
          <w:tcPr>
            <w:tcW w:w="10480" w:type="dxa"/>
            <w:vAlign w:val="bottom"/>
            <w:gridSpan w:val="4"/>
          </w:tcPr>
          <w:p>
            <w:pPr>
              <w:ind w:left="3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1A. Risk Factors</w:t>
              </w:r>
            </w:hyperlink>
          </w:p>
        </w:tc>
        <w:tc>
          <w:tcPr>
            <w:tcW w:w="74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391"/>
        </w:trPr>
        <w:tc>
          <w:tcPr>
            <w:tcW w:w="10480" w:type="dxa"/>
            <w:vAlign w:val="bottom"/>
            <w:gridSpan w:val="4"/>
          </w:tcPr>
          <w:p>
            <w:pPr>
              <w:ind w:left="3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6. Exhibits</w:t>
              </w:r>
            </w:hyperlink>
          </w:p>
        </w:tc>
        <w:tc>
          <w:tcPr>
            <w:tcW w:w="74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tc>
      </w:tr>
      <w:tr>
        <w:trPr>
          <w:trHeight w:val="391"/>
        </w:trPr>
        <w:tc>
          <w:tcPr>
            <w:tcW w:w="10480" w:type="dxa"/>
            <w:vAlign w:val="bottom"/>
            <w:gridSpan w:val="4"/>
          </w:tcPr>
          <w:p>
            <w:pPr>
              <w:ind w:left="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SIGNATURES</w:t>
              </w:r>
            </w:hyperlink>
          </w:p>
        </w:tc>
        <w:tc>
          <w:tcPr>
            <w:tcW w:w="740" w:type="dxa"/>
            <w:vAlign w:val="bottom"/>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44</w:t>
              </w:r>
            </w:hyperlink>
          </w:p>
        </w:tc>
      </w:tr>
    </w:tbl>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980" w:type="dxa"/>
            <w:vAlign w:val="bottom"/>
          </w:tcPr>
          <w:p>
            <w:pPr>
              <w:jc w:val="right"/>
              <w:ind w:right="109"/>
              <w:spacing w:after="0"/>
              <w:rPr>
                <w:sz w:val="20"/>
                <w:szCs w:val="20"/>
                <w:color w:val="auto"/>
              </w:rPr>
            </w:pPr>
            <w:r>
              <w:rPr>
                <w:rFonts w:ascii="Arial" w:cs="Arial" w:eastAsia="Arial" w:hAnsi="Arial"/>
                <w:sz w:val="13"/>
                <w:szCs w:val="13"/>
                <w:b w:val="1"/>
                <w:bCs w:val="1"/>
                <w:color w:val="auto"/>
                <w:w w:val="87"/>
              </w:rPr>
              <w:t>September 30,</w:t>
            </w:r>
          </w:p>
        </w:tc>
      </w:tr>
      <w:tr>
        <w:trPr>
          <w:trHeight w:val="174"/>
        </w:trPr>
        <w:tc>
          <w:tcPr>
            <w:tcW w:w="7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r>
      <w:tr>
        <w:trPr>
          <w:trHeight w:val="384"/>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8"/>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311,130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138,922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157,567</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4,875</w:t>
            </w: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Pawn loans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113,290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190,299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199,058</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Pawn service charges receivable, net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17,432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29,847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31,802</w:t>
            </w: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Inventory,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123,112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175,802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179,355</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Notes receivable, net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3,866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16,166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7,182</w:t>
            </w:r>
          </w:p>
        </w:tc>
      </w:tr>
      <w:tr>
        <w:trPr>
          <w:trHeight w:val="270"/>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25,754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37,365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25,921</w:t>
            </w:r>
          </w:p>
        </w:tc>
      </w:tr>
      <w:tr>
        <w:trPr>
          <w:trHeight w:val="250"/>
        </w:trPr>
        <w:tc>
          <w:tcPr>
            <w:tcW w:w="764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598,584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588,401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605,760</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29,483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30,922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34,516</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58,098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66,214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67,357</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right-of-use asset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204,591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257,326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300,700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300,527</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65,003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63,646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68,044</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Notes receivable, net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10,912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1,117</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asset,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5,505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1,998</w:t>
            </w:r>
          </w:p>
        </w:tc>
      </w:tr>
      <w:tr>
        <w:trPr>
          <w:trHeight w:val="264"/>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4,572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4,472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4,383</w:t>
            </w: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1,224,302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1,069,223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1,083,702</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8"/>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and equity:</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maturities of long-term debt, net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214</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Accounts payable, accrued expenses and other current liabilities</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58,358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59,981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77,957</w:t>
            </w: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Customer layaway deposits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11,902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12,915</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Lease liability</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48,840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56"/>
        </w:trPr>
        <w:tc>
          <w:tcPr>
            <w:tcW w:w="76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119,368</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72,946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91,086</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Long-term debt, net</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247,618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235,449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238,380</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liability,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1,985</w:t>
            </w: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Lease liability</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167,716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7,523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5,990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7,302</w:t>
            </w:r>
          </w:p>
        </w:tc>
      </w:tr>
      <w:tr>
        <w:trPr>
          <w:trHeight w:val="250"/>
        </w:trPr>
        <w:tc>
          <w:tcPr>
            <w:tcW w:w="7640" w:type="dxa"/>
            <w:vAlign w:val="bottom"/>
          </w:tcPr>
          <w:p>
            <w:pPr>
              <w:ind w:left="72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544,390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321,907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338,753</w:t>
            </w:r>
          </w:p>
        </w:tc>
      </w:tr>
      <w:tr>
        <w:trPr>
          <w:trHeight w:val="276"/>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contingencies (Note 11)</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640" w:type="dxa"/>
            <w:vAlign w:val="bottom"/>
          </w:tcPr>
          <w:p>
            <w:pPr>
              <w:ind w:left="28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63"/>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7"/>
              </w:rPr>
              <w:t>Class A Non-voting Common Stock, par value $.01 per share; shares authorized: 100 million; issued and outstanding:</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4"/>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52,097,590 as of June 30, 2020; 52,475,070 as of June 30, 2019; and 52,565,064 as of September 30, 2019</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w:t>
            </w:r>
          </w:p>
        </w:tc>
      </w:tr>
      <w:tr>
        <w:trPr>
          <w:trHeight w:val="157"/>
        </w:trPr>
        <w:tc>
          <w:tcPr>
            <w:tcW w:w="7640" w:type="dxa"/>
            <w:vAlign w:val="bottom"/>
          </w:tcPr>
          <w:p>
            <w:pPr>
              <w:ind w:left="500"/>
              <w:spacing w:after="0" w:line="157" w:lineRule="exact"/>
              <w:rPr>
                <w:sz w:val="20"/>
                <w:szCs w:val="20"/>
                <w:color w:val="auto"/>
              </w:rPr>
            </w:pPr>
            <w:r>
              <w:rPr>
                <w:rFonts w:ascii="Arial" w:cs="Arial" w:eastAsia="Arial" w:hAnsi="Arial"/>
                <w:sz w:val="14"/>
                <w:szCs w:val="14"/>
                <w:color w:val="auto"/>
                <w:w w:val="93"/>
              </w:rPr>
              <w:t>Class B Voting Common Stock, convertible, par value $.01 per share; shares authorized: 3 million; issued and outstanding:</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8"/>
        </w:trPr>
        <w:tc>
          <w:tcPr>
            <w:tcW w:w="7640" w:type="dxa"/>
            <w:vAlign w:val="bottom"/>
          </w:tcPr>
          <w:p>
            <w:pPr>
              <w:ind w:left="500"/>
              <w:spacing w:after="0"/>
              <w:rPr>
                <w:sz w:val="20"/>
                <w:szCs w:val="20"/>
                <w:color w:val="auto"/>
              </w:rPr>
            </w:pPr>
            <w:r>
              <w:rPr>
                <w:rFonts w:ascii="Arial" w:cs="Arial" w:eastAsia="Arial" w:hAnsi="Arial"/>
                <w:sz w:val="14"/>
                <w:szCs w:val="14"/>
                <w:color w:val="auto"/>
              </w:rPr>
              <w:t>2,970,171</w:t>
            </w:r>
          </w:p>
        </w:tc>
        <w:tc>
          <w:tcPr>
            <w:tcW w:w="22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30</w:t>
            </w:r>
          </w:p>
        </w:tc>
      </w:tr>
      <w:tr>
        <w:trPr>
          <w:trHeight w:val="276"/>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408,601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404,880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407,628</w:t>
            </w:r>
          </w:p>
        </w:tc>
      </w:tr>
      <w:tr>
        <w:trPr>
          <w:trHeight w:val="264"/>
        </w:trPr>
        <w:tc>
          <w:tcPr>
            <w:tcW w:w="7640" w:type="dxa"/>
            <w:vAlign w:val="bottom"/>
          </w:tcPr>
          <w:p>
            <w:pPr>
              <w:ind w:left="50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22"/>
                <w:szCs w:val="22"/>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341,517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389,808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389,163</w:t>
            </w:r>
          </w:p>
        </w:tc>
      </w:tr>
      <w:tr>
        <w:trPr>
          <w:trHeight w:val="270"/>
        </w:trPr>
        <w:tc>
          <w:tcPr>
            <w:tcW w:w="76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(70,757)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(47,926)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(52,398)</w:t>
            </w:r>
          </w:p>
        </w:tc>
      </w:tr>
      <w:tr>
        <w:trPr>
          <w:trHeight w:val="250"/>
        </w:trPr>
        <w:tc>
          <w:tcPr>
            <w:tcW w:w="76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equity</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679,912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747,316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744,949</w:t>
            </w: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1,224,302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1,069,223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1,083,702</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240"/>
          </w:cols>
          <w:pgMar w:left="320" w:top="121"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8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263"/>
        </w:trPr>
        <w:tc>
          <w:tcPr>
            <w:tcW w:w="55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r>
      <w:tr>
        <w:trPr>
          <w:trHeight w:val="379"/>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8"/>
        </w:trPr>
        <w:tc>
          <w:tcPr>
            <w:tcW w:w="5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6"/>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136,537</w:t>
            </w:r>
          </w:p>
        </w:tc>
        <w:tc>
          <w:tcPr>
            <w:tcW w:w="12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103,902</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393,095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346,186</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20,303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37,873</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52,460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78,980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217,407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244,298</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4,533</w:t>
            </w:r>
          </w:p>
        </w:tc>
      </w:tr>
      <w:tr>
        <w:trPr>
          <w:trHeight w:val="217"/>
        </w:trPr>
        <w:tc>
          <w:tcPr>
            <w:tcW w:w="552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210,233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202,465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655,951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632,890</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Merchandise 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91,859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261,711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225,183</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16,158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15,765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33,529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32,648</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cost of revenues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w:t>
            </w:r>
          </w:p>
        </w:tc>
      </w:tr>
      <w:tr>
        <w:trPr>
          <w:trHeight w:val="217"/>
        </w:trPr>
        <w:tc>
          <w:tcPr>
            <w:tcW w:w="5520" w:type="dxa"/>
            <w:vAlign w:val="bottom"/>
          </w:tcPr>
          <w:p>
            <w:pPr>
              <w:ind w:left="500"/>
              <w:spacing w:after="0"/>
              <w:rPr>
                <w:sz w:val="20"/>
                <w:szCs w:val="20"/>
                <w:color w:val="auto"/>
              </w:rPr>
            </w:pPr>
            <w:r>
              <w:rPr>
                <w:rFonts w:ascii="Arial" w:cs="Arial" w:eastAsia="Arial" w:hAnsi="Arial"/>
                <w:sz w:val="16"/>
                <w:szCs w:val="16"/>
                <w:color w:val="auto"/>
              </w:rPr>
              <w:t>Net revenues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102,184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115,853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359,618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373,592</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Operations</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83,838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86,095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262,835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266,737</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46,797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41,814</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Impairment of goodwill and intangible assets</w:t>
            </w:r>
          </w:p>
        </w:tc>
        <w:tc>
          <w:tcPr>
            <w:tcW w:w="3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47,060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21,114</w:t>
            </w: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Loss on sale or disposal of assets and other</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3,643</w:t>
            </w:r>
          </w:p>
        </w:tc>
      </w:tr>
      <w:tr>
        <w:trPr>
          <w:trHeight w:val="33"/>
        </w:trPr>
        <w:tc>
          <w:tcPr>
            <w:tcW w:w="5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106,460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333,308</w:t>
            </w:r>
          </w:p>
        </w:tc>
      </w:tr>
      <w:tr>
        <w:trPr>
          <w:trHeight w:val="217"/>
        </w:trPr>
        <w:tc>
          <w:tcPr>
            <w:tcW w:w="5520" w:type="dxa"/>
            <w:vAlign w:val="bottom"/>
          </w:tcPr>
          <w:p>
            <w:pPr>
              <w:ind w:left="720"/>
              <w:spacing w:after="0"/>
              <w:rPr>
                <w:sz w:val="20"/>
                <w:szCs w:val="20"/>
                <w:color w:val="auto"/>
              </w:rPr>
            </w:pPr>
            <w:r>
              <w:rPr>
                <w:rFonts w:ascii="Arial" w:cs="Arial" w:eastAsia="Arial" w:hAnsi="Arial"/>
                <w:sz w:val="16"/>
                <w:szCs w:val="16"/>
                <w:color w:val="auto"/>
              </w:rPr>
              <w:t>Operating (loss) income</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8,795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(21,508)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40,284</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27,212</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(9,637)</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Impairment of investment in unconsolidated affiliates</w:t>
            </w:r>
          </w:p>
        </w:tc>
        <w:tc>
          <w:tcPr>
            <w:tcW w:w="3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19,725</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(Loss) income from continuing operations before income taxes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(10,218)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3,459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(41,299)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3,737</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w:t>
            </w: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(Loss) income from continuing operations, net of tax</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(5,467)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3,361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(45,056)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2,360</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(45,123)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1,956</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r>
      <w:tr>
        <w:trPr>
          <w:trHeight w:val="28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3,158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(45,123)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3,186</w:t>
            </w:r>
          </w:p>
        </w:tc>
      </w:tr>
      <w:tr>
        <w:trPr>
          <w:trHeight w:val="257"/>
        </w:trPr>
        <w:tc>
          <w:tcPr>
            <w:tcW w:w="55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0"/>
        </w:trPr>
        <w:tc>
          <w:tcPr>
            <w:tcW w:w="5520" w:type="dxa"/>
            <w:vAlign w:val="bottom"/>
          </w:tcPr>
          <w:p>
            <w:pPr>
              <w:ind w:left="40"/>
              <w:spacing w:after="0"/>
              <w:rPr>
                <w:sz w:val="20"/>
                <w:szCs w:val="20"/>
                <w:color w:val="auto"/>
              </w:rPr>
            </w:pPr>
            <w:r>
              <w:rPr>
                <w:rFonts w:ascii="Arial" w:cs="Arial" w:eastAsia="Arial" w:hAnsi="Arial"/>
                <w:sz w:val="16"/>
                <w:szCs w:val="16"/>
                <w:color w:val="auto"/>
              </w:rPr>
              <w:t>Basic (loss) earnings per share attributable to EZCORP, Inc. — continuing</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6"/>
        </w:trPr>
        <w:tc>
          <w:tcPr>
            <w:tcW w:w="552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7"/>
                <w:szCs w:val="17"/>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33"/>
        </w:trPr>
        <w:tc>
          <w:tcPr>
            <w:tcW w:w="5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(loss) earnings per share attributable to EZCORP, Inc. — continuing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70"/>
        </w:trPr>
        <w:tc>
          <w:tcPr>
            <w:tcW w:w="5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55,068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55,306</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55,231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55,487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55,483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55,327</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w w:val="97"/>
              </w:rPr>
              <w:t>Nine Months Ended June 30,</w:t>
            </w:r>
          </w:p>
        </w:tc>
      </w:tr>
      <w:tr>
        <w:trPr>
          <w:trHeight w:val="263"/>
        </w:trPr>
        <w:tc>
          <w:tcPr>
            <w:tcW w:w="55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379"/>
        </w:trPr>
        <w:tc>
          <w:tcPr>
            <w:tcW w:w="5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8"/>
        </w:trPr>
        <w:tc>
          <w:tcPr>
            <w:tcW w:w="5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84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(5,487)</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4"/>
              </w:rPr>
              <w:t>3,158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1,956</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Foreign currency translation loss, net of income tax benefit for our investment</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3"/>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in unconsolidated affiliate of $561 and $181 for the three and nine months</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ended June 30, 2020, respectively, and $45 and ($470) for the three and nine</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9"/>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months ended June 30, 2019.</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5,416</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4"/>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(5,570)</w:t>
            </w: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Comprehensive (loss) income</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4"/>
              </w:rPr>
              <w:t>5,182</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(63,482)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(3,614)</w:t>
            </w:r>
          </w:p>
        </w:tc>
      </w:tr>
      <w:tr>
        <w:trPr>
          <w:trHeight w:val="33"/>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8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Comprehensive (loss) income attributable to EZCORP, Inc.</w:t>
            </w:r>
          </w:p>
        </w:tc>
        <w:tc>
          <w:tcPr>
            <w:tcW w:w="84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4"/>
              </w:rPr>
              <w:t>5,182</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(63,482)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(2,384)</w:t>
            </w: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98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12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660" w:type="dxa"/>
            <w:vAlign w:val="bottom"/>
          </w:tcPr>
          <w:p>
            <w:pPr>
              <w:spacing w:after="0"/>
              <w:rPr>
                <w:sz w:val="5"/>
                <w:szCs w:val="5"/>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9"/>
          </w:tcPr>
          <w:p>
            <w:pPr>
              <w:jc w:val="center"/>
              <w:spacing w:after="0"/>
              <w:rPr>
                <w:sz w:val="20"/>
                <w:szCs w:val="20"/>
                <w:color w:val="auto"/>
              </w:rPr>
            </w:pPr>
            <w:r>
              <w:rPr>
                <w:rFonts w:ascii="Arial" w:cs="Arial" w:eastAsia="Arial" w:hAnsi="Arial"/>
                <w:sz w:val="14"/>
                <w:szCs w:val="14"/>
                <w:b w:val="1"/>
                <w:bCs w:val="1"/>
                <w:color w:val="auto"/>
                <w:w w:val="90"/>
              </w:rPr>
              <w:t>(Unaudited, except balances as of September 30, 2018)</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5"/>
          </w:tcPr>
          <w:p>
            <w:pPr>
              <w:jc w:val="center"/>
              <w:ind w:right="900"/>
              <w:spacing w:after="0"/>
              <w:rPr>
                <w:sz w:val="20"/>
                <w:szCs w:val="20"/>
                <w:color w:val="auto"/>
              </w:rPr>
            </w:pPr>
            <w:r>
              <w:rPr>
                <w:rFonts w:ascii="Arial" w:cs="Arial" w:eastAsia="Arial" w:hAnsi="Arial"/>
                <w:sz w:val="14"/>
                <w:szCs w:val="14"/>
                <w:i w:val="1"/>
                <w:iCs w:val="1"/>
                <w:color w:val="auto"/>
                <w:w w:val="94"/>
              </w:rPr>
              <w:t>(in thousands)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2018</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54,585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397,927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386,622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739,408</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0"/>
        </w:trPr>
        <w:tc>
          <w:tcPr>
            <w:tcW w:w="3660" w:type="dxa"/>
            <w:vAlign w:val="bottom"/>
          </w:tcPr>
          <w:p>
            <w:pPr>
              <w:ind w:left="280"/>
              <w:spacing w:after="0"/>
              <w:rPr>
                <w:sz w:val="20"/>
                <w:szCs w:val="20"/>
                <w:color w:val="auto"/>
              </w:rPr>
            </w:pPr>
            <w:r>
              <w:rPr>
                <w:rFonts w:ascii="Arial" w:cs="Arial" w:eastAsia="Arial" w:hAnsi="Arial"/>
                <w:sz w:val="16"/>
                <w:szCs w:val="16"/>
                <w:color w:val="auto"/>
                <w:w w:val="92"/>
              </w:rPr>
              <w:t>Taxes paid related to net share settlement of equity</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280"/>
              <w:spacing w:after="0"/>
              <w:rPr>
                <w:sz w:val="20"/>
                <w:szCs w:val="20"/>
                <w:color w:val="auto"/>
              </w:rPr>
            </w:pPr>
            <w:r>
              <w:rPr>
                <w:rFonts w:ascii="Arial" w:cs="Arial" w:eastAsia="Arial" w:hAnsi="Arial"/>
                <w:sz w:val="16"/>
                <w:szCs w:val="16"/>
                <w:color w:val="auto"/>
              </w:rPr>
              <w:t>awards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 of subsidiary shares to noncontrolling</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Foreign currency translation loss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(6,383)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Balances as of December 31, 2018</w:t>
            </w: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55,445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400,081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383,256</w:t>
            </w:r>
          </w:p>
        </w:tc>
        <w:tc>
          <w:tcPr>
            <w:tcW w:w="100" w:type="dxa"/>
            <w:vAlign w:val="bottom"/>
          </w:tcPr>
          <w:p>
            <w:pPr>
              <w:spacing w:after="0"/>
              <w:rPr>
                <w:sz w:val="18"/>
                <w:szCs w:val="18"/>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(48,739)</w:t>
            </w:r>
          </w:p>
        </w:tc>
        <w:tc>
          <w:tcPr>
            <w:tcW w:w="12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728,149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Deconsolidation of subsidiary</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7,756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7,756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March 31, 2019</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402,505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386,650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739,759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2,375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gain</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3,158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June 30, 2019</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55,445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404,880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389,808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747,316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462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6"/>
        </w:trPr>
        <w:tc>
          <w:tcPr>
            <w:tcW w:w="4620" w:type="dxa"/>
            <w:vAlign w:val="bottom"/>
          </w:tcPr>
          <w:p>
            <w:pPr>
              <w:spacing w:after="0"/>
              <w:rPr>
                <w:sz w:val="24"/>
                <w:szCs w:val="24"/>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4"/>
                <w:szCs w:val="4"/>
                <w:color w:val="auto"/>
              </w:rPr>
            </w:pPr>
          </w:p>
        </w:tc>
        <w:tc>
          <w:tcPr>
            <w:tcW w:w="12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620" w:type="dxa"/>
            <w:vAlign w:val="bottom"/>
          </w:tcPr>
          <w:p>
            <w:pPr>
              <w:spacing w:after="0"/>
              <w:rPr>
                <w:sz w:val="5"/>
                <w:szCs w:val="5"/>
                <w:color w:val="auto"/>
              </w:rPr>
            </w:pPr>
          </w:p>
        </w:tc>
        <w:tc>
          <w:tcPr>
            <w:tcW w:w="9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4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11"/>
          </w:tcPr>
          <w:p>
            <w:pPr>
              <w:jc w:val="center"/>
              <w:ind w:right="40"/>
              <w:spacing w:after="0"/>
              <w:rPr>
                <w:sz w:val="20"/>
                <w:szCs w:val="20"/>
                <w:color w:val="auto"/>
              </w:rPr>
            </w:pPr>
            <w:r>
              <w:rPr>
                <w:rFonts w:ascii="Arial" w:cs="Arial" w:eastAsia="Arial" w:hAnsi="Arial"/>
                <w:sz w:val="14"/>
                <w:szCs w:val="14"/>
                <w:b w:val="1"/>
                <w:bCs w:val="1"/>
                <w:color w:val="auto"/>
                <w:w w:val="91"/>
              </w:rPr>
              <w:t>(Unaudited, except balances as of September 30, 2019)</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5"/>
          </w:tcPr>
          <w:p>
            <w:pPr>
              <w:jc w:val="center"/>
              <w:ind w:left="321"/>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20" w:type="dxa"/>
            <w:vAlign w:val="bottom"/>
          </w:tcPr>
          <w:p>
            <w:pPr>
              <w:ind w:left="40"/>
              <w:spacing w:after="0"/>
              <w:rPr>
                <w:sz w:val="20"/>
                <w:szCs w:val="20"/>
                <w:color w:val="auto"/>
              </w:rPr>
            </w:pPr>
            <w:r>
              <w:rPr>
                <w:rFonts w:ascii="Arial" w:cs="Arial" w:eastAsia="Arial" w:hAnsi="Arial"/>
                <w:sz w:val="16"/>
                <w:szCs w:val="16"/>
                <w:color w:val="auto"/>
              </w:rPr>
              <w:t>Balances as of September 30, 2019</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55,535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407,628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389,163</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(52,398)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744,949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6"/>
                <w:szCs w:val="16"/>
                <w:color w:val="auto"/>
              </w:rPr>
              <w:t>Release of restricted stock</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6"/>
                <w:szCs w:val="16"/>
                <w:color w:val="auto"/>
              </w:rPr>
              <w:t>Foreign currency translation gain</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6,071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and retirement of treasury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December 31, 2019</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55,856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407,440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389,928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751,600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(29,846)</w:t>
            </w:r>
          </w:p>
        </w:tc>
        <w:tc>
          <w:tcPr>
            <w:tcW w:w="0" w:type="dxa"/>
            <w:vAlign w:val="bottom"/>
          </w:tcPr>
          <w:p>
            <w:pPr>
              <w:spacing w:after="0"/>
              <w:rPr>
                <w:sz w:val="1"/>
                <w:szCs w:val="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6"/>
                <w:szCs w:val="16"/>
                <w:color w:val="auto"/>
              </w:rPr>
              <w:t>Purchase and retirement of treasury stock</w:t>
            </w:r>
          </w:p>
        </w:tc>
        <w:tc>
          <w:tcPr>
            <w:tcW w:w="920" w:type="dxa"/>
            <w:vAlign w:val="bottom"/>
          </w:tcPr>
          <w:p>
            <w:pPr>
              <w:jc w:val="right"/>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(4,195)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(40,874)</w:t>
            </w:r>
          </w:p>
        </w:tc>
        <w:tc>
          <w:tcPr>
            <w:tcW w:w="0" w:type="dxa"/>
            <w:vAlign w:val="bottom"/>
          </w:tcPr>
          <w:p>
            <w:pPr>
              <w:spacing w:after="0"/>
              <w:rPr>
                <w:sz w:val="1"/>
                <w:szCs w:val="1"/>
                <w:color w:val="auto"/>
              </w:rPr>
            </w:pPr>
          </w:p>
        </w:tc>
      </w:tr>
      <w:tr>
        <w:trPr>
          <w:trHeight w:val="283"/>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Balances as of March 31, 2020</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55,068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406,171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347,004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(76,173)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677,553</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37"/>
        </w:trPr>
        <w:tc>
          <w:tcPr>
            <w:tcW w:w="4620" w:type="dxa"/>
            <w:vAlign w:val="bottom"/>
          </w:tcPr>
          <w:p>
            <w:pPr>
              <w:ind w:left="280"/>
              <w:spacing w:after="0"/>
              <w:rPr>
                <w:sz w:val="20"/>
                <w:szCs w:val="20"/>
                <w:color w:val="auto"/>
              </w:rPr>
            </w:pPr>
            <w:r>
              <w:rPr>
                <w:rFonts w:ascii="Arial" w:cs="Arial" w:eastAsia="Arial" w:hAnsi="Arial"/>
                <w:sz w:val="16"/>
                <w:szCs w:val="16"/>
                <w:color w:val="auto"/>
              </w:rPr>
              <w:t>Foreign currency translation gain</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5,416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5,416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6"/>
                <w:szCs w:val="16"/>
                <w:color w:val="auto"/>
              </w:rPr>
              <w:t>Balances as of June 30, 2020</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55,068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408,601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341,517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(70,757)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679,912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259"/>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263"/>
        </w:trPr>
        <w:tc>
          <w:tcPr>
            <w:tcW w:w="8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379"/>
        </w:trPr>
        <w:tc>
          <w:tcPr>
            <w:tcW w:w="8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w w:val="95"/>
              </w:rPr>
              <w:t>(Unaudited)</w:t>
            </w:r>
          </w:p>
        </w:tc>
        <w:tc>
          <w:tcPr>
            <w:tcW w:w="980" w:type="dxa"/>
            <w:vAlign w:val="bottom"/>
          </w:tcPr>
          <w:p>
            <w:pPr>
              <w:spacing w:after="0"/>
              <w:rPr>
                <w:sz w:val="24"/>
                <w:szCs w:val="24"/>
                <w:color w:val="auto"/>
              </w:rPr>
            </w:pPr>
          </w:p>
        </w:tc>
      </w:tr>
      <w:tr>
        <w:trPr>
          <w:trHeight w:val="208"/>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center"/>
              <w:ind w:left="560"/>
              <w:spacing w:after="0"/>
              <w:rPr>
                <w:sz w:val="20"/>
                <w:szCs w:val="20"/>
                <w:color w:val="auto"/>
              </w:rPr>
            </w:pPr>
            <w:r>
              <w:rPr>
                <w:rFonts w:ascii="Arial" w:cs="Arial" w:eastAsia="Arial" w:hAnsi="Arial"/>
                <w:sz w:val="14"/>
                <w:szCs w:val="14"/>
                <w:i w:val="1"/>
                <w:iCs w:val="1"/>
                <w:color w:val="auto"/>
                <w:w w:val="92"/>
              </w:rPr>
              <w:t>(in thousands)</w:t>
            </w:r>
          </w:p>
        </w:tc>
        <w:tc>
          <w:tcPr>
            <w:tcW w:w="980" w:type="dxa"/>
            <w:vAlign w:val="bottom"/>
          </w:tcPr>
          <w:p>
            <w:pPr>
              <w:spacing w:after="0"/>
              <w:rPr>
                <w:sz w:val="18"/>
                <w:szCs w:val="18"/>
                <w:color w:val="auto"/>
              </w:rPr>
            </w:pPr>
          </w:p>
        </w:tc>
      </w:tr>
      <w:tr>
        <w:trPr>
          <w:trHeight w:val="256"/>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Net (loss)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(45,123)</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1,956</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(loss) income to net 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23,174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21,114</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debt discount and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16,613</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Amortization of lease right-of-use asset</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34,265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(3,788)</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5,003</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Impairment of goodwill and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Impairment of investment in unconsolidated affiliate</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19,725</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1,875</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Reserve on jewelry scrap receivable</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3,646</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7,036</w:t>
            </w:r>
          </w:p>
        </w:tc>
      </w:tr>
      <w:tr>
        <w:trPr>
          <w:trHeight w:val="237"/>
        </w:trPr>
        <w:tc>
          <w:tcPr>
            <w:tcW w:w="8180" w:type="dxa"/>
            <w:vAlign w:val="bottom"/>
          </w:tcPr>
          <w:p>
            <w:pPr>
              <w:ind w:left="720"/>
              <w:spacing w:after="0"/>
              <w:rPr>
                <w:sz w:val="20"/>
                <w:szCs w:val="20"/>
                <w:color w:val="auto"/>
              </w:rPr>
            </w:pPr>
            <w:r>
              <w:rPr>
                <w:rFonts w:ascii="Arial" w:cs="Arial" w:eastAsia="Arial" w:hAnsi="Arial"/>
                <w:sz w:val="16"/>
                <w:szCs w:val="16"/>
                <w:color w:val="auto"/>
              </w:rPr>
              <w:t>Equity in net loss (gain) from investment in unconsolidated affiliates</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5,896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14,076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1,301</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1,377</w:t>
            </w:r>
          </w:p>
        </w:tc>
      </w:tr>
      <w:tr>
        <w:trPr>
          <w:trHeight w:val="237"/>
        </w:trPr>
        <w:tc>
          <w:tcPr>
            <w:tcW w:w="818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(4,194)</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r>
      <w:tr>
        <w:trPr>
          <w:trHeight w:val="237"/>
        </w:trPr>
        <w:tc>
          <w:tcPr>
            <w:tcW w:w="81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949</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(5,527)</w:t>
            </w:r>
          </w:p>
        </w:tc>
      </w:tr>
      <w:tr>
        <w:trPr>
          <w:trHeight w:val="217"/>
        </w:trPr>
        <w:tc>
          <w:tcPr>
            <w:tcW w:w="8180" w:type="dxa"/>
            <w:vAlign w:val="bottom"/>
          </w:tcPr>
          <w:p>
            <w:pPr>
              <w:ind w:left="8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56,365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64,977</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(442,752)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(542,512)</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321,718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328,079</w:t>
            </w: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248,290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211,979</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(24,568)</w:t>
            </w: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(8,116)</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collections on notes receivable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21,900</w:t>
            </w:r>
          </w:p>
        </w:tc>
      </w:tr>
      <w:tr>
        <w:trPr>
          <w:trHeight w:val="217"/>
        </w:trPr>
        <w:tc>
          <w:tcPr>
            <w:tcW w:w="8180" w:type="dxa"/>
            <w:vAlign w:val="bottom"/>
          </w:tcPr>
          <w:p>
            <w:pPr>
              <w:ind w:left="820"/>
              <w:spacing w:after="0"/>
              <w:rPr>
                <w:sz w:val="20"/>
                <w:szCs w:val="20"/>
                <w:color w:val="auto"/>
              </w:rPr>
            </w:pPr>
            <w:r>
              <w:rPr>
                <w:rFonts w:ascii="Arial" w:cs="Arial" w:eastAsia="Arial" w:hAnsi="Arial"/>
                <w:sz w:val="16"/>
                <w:szCs w:val="16"/>
                <w:color w:val="auto"/>
              </w:rPr>
              <w:t>Net cash provided by (used in) investing activities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110,389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(13,238)</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(3,288)</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Payout of deferred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Proceeds from borrowings, net of issuance costs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1,064</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(195,877)</w:t>
            </w: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Repurchase of common stock</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(5,158)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(198,101)</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(6,678)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152,688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(146,656)</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162,442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285,578</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315,130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138,922</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8"/>
        </w:trPr>
        <w:tc>
          <w:tcPr>
            <w:tcW w:w="8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200,160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221,940</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220"/>
          </w:cols>
          <w:pgMar w:left="320" w:top="121" w:right="35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When used in this report, the terms “we,” “us,” “our,” “EZCORP” and the “Company” mean EZCORP, Inc. and its consolidated subsidiaries, collectively.</w:t>
      </w:r>
    </w:p>
    <w:p>
      <w:pPr>
        <w:spacing w:after="0" w:line="1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a leading provider of pawn loans in the United States and Latin America. Pawn loans are non-recourse loans collateralized by tangible property. We also sell merchandise, primarily collateral forfeited from pawn lending operations and used merchandise purchased from customers. Additionally, we operate a small number of financial services stores in Canada.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accordance with accounting principles generally accepted in the United States (“GAAP”) for interim financial information and with the instructions to Form 10-Q and Article 10 of Regulation S-X. Accordingly, they do not include all the information and footnotes required by GAAP for complete financial statements. Our management has included all adjustments it considers necessary for a fair presentation and which are of a normal, recurring nature. All intercompany accounts and transactions have been eliminated in consolidation. Certain prior year amounts have been reclassified to conform to current year presentation.</w:t>
      </w:r>
    </w:p>
    <w:p>
      <w:pPr>
        <w:spacing w:after="0" w:line="107" w:lineRule="exact"/>
        <w:rPr>
          <w:sz w:val="20"/>
          <w:szCs w:val="20"/>
          <w:color w:val="auto"/>
        </w:rPr>
      </w:pPr>
    </w:p>
    <w:p>
      <w:pPr>
        <w:jc w:val="both"/>
        <w:ind w:right="120"/>
        <w:spacing w:after="0" w:line="286" w:lineRule="auto"/>
        <w:rPr>
          <w:rFonts w:ascii="Arial" w:cs="Arial" w:eastAsia="Arial" w:hAnsi="Arial"/>
          <w:sz w:val="17"/>
          <w:szCs w:val="17"/>
          <w:color w:val="0000EE"/>
        </w:rPr>
      </w:pPr>
      <w:hyperlink r:id="rId13">
        <w:r>
          <w:rPr>
            <w:rFonts w:ascii="Arial" w:cs="Arial" w:eastAsia="Arial" w:hAnsi="Arial"/>
            <w:sz w:val="17"/>
            <w:szCs w:val="17"/>
            <w:color w:val="auto"/>
          </w:rPr>
          <w:t xml:space="preserve">The accompanying financial statements should be read in conjunction with the consolidated financial statements and notes included in our </w:t>
        </w:r>
        <w:r>
          <w:rPr>
            <w:rFonts w:ascii="Arial" w:cs="Arial" w:eastAsia="Arial" w:hAnsi="Arial"/>
            <w:sz w:val="17"/>
            <w:szCs w:val="17"/>
            <w:u w:val="single" w:color="auto"/>
            <w:color w:val="0000EE"/>
          </w:rPr>
          <w:t>Annual Report</w:t>
        </w:r>
      </w:hyperlink>
      <w:r>
        <w:rPr>
          <w:rFonts w:ascii="Arial" w:cs="Arial" w:eastAsia="Arial" w:hAnsi="Arial"/>
          <w:sz w:val="17"/>
          <w:szCs w:val="17"/>
          <w:color w:val="auto"/>
        </w:rPr>
        <w:t xml:space="preserve"> </w:t>
      </w:r>
      <w:hyperlink r:id="rId13">
        <w:r>
          <w:rPr>
            <w:rFonts w:ascii="Arial" w:cs="Arial" w:eastAsia="Arial" w:hAnsi="Arial"/>
            <w:sz w:val="17"/>
            <w:szCs w:val="17"/>
            <w:u w:val="single" w:color="auto"/>
            <w:color w:val="0000EE"/>
          </w:rPr>
          <w:t>on Form 10-K for the year ended September 30, 2019</w:t>
        </w:r>
        <w:r>
          <w:rPr>
            <w:rFonts w:ascii="Arial" w:cs="Arial" w:eastAsia="Arial" w:hAnsi="Arial"/>
            <w:sz w:val="17"/>
            <w:szCs w:val="17"/>
            <w:color w:val="000000"/>
          </w:rPr>
          <w:t>. The balance sheet as of September 30, 2019 has been derived from the audited financial statements</w:t>
        </w:r>
      </w:hyperlink>
      <w:r>
        <w:rPr>
          <w:rFonts w:ascii="Arial" w:cs="Arial" w:eastAsia="Arial" w:hAnsi="Arial"/>
          <w:sz w:val="17"/>
          <w:szCs w:val="17"/>
          <w:color w:val="0000EE"/>
        </w:rPr>
        <w:t xml:space="preserve"> </w:t>
      </w:r>
      <w:r>
        <w:rPr>
          <w:rFonts w:ascii="Arial" w:cs="Arial" w:eastAsia="Arial" w:hAnsi="Arial"/>
          <w:sz w:val="17"/>
          <w:szCs w:val="17"/>
          <w:color w:val="000000"/>
        </w:rPr>
        <w:t>at that date but does not include all of the information and footnotes required by GAAP for complete financial statements.</w:t>
      </w:r>
    </w:p>
    <w:p>
      <w:pPr>
        <w:spacing w:after="0" w:line="11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Our business is subject to seasonal variations, and operating results for the three and nine months ended June 30, 2020 and 2019 (the "current quarter" and "current nine-months" and "prior-year quarter" and "prior-year nine-months," respectively) are not necessarily indicative of the results of operations for the full fiscal year.</w:t>
      </w:r>
    </w:p>
    <w:p>
      <w:pPr>
        <w:spacing w:after="0" w:line="130" w:lineRule="exact"/>
        <w:rPr>
          <w:sz w:val="20"/>
          <w:szCs w:val="20"/>
          <w:color w:val="auto"/>
        </w:rPr>
      </w:pPr>
    </w:p>
    <w:p>
      <w:pPr>
        <w:ind w:right="2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significant accounting policies as described in our </w:t>
      </w:r>
      <w:hyperlink r:id="rId13">
        <w:r>
          <w:rPr>
            <w:rFonts w:ascii="Arial" w:cs="Arial" w:eastAsia="Arial" w:hAnsi="Arial"/>
            <w:sz w:val="18"/>
            <w:szCs w:val="18"/>
            <w:u w:val="single" w:color="auto"/>
            <w:color w:val="0000EE"/>
          </w:rPr>
          <w:t>Annual Report on Form 10-K for the year ended September 30, 2019</w:t>
        </w:r>
      </w:hyperlink>
      <w:r>
        <w:rPr>
          <w:rFonts w:ascii="Arial" w:cs="Arial" w:eastAsia="Arial" w:hAnsi="Arial"/>
          <w:sz w:val="18"/>
          <w:szCs w:val="18"/>
          <w:color w:val="auto"/>
        </w:rPr>
        <w:t>, other than those described below and in Note 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The Company regularly evaluates estimates and judgments, including those related to revenue recognition, inventories, loan loss allowances, long-lived and intangible assets, share-based compensation, income taxes, contingencies and litigation. The Company bases its estimates on historical experience, observable trends and various other assumptions that it believes to be reasonable under the circumstances. We use this information to make judgments about the carrying values of assets and liabilities and the accrual of costs and expenses that are not readily apparent from other sources. Actual results may differ materially and adversely from the Company's estimates under different assumptions or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December 2019, a novel strain of coronavirus “COVID-19” was identified in Wuhan, China. COVID-19 has caused a global health emergency and was declared a worldwide pandemic by the World Health Organization on March 11, 2020. In an effort to slow and contain the spread of COVID-19, local, state and national governments implemented various measures, which have impacted businesses worldwide.</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began to see the impact of COVID-19 to our operations in mid-March when the closure of non-essential businesses and the implementation of stay-at-home requirements began in our geographic locations. During the third quarter, we were able to keep virtually all of our stores in the U.S. and Mexico open for business and operating under enhanced safety measures and restrictions on occupancy, but store closure orders in our GPMX countries (Guatemala, El Salvador, Honduras and Peru) had a more severe impact on our business.</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Starting in mid-March and continuing through most of the third quarter, we experienced a significant decline in pawn loan originations and associated loan balances as a result of a change in customer borrowing behaviors due to COVID-19.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reduced activity resulted in net revenue losses during the current quarter, which were partially offset by a strong increase in merchandise sales during the period.</w:t>
      </w:r>
    </w:p>
    <w:p>
      <w:pPr>
        <w:spacing w:after="0" w:line="13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full extent and duration of the COVID-19 impact on the global economy generally, and on our business specifically, is currently unknown and cannot be reasonably estimated. The pandemic will have an adverse effect on our net revenues and earnings in fiscal 2020 and we expect the impact of the pandemic, and the recovery therefrom, will continue to adversely affect net revenues and earnings into fiscal 2021. A prolonged pandemic and recovery may have an adverse effect on our results of operations, financial position and liquidity in future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In March 2020, the Financial Accounting Standards Board ("FASB") issued Accounting Standards Update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(Topic 848) — Facilitation of the Effects of Reference Rate Reform on Financial Reporting. ASU 2020-04 provides optional expedients and exceptions for applying GAAP to contracts, hedging relationships, and other transactions that reference LIBOR or another reference rate. ASU 2020-04 is effective upon issuance through December 31, 2022. This ASU has not had a significant impact on the Company's consolidated financial statements and related disclosures to date. The Company will continue to assess the applicability to any future arrangements.</w:t>
      </w:r>
    </w:p>
    <w:p>
      <w:pPr>
        <w:spacing w:after="0" w:line="12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Effective October 1, 2019, the Company adopted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requires companies to recognize operating and financing lease liabilities and corresponding right-of-use assets on the balance sheet using the optional prospective transition method provided under ASU 2018-</w:t>
      </w:r>
    </w:p>
    <w:p>
      <w:pPr>
        <w:ind w:right="40"/>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Targeted Improvements. Additionally, the Company elected the package of practical expedients under Accounting Standards Codification ("ASC") 842 as well as the transition guidance elections to not separate lease and non-lease components for leases under ASC 842. Further, the Company has elected an accounting policy to not record right-of-use assets and lease liabilities for leases that have a duration of 12-months or less. See Note 5 for additional discussion.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(Topic 326) (ASU 2016-13"). ASU 2016-13 modifies the measurement of expected credit losses of certain financial instruments, requiring entities to estimate an expected lifetime credit loss on financial assets. The ASU amends the impairment model to utilize an expected loss methodology and replaces the incurred loss methodology for financial instruments including trade receivables. The amendment requires entities to consider other factors, such as economic conditions and future economic conditions. A reporting entity should generally apply the amendment on a modified retrospective basis through a cumulative-effect adjustment to retained earnings as of the beginning of the first reporting period in which the amendment is effective. The Company is still assessing the amendments in ASU 2016-13 and does not expect the amendments will have a significant impact on the Company's consolidated financial statements and related disclosures. ASU 2016-13 is effective for the first quarter of fiscal 2021.</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INTANGIBLE ASSETS</w:t>
      </w:r>
    </w:p>
    <w:p>
      <w:pPr>
        <w:spacing w:after="0" w:line="17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test goodwill and intangible assets with indefinite useful lives for potential impairment annually, or more frequently when there are events or circumstances that indicate it is more likely than not that an impairment exists. During the second quarter of fiscal 2020, we evaluated such events and circumstances and concluded there was an indicator of impairment due to a decline in our market capitalization. We performed a quantitative analysis as of March 31, 2020 utilizing the income approach. The income approach is based on the present value of future cash flows, which are derived from our long-term financial forecasts, and requires significant assumptions, including, among others, a discount rate and terminal value. There is inherent uncertainty associated with these key assumptions including the duration of the economic downturn associated with COVID-19 and the recovery period. As a result of our quantitative analysis, we determined the fair value of each of our reporting units was below its carrying value because of the impact of COVID-19, including a significant decline in pawn loan balances due to changes in typical customer behavior and mandated store closures in our GPMX countries. These factors impacted the forecast of future net revenues and earnings and resulted in lower present value of future cash flows. This led to a goodwill impairment charge of $41.3 million in the second quarter of fiscal 2020. In addition, we (a) determined an impairment had occurred in the fair values of acquired trade names of previously acquired entities in our Mexico and GPMX reporting units and recorded a related impairment of $2.9 million and $1.7 million respectively, and (b) determined the carrying amount of certain long-lived asset groups were not recoverable and recorded a related impairment of $1.1 million in the second quarter of 2020. These impairments were recorded under "Impairment of goodwill and intangible assets" in the condensed consolidated statements of operations. We further evaluated events and circumstances as of June 30, 2020 and determined there were no impairment indicators. We will continue to evaluate our goodwill and intangible assets in future quarters, and note that we could be required to record additional impairments based on events and circumstances.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for fiscal 2020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896"/>
              <w:spacing w:after="0"/>
              <w:rPr>
                <w:sz w:val="20"/>
                <w:szCs w:val="20"/>
                <w:color w:val="auto"/>
              </w:rPr>
            </w:pPr>
            <w:r>
              <w:rPr>
                <w:rFonts w:ascii="Arial" w:cs="Arial" w:eastAsia="Arial" w:hAnsi="Arial"/>
                <w:sz w:val="14"/>
                <w:szCs w:val="14"/>
                <w:b w:val="1"/>
                <w:bCs w:val="1"/>
                <w:color w:val="auto"/>
                <w:w w:val="93"/>
              </w:rPr>
              <w:t>Nine Months Ended June 30, 2020</w:t>
            </w:r>
          </w:p>
        </w:tc>
        <w:tc>
          <w:tcPr>
            <w:tcW w:w="124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U.S. Pawn</w:t>
            </w:r>
          </w:p>
        </w:tc>
        <w:tc>
          <w:tcPr>
            <w:tcW w:w="100" w:type="dxa"/>
            <w:vAlign w:val="bottom"/>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Latin America Pawn</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4"/>
              </w:rPr>
              <w:t>Consolidated</w:t>
            </w:r>
          </w:p>
        </w:tc>
      </w:tr>
      <w:tr>
        <w:trPr>
          <w:trHeight w:val="318"/>
        </w:trPr>
        <w:tc>
          <w:tcPr>
            <w:tcW w:w="6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298.6</w:t>
            </w: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Impairment charge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w:t>
            </w:r>
          </w:p>
        </w:tc>
      </w:tr>
      <w:tr>
        <w:trPr>
          <w:trHeight w:val="318"/>
        </w:trPr>
        <w:tc>
          <w:tcPr>
            <w:tcW w:w="65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goodwill impairment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41.3</w:t>
            </w:r>
          </w:p>
        </w:tc>
      </w:tr>
      <w:tr>
        <w:trPr>
          <w:trHeight w:val="20"/>
        </w:trPr>
        <w:tc>
          <w:tcPr>
            <w:tcW w:w="6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In June 2019, the Company acquired assets related to seven pawn stores operating under the name "Metro Pawn" in Nevada, entering the Reno market and expanding our presence in the Las Vegas metropolitan area, for an aggregate purchase price of $7.0 million in cash, of which $3.9 million was recorded as goodwill. In December 2018, we acquired assets related to five pawn stores in Mexico for an aggregate purchase price of $0.3 million in cash, of</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which $0.1 million was recorded as goodwill. Substantially all goodwill attributable to the fiscal 2019 acquisitions is deductible for tax purposes. We have concluded that these acquisitions were immaterial to our overall consolidated financial results and, therefore, have omitted information that would otherwise be required.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20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8"/>
              </w:rPr>
              <w:t>Nine Months Ended June 30,</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18"/>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5"/>
          </w:tcPr>
          <w:p>
            <w:pPr>
              <w:jc w:val="right"/>
              <w:ind w:right="540"/>
              <w:spacing w:after="0"/>
              <w:rPr>
                <w:sz w:val="20"/>
                <w:szCs w:val="20"/>
                <w:color w:val="auto"/>
              </w:rPr>
            </w:pPr>
            <w:r>
              <w:rPr>
                <w:rFonts w:ascii="Arial" w:cs="Arial" w:eastAsia="Arial" w:hAnsi="Arial"/>
                <w:sz w:val="14"/>
                <w:szCs w:val="14"/>
                <w:i w:val="1"/>
                <w:iCs w:val="1"/>
                <w:color w:val="auto"/>
                <w:w w:val="94"/>
              </w:rPr>
              <w:t>(in thousands, except per share amounts)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from continuing operations attributable to</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EZCORP (A)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512"/>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EZCORP (C)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3,158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55,445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55,306</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Weighted-average common stock and common stock equivalents</w:t>
            </w: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55,231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572"/>
              <w:spacing w:after="0"/>
              <w:rPr>
                <w:sz w:val="20"/>
                <w:szCs w:val="20"/>
                <w:color w:val="auto"/>
              </w:rPr>
            </w:pPr>
            <w:r>
              <w:rPr>
                <w:rFonts w:ascii="Arial" w:cs="Arial" w:eastAsia="Arial" w:hAnsi="Arial"/>
                <w:sz w:val="18"/>
                <w:szCs w:val="18"/>
                <w:color w:val="auto"/>
              </w:rPr>
              <w:t>55,487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55,483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55,327</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earnings per share (C / 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09"/>
        </w:trPr>
        <w:tc>
          <w:tcPr>
            <w:tcW w:w="5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510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earnings per share (C / 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Potential common shares excluded from the calculation of diluted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above*: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572"/>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340" w:right="460" w:hanging="332"/>
        <w:spacing w:after="0" w:line="27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time-based share-based awards and Convertible Note Warrants. See Note 8 for discussion of the terms and conditions of the potential impact of the 2019 Convertible Notes Warrants, 2024 Convertible Notes and 2025 Convertible Notes.</w:t>
      </w:r>
    </w:p>
    <w:p>
      <w:pPr>
        <w:spacing w:after="0" w:line="120" w:lineRule="exact"/>
        <w:rPr>
          <w:sz w:val="20"/>
          <w:szCs w:val="20"/>
          <w:color w:val="auto"/>
        </w:rPr>
      </w:pPr>
    </w:p>
    <w:p>
      <w:pPr>
        <w:ind w:left="340" w:right="14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7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Effective October 1, 2019, the Company adopted ASU 2016-02, Leases (Topic 842). The Company's lease portfolio consists primarily of operating leases for pawn locations and corporate offices. Those leases have initial terms ranging from three to ten years and typically allows for renewals in increments of three to five-years. The Company generally accounts for the initial lease term of our pawn locations as up to ten years, including renewal options. Our primary corporate office is leased through March 2029 with escalating rent payments annually and includes two five-year extension options at the end of the initial lease term. Our pawn location lease agreements generally include rent escalations throughout the initial lease term, with certain future rental payments contingent on increases in the consumer price index, included in variable lease expense. The Company elected to utilize the transition guidance accounting policy elections available, including to not account for lease and non-lease components separately. Lease components generally include rent, taxes and insurance, while non-lease components generally include common area or other maintenance.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if an arrangement is or contains a lease at inception.</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weighted-average remaining lease term for operating leases as of June 30, 2020 was 5.58 years. As our leases generally do not include an implicit rate, we compute our incremental borrowing rate based on information available at the lease commencement date applying the portfolio approach to groups of leases with similar characteristics. The Company used incremental borrowing rates that match the duration of the remaining lease terms of our operating leases on a fully collateralized basis upon adoption to initially measure our lease liability. The weighted average incremental borrowing rate used to measure the lease liability as of June 30, 2020 was 8.25%.</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20" w:top="122" w:right="39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details of the Company's right-of-use asset and lease liability recognized upon adoption of ASC 842, computed based on the consumer price index and foreign currency exchange rate as applicable then in effect and excluding executory costs on October 1, 2019 are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Right-of-use asset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246,028</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Straight-line rent accrual</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(8,479)</w:t>
            </w:r>
          </w:p>
        </w:tc>
      </w:tr>
      <w:tr>
        <w:trPr>
          <w:trHeight w:val="27"/>
        </w:trPr>
        <w:tc>
          <w:tcPr>
            <w:tcW w:w="96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237,549</w:t>
            </w:r>
          </w:p>
        </w:tc>
      </w:tr>
      <w:tr>
        <w:trPr>
          <w:trHeight w:val="122"/>
        </w:trPr>
        <w:tc>
          <w:tcPr>
            <w:tcW w:w="9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 current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45,272</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Lease liability, non-current</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200,756</w:t>
            </w:r>
          </w:p>
        </w:tc>
      </w:tr>
      <w:tr>
        <w:trPr>
          <w:trHeight w:val="27"/>
        </w:trPr>
        <w:tc>
          <w:tcPr>
            <w:tcW w:w="96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96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246,028</w:t>
            </w:r>
          </w:p>
        </w:tc>
      </w:tr>
      <w:tr>
        <w:trPr>
          <w:trHeight w:val="27"/>
        </w:trPr>
        <w:tc>
          <w:tcPr>
            <w:tcW w:w="96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Lease expense is recognized on a straight-line basis over the lease term with variable lease expense recognized in the period in which the costs are incurred. The components of lease expense included in "Operations" and "Administrative" expense, based on the underlying lease use, in our condensed consolidated statements of operations for the three and nine months ended June 30, 2020 are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June 30,</w:t>
            </w:r>
          </w:p>
        </w:tc>
      </w:tr>
      <w:tr>
        <w:trPr>
          <w:trHeight w:val="250"/>
        </w:trPr>
        <w:tc>
          <w:tcPr>
            <w:tcW w:w="79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2020</w:t>
            </w:r>
          </w:p>
        </w:tc>
      </w:tr>
      <w:tr>
        <w:trPr>
          <w:trHeight w:val="121"/>
        </w:trPr>
        <w:tc>
          <w:tcPr>
            <w:tcW w:w="7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47,603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Variable lease expense</w:t>
            </w:r>
          </w:p>
        </w:tc>
        <w:tc>
          <w:tcPr>
            <w:tcW w:w="140" w:type="dxa"/>
            <w:vAlign w:val="bottom"/>
          </w:tcPr>
          <w:p>
            <w:pPr>
              <w:spacing w:after="0"/>
              <w:rPr>
                <w:sz w:val="21"/>
                <w:szCs w:val="21"/>
                <w:color w:val="auto"/>
              </w:rPr>
            </w:pP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8,925</w:t>
            </w: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18,649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56,528</w:t>
            </w:r>
          </w:p>
        </w:tc>
      </w:tr>
      <w:tr>
        <w:trPr>
          <w:trHeight w:val="594"/>
        </w:trPr>
        <w:tc>
          <w:tcPr>
            <w:tcW w:w="7980" w:type="dxa"/>
            <w:vAlign w:val="bottom"/>
          </w:tcPr>
          <w:p>
            <w:pPr>
              <w:spacing w:after="0"/>
              <w:rPr>
                <w:sz w:val="20"/>
                <w:szCs w:val="20"/>
                <w:color w:val="auto"/>
              </w:rPr>
            </w:pPr>
            <w:r>
              <w:rPr>
                <w:rFonts w:ascii="Arial" w:cs="Arial" w:eastAsia="Arial" w:hAnsi="Arial"/>
                <w:sz w:val="18"/>
                <w:szCs w:val="18"/>
                <w:color w:val="auto"/>
              </w:rPr>
              <w:t>As of June 30, 2020, maturities of lease liabilities by fiscal year were as follows (in thousands):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35"/>
        </w:trPr>
        <w:tc>
          <w:tcPr>
            <w:tcW w:w="7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ending September 30, 2020</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19,161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59,546</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50,481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40,609</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31,154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70,094</w:t>
            </w: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271,045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Portion representing interest</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(54,489)</w:t>
            </w: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216,556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48,840</w:t>
            </w: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 term lease liability</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167,716</w:t>
            </w:r>
          </w:p>
        </w:tc>
      </w:tr>
      <w:tr>
        <w:trPr>
          <w:trHeight w:val="20"/>
        </w:trPr>
        <w:tc>
          <w:tcPr>
            <w:tcW w:w="7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Prior to the adoption of ASC 842, future minimum undiscounted lease payments due under non-cancelable leases as of September 30, 2019 for each subsequent fiscal year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69,291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60,588</w:t>
            </w:r>
          </w:p>
        </w:tc>
      </w:tr>
      <w:tr>
        <w:trPr>
          <w:trHeight w:val="27"/>
        </w:trPr>
        <w:tc>
          <w:tcPr>
            <w:tcW w:w="9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32,062</w:t>
            </w:r>
          </w:p>
        </w:tc>
      </w:tr>
      <w:tr>
        <w:trPr>
          <w:trHeight w:val="27"/>
        </w:trPr>
        <w:tc>
          <w:tcPr>
            <w:tcW w:w="9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19,969</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39,256</w:t>
            </w:r>
          </w:p>
        </w:tc>
      </w:tr>
      <w:tr>
        <w:trPr>
          <w:trHeight w:val="27"/>
        </w:trPr>
        <w:tc>
          <w:tcPr>
            <w:tcW w:w="96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96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267,886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present changes in the lease right-of-use asset and lease liabilities gross in the Company's condensed consolidated statements of cash flows. The supplemental cash flow information relating to our operating leases for the nine months ended</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June 30, 2020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1" w:lineRule="exact"/>
        <w:rPr>
          <w:sz w:val="20"/>
          <w:szCs w:val="20"/>
          <w:color w:val="auto"/>
        </w:rPr>
      </w:pPr>
    </w:p>
    <w:p>
      <w:pPr>
        <w:ind w:left="40"/>
        <w:spacing w:after="0"/>
        <w:tabs>
          <w:tab w:leader="none" w:pos="9680" w:val="left"/>
          <w:tab w:leader="none" w:pos="10620" w:val="left"/>
        </w:tabs>
        <w:rPr>
          <w:sz w:val="20"/>
          <w:szCs w:val="20"/>
          <w:color w:val="auto"/>
        </w:rPr>
      </w:pPr>
      <w:r>
        <w:rPr>
          <w:rFonts w:ascii="Arial" w:cs="Arial" w:eastAsia="Arial" w:hAnsi="Arial"/>
          <w:sz w:val="18"/>
          <w:szCs w:val="18"/>
          <w:color w:val="auto"/>
        </w:rPr>
        <w:t>Lease right-of-use assets obtained in exchange for operating lease liabilities subsequent to adoption of Topic 842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10,136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STRATEGIC INVESTMENTS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June 30, 2020, the Company owned 214,183,714 shares, or approximately 34.75%, of Cash Converters International Limited ("Cash Converters International"). The following tables present summary financial information for Cash Converters International’s most recently reported results at December 31, 2019 after translation to U.S. dollars: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6"/>
                <w:szCs w:val="16"/>
                <w:color w:val="auto"/>
              </w:rPr>
            </w:pPr>
          </w:p>
        </w:tc>
      </w:tr>
      <w:tr>
        <w:trPr>
          <w:trHeight w:val="263"/>
        </w:trPr>
        <w:tc>
          <w:tcPr>
            <w:tcW w:w="8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318"/>
        </w:trPr>
        <w:tc>
          <w:tcPr>
            <w:tcW w:w="8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4"/>
              </w:rPr>
              <w:t>(in thousands)</w:t>
            </w:r>
          </w:p>
        </w:tc>
        <w:tc>
          <w:tcPr>
            <w:tcW w:w="900" w:type="dxa"/>
            <w:vAlign w:val="bottom"/>
          </w:tcPr>
          <w:p>
            <w:pPr>
              <w:spacing w:after="0"/>
              <w:rPr>
                <w:sz w:val="24"/>
                <w:szCs w:val="24"/>
                <w:color w:val="auto"/>
              </w:rPr>
            </w:pP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164,906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172,836</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199,277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151,492</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364,183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324,328</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08"/>
        </w:trPr>
        <w:tc>
          <w:tcPr>
            <w:tcW w:w="8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93,958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81,165</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60,503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22,109</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209,722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221,054</w:t>
            </w:r>
          </w:p>
        </w:tc>
      </w:tr>
      <w:tr>
        <w:trPr>
          <w:trHeight w:val="257"/>
        </w:trPr>
        <w:tc>
          <w:tcPr>
            <w:tcW w:w="8400" w:type="dxa"/>
            <w:vAlign w:val="bottom"/>
          </w:tcPr>
          <w:p>
            <w:pPr>
              <w:ind w:left="2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364,183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324,328</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19"/>
        </w:trPr>
        <w:tc>
          <w:tcPr>
            <w:tcW w:w="8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4"/>
              </w:rPr>
              <w:t>Half-Year Ended December 31,</w:t>
            </w:r>
          </w:p>
        </w:tc>
      </w:tr>
      <w:tr>
        <w:trPr>
          <w:trHeight w:val="263"/>
        </w:trPr>
        <w:tc>
          <w:tcPr>
            <w:tcW w:w="8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318"/>
        </w:trPr>
        <w:tc>
          <w:tcPr>
            <w:tcW w:w="8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37"/>
              <w:spacing w:after="0"/>
              <w:rPr>
                <w:sz w:val="20"/>
                <w:szCs w:val="20"/>
                <w:color w:val="auto"/>
              </w:rPr>
            </w:pPr>
            <w:r>
              <w:rPr>
                <w:rFonts w:ascii="Arial" w:cs="Arial" w:eastAsia="Arial" w:hAnsi="Arial"/>
                <w:sz w:val="14"/>
                <w:szCs w:val="14"/>
                <w:i w:val="1"/>
                <w:iCs w:val="1"/>
                <w:color w:val="auto"/>
                <w:w w:val="94"/>
              </w:rPr>
              <w:t>(in thousands)</w:t>
            </w:r>
          </w:p>
        </w:tc>
        <w:tc>
          <w:tcPr>
            <w:tcW w:w="900" w:type="dxa"/>
            <w:vAlign w:val="bottom"/>
          </w:tcPr>
          <w:p>
            <w:pPr>
              <w:spacing w:after="0"/>
              <w:rPr>
                <w:sz w:val="24"/>
                <w:szCs w:val="24"/>
                <w:color w:val="auto"/>
              </w:rPr>
            </w:pPr>
          </w:p>
        </w:tc>
      </w:tr>
      <w:tr>
        <w:trPr>
          <w:trHeight w:val="25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98,531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99,390</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59,250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56,884</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r>
      <w:tr>
        <w:trPr>
          <w:trHeight w:val="27"/>
        </w:trPr>
        <w:tc>
          <w:tcPr>
            <w:tcW w:w="8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October 21, 2019, Cash Converters International agreed to settle a class action lawsuit previously filed on behalf of borrowers residing in Queensland, Australia who took out personal loans from Cash Converters International between July 30, 2009 and June 30, 2013. Cash Converters International agreed to pay AUD $42.5 million, subject to court approval. The Company recorded a charge, net of tax, of $7.1 million for its proportionate share of the settlement in the first quarter of fiscal 2020 related to this event, in addition to the Company's share of earnings from Cash Converters International.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12529"/>
        </w:rPr>
        <w:t>See Note 7 for the fair value and carrying value of the Company's investment in Cash Converters International.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3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financial assets and liabilities that are not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64"/>
        </w:trPr>
        <w:tc>
          <w:tcPr>
            <w:tcW w:w="4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10"/>
          </w:tcPr>
          <w:p>
            <w:pPr>
              <w:jc w:val="center"/>
              <w:ind w:left="655"/>
              <w:spacing w:after="0"/>
              <w:rPr>
                <w:sz w:val="20"/>
                <w:szCs w:val="20"/>
                <w:color w:val="auto"/>
              </w:rPr>
            </w:pPr>
            <w:r>
              <w:rPr>
                <w:rFonts w:ascii="Arial" w:cs="Arial" w:eastAsia="Arial" w:hAnsi="Arial"/>
                <w:sz w:val="14"/>
                <w:szCs w:val="14"/>
                <w:b w:val="1"/>
                <w:bCs w:val="1"/>
                <w:color w:val="auto"/>
                <w:w w:val="94"/>
              </w:rPr>
              <w:t>Fair Value Measurement Using</w:t>
            </w:r>
          </w:p>
        </w:tc>
        <w:tc>
          <w:tcPr>
            <w:tcW w:w="8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63"/>
        </w:trPr>
        <w:tc>
          <w:tcPr>
            <w:tcW w:w="4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June 30, 2020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 2020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5"/>
                <w:szCs w:val="15"/>
                <w:i w:val="1"/>
                <w:iCs w:val="1"/>
                <w:color w:val="auto"/>
              </w:rPr>
              <w:t>(in thousands)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3,866</w:t>
            </w:r>
          </w:p>
        </w:tc>
        <w:tc>
          <w:tcPr>
            <w:tcW w:w="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3,945</w:t>
            </w:r>
          </w:p>
        </w:tc>
        <w:tc>
          <w:tcPr>
            <w:tcW w:w="60" w:type="dxa"/>
            <w:vAlign w:val="bottom"/>
          </w:tcPr>
          <w:p>
            <w:pPr>
              <w:spacing w:after="0"/>
              <w:rPr>
                <w:sz w:val="21"/>
                <w:szCs w:val="21"/>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3,945</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2.89% promissory note receivable due April 2024</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29,483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33,602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7,823</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22"/>
        </w:trPr>
        <w:tc>
          <w:tcPr>
            <w:tcW w:w="43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243"/>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130,669</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130,669</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131,378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125,235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125,235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8.5% unsecured debt due 2024</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CASHMAX secured borrowing facility</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21"/>
                <w:szCs w:val="21"/>
                <w:color w:val="auto"/>
              </w:rPr>
            </w:pPr>
          </w:p>
        </w:tc>
      </w:tr>
      <w:tr>
        <w:trPr>
          <w:trHeight w:val="426"/>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7"/>
          </w:tcPr>
          <w:p>
            <w:pPr>
              <w:ind w:left="32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3"/>
        </w:trPr>
        <w:tc>
          <w:tcPr>
            <w:tcW w:w="43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2740" w:type="dxa"/>
            <w:vAlign w:val="bottom"/>
            <w:tcBorders>
              <w:top w:val="single" w:sz="8" w:color="auto"/>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rPr>
              <w:t>Fair Value Measurement Using</w:t>
            </w:r>
          </w:p>
        </w:tc>
        <w:tc>
          <w:tcPr>
            <w:tcW w:w="88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43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June 30, 2019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June 30, 2019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22"/>
                <w:szCs w:val="22"/>
                <w:color w:val="auto"/>
              </w:rPr>
            </w:pPr>
          </w:p>
        </w:tc>
      </w:tr>
      <w:tr>
        <w:trPr>
          <w:trHeight w:val="387"/>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5"/>
                <w:szCs w:val="15"/>
                <w:i w:val="1"/>
                <w:iCs w:val="1"/>
                <w:color w:val="auto"/>
              </w:rPr>
              <w:t>(in thousands)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18,744</w:t>
            </w:r>
          </w:p>
        </w:tc>
        <w:tc>
          <w:tcPr>
            <w:tcW w:w="40" w:type="dxa"/>
            <w:vAlign w:val="bottom"/>
          </w:tcPr>
          <w:p>
            <w:pPr>
              <w:spacing w:after="0"/>
              <w:rPr>
                <w:sz w:val="21"/>
                <w:szCs w:val="21"/>
                <w:color w:val="auto"/>
              </w:rPr>
            </w:pPr>
          </w:p>
        </w:tc>
        <w:tc>
          <w:tcPr>
            <w:tcW w:w="2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19,517</w:t>
            </w:r>
          </w:p>
        </w:tc>
        <w:tc>
          <w:tcPr>
            <w:tcW w:w="60" w:type="dxa"/>
            <w:vAlign w:val="bottom"/>
          </w:tcPr>
          <w:p>
            <w:pPr>
              <w:spacing w:after="0"/>
              <w:rPr>
                <w:sz w:val="21"/>
                <w:szCs w:val="21"/>
                <w:color w:val="auto"/>
              </w:rPr>
            </w:pPr>
          </w:p>
        </w:tc>
        <w:tc>
          <w:tcPr>
            <w:tcW w:w="320" w:type="dxa"/>
            <w:vAlign w:val="bottom"/>
            <w:gridSpan w:val="3"/>
          </w:tcPr>
          <w:p>
            <w:pPr>
              <w:jc w:val="right"/>
              <w:ind w:right="84"/>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19,517</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4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Zero-coupon convertible promissory note due January</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7,226</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7,226</w:t>
            </w:r>
          </w:p>
        </w:tc>
        <w:tc>
          <w:tcPr>
            <w:tcW w:w="60" w:type="dxa"/>
            <w:vAlign w:val="bottom"/>
          </w:tcPr>
          <w:p>
            <w:pPr>
              <w:spacing w:after="0"/>
              <w:rPr>
                <w:sz w:val="20"/>
                <w:szCs w:val="20"/>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2.89% promissory note receivable due April 2024</w:t>
            </w: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1,108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27,158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24,464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2,694</w:t>
            </w:r>
          </w:p>
        </w:tc>
        <w:tc>
          <w:tcPr>
            <w:tcW w:w="60" w:type="dxa"/>
            <w:vAlign w:val="bottom"/>
          </w:tcPr>
          <w:p>
            <w:pPr>
              <w:spacing w:after="0"/>
              <w:rPr>
                <w:sz w:val="21"/>
                <w:szCs w:val="21"/>
                <w:color w:val="auto"/>
              </w:rPr>
            </w:pPr>
          </w:p>
        </w:tc>
      </w:tr>
      <w:tr>
        <w:trPr>
          <w:trHeight w:val="121"/>
        </w:trPr>
        <w:tc>
          <w:tcPr>
            <w:tcW w:w="4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109,909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161,719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161,719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124,542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159,873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159,873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8.5% unsecured debt due 2024</w:t>
            </w: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1,148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1,148</w:t>
            </w:r>
          </w:p>
        </w:tc>
        <w:tc>
          <w:tcPr>
            <w:tcW w:w="6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CASHMAX secured borrowing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21"/>
                <w:szCs w:val="21"/>
                <w:color w:val="auto"/>
              </w:rPr>
            </w:pPr>
          </w:p>
        </w:tc>
      </w:tr>
      <w:tr>
        <w:trPr>
          <w:trHeight w:val="399"/>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5"/>
              </w:rPr>
              <w:t>Carrying Value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4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10"/>
          </w:tcPr>
          <w:p>
            <w:pPr>
              <w:jc w:val="center"/>
              <w:ind w:left="655"/>
              <w:spacing w:after="0"/>
              <w:rPr>
                <w:sz w:val="20"/>
                <w:szCs w:val="20"/>
                <w:color w:val="auto"/>
              </w:rPr>
            </w:pPr>
            <w:r>
              <w:rPr>
                <w:rFonts w:ascii="Arial" w:cs="Arial" w:eastAsia="Arial" w:hAnsi="Arial"/>
                <w:sz w:val="14"/>
                <w:szCs w:val="14"/>
                <w:b w:val="1"/>
                <w:bCs w:val="1"/>
                <w:color w:val="auto"/>
                <w:w w:val="94"/>
              </w:rPr>
              <w:t>Fair Value Measurement Using</w:t>
            </w:r>
          </w:p>
        </w:tc>
        <w:tc>
          <w:tcPr>
            <w:tcW w:w="8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64"/>
        </w:trPr>
        <w:tc>
          <w:tcPr>
            <w:tcW w:w="4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2</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5"/>
                <w:szCs w:val="15"/>
                <w:i w:val="1"/>
                <w:iCs w:val="1"/>
                <w:color w:val="auto"/>
              </w:rPr>
              <w:t>(in thousands)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Notes receivable from Grupo Finmart,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7,182</w:t>
            </w:r>
          </w:p>
        </w:tc>
        <w:tc>
          <w:tcPr>
            <w:tcW w:w="4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7,582</w:t>
            </w:r>
          </w:p>
        </w:tc>
        <w:tc>
          <w:tcPr>
            <w:tcW w:w="60" w:type="dxa"/>
            <w:vAlign w:val="bottom"/>
          </w:tcPr>
          <w:p>
            <w:pPr>
              <w:spacing w:after="0"/>
              <w:rPr>
                <w:sz w:val="21"/>
                <w:szCs w:val="21"/>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7,582</w:t>
            </w:r>
          </w:p>
        </w:tc>
        <w:tc>
          <w:tcPr>
            <w:tcW w:w="60" w:type="dxa"/>
            <w:vAlign w:val="bottom"/>
          </w:tcPr>
          <w:p>
            <w:pPr>
              <w:spacing w:after="0"/>
              <w:rPr>
                <w:sz w:val="21"/>
                <w:szCs w:val="21"/>
                <w:color w:val="auto"/>
              </w:rPr>
            </w:pPr>
          </w:p>
        </w:tc>
      </w:tr>
      <w:tr>
        <w:trPr>
          <w:trHeight w:val="27"/>
        </w:trPr>
        <w:tc>
          <w:tcPr>
            <w:tcW w:w="4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2.89% promissory note receivable due April 2024</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8,056</w:t>
            </w:r>
          </w:p>
        </w:tc>
        <w:tc>
          <w:tcPr>
            <w:tcW w:w="60" w:type="dxa"/>
            <w:vAlign w:val="bottom"/>
          </w:tcPr>
          <w:p>
            <w:pPr>
              <w:spacing w:after="0"/>
              <w:rPr>
                <w:sz w:val="21"/>
                <w:szCs w:val="21"/>
                <w:color w:val="auto"/>
              </w:rPr>
            </w:pPr>
          </w:p>
        </w:tc>
      </w:tr>
      <w:tr>
        <w:trPr>
          <w:trHeight w:val="27"/>
        </w:trPr>
        <w:tc>
          <w:tcPr>
            <w:tcW w:w="4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22"/>
        </w:trPr>
        <w:tc>
          <w:tcPr>
            <w:tcW w:w="4400" w:type="dxa"/>
            <w:vAlign w:val="bottom"/>
            <w:gridSpan w:val="2"/>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243"/>
        </w:trPr>
        <w:tc>
          <w:tcPr>
            <w:tcW w:w="440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4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3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940" w:type="dxa"/>
            <w:vAlign w:val="bottom"/>
            <w:gridSpan w:val="2"/>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2024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111,311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139,969</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139,969</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2025 Convertible Notes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126,210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138,345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138,345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8.5% unsecured debt due 2024</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gridSpan w:val="2"/>
          </w:tcPr>
          <w:p>
            <w:pPr>
              <w:ind w:left="280"/>
              <w:spacing w:after="0"/>
              <w:rPr>
                <w:sz w:val="20"/>
                <w:szCs w:val="20"/>
                <w:color w:val="auto"/>
              </w:rPr>
            </w:pPr>
            <w:r>
              <w:rPr>
                <w:rFonts w:ascii="Arial" w:cs="Arial" w:eastAsia="Arial" w:hAnsi="Arial"/>
                <w:sz w:val="18"/>
                <w:szCs w:val="18"/>
                <w:color w:val="auto"/>
              </w:rPr>
              <w:t>CASHMAX secured borrowing facility</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impact of COVID-19, certain of the above fair values as of June 30, 2020 may be highly volatile.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estimate the carrying value of our cash and cash equivalents, pawn loans, pawn service charges receivable, current consumer loans, fees and interest receivable and other debt approximate fair value. We consider our cash and cash equivalents to be measured using Level 1 inputs and our pawn loans, pawn service charges receivable, consumer loans, fees and interest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3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measured the fair value of the remaining deferred compensation fee due in September 2020 from the sale of Prestaciones Finmart, S.A.P.I. de C.V., SOFOM, E.N.R. ("Grupo Finmart") to Alpha Holding, S.A. de C.V. (“AlphaCredit”) in September 2016 as of June 30, 2020 under a discounted cash flow approach considering the estimated credit ratings for Grupo Finmart and AlphaCredit, with discount rates of primarily 5%. Certain of the significant inputs used for the valuation were not observable in the market. Significant increases or decreases in the underlying assumptions used to value the notes receivable could significantly increase or decrease these fair value estimates. We remain obligated to indemnify AlphaCredit for any tax obligations arising from the Grupo Finmart business that are attributable to periods prior to the completion of the sale in September 2016, referred to as “pre-closing taxes.” Those obligations continue until the expiration of the statute of limitations applicable to the pre-closing periods. In August 2019, AlphaCredit notified us of an indemnity claim for certain pre-closing taxes, but the nature, extent and validity of such claim has yet to be determined. In March 2020, AlphaCredit paid $4.0 million of the remaining deferred compensation into an escrow account pending resolution of the claim; we recorded that amount under “Restricted cash” in our condensed consolidated balance sheet as of June 30, 2020. We reviewed the financial statements of Grupo Finmart and AlphaCredit including the calculation of synthetic credit spreads as described above in making our determination that the Parent Loan Notes are collectible on an ongoing basis.</w:t>
      </w:r>
    </w:p>
    <w:p>
      <w:pPr>
        <w:spacing w:after="0" w:line="1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 uses the equity method of accounting for its 13% ownership in a previously consolidated variable interest entity ("RDC") over which we no longer have the power to direct the activities that most significantly affect its economic performance. We believe its fair value approximates carrying value although such fair value is highly variable and includes significant unobservable inputs.</w:t>
      </w:r>
    </w:p>
    <w:p>
      <w:pPr>
        <w:spacing w:after="0" w:line="13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debt instruments outstanding, contractual maturities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 2019</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Debt Discount</w:t>
            </w:r>
          </w:p>
        </w:tc>
        <w:tc>
          <w:tcPr>
            <w:tcW w:w="16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6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Debt Discount</w:t>
            </w:r>
          </w:p>
        </w:tc>
        <w:tc>
          <w:tcPr>
            <w:tcW w:w="140" w:type="dxa"/>
            <w:vAlign w:val="bottom"/>
          </w:tcPr>
          <w:p>
            <w:pPr>
              <w:spacing w:after="0"/>
              <w:rPr>
                <w:sz w:val="13"/>
                <w:szCs w:val="13"/>
                <w:color w:val="auto"/>
              </w:rPr>
            </w:pPr>
          </w:p>
        </w:tc>
        <w:tc>
          <w:tcPr>
            <w:tcW w:w="8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Amount</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and Issuance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120" w:type="dxa"/>
            <w:vAlign w:val="bottom"/>
            <w:vMerge w:val="restart"/>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w:t>
            </w:r>
          </w:p>
        </w:tc>
        <w:tc>
          <w:tcPr>
            <w:tcW w:w="12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and Issuance</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85"/>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2024 Convertible</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(28,069)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115,681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109,909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143,750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(32,439)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111,311</w:t>
            </w:r>
          </w:p>
        </w:tc>
        <w:tc>
          <w:tcPr>
            <w:tcW w:w="0" w:type="dxa"/>
            <w:vAlign w:val="bottom"/>
          </w:tcPr>
          <w:p>
            <w:pPr>
              <w:spacing w:after="0"/>
              <w:rPr>
                <w:sz w:val="1"/>
                <w:szCs w:val="1"/>
                <w:color w:val="auto"/>
              </w:rPr>
            </w:pP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w w:val="97"/>
              </w:rPr>
              <w:t>2025 Convertible</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172,500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(41,122)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131,378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124,542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(46,290)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126,210</w:t>
            </w:r>
          </w:p>
        </w:tc>
        <w:tc>
          <w:tcPr>
            <w:tcW w:w="0" w:type="dxa"/>
            <w:vAlign w:val="bottom"/>
          </w:tcPr>
          <w:p>
            <w:pPr>
              <w:spacing w:after="0"/>
              <w:rPr>
                <w:sz w:val="1"/>
                <w:szCs w:val="1"/>
                <w:color w:val="auto"/>
              </w:rPr>
            </w:pPr>
          </w:p>
        </w:tc>
      </w:tr>
      <w:tr>
        <w:trPr>
          <w:trHeight w:val="33"/>
        </w:trPr>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8.5% unsecured</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due 2024*</w:t>
            </w:r>
          </w:p>
        </w:tc>
        <w:tc>
          <w:tcPr>
            <w:tcW w:w="2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CASHMAX</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secured</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ind w:left="40"/>
              <w:spacing w:after="0"/>
              <w:rPr>
                <w:sz w:val="20"/>
                <w:szCs w:val="20"/>
                <w:color w:val="auto"/>
              </w:rPr>
            </w:pPr>
            <w:r>
              <w:rPr>
                <w:rFonts w:ascii="Arial" w:cs="Arial" w:eastAsia="Arial" w:hAnsi="Arial"/>
                <w:sz w:val="16"/>
                <w:szCs w:val="16"/>
                <w:color w:val="auto"/>
              </w:rPr>
              <w:t>borrowing</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facility*</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317,543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(69,657)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247,886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318,202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235,664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317,976</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(79,382)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238,594</w:t>
            </w:r>
          </w:p>
        </w:tc>
        <w:tc>
          <w:tcPr>
            <w:tcW w:w="0" w:type="dxa"/>
            <w:vAlign w:val="bottom"/>
          </w:tcPr>
          <w:p>
            <w:pPr>
              <w:spacing w:after="0"/>
              <w:rPr>
                <w:sz w:val="1"/>
                <w:szCs w:val="1"/>
                <w:color w:val="auto"/>
              </w:rPr>
            </w:pPr>
          </w:p>
        </w:tc>
      </w:tr>
      <w:tr>
        <w:trPr>
          <w:trHeight w:val="220"/>
        </w:trPr>
        <w:tc>
          <w:tcPr>
            <w:tcW w:w="1240" w:type="dxa"/>
            <w:vAlign w:val="bottom"/>
          </w:tcPr>
          <w:p>
            <w:pPr>
              <w:ind w:left="40"/>
              <w:spacing w:after="0"/>
              <w:rPr>
                <w:sz w:val="20"/>
                <w:szCs w:val="20"/>
                <w:color w:val="auto"/>
              </w:rPr>
            </w:pPr>
            <w:r>
              <w:rPr>
                <w:rFonts w:ascii="Arial" w:cs="Arial" w:eastAsia="Arial" w:hAnsi="Arial"/>
                <w:sz w:val="16"/>
                <w:szCs w:val="16"/>
                <w:color w:val="auto"/>
              </w:rPr>
              <w:t>Less current</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40" w:type="dxa"/>
            <w:vAlign w:val="bottom"/>
          </w:tcPr>
          <w:p>
            <w:pPr>
              <w:ind w:left="40"/>
              <w:spacing w:after="0"/>
              <w:rPr>
                <w:sz w:val="20"/>
                <w:szCs w:val="20"/>
                <w:color w:val="auto"/>
              </w:rPr>
            </w:pPr>
            <w:r>
              <w:rPr>
                <w:rFonts w:ascii="Arial" w:cs="Arial" w:eastAsia="Arial" w:hAnsi="Arial"/>
                <w:sz w:val="16"/>
                <w:szCs w:val="16"/>
                <w:color w:val="auto"/>
              </w:rPr>
              <w:t>portion</w:t>
            </w:r>
          </w:p>
        </w:tc>
        <w:tc>
          <w:tcPr>
            <w:tcW w:w="2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long-</w:t>
            </w:r>
          </w:p>
        </w:tc>
        <w:tc>
          <w:tcPr>
            <w:tcW w:w="26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317,275</w:t>
            </w:r>
          </w:p>
        </w:tc>
        <w:tc>
          <w:tcPr>
            <w:tcW w:w="14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(69,657)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247,618</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317,987</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(82,538)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235,449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317,762</w:t>
            </w:r>
          </w:p>
        </w:tc>
        <w:tc>
          <w:tcPr>
            <w:tcW w:w="340" w:type="dxa"/>
            <w:vAlign w:val="bottom"/>
            <w:gridSpan w:val="2"/>
            <w:vMerge w:val="restart"/>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(79,382)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238,380</w:t>
            </w:r>
          </w:p>
        </w:tc>
        <w:tc>
          <w:tcPr>
            <w:tcW w:w="0" w:type="dxa"/>
            <w:vAlign w:val="bottom"/>
          </w:tcPr>
          <w:p>
            <w:pPr>
              <w:spacing w:after="0"/>
              <w:rPr>
                <w:sz w:val="1"/>
                <w:szCs w:val="1"/>
                <w:color w:val="auto"/>
              </w:rPr>
            </w:pPr>
          </w:p>
        </w:tc>
      </w:tr>
      <w:tr>
        <w:trPr>
          <w:trHeight w:val="219"/>
        </w:trPr>
        <w:tc>
          <w:tcPr>
            <w:tcW w:w="1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term debt</w:t>
            </w:r>
          </w:p>
        </w:tc>
        <w:tc>
          <w:tcPr>
            <w:tcW w:w="2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380" w:hanging="345"/>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 translated from Guatemalan quetzals and Canadian dollars as of applicable period end. Certain disclosures omitted due to materiality considerations.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3"/>
        </w:trPr>
        <w:tc>
          <w:tcPr>
            <w:tcW w:w="4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4"/>
                <w:szCs w:val="14"/>
                <w:b w:val="1"/>
                <w:bCs w:val="1"/>
                <w:color w:val="auto"/>
                <w:w w:val="94"/>
              </w:rPr>
              <w:t>Schedule of Contractual Maturities</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Less Than 1 Year</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1"/>
              </w:rPr>
              <w:t>1 - 3 Years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3 - 5 Years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385"/>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Convertible Notes*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143,750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143,750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2025 Convertible Notes*</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172,500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172,500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8.5% unsecured debt due 2024</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CASHMAX secured borrowing facility</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317,543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316,550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380" w:hanging="345"/>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the potential impact of embedded derivatives as discussed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94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24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263"/>
        </w:trPr>
        <w:tc>
          <w:tcPr>
            <w:tcW w:w="574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318"/>
        </w:trPr>
        <w:tc>
          <w:tcPr>
            <w:tcW w:w="5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Convertible Notes:</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Contractual interest expense</w:t>
            </w: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3,034</w:t>
            </w:r>
          </w:p>
        </w:tc>
      </w:tr>
      <w:tr>
        <w:trPr>
          <w:trHeight w:val="27"/>
        </w:trPr>
        <w:tc>
          <w:tcPr>
            <w:tcW w:w="5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7,567</w:t>
            </w:r>
          </w:p>
        </w:tc>
      </w:tr>
      <w:tr>
        <w:trPr>
          <w:trHeight w:val="297"/>
        </w:trPr>
        <w:tc>
          <w:tcPr>
            <w:tcW w:w="5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10,601</w:t>
            </w:r>
          </w:p>
        </w:tc>
      </w:tr>
      <w:tr>
        <w:trPr>
          <w:trHeight w:val="108"/>
        </w:trPr>
        <w:tc>
          <w:tcPr>
            <w:tcW w:w="57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2024 Convertible Notes:</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Contractual interest expense</w:t>
            </w:r>
          </w:p>
        </w:tc>
        <w:tc>
          <w:tcPr>
            <w:tcW w:w="8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3,099</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1,484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4,370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4,051</w:t>
            </w:r>
          </w:p>
        </w:tc>
      </w:tr>
      <w:tr>
        <w:trPr>
          <w:trHeight w:val="27"/>
        </w:trPr>
        <w:tc>
          <w:tcPr>
            <w:tcW w:w="5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2,517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7,150</w:t>
            </w:r>
          </w:p>
        </w:tc>
      </w:tr>
      <w:tr>
        <w:trPr>
          <w:trHeight w:val="20"/>
        </w:trPr>
        <w:tc>
          <w:tcPr>
            <w:tcW w:w="5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08"/>
        </w:trPr>
        <w:tc>
          <w:tcPr>
            <w:tcW w:w="5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Convertible Notes: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Contractual interest expense</w:t>
            </w:r>
          </w:p>
        </w:tc>
        <w:tc>
          <w:tcPr>
            <w:tcW w:w="840" w:type="dxa"/>
            <w:vAlign w:val="bottom"/>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3,072</w:t>
            </w:r>
          </w:p>
        </w:tc>
      </w:tr>
      <w:tr>
        <w:trPr>
          <w:trHeight w:val="27"/>
        </w:trPr>
        <w:tc>
          <w:tcPr>
            <w:tcW w:w="5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deferred financing costs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1,754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4,806</w:t>
            </w:r>
          </w:p>
        </w:tc>
      </w:tr>
      <w:tr>
        <w:trPr>
          <w:trHeight w:val="257"/>
        </w:trPr>
        <w:tc>
          <w:tcPr>
            <w:tcW w:w="5740" w:type="dxa"/>
            <w:vAlign w:val="bottom"/>
          </w:tcPr>
          <w:p>
            <w:pPr>
              <w:ind w:left="500"/>
              <w:spacing w:after="0"/>
              <w:rPr>
                <w:sz w:val="20"/>
                <w:szCs w:val="20"/>
                <w:color w:val="auto"/>
              </w:rPr>
            </w:pPr>
            <w:r>
              <w:rPr>
                <w:rFonts w:ascii="Arial" w:cs="Arial" w:eastAsia="Arial" w:hAnsi="Arial"/>
                <w:sz w:val="18"/>
                <w:szCs w:val="18"/>
                <w:color w:val="auto"/>
              </w:rPr>
              <w:t>Total interest expense</w:t>
            </w:r>
          </w:p>
        </w:tc>
        <w:tc>
          <w:tcPr>
            <w:tcW w:w="8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2,778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8,240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7,878</w:t>
            </w:r>
          </w:p>
        </w:tc>
      </w:tr>
      <w:tr>
        <w:trPr>
          <w:trHeight w:val="20"/>
        </w:trPr>
        <w:tc>
          <w:tcPr>
            <w:tcW w:w="5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2.375% Convertible Senior Notes Due 2025</w:t>
      </w:r>
    </w:p>
    <w:p>
      <w:pPr>
        <w:spacing w:after="0" w:line="33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May 2018, the Company issued $172.5 million aggregate principal amount of 2.375% Convertible Senior Notes Due 2025 (the “2025 Convertible Notes”). The 2025 Convertible Notes were issued pursuant to an indenture dated May 14, 2018 (the "2018 Indenture") by and between the Company and Wells Fargo Bank, National Association, as the original trustee.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The carrying amount of the 2025 Convertible Notes as a separate equity-classified instrument (the “2025 Convertible Notes Embedded Derivative”) included in “Additional paid-in capital” in our condensed consolidated balance sheets as of June 30, 2020 was $39.0 million. The effective interest rate for the three and nine months ended June 30, 2020 was approximately 9%. As of June 30, 2020, the remaining unamortized debt discount and issuance costs will be amortized through the 2025 Maturity Date assuming no early conversion.</w:t>
      </w:r>
    </w:p>
    <w:p>
      <w:pPr>
        <w:spacing w:after="0" w:line="27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2025 Convertible Notes are convertible into cash or shares of Class A Non-voting Common Stock ("Class A Common Stock"), or any combination thereof, at the Company's option subject to satisfaction of certain conditions and during the periods described in the 2018 Indenture, based on an initial conversion rate of 62.8931 shares of Class A Common Stock per $1,000 principal amount of 2025 Convertible Notes (equivalent to an initial conversion price of $15.90 per share of the Company's Class A Common Stock). The Company accounts for the Class A Common Stock issuable upon conversion under the treasury stock method. To the extent the Company's average share price is over $15.90 per share for any fiscal quarter or year-to-date period, the Company is required to recognize incremental dilution of the Company's earnings per share.</w:t>
      </w:r>
    </w:p>
    <w:p>
      <w:pPr>
        <w:spacing w:after="0" w:line="2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among other triggers described in the 2018 Indenture, the market price of the Company's Class A Common Stock meets the threshold based on at least 20 of the final 30 trading days of the quarter for the 2025 Convertible Notes to become convertible at the option of the holders during the subsequent quarter, the Company may be required to classify the 2025 Convertible Notes as current on the Company's condensed consolidated balance sheets for each quarter in which such triggers are met. The stock</w:t>
      </w:r>
    </w:p>
    <w:p>
      <w:pPr>
        <w:sectPr>
          <w:pgSz w:w="11900" w:h="16838" w:orient="portrait"/>
          <w:cols w:equalWidth="0" w:num="1">
            <w:col w:w="11240"/>
          </w:cols>
          <w:pgMar w:left="320" w:top="122"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trading price condition and other triggers are measured on a quarter-by-quarter basis and were not met as of June 30, 2020. As of June 30, 2020, the if-converted value of the 2025 Convertible Notes did not exceed the principal amount.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2.875% Convertible Senior Notes Due 2024</w:t>
      </w:r>
    </w:p>
    <w:p>
      <w:pPr>
        <w:spacing w:after="0" w:line="33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July 2017, the Company issued $143.75 million aggregate principal amount of 2.875% Convertible Senior Notes Due 2024 (the “2024 Convertible Notes”). The 2024 Convertible Notes were issued pursuant to an indenture dated July 5, 2017 (the "2017 Indenture") by and between the Company and Wells Fargo Bank, National Association, as the original trustee.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The carrying amount of the 2024 Convertible Notes as a separate equity-classified instrument (the “2024 Convertible Notes Embedded Derivative”) included in “Additional paid-in capital” in our condensed consolidated balance sheets of June 30, 2020 was $25.3 million. The effective interest rate for the three and nine months ended June 30, 2020 was approximately 9%. As of June 30, 2020, the remaining unamortized debt discount and issuance costs will be amortized through the 2024 Maturity Date assuming no early conversion.</w:t>
      </w:r>
    </w:p>
    <w:p>
      <w:pPr>
        <w:spacing w:after="0" w:line="1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2024 Convertible Notes are convertible into cash or shares of Class A Common Stock, or any combination thereof, at the Company's option subject to satisfaction of certain conditions and during the periods described in the 2017 Indenture, based on an initial conversion rate of 100 shares of Class A Common Stock per $1,000 principal amount of 2024 Convertible Notes (equivalent to an initial conversion price of $10.00 per share of the Company's Class A Common Stock). The Company accounts for the Class A Common Stock issuable upon conversion under the treasury stock method. To the extent the Company's average share price is over $10.00 per share for any fiscal quarter, the Company is required to recognize incremental dilution of our earnings per share.</w:t>
      </w:r>
    </w:p>
    <w:p>
      <w:pPr>
        <w:spacing w:after="0" w:line="13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If, among other triggers described in the 2017 Indenture, the market price of the Company's Class A Common Stock meets the threshold based on at least 20 of the final 30 trading days of the quarter for the 2024 Convertible Notes to become convertible at the option of the holders during the subsequent quarter, the Company may be required to classify the 2024 Convertible Notes as current on the Company's condensed consolidated balance sheets for each quarter in which such triggers are met. The stock trading price condition and other triggers are measured on a quarter-by-quarter basis and were not met as of June 30, 2020. As of June 30, 2020, the if-converted value of the 2024 Convertible Notes did not exceed the principal amount.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52525"/>
        </w:rPr>
        <w:t xml:space="preserve">In June 2014, the Company issued $200 million aggregate principal amount of 2.125% Cash Convertible Senior </w:t>
      </w:r>
      <w:r>
        <w:rPr>
          <w:rFonts w:ascii="Arial" w:cs="Arial" w:eastAsia="Arial" w:hAnsi="Arial"/>
          <w:sz w:val="18"/>
          <w:szCs w:val="18"/>
          <w:color w:val="000000"/>
        </w:rPr>
        <w:t>Notes Due 2019 (the "2019 Convertible</w:t>
      </w:r>
      <w:r>
        <w:rPr>
          <w:rFonts w:ascii="Arial" w:cs="Arial" w:eastAsia="Arial" w:hAnsi="Arial"/>
          <w:sz w:val="18"/>
          <w:szCs w:val="18"/>
          <w:color w:val="252525"/>
        </w:rPr>
        <w:t xml:space="preserve"> </w:t>
      </w:r>
      <w:r>
        <w:rPr>
          <w:rFonts w:ascii="Arial" w:cs="Arial" w:eastAsia="Arial" w:hAnsi="Arial"/>
          <w:sz w:val="18"/>
          <w:szCs w:val="18"/>
          <w:color w:val="000000"/>
        </w:rPr>
        <w:t xml:space="preserve">Notes"), with an additional $30 million principal amount of 2019 Convertible Notes issued in July 2014. </w:t>
      </w:r>
      <w:r>
        <w:rPr>
          <w:rFonts w:ascii="Arial" w:cs="Arial" w:eastAsia="Arial" w:hAnsi="Arial"/>
          <w:sz w:val="18"/>
          <w:szCs w:val="18"/>
          <w:color w:val="252525"/>
        </w:rPr>
        <w:t>In</w:t>
      </w:r>
      <w:r>
        <w:rPr>
          <w:rFonts w:ascii="Arial" w:cs="Arial" w:eastAsia="Arial" w:hAnsi="Arial"/>
          <w:sz w:val="18"/>
          <w:szCs w:val="18"/>
          <w:color w:val="000000"/>
        </w:rPr>
        <w:t xml:space="preserve"> July 2017, the Company used $34.4 million of net proceeds from the 2024 Convertible Notes offering to repurchase and retire $35.0 million aggregate principal amount of 2019 Convertible Notes. </w:t>
      </w:r>
      <w:r>
        <w:rPr>
          <w:rFonts w:ascii="Arial" w:cs="Arial" w:eastAsia="Arial" w:hAnsi="Arial"/>
          <w:sz w:val="18"/>
          <w:szCs w:val="18"/>
          <w:color w:val="252525"/>
        </w:rPr>
        <w:t>The</w:t>
      </w:r>
      <w:r>
        <w:rPr>
          <w:rFonts w:ascii="Arial" w:cs="Arial" w:eastAsia="Arial" w:hAnsi="Arial"/>
          <w:sz w:val="18"/>
          <w:szCs w:val="18"/>
          <w:color w:val="000000"/>
        </w:rPr>
        <w:t xml:space="preserve"> </w:t>
      </w:r>
      <w:r>
        <w:rPr>
          <w:rFonts w:ascii="Arial" w:cs="Arial" w:eastAsia="Arial" w:hAnsi="Arial"/>
          <w:sz w:val="18"/>
          <w:szCs w:val="18"/>
          <w:color w:val="252525"/>
        </w:rPr>
        <w:t>2019 Convertible Notes paid interest semi-annually in arrears at a rate of 2.125% per annum on June 15 and December 15 of each year. The 2019 Convertible Notes matured on June 15, 2019 (the "2019 Maturity Date")</w:t>
      </w:r>
      <w:r>
        <w:rPr>
          <w:rFonts w:ascii="Arial" w:cs="Arial" w:eastAsia="Arial" w:hAnsi="Arial"/>
          <w:sz w:val="18"/>
          <w:szCs w:val="18"/>
          <w:color w:val="000000"/>
        </w:rPr>
        <w:t>, and the remaining $195.0 million aggregate principal amount outstanding plus</w:t>
      </w:r>
      <w:r>
        <w:rPr>
          <w:rFonts w:ascii="Arial" w:cs="Arial" w:eastAsia="Arial" w:hAnsi="Arial"/>
          <w:sz w:val="18"/>
          <w:szCs w:val="18"/>
          <w:color w:val="252525"/>
        </w:rPr>
        <w:t xml:space="preserve"> </w:t>
      </w:r>
      <w:r>
        <w:rPr>
          <w:rFonts w:ascii="Arial" w:cs="Arial" w:eastAsia="Arial" w:hAnsi="Arial"/>
          <w:sz w:val="18"/>
          <w:szCs w:val="18"/>
          <w:color w:val="000000"/>
        </w:rPr>
        <w:t>accrued interest was repaid using cash on hand.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2019 Convertible Notes Warrants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issuance of the 2019 Convertible Notes, the Company also sold net-share-settled warrants (the “2019 Convertible Notes Warrants”). The 2019 Convertible Notes Warrants allowed for the purchase of up to approximately 14.3 million shares of the Company's Class A Common Stock at a strike price of $20.83 per share. The Company accounted for the Class A Common Stock issuable upon exercise under the treasury stock method. The 2019 Convertible Notes Warrants began to expire on a daily basis after we repaid the 2019 Convertible Notes and the last of the unexpired 2019 Convertible Notes Warrants expired in May 2020. As of June 30, 2020, there were no 2019 Convertible Notes Warrants outstanding, and no shares of Class A Common Stock were ever issued pursuant to the 2019 Convertible Notes Warrants.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CASHMAX Secured Borrowing Facility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November 2018, the Company entered into a receivable's securitization facility with a third-party lender (the "lender") to provide funding for installment loan originations in our Canadian CASHMAX business. Under the facility, a variable interest entity (the "trust") has the right, subject to various conditions, to borrow up to CAD $25 million from the lender (the "third-party loan") and use the proceeds to purchase interests in installment loan receivables generated by CASHMAX. The trust uses collections on the transferred receivables to pay various amounts in accordance with an agreed priority arrangement, including expenses, its obligations under the third-party loan and, to the extent available, amounts owned to CASHMAX with respect to the purchase price of the transferred receivables and CASHMAX's retained interest in the receivables. CASHMAX has no obligation with respect to the third-party loan or the transferred receivables except to (a) service the underlying installment loans on behalf of the trust and (b) pay amounts owed under or repurchase the underlying installment loans in the event of a breach by CASHMAX or in certain other limited circumstances. The facility is nonrecourse to EZCORP (subject to certain limited guaranty obligations), allowed borrowing through November 2019, and fully matures in November 2021. The Company's obligation under the facility as of June 30, 2020 was $0.3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COMMON STOCK AND STOCK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December 2019, the Company's Board of Directors (the "Board") authorized the repurchase of up to $60.0 million of our Class A Common Stock over three years. Repurchases under the program were suspended in March 2020 in order to preserve liquidity as a result of uncertainties regarding the COVID-19 pandemic. No share repurchases under the program were made during the third quarter. During the nine months ended June 30, 2020, the Company repurchased and retired 943,149 shares of our Class A Common Stock for $5.2 million, which amount was allocated between "Additional paid-in capital" and "Retained earnings" in the Company's condensed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17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of September 30, 2019, the EZCORP, Inc. 2010 Long-Term Incentive Plan, which has been approved by the Company's Board, permitted grants of options, restricted stock awards and stock appreciation rights covering up to 5,485,649 shares of the Company's Class A Common Stock.</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first quarter of fiscal 2020, the Company granted a total of 222,912 restricted stock awards to nine non-employee directors. These awards vest on September 30, 2020 and are subject only to service conditions.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number of long-term incentive award shares and units granted are generally determined based on the Company share price as of the beginning of the fiscal year, which was $6.46 for fiscal 2020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March 27, 2020, the Coronavirus Aid, Relief, and Economic Security (CARES) Act was signed into law and includes certain income tax provisions relevant to businesses. The Company recognized the effect on the consolidated financial statements in the period the law was enacted in, the period ended March 31, 2020. For the period ended June 30, 2020, the CARES Act has not had a material impact on the Company’s consolidated financial statements. At this time, the Company does not expect the impact of the CARES Act to have a material impact on the Company’s consolidated financial statements for the year ending September 30, 2020.</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Currently and from time to time, the Company is involved in various claims, suits, investigations and legal proceedings. While we are unable to determine the ultimate outcome of any current litigation or regulatory actions, we believe their resolution will not have a material adverse effect on our financial condition, results of operations or liquidity.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7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During the first quarter of fiscal 2020, the Company revised its financial information our chief operating decision maker (our chief executive officer) reviews for operational decision-making purposes and for allocation of capital to include the separate financial results of our Lana business. The Company's historical segment results have been recast to conform to current presentation. The Company currently reports segment information as follows: U.S. Pawn — all pawn activities in the United States; Latin America Pawn — all pawn activities in Mexico and other parts of Latin America; Lana — our differentiated customer-centric engagement platform; and Other International — primarily the Company's equity interest in the net income of Cash Converters International and consumer finance activities in Canada. There are no inter-segment revenues presented below, and the amounts below were determined in accordance with the same accounting principles used in the Company's condensed consolidated financial statements. While we expect the operations of the Lana segment to have a positive impact on pawn loan redemption rates and therefore pawn service charges and yield, the pawn service charges will all be reported in our pawn segments rather than allocated to the Lana segment. Only discrete revenues related to the Lana segment will be reported in the Lana segment results. As a digital offering, Lana has no separate physical store locations.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8"/>
          </w:tcPr>
          <w:p>
            <w:pPr>
              <w:jc w:val="center"/>
              <w:ind w:right="620"/>
              <w:spacing w:after="0"/>
              <w:rPr>
                <w:sz w:val="20"/>
                <w:szCs w:val="20"/>
                <w:color w:val="auto"/>
              </w:rPr>
            </w:pPr>
            <w:r>
              <w:rPr>
                <w:rFonts w:ascii="Arial" w:cs="Arial" w:eastAsia="Arial" w:hAnsi="Arial"/>
                <w:sz w:val="14"/>
                <w:szCs w:val="14"/>
                <w:b w:val="1"/>
                <w:bCs w:val="1"/>
                <w:color w:val="auto"/>
                <w:w w:val="93"/>
              </w:rPr>
              <w:t>Three Months Ended June 30, 2020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160" w:type="dxa"/>
            <w:vAlign w:val="bottom"/>
          </w:tcPr>
          <w:p>
            <w:pPr>
              <w:spacing w:after="0"/>
              <w:rPr>
                <w:sz w:val="12"/>
                <w:szCs w:val="12"/>
                <w:color w:val="auto"/>
              </w:rPr>
            </w:pPr>
          </w:p>
        </w:tc>
        <w:tc>
          <w:tcPr>
            <w:tcW w:w="6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Lana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Pawn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left="172"/>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116,258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20,279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136,537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136,537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20,303</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41,069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11,391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52,460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174,496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210,233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210,233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91,859</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12,875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16,158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85,783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15,508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102,184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102,184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Segment and corporate expenses (income):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66,243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15,041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83,838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83,838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14,688</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Loss (gain) on sale or disposal of assets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other</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29"/>
        </w:trPr>
        <w:tc>
          <w:tcPr>
            <w:tcW w:w="3280" w:type="dxa"/>
            <w:vAlign w:val="bottom"/>
          </w:tcPr>
          <w:p>
            <w:pPr>
              <w:ind w:left="280"/>
              <w:spacing w:after="0"/>
              <w:rPr>
                <w:sz w:val="20"/>
                <w:szCs w:val="20"/>
                <w:color w:val="auto"/>
              </w:rPr>
            </w:pPr>
            <w:r>
              <w:rPr>
                <w:rFonts w:ascii="Arial" w:cs="Arial" w:eastAsia="Arial" w:hAnsi="Arial"/>
                <w:sz w:val="18"/>
                <w:szCs w:val="18"/>
                <w:color w:val="auto"/>
              </w:rPr>
              <w:t>Equity in net loss of unconsolidated</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goodwill and intangible</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9"/>
              </w:rPr>
              <w:t>Income (loss) from continuing operations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12,484</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42"/>
        </w:trPr>
        <w:tc>
          <w:tcPr>
            <w:tcW w:w="3280" w:type="dxa"/>
            <w:vAlign w:val="bottom"/>
          </w:tcPr>
          <w:p>
            <w:pPr>
              <w:ind w:left="40"/>
              <w:spacing w:after="0"/>
              <w:rPr>
                <w:sz w:val="20"/>
                <w:szCs w:val="20"/>
                <w:color w:val="auto"/>
              </w:rPr>
            </w:pPr>
            <w:r>
              <w:rPr>
                <w:rFonts w:ascii="Arial" w:cs="Arial" w:eastAsia="Arial" w:hAnsi="Arial"/>
                <w:sz w:val="18"/>
                <w:szCs w:val="18"/>
                <w:color w:val="auto"/>
              </w:rPr>
              <w:t>before income taxes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351"/>
              <w:spacing w:after="0"/>
              <w:rPr>
                <w:sz w:val="20"/>
                <w:szCs w:val="20"/>
                <w:color w:val="auto"/>
              </w:rPr>
            </w:pPr>
            <w:r>
              <w:rPr>
                <w:rFonts w:ascii="Arial" w:cs="Arial" w:eastAsia="Arial" w:hAnsi="Arial"/>
                <w:sz w:val="18"/>
                <w:szCs w:val="18"/>
                <w:color w:val="auto"/>
              </w:rPr>
              <w:t>18</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8"/>
        </w:trPr>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3"/>
              </w:rPr>
              <w:t>Three Months Ended June 30, 2019</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20" w:type="dxa"/>
            <w:vAlign w:val="bottom"/>
          </w:tcPr>
          <w:p>
            <w:pPr>
              <w:spacing w:after="0"/>
              <w:rPr>
                <w:sz w:val="12"/>
                <w:szCs w:val="12"/>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Pawn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83,904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19,998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103,902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103,902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18,212</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58,635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20,345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78,980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7"/>
        </w:trPr>
        <w:tc>
          <w:tcPr>
            <w:tcW w:w="30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156,462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202,465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202,465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70,271</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11,599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7"/>
        </w:trPr>
        <w:tc>
          <w:tcPr>
            <w:tcW w:w="304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115,853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115,853</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and corporate expenses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18,284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86,095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86,095</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13,685</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loss on sale or disposal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and other</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9,832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29"/>
        </w:trPr>
        <w:tc>
          <w:tcPr>
            <w:tcW w:w="3040" w:type="dxa"/>
            <w:vAlign w:val="bottom"/>
          </w:tcPr>
          <w:p>
            <w:pPr>
              <w:ind w:left="280"/>
              <w:spacing w:after="0"/>
              <w:rPr>
                <w:sz w:val="20"/>
                <w:szCs w:val="20"/>
                <w:color w:val="auto"/>
              </w:rPr>
            </w:pPr>
            <w:r>
              <w:rPr>
                <w:rFonts w:ascii="Arial" w:cs="Arial" w:eastAsia="Arial" w:hAnsi="Arial"/>
                <w:sz w:val="18"/>
                <w:szCs w:val="18"/>
                <w:color w:val="auto"/>
              </w:rPr>
              <w:t>Equity in net income of</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8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investment in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23,621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ind w:left="4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25,213</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(21,754)</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42"/>
        </w:trPr>
        <w:tc>
          <w:tcPr>
            <w:tcW w:w="3040" w:type="dxa"/>
            <w:vAlign w:val="bottom"/>
          </w:tcPr>
          <w:p>
            <w:pPr>
              <w:ind w:left="4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restart"/>
          </w:tcPr>
          <w:p>
            <w:pPr>
              <w:ind w:lef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6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8"/>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3"/>
              </w:rPr>
              <w:t>Nine Months Ended June 30, 2020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Latin America</w:t>
            </w:r>
          </w:p>
        </w:tc>
        <w:tc>
          <w:tcPr>
            <w:tcW w:w="280" w:type="dxa"/>
            <w:vAlign w:val="bottom"/>
          </w:tcPr>
          <w:p>
            <w:pPr>
              <w:spacing w:after="0"/>
              <w:rPr>
                <w:sz w:val="13"/>
                <w:szCs w:val="13"/>
                <w:color w:val="auto"/>
              </w:rPr>
            </w:pPr>
          </w:p>
        </w:tc>
        <w:tc>
          <w:tcPr>
            <w:tcW w:w="6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1"/>
              </w:rPr>
              <w:t>Lana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314,059</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79,036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393,095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393,095</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41,709</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166,859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50,548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217,407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217,407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37"/>
        </w:trPr>
        <w:tc>
          <w:tcPr>
            <w:tcW w:w="31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513,930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138,438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655,951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655,951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202,488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261,711</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25,430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8,099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33,529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37"/>
        </w:trPr>
        <w:tc>
          <w:tcPr>
            <w:tcW w:w="316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286,012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71,047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359,618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359,618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and corporate expenses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201,921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53,493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3,571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262,835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262,835</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46,797</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23,174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(gain) on sale or disposal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 and other</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15,695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16,589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29"/>
        </w:trPr>
        <w:tc>
          <w:tcPr>
            <w:tcW w:w="3160" w:type="dxa"/>
            <w:vAlign w:val="bottom"/>
          </w:tcPr>
          <w:p>
            <w:pPr>
              <w:ind w:left="280"/>
              <w:spacing w:after="0"/>
              <w:rPr>
                <w:sz w:val="20"/>
                <w:szCs w:val="20"/>
                <w:color w:val="auto"/>
              </w:rPr>
            </w:pPr>
            <w:r>
              <w:rPr>
                <w:rFonts w:ascii="Arial" w:cs="Arial" w:eastAsia="Arial" w:hAnsi="Arial"/>
                <w:sz w:val="18"/>
                <w:szCs w:val="18"/>
                <w:color w:val="auto"/>
              </w:rPr>
              <w:t>Equity in net loss of unconsolidated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Impairment of goodwill and intangible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47,060</w:t>
            </w:r>
          </w:p>
        </w:tc>
        <w:tc>
          <w:tcPr>
            <w:tcW w:w="0" w:type="dxa"/>
            <w:vAlign w:val="bottom"/>
          </w:tcPr>
          <w:p>
            <w:pPr>
              <w:spacing w:after="0"/>
              <w:rPr>
                <w:sz w:val="1"/>
                <w:szCs w:val="1"/>
                <w:color w:val="auto"/>
              </w:rPr>
            </w:pPr>
          </w:p>
        </w:tc>
      </w:tr>
      <w:tr>
        <w:trPr>
          <w:trHeight w:val="243"/>
        </w:trPr>
        <w:tc>
          <w:tcPr>
            <w:tcW w:w="316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65,532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(70,953)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(41,299)</w:t>
            </w:r>
          </w:p>
        </w:tc>
        <w:tc>
          <w:tcPr>
            <w:tcW w:w="0" w:type="dxa"/>
            <w:vAlign w:val="bottom"/>
          </w:tcPr>
          <w:p>
            <w:pPr>
              <w:spacing w:after="0"/>
              <w:rPr>
                <w:sz w:val="1"/>
                <w:szCs w:val="1"/>
                <w:color w:val="auto"/>
              </w:rPr>
            </w:pPr>
          </w:p>
        </w:tc>
      </w:tr>
      <w:tr>
        <w:trPr>
          <w:trHeight w:val="242"/>
        </w:trPr>
        <w:tc>
          <w:tcPr>
            <w:tcW w:w="3160" w:type="dxa"/>
            <w:vAlign w:val="bottom"/>
          </w:tcPr>
          <w:p>
            <w:pPr>
              <w:ind w:left="4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80" w:type="dxa"/>
            <w:vAlign w:val="bottom"/>
          </w:tcPr>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8"/>
        </w:trPr>
        <w:tc>
          <w:tcPr>
            <w:tcW w:w="3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Nine Months Ended June 30, 2019</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80" w:type="dxa"/>
            <w:vAlign w:val="bottom"/>
          </w:tcPr>
          <w:p>
            <w:pPr>
              <w:spacing w:after="0"/>
              <w:rPr>
                <w:sz w:val="12"/>
                <w:szCs w:val="12"/>
                <w:color w:val="auto"/>
              </w:rPr>
            </w:pPr>
          </w:p>
        </w:tc>
        <w:tc>
          <w:tcPr>
            <w:tcW w:w="6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1"/>
              </w:rPr>
              <w:t>Lana</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Pawn</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275,639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70,547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346,186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346,186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37,873</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184,658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59,640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244,298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244,298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488,779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139,837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632,890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632,890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172,931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225,183</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23,680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8,968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32,648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32,648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7"/>
        </w:trPr>
        <w:tc>
          <w:tcPr>
            <w:tcW w:w="328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292,168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78,617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373,592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373,592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Segment and corporate expenses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200,884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54,703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266,737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266,737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41,814</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13,684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21,114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Loss on sale or disposal of assets and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27,212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29"/>
        </w:trPr>
        <w:tc>
          <w:tcPr>
            <w:tcW w:w="3280" w:type="dxa"/>
            <w:vAlign w:val="bottom"/>
          </w:tcPr>
          <w:p>
            <w:pPr>
              <w:ind w:left="280"/>
              <w:spacing w:after="0"/>
              <w:rPr>
                <w:sz w:val="20"/>
                <w:szCs w:val="20"/>
                <w:color w:val="auto"/>
              </w:rPr>
            </w:pPr>
            <w:r>
              <w:rPr>
                <w:rFonts w:ascii="Arial" w:cs="Arial" w:eastAsia="Arial" w:hAnsi="Arial"/>
                <w:sz w:val="18"/>
                <w:szCs w:val="18"/>
                <w:color w:val="auto"/>
              </w:rPr>
              <w:t>Equity in net loss of unconsolidated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investment in</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unconsolidated affiliates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79,477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18,347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69,606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40"/>
              <w:spacing w:after="0"/>
              <w:rPr>
                <w:sz w:val="20"/>
                <w:szCs w:val="20"/>
                <w:color w:val="auto"/>
              </w:rPr>
            </w:pPr>
            <w:r>
              <w:rPr>
                <w:rFonts w:ascii="Arial" w:cs="Arial" w:eastAsia="Arial" w:hAnsi="Arial"/>
                <w:sz w:val="18"/>
                <w:szCs w:val="18"/>
                <w:color w:val="auto"/>
                <w:w w:val="96"/>
              </w:rPr>
              <w:t>Income from continuing operations before</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69,606</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(65,869)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42"/>
        </w:trPr>
        <w:tc>
          <w:tcPr>
            <w:tcW w:w="32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SUPPLEMENTAL CONSOLIDATED FINANCIAL INFORMATION</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supplemental information on net amounts included in the Company's condensed consolidated balance sheets and condensed 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4"/>
              </w:rPr>
              <w:t>June 30, 2020</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June 30, 2019</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18"/>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i w:val="1"/>
                <w:iCs w:val="1"/>
                <w:color w:val="auto"/>
                <w:w w:val="94"/>
              </w:rPr>
              <w:t>(in thousands)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311,130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157,567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315,130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138,922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162,442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41,838</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29,847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31,802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189,092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123,112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175,802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179,355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Accounts receivable and other</w:t>
            </w: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20,335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10,248</w:t>
            </w:r>
          </w:p>
        </w:tc>
        <w:tc>
          <w:tcPr>
            <w:tcW w:w="0" w:type="dxa"/>
            <w:vAlign w:val="bottom"/>
          </w:tcPr>
          <w:p>
            <w:pPr>
              <w:spacing w:after="0"/>
              <w:rPr>
                <w:sz w:val="1"/>
                <w:szCs w:val="1"/>
                <w:color w:val="auto"/>
              </w:rPr>
            </w:pPr>
          </w:p>
        </w:tc>
      </w:tr>
      <w:tr>
        <w:trPr>
          <w:trHeight w:val="297"/>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25,754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37,365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25,921</w:t>
            </w:r>
          </w:p>
        </w:tc>
        <w:tc>
          <w:tcPr>
            <w:tcW w:w="0" w:type="dxa"/>
            <w:vAlign w:val="bottom"/>
          </w:tcPr>
          <w:p>
            <w:pPr>
              <w:spacing w:after="0"/>
              <w:rPr>
                <w:sz w:val="1"/>
                <w:szCs w:val="1"/>
                <w:color w:val="auto"/>
              </w:rPr>
            </w:pPr>
          </w:p>
        </w:tc>
      </w:tr>
      <w:tr>
        <w:trPr>
          <w:trHeight w:val="108"/>
        </w:trPr>
        <w:tc>
          <w:tcPr>
            <w:tcW w:w="7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265,149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260,216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265,922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(198,565)</w:t>
            </w:r>
          </w:p>
        </w:tc>
        <w:tc>
          <w:tcPr>
            <w:tcW w:w="0" w:type="dxa"/>
            <w:vAlign w:val="bottom"/>
          </w:tcPr>
          <w:p>
            <w:pPr>
              <w:spacing w:after="0"/>
              <w:rPr>
                <w:sz w:val="1"/>
                <w:szCs w:val="1"/>
                <w:color w:val="auto"/>
              </w:rPr>
            </w:pPr>
          </w:p>
        </w:tc>
      </w:tr>
      <w:tr>
        <w:trPr>
          <w:trHeight w:val="297"/>
        </w:trPr>
        <w:tc>
          <w:tcPr>
            <w:tcW w:w="7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58,098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66,214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67,357</w:t>
            </w:r>
          </w:p>
        </w:tc>
        <w:tc>
          <w:tcPr>
            <w:tcW w:w="0" w:type="dxa"/>
            <w:vAlign w:val="bottom"/>
          </w:tcPr>
          <w:p>
            <w:pPr>
              <w:spacing w:after="0"/>
              <w:rPr>
                <w:sz w:val="1"/>
                <w:szCs w:val="1"/>
                <w:color w:val="auto"/>
              </w:rPr>
            </w:pPr>
          </w:p>
        </w:tc>
      </w:tr>
      <w:tr>
        <w:trPr>
          <w:trHeight w:val="109"/>
        </w:trPr>
        <w:tc>
          <w:tcPr>
            <w:tcW w:w="7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18,329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25,946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52,011</w:t>
            </w:r>
          </w:p>
        </w:tc>
        <w:tc>
          <w:tcPr>
            <w:tcW w:w="0" w:type="dxa"/>
            <w:vAlign w:val="bottom"/>
          </w:tcPr>
          <w:p>
            <w:pPr>
              <w:spacing w:after="0"/>
              <w:rPr>
                <w:sz w:val="1"/>
                <w:szCs w:val="1"/>
                <w:color w:val="auto"/>
              </w:rPr>
            </w:pPr>
          </w:p>
        </w:tc>
      </w:tr>
      <w:tr>
        <w:trPr>
          <w:trHeight w:val="257"/>
        </w:trPr>
        <w:tc>
          <w:tcPr>
            <w:tcW w:w="732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58,358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59,981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77,957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7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July 2020, in conjunction with the ongoing evaluation of our strategic direction, we reviewed a variety of strategic alternatives for our CashMax business and related operations in Canada and concluded that a shutdown of the business was the preferred alternative. We do not expect this shutdown will have a major effect on the Company's operations and financial results as this business represents approximately 1% of total revenues and less than 1% of total assets as of June 30, 2020 and does not represent a major geographical area. We expect the shutdown will be completed during the fourth quarter of fiscal 2020 and will result in charges of approximately $8.0-$10.0 million, which will be recorded in the results of operations for the fourth quarter.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spacing w:after="0" w:line="254" w:lineRule="auto"/>
        <w:rPr>
          <w:rFonts w:ascii="Arial" w:cs="Arial" w:eastAsia="Arial" w:hAnsi="Arial"/>
          <w:sz w:val="18"/>
          <w:szCs w:val="18"/>
          <w:color w:val="0000EE"/>
        </w:rPr>
      </w:pPr>
      <w:r>
        <w:rPr>
          <w:rFonts w:ascii="Arial" w:cs="Arial" w:eastAsia="Arial" w:hAnsi="Arial"/>
          <w:sz w:val="18"/>
          <w:szCs w:val="18"/>
          <w:color w:val="auto"/>
        </w:rPr>
        <w:t xml:space="preserve">Management’s Discussion and Analysis of Financial Condition and Results of Operations (“MD&amp;A”)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Management’s Discussion and Analysis of Financial Conditions and Results of Operations contain forward-looking statements. Our </w:t>
      </w:r>
      <w:hyperlink r:id="rId15">
        <w:r>
          <w:rPr>
            <w:rFonts w:ascii="Arial" w:cs="Arial" w:eastAsia="Arial" w:hAnsi="Arial"/>
            <w:sz w:val="18"/>
            <w:szCs w:val="18"/>
            <w:color w:val="auto"/>
          </w:rPr>
          <w:t xml:space="preserve">actual results could differ materially from those anticipated in these forward-looking statements. See </w:t>
        </w:r>
        <w:r>
          <w:rPr>
            <w:rFonts w:ascii="Arial" w:cs="Arial" w:eastAsia="Arial" w:hAnsi="Arial"/>
            <w:sz w:val="18"/>
            <w:szCs w:val="18"/>
            <w:u w:val="single" w:color="auto"/>
            <w:color w:val="0000EE"/>
          </w:rPr>
          <w:t>"Part I, Item 1A — Risk Factors" of our Annual</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Report on Form 10-K for the year ended September 30, 2019</w:t>
        </w:r>
        <w:r>
          <w:rPr>
            <w:rFonts w:ascii="Arial" w:cs="Arial" w:eastAsia="Arial" w:hAnsi="Arial"/>
            <w:sz w:val="18"/>
            <w:szCs w:val="18"/>
            <w:color w:val="000000"/>
          </w:rPr>
          <w:t>, as supplemented by the information set forth in “Part I, Item 3 — Quantitative and</w:t>
        </w:r>
      </w:hyperlink>
      <w:r>
        <w:rPr>
          <w:rFonts w:ascii="Arial" w:cs="Arial" w:eastAsia="Arial" w:hAnsi="Arial"/>
          <w:sz w:val="18"/>
          <w:szCs w:val="18"/>
          <w:color w:val="0000EE"/>
        </w:rPr>
        <w:t xml:space="preserve"> </w:t>
      </w:r>
      <w:r>
        <w:rPr>
          <w:rFonts w:ascii="Arial" w:cs="Arial" w:eastAsia="Arial" w:hAnsi="Arial"/>
          <w:sz w:val="18"/>
          <w:szCs w:val="18"/>
          <w:color w:val="000000"/>
        </w:rPr>
        <w:t>Qualitative Disclosures about Market Risk” and "Part II, Item 1A — Risk Factors" of this Report for a discussion of certain risks, uncertainties and assumptions associated with these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2019, a novel strain of coronavirus, ("COVID-19"), was identified in Wuhan, China. This new coronavirus has caused a global health emergency and was declared a pandemic by the World Health Organization in March 2020. In an effort to contain and slow the spread of COVID-19, governments have implemented various measures, such as, ordering non-essential businesses to close, issuing travel advisories, canceling large scale public events, ordering shelter-in-place for residents and requiring the public to practice social distancing. Many of these measures have expired or been rescinded, but some are continuing, and others are being considered for reimplementation, as COVID-19 continues to spread at rapid rates in many parts of the U.S.</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began to see the impact of COVID-19 to our operations in mid-March, which is when the government implemented actions in response to COVID-19. Since that time and continuing through the third quarter, we have been able to keep virtually all of our stores open for business, although operating under enhanced safety measures and, in some cases, restrictions on occupancy. We have seen tighter restrictions in our Latin America countries: In Mexico (367 stores), retail sales in all stores were prohibited by regulators during the last three weeks of May; in Guatemala (85 stores), regulators imposed country-wide lock-downs on many weekends and 39 mall-based locations were closed for extended periods; in El Salvador (17 stores), our stores were closed from late March through mid-June; in Honduras (16 stores), the majority of our stores were closed through mid-April; and in Peru (11 stores), our stores were closed from mid-March through varying dates through mid-May and mid-June.</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Beginning in mid-March and continuing through most of the third quarter, we have experienced a significant decline in pawn loan originations and associated loan balances in both the U.S. and Latin America, as a result of a change in customer borrowing behaviors related to COVID-19. Pawn loan balances at the end of the third quarter were down $61.8 million (42%) in U.S. Pawn and $15.3 million (37%) in Latin America Pawn (down $11.7 million, or 28% on a constant currency basis), compared to the prior-year quarter. The overall decline in pawn loan balances had a negative impact on our net revenues and earnings for the third quarter and will continue to adversely affect our results of operations for the remainder of fiscal 2020 and future periods until we are able to rebuild the loan balances.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Offsetting the net revenue losses due to decreased loan originations, we have seen a strong increase in merchandise sales during March and continuing into the third quarter. As a result of this increased sales activity, combined with the decrease in loan originations and our liquidity initiatives described below, our cash balance has grown to $311.1 million at the end of the third quarter. Sustained lower pawn portfolios lead to less inventory available for sale, which in turn may lead to lower merchandise sales volume in the next fiscal year.</w:t>
      </w: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maximize our ability to meet an expected increase in pawn loan originations, we have implemented several measures to increase liquidity. We have suspended repurchases of shares under our authorized stock repurchase program, have renegotiated certain supplier and vendor agreements, have slowed the pace of de novo store openings in Latin America, have delayed certain capital expenditures and were able to delay payments of certain taxes as a result of the economic relief in the Coronavirus Aid, Relief, and Economic Security (CARES) Act passed by Congress in response to COVID-19. The full extent and duration of the COVID-19 impact on the global economy generally, and on our business specifically, is currently unknown. The pandemic will have an adverse effect on our net revenues and earnings in fiscal 2020, and we expect that the impact of the pandemic, and the recovery therefrom, will continue to adversely affect net revenues and earnings into fiscal 2021. A prolonged pandemic and recovery may have an adverse effect on our results of operations, financial position and liquidity in future periods. See "Part II, Item 1A - Risk Factors."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Civil Unrest</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late May and early June, protests and demonstrations in some cities escalated into riots and lootings in neighborhoods where our stores are located. As a result, 30 stores suffered losses and damages during the riots and looting activity. A total of 4 stores suffered total losses and we are currently evaluating whether these stores will be re-opened. We recorded $1.8 million in inventory losses, $0.4 million in loan restitution losses and $0.2 million in property, plant and equipment losses during the quarter. The inventory losses were recorded under "Merchandise cost of goods sold" in the Company's condensed consolidated statement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Financial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EZCORP is a Delaware corporation headquartered in Austin, Texas. We are a leading provider of pawn loans in the United States and Latin America.</w:t>
      </w:r>
    </w:p>
    <w:p>
      <w:pPr>
        <w:spacing w:after="0" w:line="1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Most Efficient Provider of Cash;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offer pawn loans at our pawn stores and sell merchandise to customers looking for good value. Our pawn loans are nonrecourse loans collateralized by tangible personal property. The merchandise we sell consists of collateral forfeited from our pawn lending activities or merchandise purchased from customers.</w:t>
      </w:r>
    </w:p>
    <w:p>
      <w:pPr>
        <w:spacing w:after="0" w:line="13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pawn service charges (“PSC”). The following charts present sources of net revenues, including PSC, merchandise sales gross profit ("Merchandise sales GP") and jewelry scrapping gross profit ("Jewelry scrapping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5846445" cy="4852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84644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121" w:right="4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charts present sources of net revenues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846445" cy="4852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84644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present store counts by geographic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46445" cy="237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8464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139"/>
          </w:cols>
          <w:pgMar w:left="320" w:top="121" w:right="1440"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collateralized personal property and the perceived probability of the loans' redemption.</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and our ability to sell that merchandise in a timely manner. As a significant portion of our inventory and sales involve gold and jewelry, our results can be influenced by the market price of gold and diamonds.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in both Latin America and the United States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 In the current quarter, we have resumed de novo and acquisition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the United States, pawn service charges are historically highest in our fourth fiscal quarter (July through September) due to a higher average loan balance during the summer lending season and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 fiscal quarter (April through June). These historical trends have been impacted by COVID-19. However, we expect these historical trends to return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first quarter of fiscal 2020, we revised the financial information our chief operating decision maker (our chief executive officer) reviews for operational decision-making purposes and for allocation of capital to include the separate financial results of our Lana business. Our historical segment results have been recast to conform to current presentation. We currently report our segments as follows: U.S. Pawn - all pawn activities in the United States; Latin America Pawn - all pawn activities in Mexico and other parts of Latin America; Lana - our customer-centric digital engagement platform; and Other International - primarily our equity interest in the net income of Cash Converters International and consumer finance activities in Canada. While we expect the operations of the Lana segment to have a positive impact on our pawn loan redemption rates and therefore our pawn service charges and yield, the pawn service charges will all be reported in our pawn segments rather than allocated to the Lana segment. Only discrete revenues related to the Lana segment will be reported in the Lana segment results. As a digital offering, Lana has no separate physical store locations.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October 1, 2019, we adopted Accounting Standards Codification ("ASC") Topic 842, Leases (Topic 842). Topic 842 required companies to generally recognize on the balance sheet operating and financing lease liabilities and corresponding right-of-use assets. We recorded a net right-of-use asset of $237.5 million and a net lease liability of $246.0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Data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Three Months Ended June 30, 2020</w:t>
            </w:r>
          </w:p>
        </w:tc>
        <w:tc>
          <w:tcPr>
            <w:tcW w:w="1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2020</w:t>
            </w:r>
          </w:p>
        </w:tc>
        <w:tc>
          <w:tcPr>
            <w:tcW w:w="27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512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780" w:type="dxa"/>
            <w:vAlign w:val="bottom"/>
            <w:tcBorders>
              <w:bottom w:val="single" w:sz="8" w:color="CCEEFF"/>
            </w:tcBorders>
            <w:gridSpan w:val="2"/>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8"/>
                <w:szCs w:val="18"/>
                <w:color w:val="auto"/>
              </w:rPr>
              <w:t>As of June 30, 2020</w:t>
            </w:r>
          </w:p>
        </w:tc>
        <w:tc>
          <w:tcPr>
            <w:tcW w:w="1780" w:type="dxa"/>
            <w:vAlign w:val="bottom"/>
            <w:gridSpan w:val="2"/>
          </w:tcPr>
          <w:p>
            <w:pPr>
              <w:spacing w:after="0"/>
              <w:rPr>
                <w:sz w:val="20"/>
                <w:szCs w:val="20"/>
                <w:color w:val="auto"/>
              </w:rPr>
            </w:pP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511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Three Months Ended June 30, 2019</w:t>
            </w: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5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2019</w:t>
            </w:r>
          </w:p>
        </w:tc>
        <w:tc>
          <w:tcPr>
            <w:tcW w:w="27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278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2019</w:t>
            </w:r>
          </w:p>
        </w:tc>
        <w:tc>
          <w:tcPr>
            <w:tcW w:w="1780" w:type="dxa"/>
            <w:vAlign w:val="bottom"/>
            <w:tcBorders>
              <w:bottom w:val="single" w:sz="8" w:color="CCEEFF"/>
            </w:tcBorders>
            <w:gridSpan w:val="2"/>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Nine Months Ended June 30, 2020</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ind w:left="14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360" w:type="dxa"/>
            <w:vAlign w:val="bottom"/>
            <w:gridSpan w:val="4"/>
          </w:tcPr>
          <w:p>
            <w:pPr>
              <w:ind w:left="42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2019</w:t>
            </w:r>
          </w:p>
        </w:tc>
        <w:tc>
          <w:tcPr>
            <w:tcW w:w="27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512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sold, combined or closed</w:t>
            </w:r>
          </w:p>
        </w:tc>
        <w:tc>
          <w:tcPr>
            <w:tcW w:w="17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8"/>
                <w:szCs w:val="18"/>
                <w:color w:val="auto"/>
              </w:rPr>
              <w:t>As of June 30, 2020</w:t>
            </w:r>
          </w:p>
        </w:tc>
        <w:tc>
          <w:tcPr>
            <w:tcW w:w="176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Nine Months Ended June 30, 2019</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4"/>
          </w:tcPr>
          <w:p>
            <w:pPr>
              <w:ind w:left="14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360" w:type="dxa"/>
            <w:vAlign w:val="bottom"/>
            <w:gridSpan w:val="4"/>
          </w:tcPr>
          <w:p>
            <w:pPr>
              <w:ind w:left="42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2018</w:t>
            </w:r>
          </w:p>
        </w:tc>
        <w:tc>
          <w:tcPr>
            <w:tcW w:w="27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508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7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gridSpan w:val="4"/>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27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2019</w:t>
            </w:r>
          </w:p>
        </w:tc>
        <w:tc>
          <w:tcPr>
            <w:tcW w:w="27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514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1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2020 vs. Three Months Ended June 30, 2019</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3"/>
        </w:trPr>
        <w:tc>
          <w:tcPr>
            <w:tcW w:w="65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41,069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58,635</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(30)%</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116,258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83,904</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39%</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40,420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31,049</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30%</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(200)bps</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17,129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13,889</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23%</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2,290</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86%</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900bps</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18%</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85,783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92,008</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r>
      <w:tr>
        <w:trPr>
          <w:trHeight w:val="324"/>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66,243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65,449</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2,934</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r>
      <w:tr>
        <w:trPr>
          <w:trHeight w:val="237"/>
        </w:trPr>
        <w:tc>
          <w:tcPr>
            <w:tcW w:w="650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16,791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23,625</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(29)%</w:t>
            </w: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318"/>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segment income</w:t>
            </w:r>
          </w:p>
        </w:tc>
        <w:tc>
          <w:tcPr>
            <w:tcW w:w="38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5,750%</w:t>
            </w: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16,557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23,621</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(30)%</w:t>
            </w:r>
          </w:p>
        </w:tc>
      </w:tr>
      <w:tr>
        <w:trPr>
          <w:trHeight w:val="20"/>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11"/>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Net earning assets (a)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176,866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283,781</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(38)%</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68%</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(b)</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280</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(39)%</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Pawn loan redemption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200bps</w:t>
            </w:r>
          </w:p>
        </w:tc>
      </w:tr>
    </w:tbl>
    <w:p>
      <w:pPr>
        <w:spacing w:after="0" w:line="170" w:lineRule="exact"/>
        <w:rPr>
          <w:sz w:val="20"/>
          <w:szCs w:val="20"/>
          <w:color w:val="auto"/>
        </w:rPr>
      </w:pPr>
    </w:p>
    <w:p>
      <w:pPr>
        <w:ind w:left="380" w:hanging="345"/>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hanging="345"/>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Segment contribution decreased $(7.1) million due to a decrease in pawn service charges, partially offset by an increase in merchandise sales gross profit.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expenses remained relatively flat compared to the prior-year quarter.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quarter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Change in Net Revenue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360" w:type="dxa"/>
            <w:vAlign w:val="bottom"/>
          </w:tcPr>
          <w:p>
            <w:pPr>
              <w:spacing w:after="0"/>
              <w:rPr>
                <w:sz w:val="13"/>
                <w:szCs w:val="13"/>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Pawn service charges decreased by 30% as a result of lower loan demand and increased loan redemptions believed to be related to federal economic stimulus.</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Merchandise sales increased 39% with margins down 200 basis points to 35%. When losses from looting of $2.2 million are excluded from merchandise cost of goods sold, margins were flat at 37%. We continue to focus on inventory management and efforts to reduce aged general merchandise. As a result, merchandise sales gross profit increased 30% to $40.4 million driven by strong retail demand as a result of the government fiscal stimulus response to COVID-19.</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Jewelry scrapping sales gross profit increased 86% to $4.3 million on higher volume and scrapping margins as a result of higher gold prices, with margins up 900 basis points to 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To supplement our condensed consolidated financial statements, which are prepared and presented in accordance with GAAP, we provide certain other non-GAAP financial information on a constant currency basis ("constant currency"). We use constant currency results to evaluate our Latin America Pawn operations, which are denominated primarily in Mexican pesos, Guatemalan quetzals and other Latin American currencies. We believe presentation of constant currency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3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above rates. Constant currency results, where presented, also exclude the foreign currency gain or loss. The end-of-period and approximate average exchange rates for each applicable currency as compared to U.S. dollars as of and for the three and nine months ended June 30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5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Nine Months Ended June 30,</w:t>
            </w:r>
          </w:p>
        </w:tc>
      </w:tr>
      <w:tr>
        <w:trPr>
          <w:trHeight w:val="263"/>
        </w:trPr>
        <w:tc>
          <w:tcPr>
            <w:tcW w:w="3400" w:type="dxa"/>
            <w:vAlign w:val="bottom"/>
          </w:tcPr>
          <w:p>
            <w:pPr>
              <w:spacing w:after="0"/>
              <w:rPr>
                <w:sz w:val="22"/>
                <w:szCs w:val="22"/>
                <w:color w:val="auto"/>
              </w:rPr>
            </w:pPr>
          </w:p>
        </w:tc>
        <w:tc>
          <w:tcPr>
            <w:tcW w:w="11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121"/>
        </w:trPr>
        <w:tc>
          <w:tcPr>
            <w:tcW w:w="3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Mexican peso</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6"/>
              </w:rPr>
              <w:t>23.3</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Guatemalan quetzal</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80" w:type="dxa"/>
            <w:vAlign w:val="bottom"/>
          </w:tcPr>
          <w:p>
            <w:pPr>
              <w:jc w:val="right"/>
              <w:ind w:right="1034"/>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7.6</w:t>
            </w:r>
          </w:p>
        </w:tc>
      </w:tr>
      <w:tr>
        <w:trPr>
          <w:trHeight w:val="27"/>
        </w:trPr>
        <w:tc>
          <w:tcPr>
            <w:tcW w:w="3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Honduran lempira</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34"/>
              <w:spacing w:after="0"/>
              <w:rPr>
                <w:sz w:val="20"/>
                <w:szCs w:val="20"/>
                <w:color w:val="auto"/>
              </w:rPr>
            </w:pPr>
            <w:r>
              <w:rPr>
                <w:rFonts w:ascii="Arial" w:cs="Arial" w:eastAsia="Arial" w:hAnsi="Arial"/>
                <w:sz w:val="18"/>
                <w:szCs w:val="18"/>
                <w:color w:val="auto"/>
                <w:w w:val="96"/>
              </w:rPr>
              <w:t>24.4</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Peruvian sol</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80" w:type="dxa"/>
            <w:vAlign w:val="bottom"/>
          </w:tcPr>
          <w:p>
            <w:pPr>
              <w:jc w:val="right"/>
              <w:ind w:right="1034"/>
              <w:spacing w:after="0"/>
              <w:rPr>
                <w:sz w:val="20"/>
                <w:szCs w:val="20"/>
                <w:color w:val="auto"/>
              </w:rPr>
            </w:pPr>
            <w:r>
              <w:rPr>
                <w:rFonts w:ascii="Arial" w:cs="Arial" w:eastAsia="Arial" w:hAnsi="Arial"/>
                <w:sz w:val="18"/>
                <w:szCs w:val="18"/>
                <w:color w:val="auto"/>
              </w:rPr>
              <w:t>3.4</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459"/>
        </w:trPr>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Financial Information."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6"/>
          </w:tcPr>
          <w:p>
            <w:pPr>
              <w:jc w:val="right"/>
              <w:ind w:right="85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 (GAAP)</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2019 (GAAP)</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3"/>
              </w:rPr>
              <w:t>2020 (Constant</w:t>
            </w:r>
          </w:p>
        </w:tc>
        <w:tc>
          <w:tcPr>
            <w:tcW w:w="10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Change (Constant</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Currency)</w:t>
            </w:r>
          </w:p>
        </w:tc>
        <w:tc>
          <w:tcPr>
            <w:tcW w:w="0" w:type="dxa"/>
            <w:vAlign w:val="bottom"/>
          </w:tcPr>
          <w:p>
            <w:pPr>
              <w:spacing w:after="0"/>
              <w:rPr>
                <w:sz w:val="1"/>
                <w:szCs w:val="1"/>
                <w:color w:val="auto"/>
              </w:rPr>
            </w:pPr>
          </w:p>
        </w:tc>
      </w:tr>
      <w:tr>
        <w:trPr>
          <w:trHeight w:val="385"/>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4"/>
          </w:tcPr>
          <w:p>
            <w:pPr>
              <w:jc w:val="right"/>
              <w:ind w:right="592"/>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11,391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20,345</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13,302</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20,279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19,998</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24,024</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2,582</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5,275</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243"/>
        </w:trPr>
        <w:tc>
          <w:tcPr>
            <w:tcW w:w="43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800bps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900bps</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3,174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4,323</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3,784</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157</w:t>
            </w:r>
          </w:p>
        </w:tc>
        <w:tc>
          <w:tcPr>
            <w:tcW w:w="13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(136)%</w:t>
            </w:r>
          </w:p>
        </w:tc>
        <w:tc>
          <w:tcPr>
            <w:tcW w:w="0" w:type="dxa"/>
            <w:vAlign w:val="bottom"/>
          </w:tcPr>
          <w:p>
            <w:pPr>
              <w:spacing w:after="0"/>
              <w:rPr>
                <w:sz w:val="1"/>
                <w:szCs w:val="1"/>
                <w:color w:val="auto"/>
              </w:rPr>
            </w:pPr>
          </w:p>
        </w:tc>
      </w:tr>
      <w:tr>
        <w:trPr>
          <w:trHeight w:val="243"/>
        </w:trPr>
        <w:tc>
          <w:tcPr>
            <w:tcW w:w="43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(700)bps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(500)bps</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1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67</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(131)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(296)%</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23,151</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18,390</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15,041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18,284</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17,395</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1,626</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1,913</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18%</w:t>
            </w:r>
          </w:p>
        </w:tc>
        <w:tc>
          <w:tcPr>
            <w:tcW w:w="0" w:type="dxa"/>
            <w:vAlign w:val="bottom"/>
          </w:tcPr>
          <w:p>
            <w:pPr>
              <w:spacing w:after="0"/>
              <w:rPr>
                <w:sz w:val="1"/>
                <w:szCs w:val="1"/>
                <w:color w:val="auto"/>
              </w:rPr>
            </w:pPr>
          </w:p>
        </w:tc>
      </w:tr>
      <w:tr>
        <w:trPr>
          <w:trHeight w:val="237"/>
        </w:trPr>
        <w:tc>
          <w:tcPr>
            <w:tcW w:w="4380" w:type="dxa"/>
            <w:vAlign w:val="bottom"/>
          </w:tcPr>
          <w:p>
            <w:pPr>
              <w:ind w:left="500"/>
              <w:spacing w:after="0"/>
              <w:rPr>
                <w:sz w:val="20"/>
                <w:szCs w:val="20"/>
                <w:color w:val="auto"/>
              </w:rPr>
            </w:pPr>
            <w:r>
              <w:rPr>
                <w:rFonts w:ascii="Arial" w:cs="Arial" w:eastAsia="Arial" w:hAnsi="Arial"/>
                <w:sz w:val="18"/>
                <w:szCs w:val="18"/>
                <w:color w:val="auto"/>
              </w:rPr>
              <w:t>Segment operating (loss) contribution</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3,241</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(918)</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(128)%</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Other segment income (a)</w:t>
            </w:r>
          </w:p>
        </w:tc>
        <w:tc>
          <w:tcPr>
            <w:tcW w:w="1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1,141</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(514)</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(145)%</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(loss)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2,100</w:t>
            </w:r>
          </w:p>
        </w:tc>
        <w:tc>
          <w:tcPr>
            <w:tcW w:w="13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(404)</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(119)%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Net earning assets (b)</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59,441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82,320</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66,971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3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43"/>
        </w:trPr>
        <w:tc>
          <w:tcPr>
            <w:tcW w:w="4540" w:type="dxa"/>
            <w:vAlign w:val="bottom"/>
            <w:gridSpan w:val="2"/>
          </w:tcPr>
          <w:p>
            <w:pPr>
              <w:ind w:left="280"/>
              <w:spacing w:after="0"/>
              <w:rPr>
                <w:sz w:val="20"/>
                <w:szCs w:val="20"/>
                <w:color w:val="auto"/>
              </w:rPr>
            </w:pPr>
            <w:r>
              <w:rPr>
                <w:rFonts w:ascii="Arial" w:cs="Arial" w:eastAsia="Arial" w:hAnsi="Arial"/>
                <w:sz w:val="18"/>
                <w:szCs w:val="18"/>
                <w:color w:val="auto"/>
                <w:w w:val="90"/>
              </w:rPr>
              <w:t>Average monthly ending pawn loan balance per store (c) $</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93</w:t>
            </w:r>
          </w:p>
        </w:tc>
        <w:tc>
          <w:tcPr>
            <w:tcW w:w="130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(29)%</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(400)bps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(400)bps</w:t>
            </w:r>
          </w:p>
        </w:tc>
        <w:tc>
          <w:tcPr>
            <w:tcW w:w="0" w:type="dxa"/>
            <w:vAlign w:val="bottom"/>
          </w:tcPr>
          <w:p>
            <w:pPr>
              <w:spacing w:after="0"/>
              <w:rPr>
                <w:sz w:val="1"/>
                <w:szCs w:val="1"/>
                <w:color w:val="auto"/>
              </w:rPr>
            </w:pPr>
          </w:p>
        </w:tc>
      </w:tr>
      <w:tr>
        <w:trPr>
          <w:trHeight w:val="243"/>
        </w:trPr>
        <w:tc>
          <w:tcPr>
            <w:tcW w:w="438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right="200" w:hanging="345"/>
        <w:spacing w:after="0" w:line="253"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Fiscal 2020 constant currency amount excludes net GAAP basis foreign currency transaction gains of $0.1 million resulting from movement in exchange rates. The net foreign currency transaction gains for fiscal 2019 were nominal and are included in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current quarter, our Latin America pawn segment opened three de novo stores.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Segment contribution decreased $2.8 million, or 135%, to $(0.7) million (119% on a constant currency basis). Operations expenses decreased $3.2 million, or (18)% ($0.9 million, or (5)% on a constant currency basis), to $15 million.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121" w:right="39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quarter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560" w:type="dxa"/>
            <w:vAlign w:val="bottom"/>
          </w:tcPr>
          <w:p>
            <w:pPr>
              <w:spacing w:after="0"/>
              <w:rPr>
                <w:sz w:val="13"/>
                <w:szCs w:val="13"/>
                <w:color w:val="auto"/>
              </w:rPr>
            </w:pPr>
          </w:p>
        </w:tc>
        <w:tc>
          <w:tcPr>
            <w:tcW w:w="10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3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center"/>
              <w:ind w:left="333"/>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560" w:type="dxa"/>
            <w:vAlign w:val="bottom"/>
          </w:tcPr>
          <w:p>
            <w:pPr>
              <w:spacing w:after="0"/>
              <w:rPr>
                <w:sz w:val="13"/>
                <w:szCs w:val="13"/>
                <w:color w:val="auto"/>
              </w:rPr>
            </w:pPr>
          </w:p>
        </w:tc>
        <w:tc>
          <w:tcPr>
            <w:tcW w:w="10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Pawn service charges decreased 44% (35% on a constant currency basis). The average ending monthly pawn loan balance outstanding during the current quarter was down 37% (29% on a constant currency basis). We have experienced a substantial decline in new loans activity and associated loan balances as a result of a change in customer borrowing behaviors due to COVID-19.</w:t>
      </w:r>
    </w:p>
    <w:p>
      <w:pPr>
        <w:spacing w:after="0" w:line="13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Merchandise sales increased 1% (20% on a constant currency basis) with margins up 800 basis points. Merchandise sales gross profit was up 65% to $4.3 million (104% to $5.3 million on a constant currency basis) primarily related to a discrete transaction tax adjustment of $(4.6) million in the prior year quarter.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Jewelry scrapping sales decreased 27% (12% on a constant currency basis) as airport closures limited many stores' ability to scrap and export their gold.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Lana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580" w:type="dxa"/>
            <w:vAlign w:val="bottom"/>
            <w:tcBorders>
              <w:bottom w:val="single" w:sz="8" w:color="auto"/>
            </w:tcBorders>
            <w:gridSpan w:val="4"/>
          </w:tcPr>
          <w:p>
            <w:pPr>
              <w:jc w:val="center"/>
              <w:ind w:left="519"/>
              <w:spacing w:after="0"/>
              <w:rPr>
                <w:sz w:val="20"/>
                <w:szCs w:val="20"/>
                <w:color w:val="auto"/>
              </w:rPr>
            </w:pPr>
            <w:r>
              <w:rPr>
                <w:rFonts w:ascii="Arial" w:cs="Arial" w:eastAsia="Arial" w:hAnsi="Arial"/>
                <w:sz w:val="14"/>
                <w:szCs w:val="14"/>
                <w:b w:val="1"/>
                <w:bCs w:val="1"/>
                <w:color w:val="auto"/>
                <w:w w:val="93"/>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center"/>
              <w:ind w:right="299"/>
              <w:spacing w:after="0"/>
              <w:rPr>
                <w:sz w:val="20"/>
                <w:szCs w:val="20"/>
                <w:color w:val="auto"/>
              </w:rPr>
            </w:pPr>
            <w:r>
              <w:rPr>
                <w:rFonts w:ascii="Arial" w:cs="Arial" w:eastAsia="Arial" w:hAnsi="Arial"/>
                <w:sz w:val="14"/>
                <w:szCs w:val="14"/>
                <w:i w:val="1"/>
                <w:iCs w:val="1"/>
                <w:color w:val="auto"/>
                <w:w w:val="92"/>
              </w:rPr>
              <w:t>(in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Operations expense and other</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(1,870)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(1,368)</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loss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(1,861)</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launched our customer-centric digital engagement platform (“Lana”) in the first quarter of fiscal 2020. This platform currently offers the ability for customers at selected locations to remotely extend their pawn loans through digital payments using their Lana account, and will allow us to leverage our existing store and pawn customer base to expand customer acquisition and retention and enable rapid deployment of new products. Discrete revenues to date are minimal as the product offering launched late in the first quarter of fiscal 2020, and all fees from pawn loan extensions, including those made through the Lana platform, are reported in the pawn segments.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presents selected financial data for our Other International segment after translation to U.S. dollars from its functional currency of primarily Australian and Canadian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right"/>
              <w:ind w:right="496"/>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Consumer loan fees, interest and other</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1,270</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bad debt</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Net revenues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1,066</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Equity in net income of unconsolidated affiliates</w:t>
            </w:r>
          </w:p>
        </w:tc>
        <w:tc>
          <w:tcPr>
            <w:tcW w:w="9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(1,320)</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(loss) income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(243)%</w:t>
            </w: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expense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57"/>
        </w:trPr>
        <w:tc>
          <w:tcPr>
            <w:tcW w:w="6860" w:type="dxa"/>
            <w:vAlign w:val="bottom"/>
          </w:tcPr>
          <w:p>
            <w:pPr>
              <w:ind w:left="500"/>
              <w:spacing w:after="0"/>
              <w:rPr>
                <w:sz w:val="20"/>
                <w:szCs w:val="20"/>
                <w:color w:val="auto"/>
              </w:rPr>
            </w:pPr>
            <w:r>
              <w:rPr>
                <w:rFonts w:ascii="Arial" w:cs="Arial" w:eastAsia="Arial" w:hAnsi="Arial"/>
                <w:sz w:val="18"/>
                <w:szCs w:val="18"/>
                <w:color w:val="auto"/>
              </w:rPr>
              <w:t>Segment (loss) contribution</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(1,474)</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860</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(271)%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was $(1.5) million, a decrease of $2.3 million from the prior-year quarter primarily due to a:</w:t>
      </w:r>
    </w:p>
    <w:p>
      <w:pPr>
        <w:spacing w:after="0" w:line="171" w:lineRule="exact"/>
        <w:rPr>
          <w:sz w:val="20"/>
          <w:szCs w:val="20"/>
          <w:color w:val="auto"/>
        </w:rPr>
      </w:pPr>
    </w:p>
    <w:p>
      <w:pPr>
        <w:ind w:left="5540" w:right="3640" w:hanging="5208"/>
        <w:spacing w:after="0" w:line="527" w:lineRule="auto"/>
        <w:tabs>
          <w:tab w:leader="none" w:pos="6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$1.2 million charge related to our portion of quarterly activity for Cash Converters International. 32</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25,213</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13,685</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2,622</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sale or disposal of assets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(18)%</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8,265</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(92)%</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Other expense (income)</w:t>
            </w: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(268)%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3,459</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(395)%</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(263)%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(274)%</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3,158</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(274)%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Segment contribution decreased 50% over the prior-year quarter primarily due to reduced pawn service charges from a decline in new loans activity and associated loan balances as a result of a change in customer borrowing behaviors due to COVID-19, partially offset by increased merchandise sales gross profit.</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Interest expense decreased $3.1 million, or 37%, primarily due to the reduction of interest expense on our </w:t>
      </w:r>
      <w:r>
        <w:rPr>
          <w:rFonts w:ascii="Arial" w:cs="Arial" w:eastAsia="Arial" w:hAnsi="Arial"/>
          <w:sz w:val="18"/>
          <w:szCs w:val="18"/>
          <w:color w:val="252525"/>
        </w:rPr>
        <w:t>2.125% Cash Convertible Senior</w:t>
      </w:r>
      <w:r>
        <w:rPr>
          <w:rFonts w:ascii="Arial" w:cs="Arial" w:eastAsia="Arial" w:hAnsi="Arial"/>
          <w:sz w:val="18"/>
          <w:szCs w:val="18"/>
          <w:color w:val="auto"/>
        </w:rPr>
        <w:t xml:space="preserve"> Notes Due 2019, which were repaid in June 2019. Prior to repayment, the principal amount of these notes was $195.0 million.</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Interest income decreased $2.6 million, or 92%, primarily due to the declining principal balance on the Grupo Finmart notes receivable as the notes are repaid in accordance with the agreed upon amortization schedule, in addition to the reduction of interest earned on outstanding cash balances after our 2019 Convertible Notes were repaid in June 2019.</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Income tax expense decreased $4.8 million primarily due to a $13.7 million decrease in income from continuing operations before income taxes. 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June 30, 2020 vs. Nine Months Ended June 30,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 Impairment</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quarter ended March 31, 2020, we concluded there was an indicator of impairment due to a decline in our market capitalization. We performed a quantitative analysis as of March 31, 2020 and determined the fair value of each of the Company's reporting units was below its carrying value as a result of the impact of COVID-19. As a result of this analysis, we recorded an impairment charge of $41.3 million in the prior quarter. We also (a) determined an impairment had occurred in the fair values of acquired trade names of previously acquired entities in our Mexico and GPMX reporting units and recorded a related impairment of $2.9 million and $1.7 million respectively, and (b) determined the carrying amount of certain long-lived asset groups were not recoverable and recorded related impairment of $1.1 million. These impairments were recorded under "Impairment of goodwill and intangible assets" in the Company's condensed consolidated statement of operations. See Note 2 of Notes to Interim Condensed Consolidated Financial Statements included in "Part I, Item 1 — Financial Statements." We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remain confident in our businesses, as all business units were performing well prior to the impact of COVID-19. We further evaluated events and circumstances as of June 30, 2020 and determined there were no impairment indicators.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tables below and discussion that follows should be read in conjunction with the accompanying condensed consolidated financial statements and related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3"/>
        </w:trPr>
        <w:tc>
          <w:tcPr>
            <w:tcW w:w="65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385"/>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6"/>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166,859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184,658</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314,059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275,639</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14%</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111,571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102,708</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(100)bps</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28,357</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16%</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7,475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4,677</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60%</w:t>
            </w:r>
          </w:p>
        </w:tc>
      </w:tr>
      <w:tr>
        <w:trPr>
          <w:trHeight w:val="243"/>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700bps</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125</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(14)%</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286,012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292,168</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324"/>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201,921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200,884</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and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8,951</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w:t>
            </w: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contribution</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65,766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82,333</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(20)%</w:t>
            </w:r>
          </w:p>
        </w:tc>
      </w:tr>
      <w:tr>
        <w:trPr>
          <w:trHeight w:val="318"/>
        </w:trPr>
        <w:tc>
          <w:tcPr>
            <w:tcW w:w="65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2,856</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(92)%</w:t>
            </w:r>
          </w:p>
        </w:tc>
      </w:tr>
      <w:tr>
        <w:trPr>
          <w:trHeight w:val="297"/>
        </w:trPr>
        <w:tc>
          <w:tcPr>
            <w:tcW w:w="65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Segment contribution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65,532</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79,477</w:t>
            </w:r>
          </w:p>
        </w:tc>
        <w:tc>
          <w:tcPr>
            <w:tcW w:w="15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(18)%</w:t>
            </w:r>
          </w:p>
        </w:tc>
      </w:tr>
      <w:tr>
        <w:trPr>
          <w:trHeight w:val="311"/>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288</w:t>
            </w:r>
          </w:p>
        </w:tc>
        <w:tc>
          <w:tcPr>
            <w:tcW w:w="15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(14)%</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200bps</w:t>
            </w:r>
          </w:p>
        </w:tc>
      </w:tr>
      <w:tr>
        <w:trPr>
          <w:trHeight w:val="27"/>
        </w:trPr>
        <w:tc>
          <w:tcPr>
            <w:tcW w:w="6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80" w:hanging="345"/>
        <w:spacing w:after="0"/>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hanging="345"/>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Segment contribution decreased $14.0 million primarily due to the goodwill impairment charge recorded during the prior quarter. Excluding the goodwill impairment charge, segment contribution decreased $3.9 million, or (5)%, to $75.5 million. Net revenue decreased (2)% to $286.0 million, total expenses decreased $2.2 million to $210.5 million due primarily a $2.9 million prior-period recognition of an uncollectible receivable balance from a bankrupt refining partner with no comparable charge in the current period. Excluding the impairment, operations expenses increased 1% compared to the prior-year nine-month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Change in Net Revenue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360" w:type="dxa"/>
            <w:vAlign w:val="bottom"/>
          </w:tcPr>
          <w:p>
            <w:pPr>
              <w:spacing w:after="0"/>
              <w:rPr>
                <w:sz w:val="13"/>
                <w:szCs w:val="13"/>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2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Pawn service charges decreased (10)% due to a substantial decline in new loans activity and associated loan balances as a result of a change in customer borrowing behaviors as a result of COVID-19.</w:t>
      </w:r>
    </w:p>
    <w:p>
      <w:pPr>
        <w:spacing w:after="0" w:line="116"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Merchandise sales increased 14% with margins down 100 basis points to 36%, the low end of our target range, as we continue to focus on inventory management. As a result of the net impact of the increase in sales offset by decreased margin, merchandise sales gross profit increased 9% to $111.6 million.</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Jewelry scrapping sales gross profit increased 60% to $7.5 million due primarily to higher scrapping margins as a result of higher gold prices. Scrap sales margins increased 700 basis points to 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 Pawn</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selected summary financial data our Latin America Pawn segment, including constant currency results, after translation to U.S. dollars from functional currencies. See “Results of Operations — Non-GAAP Financial Information”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852"/>
              <w:spacing w:after="0"/>
              <w:rPr>
                <w:sz w:val="20"/>
                <w:szCs w:val="20"/>
                <w:color w:val="auto"/>
              </w:rPr>
            </w:pPr>
            <w:r>
              <w:rPr>
                <w:rFonts w:ascii="Arial" w:cs="Arial" w:eastAsia="Arial" w:hAnsi="Arial"/>
                <w:sz w:val="14"/>
                <w:szCs w:val="14"/>
                <w:b w:val="1"/>
                <w:bCs w:val="1"/>
                <w:color w:val="auto"/>
                <w:w w:val="92"/>
              </w:rPr>
              <w:t>Nine Months Ended June 30,</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2020 (GAAP)</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2019 (GAAP)</w:t>
            </w:r>
          </w:p>
        </w:tc>
        <w:tc>
          <w:tcPr>
            <w:tcW w:w="12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Change (GAAP)</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3"/>
              </w:rPr>
              <w:t>2020 (Constant</w:t>
            </w:r>
          </w:p>
        </w:tc>
        <w:tc>
          <w:tcPr>
            <w:tcW w:w="10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385"/>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USD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50,548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59,640</w:t>
            </w:r>
          </w:p>
        </w:tc>
        <w:tc>
          <w:tcPr>
            <w:tcW w:w="1320" w:type="dxa"/>
            <w:vAlign w:val="bottom"/>
            <w:gridSpan w:val="2"/>
          </w:tcPr>
          <w:p>
            <w:pPr>
              <w:jc w:val="center"/>
              <w:ind w:left="31"/>
              <w:spacing w:after="0"/>
              <w:rPr>
                <w:sz w:val="20"/>
                <w:szCs w:val="20"/>
                <w:color w:val="auto"/>
              </w:rPr>
            </w:pPr>
            <w:r>
              <w:rPr>
                <w:rFonts w:ascii="Arial" w:cs="Arial" w:eastAsia="Arial" w:hAnsi="Arial"/>
                <w:sz w:val="18"/>
                <w:szCs w:val="18"/>
                <w:color w:val="auto"/>
                <w:w w:val="91"/>
              </w:rPr>
              <w:t>(15)%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52,365</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79,036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70,547</w:t>
            </w:r>
          </w:p>
        </w:tc>
        <w:tc>
          <w:tcPr>
            <w:tcW w:w="1320" w:type="dxa"/>
            <w:vAlign w:val="bottom"/>
            <w:gridSpan w:val="2"/>
          </w:tcPr>
          <w:p>
            <w:pPr>
              <w:jc w:val="center"/>
              <w:ind w:left="31"/>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82,580</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19,813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18,295</w:t>
            </w:r>
          </w:p>
        </w:tc>
        <w:tc>
          <w:tcPr>
            <w:tcW w:w="13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2"/>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20,743</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(100)bps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8,804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9,516</w:t>
            </w:r>
          </w:p>
        </w:tc>
        <w:tc>
          <w:tcPr>
            <w:tcW w:w="132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9,408</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548</w:t>
            </w:r>
          </w:p>
        </w:tc>
        <w:tc>
          <w:tcPr>
            <w:tcW w:w="13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88"/>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750</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43"/>
        </w:trPr>
        <w:tc>
          <w:tcPr>
            <w:tcW w:w="442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200bps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200bps</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1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134</w:t>
            </w:r>
          </w:p>
        </w:tc>
        <w:tc>
          <w:tcPr>
            <w:tcW w:w="1320" w:type="dxa"/>
            <w:vAlign w:val="bottom"/>
            <w:gridSpan w:val="2"/>
          </w:tcPr>
          <w:p>
            <w:pPr>
              <w:jc w:val="center"/>
              <w:ind w:left="11"/>
              <w:spacing w:after="0"/>
              <w:rPr>
                <w:sz w:val="20"/>
                <w:szCs w:val="20"/>
                <w:color w:val="auto"/>
              </w:rPr>
            </w:pPr>
            <w:r>
              <w:rPr>
                <w:rFonts w:ascii="Arial" w:cs="Arial" w:eastAsia="Arial" w:hAnsi="Arial"/>
                <w:sz w:val="18"/>
                <w:szCs w:val="18"/>
                <w:color w:val="auto"/>
                <w:w w:val="92"/>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(185)%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78,617</w:t>
            </w:r>
          </w:p>
        </w:tc>
        <w:tc>
          <w:tcPr>
            <w:tcW w:w="13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1"/>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73,744</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97"/>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53,493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54,703</w:t>
            </w:r>
          </w:p>
        </w:tc>
        <w:tc>
          <w:tcPr>
            <w:tcW w:w="1320" w:type="dxa"/>
            <w:vAlign w:val="bottom"/>
            <w:gridSpan w:val="2"/>
          </w:tcPr>
          <w:p>
            <w:pPr>
              <w:jc w:val="center"/>
              <w:ind w:left="31"/>
              <w:spacing w:after="0"/>
              <w:rPr>
                <w:sz w:val="20"/>
                <w:szCs w:val="20"/>
                <w:color w:val="auto"/>
              </w:rPr>
            </w:pPr>
            <w:r>
              <w:rPr>
                <w:rFonts w:ascii="Arial" w:cs="Arial" w:eastAsia="Arial" w:hAnsi="Arial"/>
                <w:sz w:val="18"/>
                <w:szCs w:val="18"/>
                <w:color w:val="auto"/>
                <w:w w:val="94"/>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55,669</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and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35,936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37,398</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5,476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4,543</w:t>
            </w:r>
          </w:p>
        </w:tc>
        <w:tc>
          <w:tcPr>
            <w:tcW w:w="1320" w:type="dxa"/>
            <w:vAlign w:val="bottom"/>
            <w:gridSpan w:val="2"/>
          </w:tcPr>
          <w:p>
            <w:pPr>
              <w:jc w:val="center"/>
              <w:ind w:left="31"/>
              <w:spacing w:after="0"/>
              <w:rPr>
                <w:sz w:val="20"/>
                <w:szCs w:val="20"/>
                <w:color w:val="auto"/>
              </w:rPr>
            </w:pPr>
            <w:r>
              <w:rPr>
                <w:rFonts w:ascii="Arial" w:cs="Arial" w:eastAsia="Arial" w:hAnsi="Arial"/>
                <w:sz w:val="18"/>
                <w:szCs w:val="18"/>
                <w:color w:val="auto"/>
                <w:w w:val="88"/>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5,736</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26%</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operating (loss) contribution</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(23,858)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19,371</w:t>
            </w:r>
          </w:p>
        </w:tc>
        <w:tc>
          <w:tcPr>
            <w:tcW w:w="132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2"/>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(25,059)</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(229)%</w:t>
            </w:r>
          </w:p>
        </w:tc>
        <w:tc>
          <w:tcPr>
            <w:tcW w:w="0" w:type="dxa"/>
            <w:vAlign w:val="bottom"/>
          </w:tcPr>
          <w:p>
            <w:pPr>
              <w:spacing w:after="0"/>
              <w:rPr>
                <w:sz w:val="1"/>
                <w:szCs w:val="1"/>
                <w:color w:val="auto"/>
              </w:rPr>
            </w:pPr>
          </w:p>
        </w:tc>
      </w:tr>
      <w:tr>
        <w:trPr>
          <w:trHeight w:val="290"/>
        </w:trPr>
        <w:tc>
          <w:tcPr>
            <w:tcW w:w="4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segment (income) expense (a)</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1,024</w:t>
            </w:r>
          </w:p>
        </w:tc>
        <w:tc>
          <w:tcPr>
            <w:tcW w:w="1320" w:type="dxa"/>
            <w:vAlign w:val="bottom"/>
            <w:tcBorders>
              <w:bottom w:val="single" w:sz="8" w:color="CCEEFF"/>
            </w:tcBorders>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2"/>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(766)</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(175)%</w:t>
            </w:r>
          </w:p>
        </w:tc>
        <w:tc>
          <w:tcPr>
            <w:tcW w:w="0" w:type="dxa"/>
            <w:vAlign w:val="bottom"/>
          </w:tcPr>
          <w:p>
            <w:pPr>
              <w:spacing w:after="0"/>
              <w:rPr>
                <w:sz w:val="1"/>
                <w:szCs w:val="1"/>
                <w:color w:val="auto"/>
              </w:rPr>
            </w:pPr>
          </w:p>
        </w:tc>
      </w:tr>
      <w:tr>
        <w:trPr>
          <w:trHeight w:val="297"/>
        </w:trPr>
        <w:tc>
          <w:tcPr>
            <w:tcW w:w="44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Segment (loss)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(22,752)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18,347</w:t>
            </w:r>
          </w:p>
        </w:tc>
        <w:tc>
          <w:tcPr>
            <w:tcW w:w="1320" w:type="dxa"/>
            <w:vAlign w:val="bottom"/>
            <w:tcBorders>
              <w:bottom w:val="single" w:sz="8" w:color="CCEEFF"/>
            </w:tcBorders>
            <w:gridSpan w:val="2"/>
          </w:tcPr>
          <w:p>
            <w:pPr>
              <w:jc w:val="center"/>
              <w:ind w:left="11"/>
              <w:spacing w:after="0"/>
              <w:rPr>
                <w:sz w:val="20"/>
                <w:szCs w:val="20"/>
                <w:color w:val="auto"/>
              </w:rPr>
            </w:pPr>
            <w:r>
              <w:rPr>
                <w:rFonts w:ascii="Arial" w:cs="Arial" w:eastAsia="Arial" w:hAnsi="Arial"/>
                <w:sz w:val="18"/>
                <w:szCs w:val="18"/>
                <w:color w:val="auto"/>
                <w:w w:val="92"/>
              </w:rPr>
              <w:t>(224)%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(24,293)</w:t>
            </w:r>
          </w:p>
        </w:tc>
        <w:tc>
          <w:tcPr>
            <w:tcW w:w="15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(232)%</w:t>
            </w:r>
          </w:p>
        </w:tc>
        <w:tc>
          <w:tcPr>
            <w:tcW w:w="0" w:type="dxa"/>
            <w:vAlign w:val="bottom"/>
          </w:tcPr>
          <w:p>
            <w:pPr>
              <w:spacing w:after="0"/>
              <w:rPr>
                <w:sz w:val="1"/>
                <w:szCs w:val="1"/>
                <w:color w:val="auto"/>
              </w:rPr>
            </w:pPr>
          </w:p>
        </w:tc>
      </w:tr>
      <w:tr>
        <w:trPr>
          <w:trHeight w:val="284"/>
        </w:trPr>
        <w:tc>
          <w:tcPr>
            <w:tcW w:w="4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1"/>
              </w:rPr>
              <w:t>Average monthly ending pawn loan balance per store (b) $</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w:t>
            </w:r>
          </w:p>
        </w:tc>
        <w:tc>
          <w:tcPr>
            <w:tcW w:w="132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1"/>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80</w:t>
            </w:r>
          </w:p>
        </w:tc>
        <w:tc>
          <w:tcPr>
            <w:tcW w:w="15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43"/>
        </w:trPr>
        <w:tc>
          <w:tcPr>
            <w:tcW w:w="4420" w:type="dxa"/>
            <w:vAlign w:val="bottom"/>
          </w:tcPr>
          <w:p>
            <w:pPr>
              <w:ind w:left="280"/>
              <w:spacing w:after="0"/>
              <w:rPr>
                <w:sz w:val="20"/>
                <w:szCs w:val="20"/>
                <w:color w:val="auto"/>
              </w:rPr>
            </w:pPr>
            <w:r>
              <w:rPr>
                <w:rFonts w:ascii="Arial" w:cs="Arial" w:eastAsia="Arial" w:hAnsi="Arial"/>
                <w:sz w:val="18"/>
                <w:szCs w:val="18"/>
                <w:color w:val="auto"/>
              </w:rPr>
              <w:t>Monthly average yield on pawn loans outstanding</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(100)bps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(100)bps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(100)bps</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80" w:right="360" w:hanging="345"/>
        <w:spacing w:after="0" w:line="253"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Fiscal 2020 constant currency amount excludes net GAAP basis foreign currency transaction gains of $0.4 million gains resulting from movement in exchange rates. The net foreign currency transaction gains for fiscal 2019 were nominal and are included in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current-year nine-months, our Latin America pawn segment opened 16 de novo stores.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Segment contribution decreased $41.1 million, or 224%, to $(22.8) million (232% on a constant currency basis) primarily due to the goodwill impairment charges recorded during the prior quarter. Excluding those charges, segment contribution decreased $5.2 million, or 28%, to $13.2 million (32% on a constant currency basis) with net revenue down 10% (6% on a constant currency basis). Operations expense decreased $1.2 million, or 2% (increased 2% on a constant currency basis), to $53.5 million.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121" w:right="4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is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Change in Net Revenue</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560" w:type="dxa"/>
            <w:vAlign w:val="bottom"/>
          </w:tcPr>
          <w:p>
            <w:pPr>
              <w:spacing w:after="0"/>
              <w:rPr>
                <w:sz w:val="13"/>
                <w:szCs w:val="13"/>
                <w:color w:val="auto"/>
              </w:rPr>
            </w:pPr>
          </w:p>
        </w:tc>
        <w:tc>
          <w:tcPr>
            <w:tcW w:w="10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3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center"/>
              <w:ind w:left="333"/>
              <w:spacing w:after="0"/>
              <w:rPr>
                <w:sz w:val="20"/>
                <w:szCs w:val="20"/>
                <w:color w:val="auto"/>
              </w:rPr>
            </w:pPr>
            <w:r>
              <w:rPr>
                <w:rFonts w:ascii="Arial" w:cs="Arial" w:eastAsia="Arial" w:hAnsi="Arial"/>
                <w:sz w:val="14"/>
                <w:szCs w:val="14"/>
                <w:b w:val="1"/>
                <w:bCs w:val="1"/>
                <w:color w:val="auto"/>
                <w:w w:val="93"/>
              </w:rPr>
              <w:t>Change in Net Revenue (Constant Currency)</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160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7"/>
              </w:rPr>
              <w:t>Pawn Service Charges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Merchandise Sales</w:t>
            </w:r>
          </w:p>
        </w:tc>
        <w:tc>
          <w:tcPr>
            <w:tcW w:w="560" w:type="dxa"/>
            <w:vAlign w:val="bottom"/>
          </w:tcPr>
          <w:p>
            <w:pPr>
              <w:spacing w:after="0"/>
              <w:rPr>
                <w:sz w:val="13"/>
                <w:szCs w:val="13"/>
                <w:color w:val="auto"/>
              </w:rPr>
            </w:pPr>
          </w:p>
        </w:tc>
        <w:tc>
          <w:tcPr>
            <w:tcW w:w="10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Gross Profit</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New stores and other</w:t>
            </w:r>
          </w:p>
        </w:tc>
        <w:tc>
          <w:tcPr>
            <w:tcW w:w="6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tcPr>
          <w:p>
            <w:pPr>
              <w:ind w:left="40"/>
              <w:spacing w:after="0"/>
              <w:rPr>
                <w:sz w:val="20"/>
                <w:szCs w:val="20"/>
                <w:color w:val="auto"/>
              </w:rPr>
            </w:pPr>
            <w:r>
              <w:rPr>
                <w:rFonts w:ascii="Arial" w:cs="Arial" w:eastAsia="Arial" w:hAnsi="Arial"/>
                <w:sz w:val="18"/>
                <w:szCs w:val="18"/>
                <w:color w:val="auto"/>
              </w:rPr>
              <w:t>Change in jewelry scrapping sales gross profit and other revenues</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change in net revenue</w:t>
            </w: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Pawn service charges decreased 15% (12% on a constant currency basis). The average ending monthly pawn loan balance outstanding during the current quarter was down 15% (12% on a constant currency basis). We have experienced a substantial decline in new loans activity and associated loan balances as a result of a change in customer borrowing behaviors due to COVID-19.</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Merchandise sales increased 12% (17% on a constant currency basis) as we continue with efforts to reduce aged general merchandise at a higher cost basis, with an offsetting 100 basis points decline in margins. As a result of these factors and foreign currency impacts, merchandise sales gross profit was up 8% to $19.8 million (13% to $20.7 million on a constant currency basis).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Jewelry scrapping sales decreased 7% (1% on a constant currency basis) as airport closures limited many stores ability to scrap and export their gold.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Lana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Nine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60" w:type="dxa"/>
            <w:vAlign w:val="bottom"/>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right"/>
              <w:ind w:right="496"/>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Operations expense and other</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(4,297)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(4,981)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Segment loss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(4,284)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(4,981)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Discrete revenues to date are minimal as the product offering launched late in the first quarter of fiscal 2020, and all fees from pawn loan extensions, including those made through the Lana platform, are reported in the pawn segments.</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Operations expense decreased $0.7 million from the prior-year nine-month period primarily as a result of the capitalization of costs related to the Lana platform during and subsequent to the development stage.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our Other International segment after translation to U.S. dollars from its functional currency of primarily Australian and Canadian dollars: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14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820" w:type="dxa"/>
            <w:vAlign w:val="bottom"/>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2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60"/>
              <w:spacing w:after="0"/>
              <w:rPr>
                <w:sz w:val="20"/>
                <w:szCs w:val="20"/>
                <w:color w:val="auto"/>
              </w:rPr>
            </w:pPr>
            <w:r>
              <w:rPr>
                <w:rFonts w:ascii="Arial" w:cs="Arial" w:eastAsia="Arial" w:hAnsi="Arial"/>
                <w:sz w:val="18"/>
                <w:szCs w:val="18"/>
                <w:color w:val="auto"/>
              </w:rPr>
              <w:t>Consumer loan fees, interest and other</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4,274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Consumer loan bad debt</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37"/>
        </w:trPr>
        <w:tc>
          <w:tcPr>
            <w:tcW w:w="6820" w:type="dxa"/>
            <w:vAlign w:val="bottom"/>
          </w:tcPr>
          <w:p>
            <w:pPr>
              <w:ind w:left="480"/>
              <w:spacing w:after="0"/>
              <w:rPr>
                <w:sz w:val="20"/>
                <w:szCs w:val="20"/>
                <w:color w:val="auto"/>
              </w:rPr>
            </w:pPr>
            <w:r>
              <w:rPr>
                <w:rFonts w:ascii="Arial" w:cs="Arial" w:eastAsia="Arial" w:hAnsi="Arial"/>
                <w:sz w:val="18"/>
                <w:szCs w:val="18"/>
                <w:color w:val="auto"/>
              </w:rPr>
              <w:t>Net revenues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2,807</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8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Segment operating expenses:</w:t>
            </w: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6,359</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(39)%</w:t>
            </w:r>
          </w:p>
        </w:tc>
        <w:tc>
          <w:tcPr>
            <w:tcW w:w="0" w:type="dxa"/>
            <w:vAlign w:val="bottom"/>
          </w:tcPr>
          <w:p>
            <w:pPr>
              <w:spacing w:after="0"/>
              <w:rPr>
                <w:sz w:val="1"/>
                <w:szCs w:val="1"/>
                <w:color w:val="auto"/>
              </w:rPr>
            </w:pPr>
          </w:p>
        </w:tc>
      </w:tr>
      <w:tr>
        <w:trPr>
          <w:trHeight w:val="243"/>
        </w:trPr>
        <w:tc>
          <w:tcPr>
            <w:tcW w:w="6820" w:type="dxa"/>
            <w:vAlign w:val="bottom"/>
          </w:tcPr>
          <w:p>
            <w:pPr>
              <w:ind w:left="260"/>
              <w:spacing w:after="0"/>
              <w:rPr>
                <w:sz w:val="20"/>
                <w:szCs w:val="20"/>
                <w:color w:val="auto"/>
              </w:rPr>
            </w:pPr>
            <w:r>
              <w:rPr>
                <w:rFonts w:ascii="Arial" w:cs="Arial" w:eastAsia="Arial" w:hAnsi="Arial"/>
                <w:sz w:val="18"/>
                <w:szCs w:val="18"/>
                <w:color w:val="auto"/>
              </w:rPr>
              <w:t>Impairment of goodwill and intangible assets</w:t>
            </w:r>
          </w:p>
        </w:tc>
        <w:tc>
          <w:tcPr>
            <w:tcW w:w="96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in net loss (gain) of unconsolidated affiliates</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820" w:type="dxa"/>
            <w:vAlign w:val="bottom"/>
          </w:tcPr>
          <w:p>
            <w:pPr>
              <w:ind w:left="480"/>
              <w:spacing w:after="0"/>
              <w:rPr>
                <w:sz w:val="20"/>
                <w:szCs w:val="20"/>
                <w:color w:val="auto"/>
              </w:rPr>
            </w:pPr>
            <w:r>
              <w:rPr>
                <w:rFonts w:ascii="Arial" w:cs="Arial" w:eastAsia="Arial" w:hAnsi="Arial"/>
                <w:sz w:val="18"/>
                <w:szCs w:val="18"/>
                <w:color w:val="auto"/>
              </w:rPr>
              <w:t>Segment operating loss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(8,384)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187%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8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Other segment expense</w:t>
            </w:r>
          </w:p>
        </w:tc>
        <w:tc>
          <w:tcPr>
            <w:tcW w:w="96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20,317</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(98)%</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Segment loss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(8,842)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(23,237)</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(62)%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300" w:hanging="238"/>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Segment loss was $8.8 million, an improvement of $14.4 million from the prior year primarily due to:</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$19.7 million impairment of Cash Converters International in the prior-year with no impairment in the current-year nine-months;</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operating expenses of $2.5 million related to the deconsolidation of a previously consolidated variable interest entity ("RDC") in mid-fiscal 2019;</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impairment of $1.1 million of certain long-lived assets in the second quarter of fiscal 2020; and</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$7.1 million charge, ($10.1 million, net of a $3.0 million tax benefit) in the first quarter of fiscal 2020 for the Company's share of the Cash Converters International settlement of a class action lawsuit.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122" w:right="3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7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29,654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69,606</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(57)%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46,797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41,814</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8,587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7,430</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15,695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25,362</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(85)%</w:t>
            </w:r>
          </w:p>
        </w:tc>
        <w:tc>
          <w:tcPr>
            <w:tcW w:w="0" w:type="dxa"/>
            <w:vAlign w:val="bottom"/>
          </w:tcPr>
          <w:p>
            <w:pPr>
              <w:spacing w:after="0"/>
              <w:rPr>
                <w:sz w:val="1"/>
                <w:szCs w:val="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(41,299)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3,737</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1,377</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173%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continuing operations,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2,360</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(83)%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1,956</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(1,230)</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3,186</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Segment contribution decreased 57% over the prior-year period, primarily related to the goodwill and intangible asset impairment of $47.1 million recorded in the second quarter of fiscal 2020, reduced pawn service charges from a decline in new loans activity and associated loan balances as a result of a change in customer borrowing behaviors due to COVID-19, partially offset by a $19.7 million prior-year quarter impairment related to our investment in Cash Converters International.</w:t>
      </w:r>
    </w:p>
    <w:p>
      <w:pPr>
        <w:spacing w:after="0" w:line="13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Administrative expenses increased $5.0 million primarily as a result of higher labor costs, including severance costs, cloud computing costs and professional fees. Professional fees include costs related to the remediation of the material weakness in our information technology general controls, fees related to the current year adoption of the new lease accounting standard, and other smaller items.</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Interest expense decreased $9.6 million, or 38%, primarily due to the reduction of interest expense on our </w:t>
      </w:r>
      <w:r>
        <w:rPr>
          <w:rFonts w:ascii="Arial" w:cs="Arial" w:eastAsia="Arial" w:hAnsi="Arial"/>
          <w:sz w:val="18"/>
          <w:szCs w:val="18"/>
          <w:color w:val="252525"/>
        </w:rPr>
        <w:t>2.125%</w:t>
      </w:r>
      <w:r>
        <w:rPr>
          <w:rFonts w:ascii="Arial" w:cs="Arial" w:eastAsia="Arial" w:hAnsi="Arial"/>
          <w:sz w:val="18"/>
          <w:szCs w:val="18"/>
          <w:color w:val="auto"/>
        </w:rPr>
        <w:t xml:space="preserve"> 2019 Convertible Notes which were repaid June 17, 2019. Prior to repayment, the principal amount of these notes was $195.0 million.</w:t>
      </w:r>
    </w:p>
    <w:p>
      <w:pPr>
        <w:spacing w:after="0" w:line="1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Interest income decreased $7.2 million, or 85%, primarily due to the declining principal balance on the Grupo Finmart notes receivable, in addition to the reduction of interest earned on outstanding cash balances after our 2019 Convertible Notes were repaid in June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$2.4 million due primarily to:</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$45 million decrease in income from continuing operations before income taxes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$22 million increase in income tax expense resulting from non-deductible goodwill impairments;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$0.7 million reduction in tax benefit from the December 2019 vesting of restricted stock units compared to the prior estimates of the related tax benefit that was recorded over their 3-year vesting period;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 million to reverse the calculation of certain transaction tax liabilities in prior periods.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385"/>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56,365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64,977</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110,389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(13,238)</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(198,101)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96%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152,688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(146,656)</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204%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Cash and Cash Equivalents and Restricted Cash for the Nine Months Ended June 30, 2020 vs. Nine Months Ended June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flows from operating activities year-over-year was due to $14.4 million of changes in working capital, offset by a $5.7</w:t>
      </w:r>
    </w:p>
    <w:p>
      <w:pPr>
        <w:spacing w:after="0" w:line="23"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million increase in net income, exclusive of non-cash items. Changes in working capital included certain required prepayments and payments of accounts payable, including certain discrete items, accrued as of September 30, 2019.</w:t>
      </w:r>
    </w:p>
    <w:p>
      <w:pPr>
        <w:spacing w:after="0" w:line="13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increase in cash flows from investing activities year-over-year was primarily due to a $93.4 million net decrease in investment in customer loan growth and a $36.3 million increase in the sale of forfeited collateral, partially offset by a $17.9 million net decrease in principal collections on notes receivable.</w:t>
      </w:r>
    </w:p>
    <w:p>
      <w:pPr>
        <w:spacing w:after="0" w:line="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decrease in cash flows used in financing activities year-over-year was primarily due to repayment of our $195.0 million 2.125% Cash Convertible Senior Notes Due 2019 in June 2019 in the prior year and $5.2 million in common stock repurchases in the current year</w:t>
      </w:r>
    </w:p>
    <w:p>
      <w:pPr>
        <w:spacing w:after="0" w:line="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net effect of cash flows was a $152.7 million increase in cash on hand during the current year-to-date period, resulting in a $315.1 million ending cash and restricted cash balance. Of the ending cash balance at June 30, 2020, $49.0 million was unavailable to fund domestic operations as we intend to permanently reinvest those funds in our foreign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December 2019, our Board authorized a stock repurchase program that will allow us to repurchase up to $60 million of our Class A Non-voting Common Stock over three years. On March 20, 2020, we suspended the repurchase of shares under the program in order to preserve current liquidity given the uncertainty of the impact of the COVID-19 pandemic to our operations. The resumption of our stock repurchase program and the amount and timing of purchases will be dependent on a variety of factors. These factors include the return to normal business conditions, stock price, trading volume, general market conditions, legal and regulatory requirements, cash flow levels, and corporate considerations determined by management and the Board, such as liquidity and capital needs and the availability of attractive alternative investment opportunities. The Board of Directors has reserved the right to modify, suspend or terminate the program at any time. During the nine months ended June 30, 2020, we repurchased and retired 943,149 shares of our Class A Common Stock for $5.2 million, respectively.</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anticipate that cash flows from operations and cash on hand will be adequate to fund any future stock repurchases, our contractual obligations, planned de novo store growth, capital expenditures and working capital requirements through fiscal 2020. We continue to explore accretive acquisition opportunities, both large and small, and may choose to pursue additional debt, equity or equity-linked financings in the future should the need arise. </w:t>
      </w:r>
      <w:r>
        <w:rPr>
          <w:rFonts w:ascii="Arial" w:cs="Arial" w:eastAsia="Arial" w:hAnsi="Arial"/>
          <w:sz w:val="17"/>
          <w:szCs w:val="17"/>
          <w:color w:val="212529"/>
        </w:rPr>
        <w:t>Given</w:t>
      </w:r>
      <w:r>
        <w:rPr>
          <w:rFonts w:ascii="Arial" w:cs="Arial" w:eastAsia="Arial" w:hAnsi="Arial"/>
          <w:sz w:val="17"/>
          <w:szCs w:val="17"/>
          <w:color w:val="auto"/>
        </w:rPr>
        <w:t xml:space="preserve"> </w:t>
      </w:r>
      <w:r>
        <w:rPr>
          <w:rFonts w:ascii="Arial" w:cs="Arial" w:eastAsia="Arial" w:hAnsi="Arial"/>
          <w:sz w:val="17"/>
          <w:szCs w:val="17"/>
          <w:color w:val="212529"/>
        </w:rPr>
        <w:t>the current uncertainty related to the COVID-19 pandemic, we may adjust our capital or other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260"/>
        <w:spacing w:after="0" w:line="277" w:lineRule="auto"/>
        <w:rPr>
          <w:rFonts w:ascii="Arial" w:cs="Arial" w:eastAsia="Arial" w:hAnsi="Arial"/>
          <w:sz w:val="18"/>
          <w:szCs w:val="18"/>
          <w:color w:val="0000EE"/>
        </w:rPr>
      </w:pPr>
      <w:hyperlink r:id="rId19">
        <w:r>
          <w:rPr>
            <w:rFonts w:ascii="Arial" w:cs="Arial" w:eastAsia="Arial" w:hAnsi="Arial"/>
            <w:sz w:val="18"/>
            <w:szCs w:val="18"/>
            <w:color w:val="auto"/>
          </w:rPr>
          <w:t xml:space="preserve">In </w:t>
        </w:r>
        <w:r>
          <w:rPr>
            <w:rFonts w:ascii="Arial" w:cs="Arial" w:eastAsia="Arial" w:hAnsi="Arial"/>
            <w:sz w:val="18"/>
            <w:szCs w:val="18"/>
            <w:u w:val="single" w:color="auto"/>
            <w:color w:val="0000EE"/>
          </w:rPr>
          <w:t>"Part II, Item 7 — Management's Discussion and Analysis of Financial Condition and Results of Operations" of our Annual Report on Form 10-K for</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the year ended September 30, 2019</w:t>
        </w:r>
        <w:r>
          <w:rPr>
            <w:rFonts w:ascii="Arial" w:cs="Arial" w:eastAsia="Arial" w:hAnsi="Arial"/>
            <w:sz w:val="18"/>
            <w:szCs w:val="18"/>
            <w:color w:val="000000"/>
          </w:rPr>
          <w:t>, we reported that we had $631.7 million in total contractual</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obligations as of September 30, 2019. There have been no material changes to this total obligation since September 30, 2019, other than changes as the result of adoption of accounting standards as further discussed in Note 1 of Notes to Interim Condensed Consolidated Financial Statements included in "Part I, Item 1 — Financial Statements."</w:t>
      </w:r>
    </w:p>
    <w:p>
      <w:pPr>
        <w:spacing w:after="0" w:line="13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2019, these collectively amounted to $22.5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ind w:right="20"/>
        <w:spacing w:after="0" w:line="268" w:lineRule="auto"/>
        <w:rPr>
          <w:rFonts w:ascii="Arial" w:cs="Arial" w:eastAsia="Arial" w:hAnsi="Arial"/>
          <w:sz w:val="17"/>
          <w:szCs w:val="17"/>
          <w:color w:val="0000EE"/>
        </w:rPr>
      </w:pPr>
      <w:r>
        <w:rPr>
          <w:rFonts w:ascii="Arial" w:cs="Arial" w:eastAsia="Arial" w:hAnsi="Arial"/>
          <w:sz w:val="17"/>
          <w:szCs w:val="17"/>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w:t>
      </w:r>
      <w:hyperlink r:id="rId15">
        <w:r>
          <w:rPr>
            <w:rFonts w:ascii="Arial" w:cs="Arial" w:eastAsia="Arial" w:hAnsi="Arial"/>
            <w:sz w:val="17"/>
            <w:szCs w:val="17"/>
            <w:u w:val="single" w:color="auto"/>
            <w:color w:val="0000EE"/>
          </w:rPr>
          <w:t>"Part I, Item 1A — Risk Factors" of our Annual Report on Form 10-K for the year ended September 30, 2019</w:t>
        </w:r>
        <w:r>
          <w:rPr>
            <w:rFonts w:ascii="Arial" w:cs="Arial" w:eastAsia="Arial" w:hAnsi="Arial"/>
            <w:sz w:val="17"/>
            <w:szCs w:val="17"/>
            <w:color w:val="0000EE"/>
          </w:rPr>
          <w:t xml:space="preserve"> </w:t>
        </w:r>
      </w:hyperlink>
      <w:r>
        <w:rPr>
          <w:rFonts w:ascii="Arial" w:cs="Arial" w:eastAsia="Arial" w:hAnsi="Arial"/>
          <w:sz w:val="17"/>
          <w:szCs w:val="17"/>
          <w:color w:val="000000"/>
        </w:rPr>
        <w:t>and</w:t>
      </w:r>
      <w:r>
        <w:rPr>
          <w:rFonts w:ascii="Arial" w:cs="Arial" w:eastAsia="Arial" w:hAnsi="Arial"/>
          <w:sz w:val="17"/>
          <w:szCs w:val="17"/>
          <w:color w:val="0000EE"/>
        </w:rPr>
        <w:t xml:space="preserve"> </w:t>
      </w:r>
      <w:r>
        <w:rPr>
          <w:rFonts w:ascii="Arial" w:cs="Arial" w:eastAsia="Arial" w:hAnsi="Arial"/>
          <w:sz w:val="17"/>
          <w:szCs w:val="17"/>
          <w:color w:val="000000"/>
        </w:rPr>
        <w:t>"Part II, Item 1A — Risk Factors" of this</w:t>
      </w:r>
      <w:r>
        <w:rPr>
          <w:rFonts w:ascii="Arial" w:cs="Arial" w:eastAsia="Arial" w:hAnsi="Arial"/>
          <w:sz w:val="17"/>
          <w:szCs w:val="17"/>
          <w:color w:val="0000EE"/>
        </w:rPr>
        <w:t xml:space="preserve"> </w:t>
      </w:r>
      <w:r>
        <w:rPr>
          <w:rFonts w:ascii="Arial" w:cs="Arial" w:eastAsia="Arial" w:hAnsi="Arial"/>
          <w:sz w:val="17"/>
          <w:szCs w:val="17"/>
          <w:color w:val="000000"/>
        </w:rPr>
        <w:t>Report.</w:t>
      </w:r>
    </w:p>
    <w:p>
      <w:pPr>
        <w:spacing w:after="0" w:line="13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
        <w:spacing w:after="0" w:line="301" w:lineRule="auto"/>
        <w:rPr>
          <w:rFonts w:ascii="Arial" w:cs="Arial" w:eastAsia="Arial" w:hAnsi="Arial"/>
          <w:sz w:val="16"/>
          <w:szCs w:val="16"/>
          <w:color w:val="0000EE"/>
        </w:rPr>
      </w:pPr>
      <w:r>
        <w:rPr>
          <w:rFonts w:ascii="Arial" w:cs="Arial" w:eastAsia="Arial" w:hAnsi="Arial"/>
          <w:sz w:val="16"/>
          <w:szCs w:val="16"/>
          <w:color w:val="auto"/>
        </w:rPr>
        <w:t xml:space="preserve">Market risks relating to our operations result primarily from changes in interest rates, gold values and foreign currency exchange rates, and are described in </w:t>
      </w:r>
      <w:hyperlink r:id="rId20">
        <w:r>
          <w:rPr>
            <w:rFonts w:ascii="Arial" w:cs="Arial" w:eastAsia="Arial" w:hAnsi="Arial"/>
            <w:sz w:val="16"/>
            <w:szCs w:val="16"/>
            <w:color w:val="auto"/>
          </w:rPr>
          <w:t xml:space="preserve">detail in </w:t>
        </w:r>
        <w:r>
          <w:rPr>
            <w:rFonts w:ascii="Arial" w:cs="Arial" w:eastAsia="Arial" w:hAnsi="Arial"/>
            <w:sz w:val="16"/>
            <w:szCs w:val="16"/>
            <w:u w:val="single" w:color="auto"/>
            <w:color w:val="0000EE"/>
          </w:rPr>
          <w:t>"Part II, Item 7A — Quantitative and Qualitative Disclosures about Market Risk" of our Annual Report on Form 10-K for the year ended</w:t>
        </w:r>
      </w:hyperlink>
      <w:r>
        <w:rPr>
          <w:rFonts w:ascii="Arial" w:cs="Arial" w:eastAsia="Arial" w:hAnsi="Arial"/>
          <w:sz w:val="16"/>
          <w:szCs w:val="16"/>
          <w:color w:val="auto"/>
        </w:rPr>
        <w:t xml:space="preserve"> </w:t>
      </w:r>
      <w:hyperlink r:id="rId20">
        <w:r>
          <w:rPr>
            <w:rFonts w:ascii="Arial" w:cs="Arial" w:eastAsia="Arial" w:hAnsi="Arial"/>
            <w:sz w:val="16"/>
            <w:szCs w:val="16"/>
            <w:u w:val="single" w:color="auto"/>
            <w:color w:val="0000EE"/>
          </w:rPr>
          <w:t>September 30, 2019</w:t>
        </w:r>
        <w:r>
          <w:rPr>
            <w:rFonts w:ascii="Arial" w:cs="Arial" w:eastAsia="Arial" w:hAnsi="Arial"/>
            <w:sz w:val="16"/>
            <w:szCs w:val="16"/>
            <w:color w:val="000000"/>
          </w:rPr>
          <w:t xml:space="preserve">. With the exception of the impacts of COVID-19, which are discussed elsewhere in this Report, there have been no material </w:t>
        </w:r>
      </w:hyperlink>
      <w:r>
        <w:rPr>
          <w:rFonts w:ascii="Arial" w:cs="Arial" w:eastAsia="Arial" w:hAnsi="Arial"/>
          <w:sz w:val="16"/>
          <w:szCs w:val="16"/>
          <w:color w:val="0000EE"/>
        </w:rPr>
        <w:t xml:space="preserve">changes </w:t>
      </w:r>
      <w:r>
        <w:rPr>
          <w:rFonts w:ascii="Arial" w:cs="Arial" w:eastAsia="Arial" w:hAnsi="Arial"/>
          <w:sz w:val="16"/>
          <w:szCs w:val="16"/>
          <w:color w:val="000000"/>
        </w:rPr>
        <w:t>in</w:t>
      </w:r>
      <w:r>
        <w:rPr>
          <w:rFonts w:ascii="Arial" w:cs="Arial" w:eastAsia="Arial" w:hAnsi="Arial"/>
          <w:sz w:val="16"/>
          <w:szCs w:val="16"/>
          <w:color w:val="0000EE"/>
        </w:rPr>
        <w:t xml:space="preserve"> </w:t>
      </w:r>
      <w:r>
        <w:rPr>
          <w:rFonts w:ascii="Arial" w:cs="Arial" w:eastAsia="Arial" w:hAnsi="Arial"/>
          <w:sz w:val="16"/>
          <w:szCs w:val="16"/>
          <w:color w:val="000000"/>
        </w:rPr>
        <w:t>our reported market risks or risk management policies since the filing of our Annual Report on Form 10-K for the year ended September 30,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Under the supervision and with the participation of our Chief Executive Officer and Chief Financial Officer, our management evaluated the effectiveness of the design and operation of our disclosure controls and procedures as of June 30, 2020. Based on that evaluation, our Chief Executive Officer and Chief Financial Officer concluded that our disclosure controls and procedures were not effective as of June 30, 2020 due to the continuing existence of a material weakness in internal control over financial reporting described below (which we view as an integral part of our disclosure controls and procedures). Based on the performance of additional procedures designed to ensure the reliability of our financial reporting, we believe that the condensed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consolidated financial statements included in this Quarterly Report on Form 10-Q fairly present, in all material respects, our financial position, results of operations and cash flows as of the dates, and for the periods, presented, in conformity with GAAP.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second quarter of fiscal 2019, we identified deficiencies in our information technology general controls (ITGCs) that are designed to prevent or detect unauthorized access or changes to certain information technology (IT) systems that support our financial reporting processes. Our related IT dependent manual and application controls that are impacted by the affected ITGCs were also deemed ineffective as they rely on reports generated by the IT systems subject to ITGCs, resulting in our inability to place reliance on internal controls over related financial statement accounts and assertions. At that time, we determined that the ITGC deficiencies represent a material weakness in our internal control over financial reporting and reported that material weakness in our Quarterly Report on Form 10-Q for the quarter ended March 31, 2019. Because we have not completed the remediation of that material weakness as of June 30, 2020, we have concluded our internal control over financial reporting was not effective as of that date.</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quarter ended June 30, 2020, we have continued to implement, manage and monitor a remediation plan focused on IT control enhancements across our logical access and change management processes, including the evaluation of automation tools, where applicable, and database monitoring activities. Management believes it is taking the appropriate steps to remediate the underlying ITGC deficiencies, including allowing the controls to operate for a time period to produce sufficient testing sample sizes.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11 of Notes to Interim Condensed Consolidated Financial Statements included in "Part I, Item 1 —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122" w:right="37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Important risk factors that could affect our operations and financial performance, or that could cause results or events to differ from current expectations, are described in </w:t>
      </w:r>
      <w:hyperlink r:id="rId15">
        <w:r>
          <w:rPr>
            <w:rFonts w:ascii="Arial" w:cs="Arial" w:eastAsia="Arial" w:hAnsi="Arial"/>
            <w:sz w:val="18"/>
            <w:szCs w:val="18"/>
            <w:u w:val="single" w:color="auto"/>
            <w:color w:val="0000EE"/>
          </w:rPr>
          <w:t>"Part I, Item 1A — Risk Factors" of our Annual Report on Form 10-K for the year ended September 30, 2019</w:t>
        </w:r>
      </w:hyperlink>
      <w:r>
        <w:rPr>
          <w:rFonts w:ascii="Arial" w:cs="Arial" w:eastAsia="Arial" w:hAnsi="Arial"/>
          <w:sz w:val="18"/>
          <w:szCs w:val="18"/>
          <w:color w:val="auto"/>
        </w:rPr>
        <w:t>, as supplemented by the information set forth below.</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Public health issues, including the current COVID-19 pandemic, could adversely affect our financial condition, results of operations or liquidity.</w:t>
      </w:r>
    </w:p>
    <w:p>
      <w:pPr>
        <w:spacing w:after="0" w:line="1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business may be impacted by public health issues, including pandemics and the spread of contagious diseases. Such public health issues, and the government and consumer responses thereto, may (i) limit our ability to supply products and services to our customers as a result of store closures, reduced access to or foot traffic in our stores, or labor shortages, (ii) adversely affect the demand for our products and services or (iii) cause other unforeseen negative developments. Any of these factors may adversely affect our financial condition, results of operations or liquidity.</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outbreak of COVID-19 has affected our operations beginning primarily in March 2020. Governmental fiscal stimulus response, stay-at-home orders and business restrictions, health agency guidance regarding social distancing and public perceptions of the risks associated with the COVID-19 pandemic have resulted in a reduction in the demand for pawn loans with a resulting significant decline in pawn loan balances. See “Part I, Item 2 — Management’s Discussion and Analysis of Results of Operations and Financial Condition - Impact of COVID-19.” The decline in pawn loan balances negatively impacted our financial performance during the third quarter and will continue to negatively impact our financial performance for the remainder of fiscal 2020. We expect that the impact of the pandemic, and the recovery therefrom, will continue to adversely affect our net revenues and earnings into fiscal 2021. A prolonged pandemic and recovery may impact our results of operations, financial condition and liquidity in future periods. The extent of the impact is dependent upon a number of factors, including the longevity and severity of the pandemic, the pace of business reopenings and rebound, the impact of government responses and the degree to which customer behaviors return to historical norms.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160" w:type="dxa"/>
            <w:vAlign w:val="bottom"/>
          </w:tcPr>
          <w:p>
            <w:pPr>
              <w:spacing w:after="0"/>
              <w:rPr>
                <w:sz w:val="16"/>
                <w:szCs w:val="16"/>
                <w:color w:val="auto"/>
              </w:rPr>
            </w:pPr>
          </w:p>
        </w:tc>
        <w:tc>
          <w:tcPr>
            <w:tcW w:w="98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21"/>
        </w:trPr>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03"/>
        </w:trPr>
        <w:tc>
          <w:tcPr>
            <w:tcW w:w="122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u w:val="single" w:color="auto"/>
                <w:color w:val="0000FF"/>
                <w:w w:val="88"/>
              </w:rPr>
            </w:pPr>
            <w:hyperlink w:anchor="page47">
              <w:r>
                <w:rPr>
                  <w:rFonts w:ascii="Arial" w:cs="Arial" w:eastAsia="Arial" w:hAnsi="Arial"/>
                  <w:sz w:val="18"/>
                  <w:szCs w:val="18"/>
                  <w:u w:val="single" w:color="auto"/>
                  <w:color w:val="0000FF"/>
                  <w:w w:val="88"/>
                </w:rPr>
                <w:t>31.1†</w:t>
              </w:r>
            </w:hyperlink>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540" w:type="dxa"/>
            <w:vAlign w:val="bottom"/>
            <w:tcBorders>
              <w:bottom w:val="single" w:sz="8" w:color="0000FF"/>
            </w:tcBorders>
            <w:gridSpan w:val="3"/>
            <w:shd w:val="clear" w:color="auto" w:fill="CCEEFF"/>
          </w:tcPr>
          <w:p>
            <w:pPr>
              <w:spacing w:after="0" w:line="202" w:lineRule="exact"/>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Jason A. Kulas, Chief Executive Officer and Chief Financial Officer pursuant to Rule 13a-14(a) under the Securities</w:t>
              </w:r>
            </w:hyperlink>
          </w:p>
        </w:tc>
        <w:tc>
          <w:tcPr>
            <w:tcW w:w="32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2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860" w:type="dxa"/>
            <w:vAlign w:val="bottom"/>
            <w:gridSpan w:val="6"/>
            <w:shd w:val="clear" w:color="auto" w:fill="CCEEFF"/>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Exchange Act of 1934, as adopted pursuant to Section 302 of the Sarbanes-Oxley Act of 2002</w:t>
              </w:r>
            </w:hyperlink>
          </w:p>
        </w:tc>
      </w:tr>
      <w:tr>
        <w:trPr>
          <w:trHeight w:val="48"/>
        </w:trPr>
        <w:tc>
          <w:tcPr>
            <w:tcW w:w="1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right w:val="single" w:sz="8" w:color="CCEEFF"/>
            </w:tcBorders>
            <w:shd w:val="clear" w:color="auto" w:fill="CCEEFF"/>
          </w:tcPr>
          <w:p>
            <w:pPr>
              <w:spacing w:after="0"/>
              <w:rPr>
                <w:sz w:val="4"/>
                <w:szCs w:val="4"/>
                <w:color w:val="auto"/>
              </w:rPr>
            </w:pPr>
          </w:p>
        </w:tc>
        <w:tc>
          <w:tcPr>
            <w:tcW w:w="4260" w:type="dxa"/>
            <w:vAlign w:val="bottom"/>
            <w:tcBorders>
              <w:top w:val="single" w:sz="8" w:color="0000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27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1220" w:type="dxa"/>
            <w:vAlign w:val="bottom"/>
          </w:tcPr>
          <w:p>
            <w:pPr>
              <w:jc w:val="center"/>
              <w:spacing w:after="0" w:line="202" w:lineRule="exact"/>
              <w:rPr>
                <w:rFonts w:ascii="Arial" w:cs="Arial" w:eastAsia="Arial" w:hAnsi="Arial"/>
                <w:sz w:val="18"/>
                <w:szCs w:val="18"/>
                <w:u w:val="single" w:color="auto"/>
                <w:color w:val="0000FF"/>
                <w:w w:val="88"/>
              </w:rPr>
            </w:pPr>
            <w:hyperlink w:anchor="page48">
              <w:r>
                <w:rPr>
                  <w:rFonts w:ascii="Arial" w:cs="Arial" w:eastAsia="Arial" w:hAnsi="Arial"/>
                  <w:sz w:val="18"/>
                  <w:szCs w:val="18"/>
                  <w:u w:val="single" w:color="auto"/>
                  <w:color w:val="0000FF"/>
                  <w:w w:val="88"/>
                </w:rPr>
                <w:t>31.2†</w:t>
              </w:r>
            </w:hyperlink>
          </w:p>
        </w:tc>
        <w:tc>
          <w:tcPr>
            <w:tcW w:w="160" w:type="dxa"/>
            <w:vAlign w:val="bottom"/>
          </w:tcPr>
          <w:p>
            <w:pPr>
              <w:spacing w:after="0"/>
              <w:rPr>
                <w:sz w:val="17"/>
                <w:szCs w:val="17"/>
                <w:color w:val="auto"/>
              </w:rPr>
            </w:pPr>
          </w:p>
        </w:tc>
        <w:tc>
          <w:tcPr>
            <w:tcW w:w="9860" w:type="dxa"/>
            <w:vAlign w:val="bottom"/>
            <w:gridSpan w:val="6"/>
          </w:tcPr>
          <w:p>
            <w:pPr>
              <w:spacing w:after="0" w:line="202"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Certification of Jason A. Kulas, Chief Executive Officer and Chief Financial Officer, pursuant to Rule 13a-14(a) under the Securities</w:t>
              </w:r>
            </w:hyperlink>
          </w:p>
        </w:tc>
      </w:tr>
      <w:tr>
        <w:trPr>
          <w:trHeight w:val="196"/>
        </w:trPr>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Exchange Act of 1934, as adopted pursuant to Section 302 of the Sarbanes-Oxley Act of 2002</w:t>
              </w:r>
            </w:hyperlink>
          </w:p>
        </w:tc>
        <w:tc>
          <w:tcPr>
            <w:tcW w:w="300" w:type="dxa"/>
            <w:vAlign w:val="bottom"/>
            <w:gridSpan w:val="2"/>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6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2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1220" w:type="dxa"/>
            <w:vAlign w:val="bottom"/>
            <w:tcBorders>
              <w:bottom w:val="single" w:sz="8" w:color="CCEEFF"/>
            </w:tcBorders>
            <w:shd w:val="clear" w:color="auto" w:fill="CCEEFF"/>
          </w:tcPr>
          <w:p>
            <w:pPr>
              <w:jc w:val="center"/>
              <w:spacing w:after="0" w:line="202" w:lineRule="exact"/>
              <w:rPr>
                <w:rFonts w:ascii="Arial" w:cs="Arial" w:eastAsia="Arial" w:hAnsi="Arial"/>
                <w:sz w:val="18"/>
                <w:szCs w:val="18"/>
                <w:u w:val="single" w:color="auto"/>
                <w:color w:val="0000FF"/>
                <w:w w:val="90"/>
              </w:rPr>
            </w:pPr>
            <w:hyperlink w:anchor="page49">
              <w:r>
                <w:rPr>
                  <w:rFonts w:ascii="Arial" w:cs="Arial" w:eastAsia="Arial" w:hAnsi="Arial"/>
                  <w:sz w:val="18"/>
                  <w:szCs w:val="18"/>
                  <w:u w:val="single" w:color="auto"/>
                  <w:color w:val="0000FF"/>
                  <w:w w:val="90"/>
                </w:rPr>
                <w:t>32.1††</w:t>
              </w:r>
            </w:hyperlink>
          </w:p>
        </w:tc>
        <w:tc>
          <w:tcPr>
            <w:tcW w:w="160" w:type="dxa"/>
            <w:vAlign w:val="bottom"/>
            <w:tcBorders>
              <w:right w:val="single" w:sz="8" w:color="CCEEFF"/>
            </w:tcBorders>
          </w:tcPr>
          <w:p>
            <w:pPr>
              <w:spacing w:after="0"/>
              <w:rPr>
                <w:sz w:val="17"/>
                <w:szCs w:val="17"/>
                <w:color w:val="auto"/>
              </w:rPr>
            </w:pPr>
          </w:p>
        </w:tc>
        <w:tc>
          <w:tcPr>
            <w:tcW w:w="964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Certifications of Jason A. Kulas, Chief Executive Officer and Chief Financial Officer, pursuant to 18 U.S.C. Section 1350, as adopted</w:t>
              </w:r>
            </w:hyperlink>
          </w:p>
        </w:tc>
        <w:tc>
          <w:tcPr>
            <w:tcW w:w="220" w:type="dxa"/>
            <w:vAlign w:val="bottom"/>
            <w:tcBorders>
              <w:bottom w:val="single" w:sz="8" w:color="CCEEFF"/>
            </w:tcBorders>
            <w:shd w:val="clear" w:color="auto" w:fill="CCEEFF"/>
          </w:tcPr>
          <w:p>
            <w:pPr>
              <w:spacing w:after="0"/>
              <w:rPr>
                <w:sz w:val="17"/>
                <w:szCs w:val="17"/>
                <w:color w:val="auto"/>
              </w:rPr>
            </w:pPr>
          </w:p>
        </w:tc>
      </w:tr>
      <w:tr>
        <w:trPr>
          <w:trHeight w:val="244"/>
        </w:trPr>
        <w:tc>
          <w:tcPr>
            <w:tcW w:w="1220" w:type="dxa"/>
            <w:vAlign w:val="bottom"/>
            <w:shd w:val="clear" w:color="auto" w:fill="CCEEFF"/>
          </w:tcPr>
          <w:p>
            <w:pPr>
              <w:spacing w:after="0"/>
              <w:rPr>
                <w:sz w:val="21"/>
                <w:szCs w:val="21"/>
                <w:color w:val="auto"/>
              </w:rPr>
            </w:pPr>
          </w:p>
        </w:tc>
        <w:tc>
          <w:tcPr>
            <w:tcW w:w="160" w:type="dxa"/>
            <w:vAlign w:val="bottom"/>
            <w:tcBorders>
              <w:right w:val="single" w:sz="8" w:color="CCEEFF"/>
            </w:tcBorders>
          </w:tcPr>
          <w:p>
            <w:pPr>
              <w:spacing w:after="0"/>
              <w:rPr>
                <w:sz w:val="21"/>
                <w:szCs w:val="21"/>
                <w:color w:val="auto"/>
              </w:rPr>
            </w:pPr>
          </w:p>
        </w:tc>
        <w:tc>
          <w:tcPr>
            <w:tcW w:w="9860" w:type="dxa"/>
            <w:vAlign w:val="bottom"/>
            <w:gridSpan w:val="6"/>
            <w:shd w:val="clear" w:color="auto" w:fill="CCEEFF"/>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pursuant to Section 906 of the Sarbanes-Oxley Act of 2002</w:t>
              </w:r>
            </w:hyperlink>
          </w:p>
        </w:tc>
      </w:tr>
      <w:tr>
        <w:trPr>
          <w:trHeight w:val="243"/>
        </w:trPr>
        <w:tc>
          <w:tcPr>
            <w:tcW w:w="12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21"/>
                <w:szCs w:val="21"/>
                <w:color w:val="auto"/>
              </w:rPr>
            </w:pPr>
          </w:p>
        </w:tc>
        <w:tc>
          <w:tcPr>
            <w:tcW w:w="42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5600" w:type="dxa"/>
            <w:vAlign w:val="bottom"/>
            <w:tcBorders>
              <w:top w:val="single" w:sz="8" w:color="CCEEFF"/>
            </w:tcBorders>
            <w:gridSpan w:val="5"/>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101.SCH†††</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98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220" w:type="dxa"/>
            <w:vAlign w:val="bottom"/>
          </w:tcPr>
          <w:p>
            <w:pPr>
              <w:jc w:val="center"/>
              <w:spacing w:after="0"/>
              <w:rPr>
                <w:sz w:val="20"/>
                <w:szCs w:val="20"/>
                <w:color w:val="auto"/>
              </w:rPr>
            </w:pPr>
            <w:r>
              <w:rPr>
                <w:rFonts w:ascii="Arial" w:cs="Arial" w:eastAsia="Arial" w:hAnsi="Arial"/>
                <w:sz w:val="18"/>
                <w:szCs w:val="18"/>
                <w:color w:val="auto"/>
                <w:w w:val="93"/>
              </w:rPr>
              <w:t>101.CAL†††</w:t>
            </w:r>
          </w:p>
        </w:tc>
        <w:tc>
          <w:tcPr>
            <w:tcW w:w="160" w:type="dxa"/>
            <w:vAlign w:val="bottom"/>
          </w:tcPr>
          <w:p>
            <w:pPr>
              <w:spacing w:after="0"/>
              <w:rPr>
                <w:sz w:val="21"/>
                <w:szCs w:val="21"/>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101.DEF†††</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98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220" w:type="dxa"/>
            <w:vAlign w:val="bottom"/>
          </w:tcPr>
          <w:p>
            <w:pPr>
              <w:jc w:val="center"/>
              <w:spacing w:after="0"/>
              <w:rPr>
                <w:sz w:val="20"/>
                <w:szCs w:val="20"/>
                <w:color w:val="auto"/>
              </w:rPr>
            </w:pPr>
            <w:r>
              <w:rPr>
                <w:rFonts w:ascii="Arial" w:cs="Arial" w:eastAsia="Arial" w:hAnsi="Arial"/>
                <w:sz w:val="18"/>
                <w:szCs w:val="18"/>
                <w:color w:val="auto"/>
                <w:w w:val="94"/>
              </w:rPr>
              <w:t>101.LAB†††</w:t>
            </w:r>
          </w:p>
        </w:tc>
        <w:tc>
          <w:tcPr>
            <w:tcW w:w="160" w:type="dxa"/>
            <w:vAlign w:val="bottom"/>
          </w:tcPr>
          <w:p>
            <w:pPr>
              <w:spacing w:after="0"/>
              <w:rPr>
                <w:sz w:val="21"/>
                <w:szCs w:val="21"/>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101.PRE†††</w:t>
            </w:r>
          </w:p>
        </w:tc>
        <w:tc>
          <w:tcPr>
            <w:tcW w:w="160" w:type="dxa"/>
            <w:vAlign w:val="bottom"/>
            <w:tcBorders>
              <w:right w:val="single" w:sz="8" w:color="CCEEFF"/>
            </w:tcBorders>
            <w:shd w:val="clear" w:color="auto" w:fill="CCEEFF"/>
          </w:tcPr>
          <w:p>
            <w:pPr>
              <w:spacing w:after="0"/>
              <w:rPr>
                <w:sz w:val="21"/>
                <w:szCs w:val="21"/>
                <w:color w:val="auto"/>
              </w:rPr>
            </w:pPr>
          </w:p>
        </w:tc>
        <w:tc>
          <w:tcPr>
            <w:tcW w:w="98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2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hanging="465"/>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00" w:right="40" w:hanging="465"/>
        <w:spacing w:after="0" w:line="293"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6"/>
          <w:szCs w:val="16"/>
          <w:color w:val="auto"/>
        </w:rPr>
        <w:t>Filed herewith as Exhibit 101 to this report are the following formatted in XBRL (Extensible Business Reporting Language): (i) Condensed Consolidated Balance Sheets as of March 31, 2020, March 31, 2019 and September 30, 2019; (ii) Condensed Consolidated Statements of Operations for the three and six months ended March 31, 2020 and March 31, 2010; (iii) Condensed Consolidated Statements of Comprehensive (Loss) Income for the three and six months ended March 31, 2020 and March 31, 2019; (iv) Condensed Consolidated Statements of Stockholders' Equity for the periods ended March 31, 2020 and March 31, 2019; (v) Condensed Consolidated Statements of Cash Flows for the six months ended March 31, 2020 and March 31, 2019; and (vi) Notes to Interim Condensed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60"/>
        <w:spacing w:after="0"/>
        <w:tabs>
          <w:tab w:leader="none" w:pos="596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6"/>
          <w:szCs w:val="16"/>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31750</wp:posOffset>
            </wp:positionV>
            <wp:extent cx="3343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Jason A. Kulas,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Chief Financial Officer</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122"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000"/>
        <w:spacing w:after="0" w:line="266" w:lineRule="auto"/>
        <w:rPr>
          <w:sz w:val="20"/>
          <w:szCs w:val="20"/>
          <w:color w:val="auto"/>
        </w:rPr>
      </w:pPr>
      <w:r>
        <w:rPr>
          <w:rFonts w:ascii="Arial" w:cs="Arial" w:eastAsia="Arial" w:hAnsi="Arial"/>
          <w:sz w:val="18"/>
          <w:szCs w:val="18"/>
          <w:b w:val="1"/>
          <w:bCs w:val="1"/>
          <w:color w:val="auto"/>
        </w:rPr>
        <w:t>Certification of Jason A. Kulas,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Jason A. Kulas, certify that:</w:t>
      </w:r>
    </w:p>
    <w:p>
      <w:pPr>
        <w:spacing w:after="0" w:line="171"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960" w:right="360" w:hanging="656"/>
        <w:spacing w:after="0" w:line="311" w:lineRule="auto"/>
        <w:tabs>
          <w:tab w:leader="none" w:pos="1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80" w:hanging="644"/>
        <w:spacing w:after="0" w:line="263"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100" w:hanging="656"/>
        <w:spacing w:after="0" w:line="277"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4, 2020</w:t>
      </w:r>
    </w:p>
    <w:p>
      <w:pPr>
        <w:spacing w:after="0" w:line="19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Jason A. Kulas</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 and Chief Financial Officer</w:t>
      </w:r>
    </w:p>
    <w:p>
      <w:pPr>
        <w:sectPr>
          <w:pgSz w:w="11900" w:h="16838" w:orient="portrait"/>
          <w:cols w:equalWidth="0" w:num="1">
            <w:col w:w="11240"/>
          </w:cols>
          <w:pgMar w:left="320" w:top="55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000"/>
        <w:spacing w:after="0" w:line="266" w:lineRule="auto"/>
        <w:rPr>
          <w:sz w:val="20"/>
          <w:szCs w:val="20"/>
          <w:color w:val="auto"/>
        </w:rPr>
      </w:pPr>
      <w:r>
        <w:rPr>
          <w:rFonts w:ascii="Arial" w:cs="Arial" w:eastAsia="Arial" w:hAnsi="Arial"/>
          <w:sz w:val="18"/>
          <w:szCs w:val="18"/>
          <w:b w:val="1"/>
          <w:bCs w:val="1"/>
          <w:color w:val="auto"/>
        </w:rPr>
        <w:t>Certification of Jason A. Kulas,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Jason A. Kulas, certify that:</w:t>
      </w:r>
    </w:p>
    <w:p>
      <w:pPr>
        <w:spacing w:after="0" w:line="171"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960" w:right="360" w:hanging="656"/>
        <w:spacing w:after="0" w:line="311" w:lineRule="auto"/>
        <w:tabs>
          <w:tab w:leader="none" w:pos="19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6"/>
          <w:szCs w:val="16"/>
          <w:color w:val="auto"/>
        </w:rPr>
      </w:pPr>
    </w:p>
    <w:p>
      <w:pPr>
        <w:ind w:left="1300" w:right="180" w:hanging="644"/>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100" w:hanging="656"/>
        <w:spacing w:after="0" w:line="277"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4, 2020</w:t>
      </w:r>
    </w:p>
    <w:p>
      <w:pPr>
        <w:spacing w:after="0" w:line="19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118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Jason A. Kulas</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 and Chief Financial Officer</w:t>
      </w:r>
    </w:p>
    <w:p>
      <w:pPr>
        <w:sectPr>
          <w:pgSz w:w="11900" w:h="16838" w:orient="portrait"/>
          <w:cols w:equalWidth="0" w:num="1">
            <w:col w:w="11240"/>
          </w:cols>
          <w:pgMar w:left="320" w:top="55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Certification of Jason A. Kulas, Chief Executive Officer and Chief Financial Officer, pursuant to 18 U.S.C. Section 1350,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June 30, 2020,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81" w:lineRule="exact"/>
        <w:rPr>
          <w:sz w:val="20"/>
          <w:szCs w:val="20"/>
          <w:color w:val="auto"/>
        </w:rPr>
      </w:pPr>
    </w:p>
    <w:p>
      <w:pPr>
        <w:ind w:left="260"/>
        <w:spacing w:after="0"/>
        <w:tabs>
          <w:tab w:leader="none" w:pos="7660" w:val="left"/>
        </w:tabs>
        <w:rPr>
          <w:sz w:val="20"/>
          <w:szCs w:val="20"/>
          <w:color w:val="auto"/>
        </w:rPr>
      </w:pPr>
      <w:r>
        <w:rPr>
          <w:rFonts w:ascii="Arial" w:cs="Arial" w:eastAsia="Arial" w:hAnsi="Arial"/>
          <w:sz w:val="18"/>
          <w:szCs w:val="18"/>
          <w:color w:val="auto"/>
        </w:rPr>
        <w:t>Date: 8/4/2020</w:t>
      </w:r>
      <w:r>
        <w:rPr>
          <w:sz w:val="20"/>
          <w:szCs w:val="20"/>
          <w:color w:val="auto"/>
        </w:rPr>
        <w:tab/>
      </w:r>
      <w:r>
        <w:rPr>
          <w:rFonts w:ascii="Arial" w:cs="Arial" w:eastAsia="Arial" w:hAnsi="Arial"/>
          <w:sz w:val="16"/>
          <w:szCs w:val="16"/>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31750</wp:posOffset>
            </wp:positionV>
            <wp:extent cx="2280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Jason A. Kulas</w:t>
      </w:r>
    </w:p>
    <w:p>
      <w:pPr>
        <w:spacing w:after="0" w:line="225"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President and 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4"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3" Type="http://schemas.openxmlformats.org/officeDocument/2006/relationships/hyperlink" Target="http://www.sec.gov/Archives/edgar/data/876523/000087652319000069/a2019-q410xk.htm" TargetMode="External"/><Relationship Id="rId15" Type="http://schemas.openxmlformats.org/officeDocument/2006/relationships/hyperlink" Target="http://www.sec.gov/Archives/edgar/data/876523/000087652319000069/a2019-q410xk.htm#s9492C285CD745D458CD01A8FC47EB87C" TargetMode="External"/><Relationship Id="rId19" Type="http://schemas.openxmlformats.org/officeDocument/2006/relationships/hyperlink" Target="http://www.sec.gov/Archives/edgar/data/876523/000087652319000069/a2019-q410xk.htm#sAF4F0A2FB4F8575E9A3FCEAC28AA36D0" TargetMode="External"/><Relationship Id="rId20" Type="http://schemas.openxmlformats.org/officeDocument/2006/relationships/hyperlink" Target="http://www.sec.gov/Archives/edgar/data/876523/000087652319000069/a2019-q410xk.htm#sDA01EB4371AE5EB78634064C9B2C16C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2020-08-04T16:17:08Z</dcterms:created>
  <dcterms:modified xsi:type="dcterms:W3CDTF">2020-08-04T16:17:08Z</dcterms:modified>
</cp:coreProperties>
</file>