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Tillett Gary</w:t>
              </w:r>
            </w:hyperlink>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EZCORP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EZPW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380" w:type="dxa"/>
            <w:vAlign w:val="bottom"/>
          </w:tcPr>
          <w:p>
            <w:pPr>
              <w:spacing w:after="0"/>
              <w:rPr>
                <w:sz w:val="13"/>
                <w:szCs w:val="13"/>
                <w:color w:val="auto"/>
              </w:rPr>
            </w:pPr>
          </w:p>
        </w:tc>
        <w:tc>
          <w:tcPr>
            <w:tcW w:w="13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2500 BEE CAVE ROAD</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gridSpan w:val="6"/>
          </w:tcPr>
          <w:p>
            <w:pPr>
              <w:ind w:left="160"/>
              <w:spacing w:after="0"/>
              <w:rPr>
                <w:sz w:val="20"/>
                <w:szCs w:val="20"/>
                <w:color w:val="auto"/>
              </w:rPr>
            </w:pPr>
            <w:r>
              <w:rPr>
                <w:rFonts w:ascii="Arial" w:cs="Arial" w:eastAsia="Arial" w:hAnsi="Arial"/>
                <w:sz w:val="17"/>
                <w:szCs w:val="17"/>
                <w:color w:val="0000FF"/>
              </w:rPr>
              <w:t>03/07/2022</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BLDG. 1, SUITE 200</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ROLLINGWOOD TX</w:t>
            </w:r>
          </w:p>
        </w:tc>
        <w:tc>
          <w:tcPr>
            <w:tcW w:w="20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78746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38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 w:type="dxa"/>
            <w:vAlign w:val="bottom"/>
          </w:tcPr>
          <w:p>
            <w:pPr>
              <w:spacing w:after="0"/>
              <w:rPr>
                <w:sz w:val="15"/>
                <w:szCs w:val="15"/>
                <w:color w:val="auto"/>
              </w:rPr>
            </w:pPr>
          </w:p>
        </w:tc>
        <w:tc>
          <w:tcPr>
            <w:tcW w:w="160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Class A Non-Voting Common Stock</w:t>
            </w:r>
          </w:p>
        </w:tc>
        <w:tc>
          <w:tcPr>
            <w:tcW w:w="1600" w:type="dxa"/>
            <w:vAlign w:val="bottom"/>
            <w:tcBorders>
              <w:bottom w:val="single" w:sz="8" w:color="2C2C2C"/>
            </w:tcBorders>
            <w:gridSpan w:val="5"/>
          </w:tcPr>
          <w:p>
            <w:pPr>
              <w:ind w:left="64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26,490</w:t>
            </w:r>
            <w:r>
              <w:rPr>
                <w:rFonts w:ascii="Arial" w:cs="Arial" w:eastAsia="Arial" w:hAnsi="Arial"/>
                <w:sz w:val="22"/>
                <w:szCs w:val="22"/>
                <w:color w:val="008000"/>
                <w:w w:val="88"/>
                <w:vertAlign w:val="superscript"/>
              </w:rPr>
              <w:t>(1)</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6.04</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107,683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20" w:type="dxa"/>
            <w:vAlign w:val="bottom"/>
            <w:gridSpan w:val="15"/>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shares vest on the day immediately preceding the date of the Company's 2023 Annual Meeting of Stockholders (but no later than March 31, 2023).</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Closing market value on March 2, 2022 (the day before the Company's 2022 Annual Stockholders Meeting). No consideration was paid for the award other than services rendered and to be rendered by the Reporting Person.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8"/>
              </w:rPr>
              <w:t>/s/ Carrie Putnam,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03/08/2022</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1635"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2022-03-08T12:03:14Z</dcterms:created>
  <dcterms:modified xsi:type="dcterms:W3CDTF">2022-03-08T12:03:14Z</dcterms:modified>
</cp:coreProperties>
</file>