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6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-229235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4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-572770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-618490</wp:posOffset>
            </wp:positionV>
            <wp:extent cx="57785" cy="6318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3952240</wp:posOffset>
            </wp:positionH>
            <wp:positionV relativeFrom="paragraph">
              <wp:posOffset>-618490</wp:posOffset>
            </wp:positionV>
            <wp:extent cx="57785" cy="6318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733425</wp:posOffset>
            </wp:positionV>
            <wp:extent cx="7047230" cy="43999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399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1440" w:gutter="0" w:footer="0" w:header="0"/>
        </w:sectPr>
      </w:pP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Powell John Blair Jr.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2500 BEE CAVE RD., BLD 1 STE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EZCORP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EZPW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11/15/2024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4" w:right="660" w:firstLine="4"/>
        <w:spacing w:after="0" w:line="253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7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Operating Officer</w:t>
      </w:r>
    </w:p>
    <w:p>
      <w:pPr>
        <w:spacing w:after="0" w:line="3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restart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10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ROLLINGWOOD TX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78746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jc w:val="center"/>
              <w:ind w:left="4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21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Non-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107,047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11.21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11/15/2024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11/15/2024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107,047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1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Voting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386,225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68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Stock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unit represents a contingent right to receive one share of EZCORP Class A Non-Voting Common Stock at the time of vesting.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60"/>
        <w:spacing w:after="0" w:line="250" w:lineRule="auto"/>
        <w:tabs>
          <w:tab w:leader="none" w:pos="167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units will vest in whole or in part on September 30, 2027, with 80% being subject to the attainment of specified performance goals in addition to continued employment, and the remaining 20% being subject to continued employment only.</w:t>
      </w:r>
    </w:p>
    <w:p>
      <w:pPr>
        <w:spacing w:after="0" w:line="1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Closing market value on September 30, 2024. However, no consideration was paid for the award other than services rendered and to be rendered by the Reporting Person.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86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/s/ Carrie Putnam, Attorney-in-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11/19/2024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32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794920" TargetMode="External"/><Relationship Id="rId14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2024-11-19T09:59:43Z</dcterms:created>
  <dcterms:modified xsi:type="dcterms:W3CDTF">2024-11-19T09:59:43Z</dcterms:modified>
</cp:coreProperties>
</file>