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January 4, 2016</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80" w:type="dxa"/>
            <w:vAlign w:val="bottom"/>
          </w:tcPr>
          <w:p>
            <w:pPr>
              <w:spacing w:after="0"/>
              <w:rPr>
                <w:sz w:val="18"/>
                <w:szCs w:val="18"/>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18"/>
                <w:szCs w:val="18"/>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 w:name="page2"/>
    <w:bookmarkEnd w:id="1"/>
    <w:p>
      <w:pPr>
        <w:ind w:right="58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12" w:lineRule="exact"/>
        <w:rPr>
          <w:sz w:val="20"/>
          <w:szCs w:val="20"/>
          <w:color w:val="auto"/>
        </w:rPr>
      </w:pPr>
    </w:p>
    <w:p>
      <w:pPr>
        <w:ind w:left="660" w:right="78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EZCORP, Inc. (the "Company") has appointed David McGuire as Deputy Chief Financial Officer and Chief Accounting Officer (principal accounting officer), effective January 11, 2016.</w:t>
      </w:r>
    </w:p>
    <w:p>
      <w:pPr>
        <w:spacing w:after="0" w:line="116" w:lineRule="exact"/>
        <w:rPr>
          <w:rFonts w:ascii="Arial" w:cs="Arial" w:eastAsia="Arial" w:hAnsi="Arial"/>
          <w:sz w:val="18"/>
          <w:szCs w:val="18"/>
          <w:color w:val="auto"/>
        </w:rPr>
      </w:pPr>
    </w:p>
    <w:p>
      <w:pPr>
        <w:ind w:left="660"/>
        <w:spacing w:after="0" w:line="272" w:lineRule="auto"/>
        <w:rPr>
          <w:rFonts w:ascii="Arial" w:cs="Arial" w:eastAsia="Arial" w:hAnsi="Arial"/>
          <w:sz w:val="18"/>
          <w:szCs w:val="18"/>
          <w:color w:val="auto"/>
        </w:rPr>
      </w:pPr>
      <w:r>
        <w:rPr>
          <w:rFonts w:ascii="Arial" w:cs="Arial" w:eastAsia="Arial" w:hAnsi="Arial"/>
          <w:sz w:val="17"/>
          <w:szCs w:val="17"/>
          <w:color w:val="auto"/>
        </w:rPr>
        <w:t>Mr. McGuire, age 37, has been with Ernst &amp;Young, LLP for the past 14 years, most recently serving as Senior Manager in the Financial Accounting Advisory Services practice. Since July 2015, Mr. McGuire has been engaged with the Company, providing project management oversight and technical accounting subject matter expertise in connection with the Company's recently completed restatement of previously issued financial statements. Mr. McGuire joined Ernst &amp; Young in 2001, and has served as core engagement team member in the Dallas and Houston offices for a variety of large public and private clients in the oilfield and drilling services, manufacturing, construction, airline and retail industries. While at Ernst &amp; Young, Mr. McGuire served as a member of the national instructor excellence program, performed internal audit quality inspections for multi-national audit engagements within the U.S., and was a member of the global audit sampling network.</w:t>
      </w:r>
    </w:p>
    <w:p>
      <w:pPr>
        <w:spacing w:after="0" w:line="124" w:lineRule="exact"/>
        <w:rPr>
          <w:sz w:val="20"/>
          <w:szCs w:val="20"/>
          <w:color w:val="auto"/>
        </w:rPr>
      </w:pPr>
    </w:p>
    <w:p>
      <w:pPr>
        <w:jc w:val="both"/>
        <w:ind w:left="660" w:right="400"/>
        <w:spacing w:after="0" w:line="264" w:lineRule="auto"/>
        <w:rPr>
          <w:sz w:val="20"/>
          <w:szCs w:val="20"/>
          <w:color w:val="auto"/>
        </w:rPr>
      </w:pPr>
      <w:r>
        <w:rPr>
          <w:rFonts w:ascii="Arial" w:cs="Arial" w:eastAsia="Arial" w:hAnsi="Arial"/>
          <w:sz w:val="18"/>
          <w:szCs w:val="18"/>
          <w:color w:val="auto"/>
        </w:rPr>
        <w:t>Mr. McGuire received a Bachelors in Business Administration degree and a Masters in Professional Accounting from the McCombs School of Business at the University of Texas at Austin. He is a Certified Public Accountant in Texas and a member of the American Institute of Certified Public Accountants.</w:t>
      </w:r>
    </w:p>
    <w:p>
      <w:pPr>
        <w:spacing w:after="0" w:line="127"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Under the terms of his employment, Mr. McGuire will receive an annual salary of $350,000 and a target bonus of 40% of base salary. Mr. McGuire will also be eligible for long-term incentive awards and other benefits typically provided to the Company's vice presidents, including a severance arrangement that provides for salary continuation for a period of six months if the Company terminates his employment without cause. Mr. McGuire will receive a sign-on bonus of $100,000 and rental assistance and relocation benefits.</w:t>
      </w:r>
    </w:p>
    <w:p>
      <w:pPr>
        <w:sectPr>
          <w:pgSz w:w="11900" w:h="16838" w:orient="portrait"/>
          <w:cols w:equalWidth="0" w:num="1">
            <w:col w:w="11400"/>
          </w:cols>
          <w:pgMar w:left="240" w:top="742"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January 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General Counsel and Secretary</w:t>
      </w:r>
    </w:p>
    <w:sectPr>
      <w:pgSz w:w="11900" w:h="16838" w:orient="portrait"/>
      <w:cols w:equalWidth="0" w:num="1">
        <w:col w:w="11220"/>
      </w:cols>
      <w:pgMar w:left="240" w:top="74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2020-01-19T05:05:23Z</dcterms:created>
  <dcterms:modified xsi:type="dcterms:W3CDTF">2020-01-19T05:05:23Z</dcterms:modified>
</cp:coreProperties>
</file>