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125730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76835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7" w:lineRule="exact"/>
        <w:rPr>
          <w:sz w:val="24"/>
          <w:szCs w:val="24"/>
          <w:color w:val="auto"/>
        </w:rPr>
      </w:pPr>
    </w:p>
    <w:p>
      <w:pPr>
        <w:ind w:left="3540" w:right="1380" w:hanging="3514"/>
        <w:spacing w:after="0" w:line="408" w:lineRule="auto"/>
        <w:tabs>
          <w:tab w:leader="none" w:pos="621"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 or</w:t>
      </w:r>
    </w:p>
    <w:p>
      <w:pPr>
        <w:spacing w:after="0" w:line="41"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7"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-5080</wp:posOffset>
            </wp:positionV>
            <wp:extent cx="1567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54610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3"/>
          </w:tcPr>
          <w:p>
            <w:pPr>
              <w:jc w:val="center"/>
              <w:ind w:left="639"/>
              <w:spacing w:after="0"/>
              <w:rPr>
                <w:sz w:val="20"/>
                <w:szCs w:val="20"/>
                <w:color w:val="auto"/>
              </w:rPr>
            </w:pPr>
            <w:r>
              <w:rPr>
                <w:rFonts w:ascii="Arial" w:cs="Arial" w:eastAsia="Arial" w:hAnsi="Arial"/>
                <w:sz w:val="22"/>
                <w:szCs w:val="22"/>
                <w:b w:val="1"/>
                <w:bCs w:val="1"/>
                <w:color w:val="auto"/>
                <w:w w:val="95"/>
              </w:rPr>
              <w:t>EZCORP, INC.</w:t>
            </w: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5840" w:type="dxa"/>
            <w:vAlign w:val="bottom"/>
            <w:gridSpan w:val="8"/>
          </w:tcPr>
          <w:p>
            <w:pPr>
              <w:jc w:val="center"/>
              <w:ind w:right="1308"/>
              <w:spacing w:after="0"/>
              <w:rPr>
                <w:sz w:val="20"/>
                <w:szCs w:val="20"/>
                <w:color w:val="auto"/>
              </w:rPr>
            </w:pPr>
            <w:r>
              <w:rPr>
                <w:rFonts w:ascii="Arial" w:cs="Arial" w:eastAsia="Arial" w:hAnsi="Arial"/>
                <w:sz w:val="18"/>
                <w:szCs w:val="18"/>
                <w:color w:val="auto"/>
                <w:w w:val="99"/>
              </w:rPr>
              <w:t>(Exact name of registrant as specified in its charter)</w:t>
            </w:r>
          </w:p>
        </w:tc>
        <w:tc>
          <w:tcPr>
            <w:tcW w:w="0" w:type="dxa"/>
            <w:vAlign w:val="bottom"/>
          </w:tcPr>
          <w:p>
            <w:pPr>
              <w:spacing w:after="0"/>
              <w:rPr>
                <w:sz w:val="1"/>
                <w:szCs w:val="1"/>
                <w:color w:val="auto"/>
              </w:rPr>
            </w:pPr>
          </w:p>
        </w:tc>
      </w:tr>
      <w:tr>
        <w:trPr>
          <w:trHeight w:val="352"/>
        </w:trPr>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rPr>
              <w:t>Delaware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00" w:type="dxa"/>
            <w:vAlign w:val="bottom"/>
            <w:gridSpan w:val="2"/>
          </w:tcPr>
          <w:p>
            <w:pPr>
              <w:jc w:val="right"/>
              <w:ind w:right="112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79"/>
        </w:trPr>
        <w:tc>
          <w:tcPr>
            <w:tcW w:w="6540" w:type="dxa"/>
            <w:vAlign w:val="bottom"/>
            <w:gridSpan w:val="7"/>
            <w:vMerge w:val="restart"/>
          </w:tcPr>
          <w:p>
            <w:pPr>
              <w:jc w:val="center"/>
              <w:ind w:left="2508"/>
              <w:spacing w:after="0"/>
              <w:rPr>
                <w:sz w:val="20"/>
                <w:szCs w:val="20"/>
                <w:color w:val="auto"/>
              </w:rPr>
            </w:pPr>
            <w:r>
              <w:rPr>
                <w:rFonts w:ascii="Arial" w:cs="Arial" w:eastAsia="Arial" w:hAnsi="Arial"/>
                <w:sz w:val="14"/>
                <w:szCs w:val="14"/>
                <w:color w:val="auto"/>
              </w:rPr>
              <w:t>(State or other jurisdiction of incorporation or organization)</w:t>
            </w:r>
          </w:p>
        </w:tc>
        <w:tc>
          <w:tcPr>
            <w:tcW w:w="2700" w:type="dxa"/>
            <w:vAlign w:val="bottom"/>
            <w:gridSpan w:val="2"/>
          </w:tcPr>
          <w:p>
            <w:pPr>
              <w:jc w:val="center"/>
              <w:ind w:right="36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72"/>
        </w:trPr>
        <w:tc>
          <w:tcPr>
            <w:tcW w:w="6540" w:type="dxa"/>
            <w:vAlign w:val="bottom"/>
            <w:gridSpan w:val="7"/>
            <w:vMerge w:val="continue"/>
          </w:tcPr>
          <w:p>
            <w:pPr>
              <w:spacing w:after="0"/>
              <w:rPr>
                <w:sz w:val="14"/>
                <w:szCs w:val="14"/>
                <w:color w:val="auto"/>
              </w:rPr>
            </w:pPr>
          </w:p>
        </w:tc>
        <w:tc>
          <w:tcPr>
            <w:tcW w:w="900" w:type="dxa"/>
            <w:vAlign w:val="bottom"/>
          </w:tcPr>
          <w:p>
            <w:pPr>
              <w:spacing w:after="0"/>
              <w:rPr>
                <w:sz w:val="14"/>
                <w:szCs w:val="14"/>
                <w:color w:val="auto"/>
              </w:rPr>
            </w:pPr>
          </w:p>
        </w:tc>
        <w:tc>
          <w:tcPr>
            <w:tcW w:w="1800" w:type="dxa"/>
            <w:vAlign w:val="bottom"/>
          </w:tcPr>
          <w:p>
            <w:pPr>
              <w:jc w:val="center"/>
              <w:ind w:right="128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5280" w:type="dxa"/>
            <w:vAlign w:val="bottom"/>
            <w:gridSpan w:val="5"/>
          </w:tcPr>
          <w:p>
            <w:pPr>
              <w:jc w:val="center"/>
              <w:ind w:left="988"/>
              <w:spacing w:after="0"/>
              <w:rPr>
                <w:sz w:val="20"/>
                <w:szCs w:val="20"/>
                <w:color w:val="auto"/>
              </w:rPr>
            </w:pPr>
            <w:r>
              <w:rPr>
                <w:rFonts w:ascii="Arial" w:cs="Arial" w:eastAsia="Arial" w:hAnsi="Arial"/>
                <w:sz w:val="14"/>
                <w:szCs w:val="14"/>
                <w:b w:val="1"/>
                <w:bCs w:val="1"/>
                <w:color w:val="auto"/>
              </w:rPr>
              <w:t>2500 Bee Cave</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Rollingwood  TX</w:t>
            </w:r>
          </w:p>
        </w:tc>
        <w:tc>
          <w:tcPr>
            <w:tcW w:w="2700" w:type="dxa"/>
            <w:vAlign w:val="bottom"/>
            <w:gridSpan w:val="2"/>
            <w:vMerge w:val="restart"/>
          </w:tcPr>
          <w:p>
            <w:pPr>
              <w:jc w:val="right"/>
              <w:ind w:right="130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90"/>
        </w:trPr>
        <w:tc>
          <w:tcPr>
            <w:tcW w:w="3400" w:type="dxa"/>
            <w:vAlign w:val="bottom"/>
          </w:tcPr>
          <w:p>
            <w:pPr>
              <w:jc w:val="center"/>
              <w:ind w:left="2848"/>
              <w:spacing w:after="0"/>
              <w:rPr>
                <w:sz w:val="20"/>
                <w:szCs w:val="20"/>
                <w:color w:val="auto"/>
              </w:rPr>
            </w:pPr>
            <w:r>
              <w:rPr>
                <w:rFonts w:ascii="Arial" w:cs="Arial" w:eastAsia="Arial" w:hAnsi="Arial"/>
                <w:sz w:val="14"/>
                <w:szCs w:val="14"/>
                <w:b w:val="1"/>
                <w:bCs w:val="1"/>
                <w:color w:val="auto"/>
              </w:rPr>
              <w:t>Road</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Bldg One Suite 200</w:t>
            </w:r>
          </w:p>
        </w:tc>
        <w:tc>
          <w:tcPr>
            <w:tcW w:w="1260" w:type="dxa"/>
            <w:vAlign w:val="bottom"/>
            <w:gridSpan w:val="2"/>
            <w:vMerge w:val="continue"/>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40" w:type="dxa"/>
            <w:vAlign w:val="bottom"/>
            <w:gridSpan w:val="7"/>
          </w:tcPr>
          <w:p>
            <w:pPr>
              <w:jc w:val="center"/>
              <w:ind w:left="2528"/>
              <w:spacing w:after="0"/>
              <w:rPr>
                <w:sz w:val="20"/>
                <w:szCs w:val="20"/>
                <w:color w:val="auto"/>
              </w:rPr>
            </w:pPr>
            <w:r>
              <w:rPr>
                <w:rFonts w:ascii="Arial" w:cs="Arial" w:eastAsia="Arial" w:hAnsi="Arial"/>
                <w:sz w:val="14"/>
                <w:szCs w:val="14"/>
                <w:color w:val="auto"/>
              </w:rPr>
              <w:t>(Address of principal executive offices)</w:t>
            </w:r>
          </w:p>
        </w:tc>
        <w:tc>
          <w:tcPr>
            <w:tcW w:w="2700" w:type="dxa"/>
            <w:vAlign w:val="bottom"/>
            <w:gridSpan w:val="2"/>
          </w:tcPr>
          <w:p>
            <w:pPr>
              <w:jc w:val="center"/>
              <w:ind w:right="38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51"/>
        </w:trPr>
        <w:tc>
          <w:tcPr>
            <w:tcW w:w="3400" w:type="dxa"/>
            <w:vAlign w:val="bottom"/>
          </w:tcPr>
          <w:p>
            <w:pPr>
              <w:spacing w:after="0"/>
              <w:rPr>
                <w:sz w:val="24"/>
                <w:szCs w:val="24"/>
                <w:color w:val="auto"/>
              </w:rPr>
            </w:pPr>
          </w:p>
        </w:tc>
        <w:tc>
          <w:tcPr>
            <w:tcW w:w="5840" w:type="dxa"/>
            <w:vAlign w:val="bottom"/>
            <w:gridSpan w:val="8"/>
          </w:tcPr>
          <w:p>
            <w:pPr>
              <w:jc w:val="center"/>
              <w:ind w:right="1308"/>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13"/>
                <w:szCs w:val="13"/>
                <w:color w:val="auto"/>
              </w:rPr>
            </w:pPr>
          </w:p>
        </w:tc>
        <w:tc>
          <w:tcPr>
            <w:tcW w:w="2000" w:type="dxa"/>
            <w:vAlign w:val="bottom"/>
            <w:tcBorders>
              <w:bottom w:val="single" w:sz="8" w:color="auto"/>
            </w:tcBorders>
            <w:gridSpan w:val="2"/>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5840" w:type="dxa"/>
            <w:vAlign w:val="bottom"/>
            <w:gridSpan w:val="8"/>
          </w:tcPr>
          <w:p>
            <w:pPr>
              <w:jc w:val="center"/>
              <w:ind w:right="1328"/>
              <w:spacing w:after="0"/>
              <w:rPr>
                <w:sz w:val="20"/>
                <w:szCs w:val="20"/>
                <w:color w:val="auto"/>
              </w:rPr>
            </w:pPr>
            <w:r>
              <w:rPr>
                <w:rFonts w:ascii="Arial" w:cs="Arial" w:eastAsia="Arial" w:hAnsi="Arial"/>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371"/>
        </w:trPr>
        <w:tc>
          <w:tcPr>
            <w:tcW w:w="3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rPr>
              <w:t>Title of each class</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24"/>
                <w:szCs w:val="24"/>
                <w:color w:val="auto"/>
              </w:rPr>
            </w:pPr>
          </w:p>
        </w:tc>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3"/>
        </w:trPr>
        <w:tc>
          <w:tcPr>
            <w:tcW w:w="5280" w:type="dxa"/>
            <w:vAlign w:val="bottom"/>
            <w:gridSpan w:val="5"/>
          </w:tcPr>
          <w:p>
            <w:pPr>
              <w:jc w:val="center"/>
              <w:ind w:right="1359"/>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700" w:type="dxa"/>
            <w:vAlign w:val="bottom"/>
            <w:gridSpan w:val="2"/>
            <w:vMerge w:val="restart"/>
          </w:tcPr>
          <w:p>
            <w:pPr>
              <w:jc w:val="center"/>
              <w:ind w:right="1028"/>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0"/>
        </w:trPr>
        <w:tc>
          <w:tcPr>
            <w:tcW w:w="3400" w:type="dxa"/>
            <w:vAlign w:val="bottom"/>
          </w:tcPr>
          <w:p>
            <w:pPr>
              <w:jc w:val="center"/>
              <w:ind w:left="368"/>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EZPW</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6260"/>
        <w:spacing w:after="0"/>
        <w:rPr>
          <w:sz w:val="20"/>
          <w:szCs w:val="20"/>
          <w:color w:val="auto"/>
        </w:rPr>
      </w:pPr>
      <w:r>
        <w:rPr>
          <w:rFonts w:ascii="Arial" w:cs="Arial" w:eastAsia="Arial" w:hAnsi="Arial"/>
          <w:sz w:val="14"/>
          <w:szCs w:val="14"/>
          <w:b w:val="1"/>
          <w:bCs w:val="1"/>
          <w:color w:val="auto"/>
        </w:rPr>
        <w:t>(NASDAQ Global Select Market)</w:t>
      </w:r>
    </w:p>
    <w:p>
      <w:pPr>
        <w:spacing w:after="0" w:line="154" w:lineRule="exact"/>
        <w:rPr>
          <w:sz w:val="24"/>
          <w:szCs w:val="24"/>
          <w:color w:val="auto"/>
        </w:rPr>
      </w:pPr>
    </w:p>
    <w:p>
      <w:pPr>
        <w:jc w:val="both"/>
        <w:ind w:right="8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jc w:val="both"/>
        <w:ind w:right="8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jc w:val="both"/>
        <w:ind w:right="5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86"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As of April 30, 2021, 52,873,568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2"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00" w:type="dxa"/>
            <w:vAlign w:val="bottom"/>
            <w:gridSpan w:val="12"/>
          </w:tcPr>
          <w:p>
            <w:pPr>
              <w:jc w:val="center"/>
              <w:ind w:right="4240"/>
              <w:spacing w:after="0"/>
              <w:rPr>
                <w:sz w:val="20"/>
                <w:szCs w:val="20"/>
                <w:color w:val="auto"/>
              </w:rPr>
            </w:pPr>
            <w:r>
              <w:rPr>
                <w:rFonts w:ascii="Arial" w:cs="Arial" w:eastAsia="Arial" w:hAnsi="Arial"/>
                <w:sz w:val="18"/>
                <w:szCs w:val="18"/>
                <w:b w:val="1"/>
                <w:bCs w:val="1"/>
                <w:color w:val="auto"/>
                <w:w w:val="98"/>
              </w:rPr>
              <w:t>EZCORP, Inc.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gridSpan w:val="12"/>
          </w:tcPr>
          <w:p>
            <w:pPr>
              <w:jc w:val="center"/>
              <w:ind w:right="4260"/>
              <w:spacing w:after="0"/>
              <w:rPr>
                <w:sz w:val="20"/>
                <w:szCs w:val="20"/>
                <w:color w:val="auto"/>
              </w:rPr>
            </w:pPr>
            <w:r>
              <w:rPr>
                <w:rFonts w:ascii="Arial" w:cs="Arial" w:eastAsia="Arial" w:hAnsi="Arial"/>
                <w:sz w:val="18"/>
                <w:szCs w:val="18"/>
                <w:b w:val="1"/>
                <w:bCs w:val="1"/>
                <w:color w:val="auto"/>
                <w:w w:val="99"/>
              </w:rPr>
              <w:t>INDEX TO FORM 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980" w:type="dxa"/>
            <w:vAlign w:val="bottom"/>
            <w:gridSpan w:val="3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300" w:type="dxa"/>
            <w:vAlign w:val="bottom"/>
            <w:tcBorders>
              <w:top w:val="single" w:sz="8" w:color="0000FF"/>
              <w:bottom w:val="single" w:sz="8" w:color="0000FF"/>
            </w:tcBorders>
            <w:gridSpan w:val="8"/>
          </w:tcPr>
          <w:p>
            <w:pPr>
              <w:ind w:left="2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Item 1. Financial Statements</w:t>
              </w:r>
            </w:hyperlink>
          </w:p>
        </w:tc>
        <w:tc>
          <w:tcPr>
            <w:tcW w:w="460" w:type="dxa"/>
            <w:vAlign w:val="bottom"/>
            <w:tcBorders>
              <w:top w:val="single" w:sz="8" w:color="0000FF"/>
            </w:tcBorders>
            <w:gridSpan w:val="4"/>
          </w:tcPr>
          <w:p>
            <w:pPr>
              <w:spacing w:after="0"/>
              <w:rPr>
                <w:sz w:val="18"/>
                <w:szCs w:val="18"/>
                <w:color w:val="auto"/>
              </w:rPr>
            </w:pPr>
          </w:p>
        </w:tc>
        <w:tc>
          <w:tcPr>
            <w:tcW w:w="7900" w:type="dxa"/>
            <w:vAlign w:val="bottom"/>
            <w:gridSpan w:val="19"/>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3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March 31, 2021 and </w:t>
              </w:r>
            </w:hyperlink>
            <w:r>
              <w:rPr>
                <w:rFonts w:ascii="Arial" w:cs="Arial" w:eastAsia="Arial" w:hAnsi="Arial"/>
                <w:sz w:val="18"/>
                <w:szCs w:val="18"/>
                <w:color w:val="0000FF"/>
              </w:rPr>
              <w:t xml:space="preserve">2020 </w:t>
            </w:r>
            <w:hyperlink w:anchor="page3">
              <w:r>
                <w:rPr>
                  <w:rFonts w:ascii="Arial" w:cs="Arial" w:eastAsia="Arial" w:hAnsi="Arial"/>
                  <w:sz w:val="18"/>
                  <w:szCs w:val="18"/>
                  <w:color w:val="0000FF"/>
                </w:rPr>
                <w:t>and September 30, 2020 (Unaudited)</w:t>
              </w:r>
            </w:hyperlink>
          </w:p>
        </w:tc>
        <w:tc>
          <w:tcPr>
            <w:tcW w:w="240" w:type="dxa"/>
            <w:vAlign w:val="bottom"/>
            <w:gridSpan w:val="3"/>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3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and Six Months Ended March 31, 2021 and 2020</w:t>
              </w:r>
            </w:hyperlink>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w:t>
              </w:r>
            </w:hyperlink>
          </w:p>
        </w:tc>
        <w:tc>
          <w:tcPr>
            <w:tcW w:w="8200" w:type="dxa"/>
            <w:vAlign w:val="bottom"/>
            <w:tcBorders>
              <w:top w:val="single" w:sz="8" w:color="0000FF"/>
            </w:tcBorders>
            <w:gridSpan w:val="24"/>
            <w:vMerge w:val="restart"/>
          </w:tcPr>
          <w:p>
            <w:pPr>
              <w:spacing w:after="0"/>
              <w:rPr>
                <w:sz w:val="5"/>
                <w:szCs w:val="5"/>
                <w:color w:val="auto"/>
              </w:rPr>
            </w:pPr>
          </w:p>
        </w:tc>
        <w:tc>
          <w:tcPr>
            <w:tcW w:w="1180" w:type="dxa"/>
            <w:vAlign w:val="bottom"/>
            <w:gridSpan w:val="3"/>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top w:val="single" w:sz="8" w:color="0000FF"/>
              <w:bottom w:val="single" w:sz="8" w:color="0000FF"/>
            </w:tcBorders>
            <w:gridSpan w:val="3"/>
            <w:vMerge w:val="continue"/>
          </w:tcPr>
          <w:p>
            <w:pPr>
              <w:spacing w:after="0"/>
              <w:rPr>
                <w:sz w:val="6"/>
                <w:szCs w:val="6"/>
                <w:color w:val="auto"/>
              </w:rPr>
            </w:pPr>
          </w:p>
        </w:tc>
        <w:tc>
          <w:tcPr>
            <w:tcW w:w="8200" w:type="dxa"/>
            <w:vAlign w:val="bottom"/>
            <w:tcBorders>
              <w:top w:val="single" w:sz="8" w:color="0000FF"/>
            </w:tcBorders>
            <w:gridSpan w:val="24"/>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3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(Loss) Income for the Three and Six Months Ended March 31,</w:t>
              </w:r>
            </w:hyperlink>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60" w:type="dxa"/>
            <w:vAlign w:val="bottom"/>
            <w:tcBorders>
              <w:top w:val="single" w:sz="8" w:color="0000FF"/>
            </w:tcBorders>
            <w:gridSpan w:val="29"/>
            <w:vMerge w:val="restart"/>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2021 and 2020 (Unaudited)</w:t>
              </w:r>
            </w:hyperlink>
          </w:p>
        </w:tc>
        <w:tc>
          <w:tcPr>
            <w:tcW w:w="860" w:type="dxa"/>
            <w:vAlign w:val="bottom"/>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60" w:type="dxa"/>
            <w:vAlign w:val="bottom"/>
            <w:tcBorders>
              <w:top w:val="single" w:sz="8" w:color="0000FF"/>
            </w:tcBorders>
            <w:gridSpan w:val="29"/>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3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Periods Ended March 31, 2021 and 2020</w:t>
              </w:r>
            </w:hyperlink>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(Unaudited)</w:t>
              </w:r>
            </w:hyperlink>
          </w:p>
        </w:tc>
        <w:tc>
          <w:tcPr>
            <w:tcW w:w="7800" w:type="dxa"/>
            <w:vAlign w:val="bottom"/>
            <w:tcBorders>
              <w:top w:val="single" w:sz="8" w:color="0000FF"/>
            </w:tcBorders>
            <w:gridSpan w:val="22"/>
            <w:vMerge w:val="restart"/>
          </w:tcPr>
          <w:p>
            <w:pPr>
              <w:spacing w:after="0"/>
              <w:rPr>
                <w:sz w:val="5"/>
                <w:szCs w:val="5"/>
                <w:color w:val="auto"/>
              </w:rPr>
            </w:pPr>
          </w:p>
        </w:tc>
        <w:tc>
          <w:tcPr>
            <w:tcW w:w="1580" w:type="dxa"/>
            <w:vAlign w:val="bottom"/>
            <w:gridSpan w:val="5"/>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top w:val="single" w:sz="8" w:color="0000FF"/>
              <w:bottom w:val="single" w:sz="8" w:color="0000FF"/>
            </w:tcBorders>
            <w:gridSpan w:val="3"/>
            <w:vMerge w:val="continue"/>
          </w:tcPr>
          <w:p>
            <w:pPr>
              <w:spacing w:after="0"/>
              <w:rPr>
                <w:sz w:val="6"/>
                <w:szCs w:val="6"/>
                <w:color w:val="auto"/>
              </w:rPr>
            </w:pPr>
          </w:p>
        </w:tc>
        <w:tc>
          <w:tcPr>
            <w:tcW w:w="7800" w:type="dxa"/>
            <w:vAlign w:val="bottom"/>
            <w:tcBorders>
              <w:top w:val="single" w:sz="8" w:color="0000FF"/>
            </w:tcBorders>
            <w:gridSpan w:val="22"/>
            <w:vMerge w:val="continue"/>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3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Six Months Ended March 31, 2021 and 2020 (Unaudited)</w:t>
              </w:r>
            </w:hyperlink>
          </w:p>
        </w:tc>
        <w:tc>
          <w:tcPr>
            <w:tcW w:w="240" w:type="dxa"/>
            <w:vAlign w:val="bottom"/>
            <w:gridSpan w:val="3"/>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gridSpan w:val="23"/>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Interim Condensed Consolidated Financial Statements (Unaudited)</w:t>
              </w:r>
            </w:hyperlink>
          </w:p>
        </w:tc>
        <w:tc>
          <w:tcPr>
            <w:tcW w:w="326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2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 1: Organization and Summary of Significant Accounting Policies</w:t>
              </w:r>
            </w:hyperlink>
          </w:p>
        </w:tc>
        <w:tc>
          <w:tcPr>
            <w:tcW w:w="4260" w:type="dxa"/>
            <w:vAlign w:val="bottom"/>
            <w:gridSpan w:val="7"/>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4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2: </w:t>
            </w:r>
            <w:hyperlink w:anchor="page9">
              <w:r>
                <w:rPr>
                  <w:rFonts w:ascii="Arial" w:cs="Arial" w:eastAsia="Arial" w:hAnsi="Arial"/>
                  <w:sz w:val="18"/>
                  <w:szCs w:val="18"/>
                  <w:color w:val="0000FF"/>
                </w:rPr>
                <w:t>Expected Credit Losses</w:t>
              </w:r>
            </w:hyperlink>
          </w:p>
        </w:tc>
        <w:tc>
          <w:tcPr>
            <w:tcW w:w="4380" w:type="dxa"/>
            <w:vAlign w:val="bottom"/>
            <w:gridSpan w:val="8"/>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gridSpan w:val="1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3: </w:t>
            </w:r>
            <w:hyperlink w:anchor="page9">
              <w:r>
                <w:rPr>
                  <w:rFonts w:ascii="Arial" w:cs="Arial" w:eastAsia="Arial" w:hAnsi="Arial"/>
                  <w:sz w:val="18"/>
                  <w:szCs w:val="18"/>
                  <w:color w:val="0000FF"/>
                </w:rPr>
                <w:t>Other Charges</w:t>
              </w:r>
            </w:hyperlink>
          </w:p>
        </w:tc>
        <w:tc>
          <w:tcPr>
            <w:tcW w:w="7360" w:type="dxa"/>
            <w:vAlign w:val="bottom"/>
            <w:gridSpan w:val="15"/>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9">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1"/>
          </w:tcPr>
          <w:p>
            <w:pPr>
              <w:spacing w:after="0"/>
              <w:rPr>
                <w:rFonts w:ascii="Arial" w:cs="Arial" w:eastAsia="Arial" w:hAnsi="Arial"/>
                <w:sz w:val="18"/>
                <w:szCs w:val="18"/>
                <w:color w:val="0000FF"/>
                <w:w w:val="96"/>
              </w:rPr>
            </w:pPr>
            <w:hyperlink w:anchor="page10">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4: </w:t>
            </w:r>
            <w:hyperlink w:anchor="page10">
              <w:r>
                <w:rPr>
                  <w:rFonts w:ascii="Arial" w:cs="Arial" w:eastAsia="Arial" w:hAnsi="Arial"/>
                  <w:sz w:val="18"/>
                  <w:szCs w:val="18"/>
                  <w:color w:val="0000FF"/>
                  <w:w w:val="96"/>
                </w:rPr>
                <w:t>Earnings Per Share</w:t>
              </w:r>
            </w:hyperlink>
          </w:p>
        </w:tc>
        <w:tc>
          <w:tcPr>
            <w:tcW w:w="7680" w:type="dxa"/>
            <w:vAlign w:val="bottom"/>
            <w:gridSpan w:val="18"/>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5: </w:t>
            </w:r>
            <w:hyperlink w:anchor="page10">
              <w:r>
                <w:rPr>
                  <w:rFonts w:ascii="Arial" w:cs="Arial" w:eastAsia="Arial" w:hAnsi="Arial"/>
                  <w:sz w:val="18"/>
                  <w:szCs w:val="18"/>
                  <w:color w:val="0000FF"/>
                </w:rPr>
                <w:t>Leases</w:t>
              </w:r>
            </w:hyperlink>
          </w:p>
        </w:tc>
        <w:tc>
          <w:tcPr>
            <w:tcW w:w="7680" w:type="dxa"/>
            <w:vAlign w:val="bottom"/>
            <w:gridSpan w:val="18"/>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bottom w:val="single" w:sz="8" w:color="0000FF"/>
            </w:tcBorders>
            <w:gridSpan w:val="12"/>
          </w:tcPr>
          <w:p>
            <w:pPr>
              <w:spacing w:after="0"/>
              <w:rPr>
                <w:rFonts w:ascii="Arial" w:cs="Arial" w:eastAsia="Arial" w:hAnsi="Arial"/>
                <w:sz w:val="18"/>
                <w:szCs w:val="18"/>
                <w:color w:val="0000FF"/>
                <w:w w:val="96"/>
              </w:rPr>
            </w:pPr>
            <w:hyperlink w:anchor="page11">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6: </w:t>
            </w:r>
            <w:hyperlink w:anchor="page11">
              <w:r>
                <w:rPr>
                  <w:rFonts w:ascii="Arial" w:cs="Arial" w:eastAsia="Arial" w:hAnsi="Arial"/>
                  <w:sz w:val="18"/>
                  <w:szCs w:val="18"/>
                  <w:color w:val="0000FF"/>
                  <w:w w:val="96"/>
                </w:rPr>
                <w:t>Strategic Investments</w:t>
              </w:r>
            </w:hyperlink>
          </w:p>
        </w:tc>
        <w:tc>
          <w:tcPr>
            <w:tcW w:w="7520" w:type="dxa"/>
            <w:vAlign w:val="bottom"/>
            <w:gridSpan w:val="17"/>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0000FF"/>
            </w:tcBorders>
            <w:gridSpan w:val="15"/>
          </w:tcPr>
          <w:p>
            <w:pPr>
              <w:spacing w:after="0"/>
              <w:rPr>
                <w:rFonts w:ascii="Arial" w:cs="Arial" w:eastAsia="Arial" w:hAnsi="Arial"/>
                <w:sz w:val="18"/>
                <w:szCs w:val="18"/>
                <w:color w:val="0000FF"/>
                <w:w w:val="96"/>
              </w:rPr>
            </w:pPr>
            <w:hyperlink w:anchor="page12">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7: </w:t>
            </w:r>
            <w:hyperlink w:anchor="page12">
              <w:r>
                <w:rPr>
                  <w:rFonts w:ascii="Arial" w:cs="Arial" w:eastAsia="Arial" w:hAnsi="Arial"/>
                  <w:sz w:val="18"/>
                  <w:szCs w:val="18"/>
                  <w:color w:val="0000FF"/>
                  <w:w w:val="96"/>
                </w:rPr>
                <w:t>Fair Value Measurements</w:t>
              </w:r>
            </w:hyperlink>
          </w:p>
        </w:tc>
        <w:tc>
          <w:tcPr>
            <w:tcW w:w="7200" w:type="dxa"/>
            <w:vAlign w:val="bottom"/>
            <w:gridSpan w:val="14"/>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9"/>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8: </w:t>
            </w:r>
            <w:hyperlink w:anchor="page14">
              <w:r>
                <w:rPr>
                  <w:rFonts w:ascii="Arial" w:cs="Arial" w:eastAsia="Arial" w:hAnsi="Arial"/>
                  <w:sz w:val="18"/>
                  <w:szCs w:val="18"/>
                  <w:color w:val="0000FF"/>
                </w:rPr>
                <w:t>Debt</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9: </w:t>
            </w:r>
            <w:hyperlink w:anchor="page16">
              <w:r>
                <w:rPr>
                  <w:rFonts w:ascii="Arial" w:cs="Arial" w:eastAsia="Arial" w:hAnsi="Arial"/>
                  <w:sz w:val="18"/>
                  <w:szCs w:val="18"/>
                  <w:color w:val="0000FF"/>
                </w:rPr>
                <w:t>Share-Based Compensation</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4"/>
              </w:rPr>
            </w:pPr>
            <w:hyperlink w:anchor="page16">
              <w:r>
                <w:rPr>
                  <w:rFonts w:ascii="Arial" w:cs="Arial" w:eastAsia="Arial" w:hAnsi="Arial"/>
                  <w:sz w:val="18"/>
                  <w:szCs w:val="18"/>
                  <w:color w:val="0000FF"/>
                  <w:w w:val="94"/>
                </w:rPr>
                <w:t xml:space="preserve">Note </w:t>
              </w:r>
            </w:hyperlink>
            <w:r>
              <w:rPr>
                <w:rFonts w:ascii="Arial" w:cs="Arial" w:eastAsia="Arial" w:hAnsi="Arial"/>
                <w:sz w:val="18"/>
                <w:szCs w:val="18"/>
                <w:color w:val="0000FF"/>
                <w:w w:val="94"/>
              </w:rPr>
              <w:t xml:space="preserve">10: </w:t>
            </w:r>
            <w:hyperlink w:anchor="page16">
              <w:r>
                <w:rPr>
                  <w:rFonts w:ascii="Arial" w:cs="Arial" w:eastAsia="Arial" w:hAnsi="Arial"/>
                  <w:sz w:val="18"/>
                  <w:szCs w:val="18"/>
                  <w:color w:val="0000FF"/>
                  <w:w w:val="94"/>
                </w:rPr>
                <w:t>Income Taxes</w:t>
              </w:r>
            </w:hyperlink>
          </w:p>
        </w:tc>
        <w:tc>
          <w:tcPr>
            <w:tcW w:w="1040" w:type="dxa"/>
            <w:vAlign w:val="bottom"/>
            <w:tcBorders>
              <w:top w:val="single" w:sz="8" w:color="0000FF"/>
            </w:tcBorders>
            <w:gridSpan w:val="7"/>
          </w:tcPr>
          <w:p>
            <w:pPr>
              <w:spacing w:after="0"/>
              <w:rPr>
                <w:sz w:val="18"/>
                <w:szCs w:val="18"/>
                <w:color w:val="auto"/>
              </w:rPr>
            </w:pPr>
          </w:p>
        </w:tc>
        <w:tc>
          <w:tcPr>
            <w:tcW w:w="7000" w:type="dxa"/>
            <w:vAlign w:val="bottom"/>
            <w:gridSpan w:val="13"/>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tcBorders>
              <w:bottom w:val="single" w:sz="8" w:color="0000FF"/>
            </w:tcBorders>
            <w:gridSpan w:val="17"/>
          </w:tcPr>
          <w:p>
            <w:pPr>
              <w:spacing w:after="0"/>
              <w:rPr>
                <w:rFonts w:ascii="Arial" w:cs="Arial" w:eastAsia="Arial" w:hAnsi="Arial"/>
                <w:sz w:val="18"/>
                <w:szCs w:val="18"/>
                <w:color w:val="0000FF"/>
                <w:w w:val="97"/>
              </w:rPr>
            </w:pPr>
            <w:hyperlink w:anchor="page16">
              <w:r>
                <w:rPr>
                  <w:rFonts w:ascii="Arial" w:cs="Arial" w:eastAsia="Arial" w:hAnsi="Arial"/>
                  <w:sz w:val="18"/>
                  <w:szCs w:val="18"/>
                  <w:color w:val="0000FF"/>
                  <w:w w:val="97"/>
                </w:rPr>
                <w:t xml:space="preserve">Note </w:t>
              </w:r>
            </w:hyperlink>
            <w:r>
              <w:rPr>
                <w:rFonts w:ascii="Arial" w:cs="Arial" w:eastAsia="Arial" w:hAnsi="Arial"/>
                <w:sz w:val="18"/>
                <w:szCs w:val="18"/>
                <w:color w:val="0000FF"/>
                <w:w w:val="97"/>
              </w:rPr>
              <w:t xml:space="preserve">11: </w:t>
            </w:r>
            <w:hyperlink w:anchor="page16">
              <w:r>
                <w:rPr>
                  <w:rFonts w:ascii="Arial" w:cs="Arial" w:eastAsia="Arial" w:hAnsi="Arial"/>
                  <w:sz w:val="18"/>
                  <w:szCs w:val="18"/>
                  <w:color w:val="0000FF"/>
                  <w:w w:val="97"/>
                </w:rPr>
                <w:t>Commitments and Contingencies</w:t>
              </w:r>
            </w:hyperlink>
          </w:p>
        </w:tc>
        <w:tc>
          <w:tcPr>
            <w:tcW w:w="6500" w:type="dxa"/>
            <w:vAlign w:val="bottom"/>
            <w:gridSpan w:val="12"/>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bottom w:val="single" w:sz="8" w:color="0000FF"/>
            </w:tcBorders>
            <w:gridSpan w:val="13"/>
          </w:tcPr>
          <w:p>
            <w:pPr>
              <w:spacing w:after="0"/>
              <w:rPr>
                <w:rFonts w:ascii="Arial" w:cs="Arial" w:eastAsia="Arial" w:hAnsi="Arial"/>
                <w:sz w:val="18"/>
                <w:szCs w:val="18"/>
                <w:color w:val="0000FF"/>
                <w:w w:val="96"/>
              </w:rPr>
            </w:pPr>
            <w:hyperlink w:anchor="page17">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12: </w:t>
            </w:r>
            <w:hyperlink w:anchor="page17">
              <w:r>
                <w:rPr>
                  <w:rFonts w:ascii="Arial" w:cs="Arial" w:eastAsia="Arial" w:hAnsi="Arial"/>
                  <w:sz w:val="18"/>
                  <w:szCs w:val="18"/>
                  <w:color w:val="0000FF"/>
                  <w:w w:val="96"/>
                </w:rPr>
                <w:t>Segment Information</w:t>
              </w:r>
            </w:hyperlink>
          </w:p>
        </w:tc>
        <w:tc>
          <w:tcPr>
            <w:tcW w:w="7480" w:type="dxa"/>
            <w:vAlign w:val="bottom"/>
            <w:gridSpan w:val="16"/>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tcBorders>
              <w:bottom w:val="single" w:sz="8" w:color="0000FF"/>
            </w:tcBorders>
            <w:gridSpan w:val="19"/>
          </w:tcPr>
          <w:p>
            <w:pPr>
              <w:spacing w:after="0"/>
              <w:rPr>
                <w:rFonts w:ascii="Arial" w:cs="Arial" w:eastAsia="Arial" w:hAnsi="Arial"/>
                <w:sz w:val="18"/>
                <w:szCs w:val="18"/>
                <w:color w:val="0000FF"/>
                <w:w w:val="98"/>
              </w:rPr>
            </w:pPr>
            <w:hyperlink w:anchor="page19">
              <w:r>
                <w:rPr>
                  <w:rFonts w:ascii="Arial" w:cs="Arial" w:eastAsia="Arial" w:hAnsi="Arial"/>
                  <w:sz w:val="18"/>
                  <w:szCs w:val="18"/>
                  <w:color w:val="0000FF"/>
                  <w:w w:val="98"/>
                </w:rPr>
                <w:t xml:space="preserve">Note </w:t>
              </w:r>
            </w:hyperlink>
            <w:r>
              <w:rPr>
                <w:rFonts w:ascii="Arial" w:cs="Arial" w:eastAsia="Arial" w:hAnsi="Arial"/>
                <w:sz w:val="18"/>
                <w:szCs w:val="18"/>
                <w:color w:val="0000FF"/>
                <w:w w:val="98"/>
              </w:rPr>
              <w:t xml:space="preserve">13: </w:t>
            </w:r>
            <w:hyperlink w:anchor="page19">
              <w:r>
                <w:rPr>
                  <w:rFonts w:ascii="Arial" w:cs="Arial" w:eastAsia="Arial" w:hAnsi="Arial"/>
                  <w:sz w:val="18"/>
                  <w:szCs w:val="18"/>
                  <w:color w:val="0000FF"/>
                  <w:w w:val="98"/>
                </w:rPr>
                <w:t>Supplemental Consolidated Financial Information</w:t>
              </w:r>
            </w:hyperlink>
          </w:p>
        </w:tc>
        <w:tc>
          <w:tcPr>
            <w:tcW w:w="5220" w:type="dxa"/>
            <w:vAlign w:val="bottom"/>
            <w:gridSpan w:val="10"/>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31"/>
          </w:tcPr>
          <w:p>
            <w:pPr>
              <w:ind w:left="20"/>
              <w:spacing w:after="0"/>
              <w:rPr>
                <w:rFonts w:ascii="Arial" w:cs="Arial" w:eastAsia="Arial" w:hAnsi="Arial"/>
                <w:sz w:val="18"/>
                <w:szCs w:val="18"/>
                <w:color w:val="0000FF"/>
              </w:rPr>
            </w:pPr>
            <w:hyperlink w:anchor="page20">
              <w:r>
                <w:rPr>
                  <w:rFonts w:ascii="Arial" w:cs="Arial" w:eastAsia="Arial" w:hAnsi="Arial"/>
                  <w:sz w:val="18"/>
                  <w:szCs w:val="18"/>
                  <w:color w:val="0000FF"/>
                </w:rPr>
                <w:t>Item 2. Management’s Discussion and Analysis of Financial Condition and Results of Operations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25"/>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Item 3. Quantitative and Qualitative Disclosures about Market Risk</w:t>
              </w:r>
            </w:hyperlink>
          </w:p>
        </w:tc>
        <w:tc>
          <w:tcPr>
            <w:tcW w:w="2980" w:type="dxa"/>
            <w:vAlign w:val="bottom"/>
            <w:gridSpan w:val="6"/>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top w:val="single" w:sz="8" w:color="0000FF"/>
            </w:tcBorders>
            <w:gridSpan w:val="20"/>
          </w:tcPr>
          <w:p>
            <w:pPr>
              <w:ind w:left="20"/>
              <w:spacing w:after="0"/>
              <w:rPr>
                <w:rFonts w:ascii="Arial" w:cs="Arial" w:eastAsia="Arial" w:hAnsi="Arial"/>
                <w:sz w:val="18"/>
                <w:szCs w:val="18"/>
                <w:color w:val="0000FF"/>
              </w:rPr>
            </w:pPr>
            <w:hyperlink w:anchor="page32">
              <w:r>
                <w:rPr>
                  <w:rFonts w:ascii="Arial" w:cs="Arial" w:eastAsia="Arial" w:hAnsi="Arial"/>
                  <w:sz w:val="18"/>
                  <w:szCs w:val="18"/>
                  <w:color w:val="0000FF"/>
                </w:rPr>
                <w:t>Item 4. Controls and Procedures</w:t>
              </w:r>
            </w:hyperlink>
          </w:p>
        </w:tc>
        <w:tc>
          <w:tcPr>
            <w:tcW w:w="5360" w:type="dxa"/>
            <w:vAlign w:val="bottom"/>
            <w:gridSpan w:val="11"/>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1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3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PART II — OTHER INFORMATION</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20" w:type="dxa"/>
            <w:vAlign w:val="bottom"/>
            <w:tcBorders>
              <w:top w:val="single" w:sz="8" w:color="0000FF"/>
            </w:tcBorders>
            <w:gridSpan w:val="9"/>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Item 1. Legal Proceedings</w:t>
              </w:r>
            </w:hyperlink>
          </w:p>
        </w:tc>
        <w:tc>
          <w:tcPr>
            <w:tcW w:w="8140" w:type="dxa"/>
            <w:vAlign w:val="bottom"/>
            <w:gridSpan w:val="22"/>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7"/>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Item 1A. Risk Factors</w:t>
              </w:r>
            </w:hyperlink>
          </w:p>
        </w:tc>
        <w:tc>
          <w:tcPr>
            <w:tcW w:w="8560" w:type="dxa"/>
            <w:vAlign w:val="bottom"/>
            <w:gridSpan w:val="24"/>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740" w:type="dxa"/>
            <w:vAlign w:val="bottom"/>
            <w:gridSpan w:val="17"/>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31"/>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Item 2. Unregistered Sales of Equity Securities and Use of Proceeds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Item 6. Exhibits</w:t>
              </w:r>
            </w:hyperlink>
          </w:p>
        </w:tc>
        <w:tc>
          <w:tcPr>
            <w:tcW w:w="4220" w:type="dxa"/>
            <w:vAlign w:val="bottom"/>
            <w:tcBorders>
              <w:top w:val="single" w:sz="8" w:color="0000FF"/>
            </w:tcBorders>
            <w:gridSpan w:val="19"/>
          </w:tcPr>
          <w:p>
            <w:pPr>
              <w:spacing w:after="0"/>
              <w:rPr>
                <w:sz w:val="18"/>
                <w:szCs w:val="18"/>
                <w:color w:val="auto"/>
              </w:rPr>
            </w:pPr>
          </w:p>
        </w:tc>
        <w:tc>
          <w:tcPr>
            <w:tcW w:w="5200" w:type="dxa"/>
            <w:vAlign w:val="bottom"/>
            <w:gridSpan w:val="9"/>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32"/>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6"/>
                <w:szCs w:val="16"/>
                <w:color w:val="auto"/>
              </w:rPr>
            </w:pP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90"/>
        </w:trPr>
        <w:tc>
          <w:tcPr>
            <w:tcW w:w="6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80" w:type="dxa"/>
            <w:vAlign w:val="bottom"/>
            <w:gridSpan w:val="6"/>
            <w:shd w:val="clear" w:color="auto" w:fill="CCEEFF"/>
          </w:tcPr>
          <w:p>
            <w:pPr>
              <w:ind w:left="840"/>
              <w:spacing w:after="0" w:line="170" w:lineRule="exact"/>
              <w:rPr>
                <w:sz w:val="20"/>
                <w:szCs w:val="20"/>
                <w:color w:val="auto"/>
              </w:rPr>
            </w:pPr>
            <w:r>
              <w:rPr>
                <w:rFonts w:ascii="Arial" w:cs="Arial" w:eastAsia="Arial" w:hAnsi="Arial"/>
                <w:sz w:val="16"/>
                <w:szCs w:val="16"/>
                <w:color w:val="auto"/>
              </w:rPr>
              <w:t>(Unaudited)</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67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335,638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193,729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304,542</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8,006</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125,268</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160,179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131,323</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service charges receivable,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20,842</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86,214</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173,251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95,891</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Notes receivable, net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30,676</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23,629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606,644</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585,820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593,250</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34,961</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27,993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32,458</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51,836</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Lease right-of-use asset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170,479</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206,839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183,809</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258,199</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257,222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58,125</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64,043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58,638</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1,164</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9,693</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8,931</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5,152</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5,045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1,196,253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1,213,132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r>
        <w:trPr>
          <w:trHeight w:val="203"/>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69,019</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53,152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71,504</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11,401</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13,060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11,008</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Lease liability</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41,060</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44,076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49,742</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121,480</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110,555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132,467</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257,143</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244,288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251,016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167</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2,540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liability</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138,622</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171,006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153,040</w:t>
            </w: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9,597</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7,190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r>
      <w:tr>
        <w:trPr>
          <w:trHeight w:val="212"/>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527,009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535,579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547,896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11)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7"/>
        </w:trPr>
        <w:tc>
          <w:tcPr>
            <w:tcW w:w="6700" w:type="dxa"/>
            <w:vAlign w:val="bottom"/>
          </w:tcPr>
          <w:p>
            <w:pPr>
              <w:ind w:left="480"/>
              <w:spacing w:after="0" w:line="178"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52,873,568 as of March 31, 2021; 52,097,590 as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8"/>
        </w:trPr>
        <w:tc>
          <w:tcPr>
            <w:tcW w:w="6700" w:type="dxa"/>
            <w:vAlign w:val="bottom"/>
          </w:tcPr>
          <w:p>
            <w:pPr>
              <w:ind w:left="480"/>
              <w:spacing w:after="0"/>
              <w:rPr>
                <w:sz w:val="20"/>
                <w:szCs w:val="20"/>
                <w:color w:val="auto"/>
              </w:rPr>
            </w:pPr>
            <w:r>
              <w:rPr>
                <w:rFonts w:ascii="Arial" w:cs="Arial" w:eastAsia="Arial" w:hAnsi="Arial"/>
                <w:sz w:val="16"/>
                <w:szCs w:val="16"/>
                <w:color w:val="auto"/>
              </w:rPr>
              <w:t>of March 31, 2020; and 52,332,848 as of September 30, 2020</w:t>
            </w:r>
          </w:p>
        </w:tc>
        <w:tc>
          <w:tcPr>
            <w:tcW w:w="220" w:type="dxa"/>
            <w:vAlign w:val="bottom"/>
          </w:tcPr>
          <w:p>
            <w:pPr>
              <w:spacing w:after="0"/>
              <w:rPr>
                <w:sz w:val="17"/>
                <w:szCs w:val="17"/>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528</w:t>
            </w:r>
          </w:p>
        </w:tc>
        <w:tc>
          <w:tcPr>
            <w:tcW w:w="3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180"/>
        </w:trPr>
        <w:tc>
          <w:tcPr>
            <w:tcW w:w="6700" w:type="dxa"/>
            <w:vAlign w:val="bottom"/>
            <w:shd w:val="clear" w:color="auto" w:fill="CCEEFF"/>
          </w:tcPr>
          <w:p>
            <w:pPr>
              <w:ind w:left="480"/>
              <w:spacing w:after="0" w:line="181"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01"/>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Arial" w:cs="Arial" w:eastAsia="Arial" w:hAnsi="Arial"/>
                <w:sz w:val="16"/>
                <w:szCs w:val="16"/>
                <w:color w:val="auto"/>
              </w:rPr>
              <w:t>399,439</w:t>
            </w: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406,171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398,475</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327,798</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347,004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(58,551)</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(76,173)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r>
      <w:tr>
        <w:trPr>
          <w:trHeight w:val="210"/>
        </w:trPr>
        <w:tc>
          <w:tcPr>
            <w:tcW w:w="67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669,244</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677,553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649,127</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1,196,253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1,213,132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34"/>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115,225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129,830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223,008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256,558</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6,075</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12,834</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21,406</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63,436</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80,222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126,925</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164,947</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203</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307</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w:t>
            </w:r>
          </w:p>
        </w:tc>
      </w:tr>
      <w:tr>
        <w:trPr>
          <w:trHeight w:val="209"/>
        </w:trPr>
        <w:tc>
          <w:tcPr>
            <w:tcW w:w="52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184,939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223,280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363,074</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445,714</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65,790</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130,333</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169,852</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5,401</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10,603</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17,371</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r>
      <w:tr>
        <w:trPr>
          <w:trHeight w:val="209"/>
        </w:trPr>
        <w:tc>
          <w:tcPr>
            <w:tcW w:w="52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113,748</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127,362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222,138</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257,430</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81,149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87,648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160,458</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176,923</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13,771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26,281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34,179</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47,060</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8,089</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15,661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15,495</w:t>
            </w: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112</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90</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r>
      <w:tr>
        <w:trPr>
          <w:trHeight w:val="210"/>
        </w:trPr>
        <w:tc>
          <w:tcPr>
            <w:tcW w:w="5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103,121</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158,072</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202,490</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274,662</w:t>
            </w:r>
          </w:p>
        </w:tc>
      </w:tr>
      <w:tr>
        <w:trPr>
          <w:trHeight w:val="209"/>
        </w:trPr>
        <w:tc>
          <w:tcPr>
            <w:tcW w:w="5200" w:type="dxa"/>
            <w:vAlign w:val="bottom"/>
          </w:tcPr>
          <w:p>
            <w:pPr>
              <w:ind w:left="680"/>
              <w:spacing w:after="0"/>
              <w:rPr>
                <w:sz w:val="20"/>
                <w:szCs w:val="20"/>
                <w:color w:val="auto"/>
              </w:rPr>
            </w:pPr>
            <w:r>
              <w:rPr>
                <w:rFonts w:ascii="Arial" w:cs="Arial" w:eastAsia="Arial" w:hAnsi="Arial"/>
                <w:sz w:val="16"/>
                <w:szCs w:val="16"/>
                <w:color w:val="auto"/>
              </w:rPr>
              <w:t>Operating income (loss)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10,627</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19,648</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(17,232)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5,518</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10,973</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11,210</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(585)</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(1,406)</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(1,784)</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145</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6,799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12,301</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(31,128)</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1,469</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2,672</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8,508</w:t>
            </w: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5,330</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9,629</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(39,636)</w:t>
            </w:r>
          </w:p>
        </w:tc>
      </w:tr>
      <w:tr>
        <w:trPr>
          <w:trHeight w:val="202"/>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0.10</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0.17</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0.10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0.17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219"/>
        </w:trPr>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55,661</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55,509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55,557</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55,665</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55,511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55,608</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rPr>
              <w:t>5,330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(39,636)</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 net of tax</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(1,760)</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(29,846)</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9,517</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(23,775)</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3,570</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(70,720)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19,146</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(63,411)</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except for balances as of September 30, 2020 and September 30, 2019)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6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3"/>
                <w:szCs w:val="3"/>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 Income</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6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649,127</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4,299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2020</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55,599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398,269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664,502</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consideration for prior period acquisition</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Foreign currency translation loss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2021</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55,844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399,439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327,798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669,244</w:t>
            </w: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4"/>
                <w:szCs w:val="24"/>
                <w:color w:val="auto"/>
              </w:rPr>
            </w:pPr>
          </w:p>
        </w:tc>
        <w:tc>
          <w:tcPr>
            <w:tcW w:w="18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3"/>
                <w:szCs w:val="3"/>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 Income</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6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744,949</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2019</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55,856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407,440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389,928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751,600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Foreign currency translation loss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(29,846)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(29,846)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March 31, 2020</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55,068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406,171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347,004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(76,173)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677,553</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9,629</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(39,636)</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15,661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15,495</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6,754</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23,835</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22,752</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(3,698)</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goodwill and intangible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47,060</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1,810</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1,618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2,722</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6,481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3,874</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(43,436)</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(37,799)</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13"/>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2,573</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r>
      <w:tr>
        <w:trPr>
          <w:trHeight w:val="213"/>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18,721</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(269,468)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(351,050)</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177,888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229,054</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109,019</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158,792</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(8,359)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(12,160)</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Principal collections on notes receivable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investing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9,080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28,636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borrowings, net of issuance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borrowings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w:t>
            </w:r>
          </w:p>
        </w:tc>
      </w:tr>
      <w:tr>
        <w:trPr>
          <w:trHeight w:val="213"/>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(7,256)</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5,000</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(7,364)</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31,091</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35,287</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312,553</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162,442</w:t>
            </w:r>
          </w:p>
        </w:tc>
      </w:tr>
      <w:tr>
        <w:trPr>
          <w:trHeight w:val="22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343,644</w:t>
            </w:r>
          </w:p>
        </w:tc>
        <w:tc>
          <w:tcPr>
            <w:tcW w:w="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197,729</w:t>
            </w:r>
          </w:p>
        </w:tc>
      </w:tr>
      <w:tr>
        <w:trPr>
          <w:trHeight w:val="40"/>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335,638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193,729</w:t>
            </w:r>
          </w:p>
        </w:tc>
      </w:tr>
      <w:tr>
        <w:trPr>
          <w:trHeight w:val="216"/>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8,006</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6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343,644</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197,729</w:t>
            </w:r>
          </w:p>
        </w:tc>
      </w:tr>
      <w:tr>
        <w:trPr>
          <w:trHeight w:val="213"/>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99,285</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156,468</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497F"/>
        </w:rPr>
        <w:t>Notes to Interim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8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EZCORP, Inc. (collectively with its subsidiaries, the “Company”, “we”, “us” or “our”) is a leading provider of pawn loans in the United States and Latin America. Pawn loans are non-recourse loans collateralized by tangible property. We also sell merchandise, primarily collateral forfeited from pawn lending operations and pre-owned merchandise purchased from customers.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8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generally accepted accounting principles for complete financial statements.</w:t>
      </w:r>
    </w:p>
    <w:p>
      <w:pPr>
        <w:spacing w:after="0" w:line="150" w:lineRule="exact"/>
        <w:rPr>
          <w:sz w:val="20"/>
          <w:szCs w:val="20"/>
          <w:color w:val="auto"/>
        </w:rPr>
      </w:pPr>
    </w:p>
    <w:p>
      <w:pPr>
        <w:ind w:right="1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the Company’s </w:t>
      </w:r>
      <w:hyperlink r:id="rId20">
        <w:r>
          <w:rPr>
            <w:rFonts w:ascii="Arial" w:cs="Arial" w:eastAsia="Arial" w:hAnsi="Arial"/>
            <w:sz w:val="18"/>
            <w:szCs w:val="18"/>
            <w:color w:val="auto"/>
          </w:rPr>
          <w:t xml:space="preserve">Annual Report on Form 10-K for the year ended September 30, 2020, </w:t>
        </w:r>
      </w:hyperlink>
      <w:r>
        <w:rPr>
          <w:rFonts w:ascii="Arial" w:cs="Arial" w:eastAsia="Arial" w:hAnsi="Arial"/>
          <w:sz w:val="18"/>
          <w:szCs w:val="18"/>
          <w:color w:val="auto"/>
        </w:rPr>
        <w:t>filed with the SEC on December 14, 2020 (“2020 Annual Report”).</w:t>
      </w:r>
    </w:p>
    <w:p>
      <w:pPr>
        <w:spacing w:after="0" w:line="148"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In the opinion of management, the accompanying Condensed Consolidated Financial Statements include all adjustments, consisting of normal recurring adjustments, considered necessary for a fair presentation. Financial results for the three and six-month periods ended March 31, 2021, are not necessarily indicative of results that may be expected for the fiscal year ending September 30, 2021.</w:t>
      </w:r>
    </w:p>
    <w:p>
      <w:pPr>
        <w:spacing w:after="0" w:line="148" w:lineRule="exact"/>
        <w:rPr>
          <w:sz w:val="20"/>
          <w:szCs w:val="20"/>
          <w:color w:val="auto"/>
        </w:rPr>
      </w:pPr>
    </w:p>
    <w:p>
      <w:pPr>
        <w:jc w:val="both"/>
        <w:ind w:right="480"/>
        <w:spacing w:after="0" w:line="261" w:lineRule="auto"/>
        <w:rPr>
          <w:sz w:val="20"/>
          <w:szCs w:val="20"/>
          <w:color w:val="auto"/>
        </w:rPr>
      </w:pPr>
      <w:r>
        <w:rPr>
          <w:rFonts w:ascii="Arial" w:cs="Arial" w:eastAsia="Arial" w:hAnsi="Arial"/>
          <w:sz w:val="18"/>
          <w:szCs w:val="18"/>
          <w:color w:val="auto"/>
        </w:rPr>
        <w:t>Our business is subject to seasonal variations, and operating results for the three and six months ended March 31, 2021 and 2020 (the "current quarter" and "prior-year quarter," respectively) are not necessarily indicative of the results of operations for the full fiscal year.</w:t>
      </w:r>
    </w:p>
    <w:p>
      <w:pPr>
        <w:spacing w:after="0" w:line="144" w:lineRule="exact"/>
        <w:rPr>
          <w:sz w:val="20"/>
          <w:szCs w:val="20"/>
          <w:color w:val="auto"/>
        </w:rPr>
      </w:pPr>
    </w:p>
    <w:p>
      <w:pPr>
        <w:ind w:right="200"/>
        <w:spacing w:after="0" w:line="261" w:lineRule="auto"/>
        <w:rPr>
          <w:rFonts w:ascii="Arial" w:cs="Arial" w:eastAsia="Arial" w:hAnsi="Arial"/>
          <w:sz w:val="18"/>
          <w:szCs w:val="18"/>
          <w:color w:val="auto"/>
        </w:rPr>
      </w:pPr>
      <w:hyperlink r:id="rId20">
        <w:r>
          <w:rPr>
            <w:rFonts w:ascii="Arial" w:cs="Arial" w:eastAsia="Arial" w:hAnsi="Arial"/>
            <w:sz w:val="18"/>
            <w:szCs w:val="18"/>
            <w:color w:val="auto"/>
          </w:rPr>
          <w:t>There have been no changes that have had a material impact in significant accounting policies as described in our Annual Report on Form</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10-K for the year ended September 30, 2020.</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 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reclassified certain amounts in prior-period financial statements to conform to the current period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revenue recognition,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Actual results may result in actual amounts differing from reported amounts.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COVID-19</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COVID-19 pandemic continues to affect the U.S. and global economies, and as previously disclosed in our 2020 Annual Report, the pandemic also affected our businesses in a variety of ways beginning in the second quarter of fiscal 2020 and continuing into fiscal 2021. We cannot estimate the length or severity of the COVID-19 pandemic or the related financial consequences on our business and operations, including whether and when historic economic and operating conditions will resume or the extent to which the disruption may impact our</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business, financial position, results of operations or cash flows. Our estimates, judgments and assumptions related to COVID-19 could ultimately differ over time.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Policies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w:t>
      </w:r>
      <w:r>
        <w:rPr>
          <w:rFonts w:ascii="Arial" w:cs="Arial" w:eastAsia="Arial" w:hAnsi="Arial"/>
          <w:sz w:val="18"/>
          <w:szCs w:val="18"/>
          <w:color w:val="auto"/>
        </w:rPr>
        <w:t>(Topic 326) (“ASU 2016-13”). ASU 2016-13 modifies the measurement of expected credit losses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requiring entities to estimate an expected lifetime credit loss on financial assets. The ASU amends the impairment model to utilize an expected loss methodology and replaces the incurred loss methodology for financial instruments including trade receivables. The amendment requires entities to consider other factors, such as historical loss experience, current conditions and reasonable and supportable forecasts. ASU 2016-13 was effective on October 1, 2020.</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adopted ASU 2016-13 effective October 1, 2020 using the modified retrospective approach. There was no net cumulative effect adjustment to retained earnings as of October 1, 2020 as a result of this adoption. This amendment did not have a material impact on our balance sheets or cash flows from operations and did not have a material impact on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8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removes certain settlement conditions that are required for equity contracts to qualify for the derivative scope exception and it also simplifies the diluted earnings per share calculation in certain areas. ASU 2020-06 is effective for the Company for fiscal years beginning after December 15, 2023, including interim periods within those fiscal years. Early adoption is permitted, but no earlier than fiscal years beginning after December 15, 2020 and adoption must be as of the beginning of our annual fiscal year. We are currently evaluating the impact of this standard on our consolidated financial statements and related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EXPECTED CREDIT LOSSES</w:t>
      </w:r>
    </w:p>
    <w:p>
      <w:pPr>
        <w:spacing w:after="0" w:line="20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adopted ASU 2016-13 effective October 1, 2020. We have financing receivables within the scope of ASU 2016-13, specifically pawn loans receivables and related pawn service charges receivables.</w:t>
      </w:r>
    </w:p>
    <w:p>
      <w:pPr>
        <w:spacing w:after="0" w:line="144"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Our pawn loans are short-term in nature, typically 30-120 days for U.S. Pawn loans and 30 days for Latin America Pawn loans. Under our existing accounting policy, if a pawn loan is deemed to be uncollectible, we do not recognize an allowance for doubtful accounts due to the expected recovery of the loan principal amount through the sale of the collateral. We record the forfeited collateral as inventory at the pawn loan principal amount.</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Pawn service charges are recorded under the interest method over the term of the related pawn loan. Under our existing accounting policy, we accrue for any earned but unpaid pawn service charges at the end each month. We then apply a reserve to pawn service charges receivable at the end of each month using a pawn loan forfeiture rate derived from a trailing twelve-month average, adjusted for seasonality factors.</w:t>
      </w:r>
    </w:p>
    <w:p>
      <w:pPr>
        <w:spacing w:after="0" w:line="15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have evaluated, on a collective basis, our pawn loan receivables and pawn service charge receivables and determined the new credit loss standard did not have a material impact on our consolidated financial statements, as our current polices appropriately capture lifetime expected credit losses.</w:t>
      </w:r>
    </w:p>
    <w:p>
      <w:pPr>
        <w:spacing w:after="0" w:line="14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presentation of pawn loan and pawn service charge receivable as separate line items on our consolidated balance sheet will remain unchanged under the new credit loss standard.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pawn loan and related pawn service charge receivable, net were $125.3 million and $20.8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OTHER CHARGES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fiscal 2020, we began to implement strategic initiatives to refocus on our core pawn business and optimize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structure in order to improve our bottom line performance and position the Company for sustainable growth. The initiatives focused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workforce reductions, closure of our CASHMAX operations, store closures, write-offs and other miscellaneous charges. We recorded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$20.4 million of such charges for the quarter ended September 30, 2020, and had accrued charges of $10.7 million remaining at September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2020. We had no similar charges for the six months ended March 31,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Accrued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Payments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Accrued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Payments</w:t>
            </w:r>
          </w:p>
        </w:tc>
        <w:tc>
          <w:tcPr>
            <w:tcW w:w="120" w:type="dxa"/>
            <w:vAlign w:val="bottom"/>
          </w:tcPr>
          <w:p>
            <w:pPr>
              <w:spacing w:after="0"/>
              <w:rPr>
                <w:sz w:val="16"/>
                <w:szCs w:val="16"/>
                <w:color w:val="auto"/>
              </w:rPr>
            </w:pPr>
          </w:p>
        </w:tc>
        <w:tc>
          <w:tcPr>
            <w:tcW w:w="980" w:type="dxa"/>
            <w:vAlign w:val="bottom"/>
          </w:tcPr>
          <w:p>
            <w:pPr>
              <w:jc w:val="center"/>
              <w:ind w:right="34"/>
              <w:spacing w:after="0"/>
              <w:rPr>
                <w:sz w:val="20"/>
                <w:szCs w:val="20"/>
                <w:color w:val="auto"/>
              </w:rPr>
            </w:pPr>
            <w:r>
              <w:rPr>
                <w:rFonts w:ascii="Arial" w:cs="Arial" w:eastAsia="Arial" w:hAnsi="Arial"/>
                <w:sz w:val="16"/>
                <w:szCs w:val="16"/>
                <w:b w:val="1"/>
                <w:bCs w:val="1"/>
                <w:color w:val="auto"/>
              </w:rPr>
              <w:t>Accrued</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Charges at</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Charges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4"/>
              <w:spacing w:after="0" w:line="162" w:lineRule="exact"/>
              <w:rPr>
                <w:sz w:val="20"/>
                <w:szCs w:val="20"/>
                <w:color w:val="auto"/>
              </w:rPr>
            </w:pPr>
            <w:r>
              <w:rPr>
                <w:rFonts w:ascii="Arial" w:cs="Arial" w:eastAsia="Arial" w:hAnsi="Arial"/>
                <w:sz w:val="16"/>
                <w:szCs w:val="16"/>
                <w:b w:val="1"/>
                <w:bCs w:val="1"/>
                <w:color w:val="auto"/>
              </w:rPr>
              <w:t>Charges at</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September</w:t>
            </w: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Charges</w:t>
            </w:r>
          </w:p>
        </w:tc>
        <w:tc>
          <w:tcPr>
            <w:tcW w:w="160" w:type="dxa"/>
            <w:vAlign w:val="bottom"/>
          </w:tcPr>
          <w:p>
            <w:pPr>
              <w:spacing w:after="0"/>
              <w:rPr>
                <w:sz w:val="14"/>
                <w:szCs w:val="14"/>
                <w:color w:val="auto"/>
              </w:rPr>
            </w:pPr>
          </w:p>
        </w:tc>
        <w:tc>
          <w:tcPr>
            <w:tcW w:w="11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8"/>
              </w:rPr>
              <w:t>and</w:t>
            </w:r>
          </w:p>
        </w:tc>
        <w:tc>
          <w:tcPr>
            <w:tcW w:w="12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Charges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8"/>
              </w:rPr>
              <w:t>and</w:t>
            </w:r>
          </w:p>
        </w:tc>
        <w:tc>
          <w:tcPr>
            <w:tcW w:w="120" w:type="dxa"/>
            <w:vAlign w:val="bottom"/>
          </w:tcPr>
          <w:p>
            <w:pPr>
              <w:spacing w:after="0"/>
              <w:rPr>
                <w:sz w:val="14"/>
                <w:szCs w:val="14"/>
                <w:color w:val="auto"/>
              </w:rPr>
            </w:pPr>
          </w:p>
        </w:tc>
        <w:tc>
          <w:tcPr>
            <w:tcW w:w="98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98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30, 2020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980" w:type="dxa"/>
            <w:vAlign w:val="bottom"/>
          </w:tcPr>
          <w:p>
            <w:pPr>
              <w:jc w:val="center"/>
              <w:ind w:right="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980" w:type="dxa"/>
            <w:vAlign w:val="bottom"/>
          </w:tcPr>
          <w:p>
            <w:pPr>
              <w:jc w:val="center"/>
              <w:ind w:right="1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charges: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20"/>
              <w:spacing w:after="0"/>
              <w:rPr>
                <w:sz w:val="20"/>
                <w:szCs w:val="20"/>
                <w:color w:val="auto"/>
              </w:rPr>
            </w:pPr>
            <w:r>
              <w:rPr>
                <w:rFonts w:ascii="Arial" w:cs="Arial" w:eastAsia="Arial" w:hAnsi="Arial"/>
                <w:sz w:val="18"/>
                <w:szCs w:val="18"/>
                <w:color w:val="auto"/>
              </w:rPr>
              <w:t>Labor reduction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5,946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(2,343)</w:t>
            </w:r>
          </w:p>
        </w:tc>
        <w:tc>
          <w:tcPr>
            <w:tcW w:w="1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CASHMAX shutdown</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ind w:left="220"/>
              <w:spacing w:after="0"/>
              <w:rPr>
                <w:sz w:val="20"/>
                <w:szCs w:val="20"/>
                <w:color w:val="auto"/>
              </w:rPr>
            </w:pPr>
            <w:r>
              <w:rPr>
                <w:rFonts w:ascii="Arial" w:cs="Arial" w:eastAsia="Arial" w:hAnsi="Arial"/>
                <w:sz w:val="18"/>
                <w:szCs w:val="18"/>
                <w:color w:val="auto"/>
              </w:rPr>
              <w:t>Store closure costs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(1,706)</w:t>
            </w:r>
          </w:p>
        </w:tc>
        <w:tc>
          <w:tcPr>
            <w:tcW w:w="1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EARNINGS PER SHARE</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71"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99"/>
              <w:spacing w:after="0" w:line="171" w:lineRule="exact"/>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(39,636)</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Average common share outstanding (denominator)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55,448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55,509</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55,557</w:t>
            </w: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03"/>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Average common share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55,509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55,557</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Dilutive effect of restricted stock and convertible notes*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20"/>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 average common shares outstanding (denominator)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55,665</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55,511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55,608</w:t>
            </w:r>
          </w:p>
        </w:tc>
      </w:tr>
      <w:tr>
        <w:trPr>
          <w:trHeight w:val="202"/>
        </w:trPr>
        <w:tc>
          <w:tcPr>
            <w:tcW w:w="5200" w:type="dxa"/>
            <w:vAlign w:val="bottom"/>
            <w:tcBorders>
              <w:bottom w:val="single" w:sz="8" w:color="929292"/>
            </w:tcBorders>
            <w:shd w:val="clear" w:color="auto" w:fill="CCEEFF"/>
          </w:tcPr>
          <w:p>
            <w:pPr>
              <w:spacing w:after="0"/>
              <w:rPr>
                <w:sz w:val="17"/>
                <w:szCs w:val="17"/>
                <w:color w:val="auto"/>
              </w:rPr>
            </w:pPr>
          </w:p>
        </w:tc>
        <w:tc>
          <w:tcPr>
            <w:tcW w:w="320" w:type="dxa"/>
            <w:vAlign w:val="bottom"/>
            <w:tcBorders>
              <w:bottom w:val="single" w:sz="8" w:color="929292"/>
            </w:tcBorders>
            <w:shd w:val="clear" w:color="auto" w:fill="CCEEFF"/>
          </w:tcPr>
          <w:p>
            <w:pPr>
              <w:spacing w:after="0"/>
              <w:rPr>
                <w:sz w:val="17"/>
                <w:szCs w:val="17"/>
                <w:color w:val="auto"/>
              </w:rPr>
            </w:pPr>
          </w:p>
        </w:tc>
        <w:tc>
          <w:tcPr>
            <w:tcW w:w="1100" w:type="dxa"/>
            <w:vAlign w:val="bottom"/>
            <w:tcBorders>
              <w:bottom w:val="single" w:sz="8" w:color="929292"/>
            </w:tcBorders>
            <w:shd w:val="clear" w:color="auto" w:fill="CCEEFF"/>
          </w:tcPr>
          <w:p>
            <w:pPr>
              <w:spacing w:after="0"/>
              <w:rPr>
                <w:sz w:val="17"/>
                <w:szCs w:val="17"/>
                <w:color w:val="auto"/>
              </w:rPr>
            </w:pPr>
          </w:p>
        </w:tc>
        <w:tc>
          <w:tcPr>
            <w:tcW w:w="120" w:type="dxa"/>
            <w:vAlign w:val="bottom"/>
            <w:tcBorders>
              <w:bottom w:val="single" w:sz="8" w:color="929292"/>
            </w:tcBorders>
            <w:shd w:val="clear" w:color="auto" w:fill="CCEEFF"/>
          </w:tcPr>
          <w:p>
            <w:pPr>
              <w:spacing w:after="0"/>
              <w:rPr>
                <w:sz w:val="17"/>
                <w:szCs w:val="17"/>
                <w:color w:val="auto"/>
              </w:rPr>
            </w:pPr>
          </w:p>
        </w:tc>
        <w:tc>
          <w:tcPr>
            <w:tcW w:w="420" w:type="dxa"/>
            <w:vAlign w:val="bottom"/>
            <w:tcBorders>
              <w:bottom w:val="single" w:sz="8" w:color="929292"/>
            </w:tcBorders>
            <w:shd w:val="clear" w:color="auto" w:fill="CCEEFF"/>
          </w:tcPr>
          <w:p>
            <w:pPr>
              <w:spacing w:after="0"/>
              <w:rPr>
                <w:sz w:val="17"/>
                <w:szCs w:val="17"/>
                <w:color w:val="auto"/>
              </w:rPr>
            </w:pPr>
          </w:p>
        </w:tc>
        <w:tc>
          <w:tcPr>
            <w:tcW w:w="1000" w:type="dxa"/>
            <w:vAlign w:val="bottom"/>
            <w:tcBorders>
              <w:bottom w:val="single" w:sz="8" w:color="929292"/>
            </w:tcBorders>
            <w:shd w:val="clear" w:color="auto" w:fill="CCEEFF"/>
          </w:tcPr>
          <w:p>
            <w:pPr>
              <w:spacing w:after="0"/>
              <w:rPr>
                <w:sz w:val="17"/>
                <w:szCs w:val="17"/>
                <w:color w:val="auto"/>
              </w:rPr>
            </w:pPr>
          </w:p>
        </w:tc>
        <w:tc>
          <w:tcPr>
            <w:tcW w:w="100" w:type="dxa"/>
            <w:vAlign w:val="bottom"/>
            <w:tcBorders>
              <w:bottom w:val="single" w:sz="8" w:color="929292"/>
            </w:tcBorders>
            <w:shd w:val="clear" w:color="auto" w:fill="CCEEFF"/>
          </w:tcPr>
          <w:p>
            <w:pPr>
              <w:spacing w:after="0"/>
              <w:rPr>
                <w:sz w:val="17"/>
                <w:szCs w:val="17"/>
                <w:color w:val="auto"/>
              </w:rPr>
            </w:pPr>
          </w:p>
        </w:tc>
        <w:tc>
          <w:tcPr>
            <w:tcW w:w="340" w:type="dxa"/>
            <w:vAlign w:val="bottom"/>
            <w:tcBorders>
              <w:bottom w:val="single" w:sz="8" w:color="929292"/>
            </w:tcBorders>
            <w:shd w:val="clear" w:color="auto" w:fill="CCEEFF"/>
          </w:tcPr>
          <w:p>
            <w:pPr>
              <w:spacing w:after="0"/>
              <w:rPr>
                <w:sz w:val="17"/>
                <w:szCs w:val="17"/>
                <w:color w:val="auto"/>
              </w:rPr>
            </w:pPr>
          </w:p>
        </w:tc>
        <w:tc>
          <w:tcPr>
            <w:tcW w:w="1100" w:type="dxa"/>
            <w:vAlign w:val="bottom"/>
            <w:tcBorders>
              <w:bottom w:val="single" w:sz="8" w:color="929292"/>
            </w:tcBorders>
            <w:shd w:val="clear" w:color="auto" w:fill="CCEEFF"/>
          </w:tcPr>
          <w:p>
            <w:pPr>
              <w:spacing w:after="0"/>
              <w:rPr>
                <w:sz w:val="17"/>
                <w:szCs w:val="17"/>
                <w:color w:val="auto"/>
              </w:rPr>
            </w:pPr>
          </w:p>
        </w:tc>
        <w:tc>
          <w:tcPr>
            <w:tcW w:w="100" w:type="dxa"/>
            <w:vAlign w:val="bottom"/>
            <w:tcBorders>
              <w:bottom w:val="single" w:sz="8" w:color="929292"/>
            </w:tcBorders>
            <w:shd w:val="clear" w:color="auto" w:fill="CCEEFF"/>
          </w:tcPr>
          <w:p>
            <w:pPr>
              <w:spacing w:after="0"/>
              <w:rPr>
                <w:sz w:val="17"/>
                <w:szCs w:val="17"/>
                <w:color w:val="auto"/>
              </w:rPr>
            </w:pPr>
          </w:p>
        </w:tc>
        <w:tc>
          <w:tcPr>
            <w:tcW w:w="440" w:type="dxa"/>
            <w:vAlign w:val="bottom"/>
            <w:tcBorders>
              <w:bottom w:val="single" w:sz="8" w:color="929292"/>
            </w:tcBorders>
            <w:shd w:val="clear" w:color="auto" w:fill="CCEEFF"/>
          </w:tcPr>
          <w:p>
            <w:pPr>
              <w:spacing w:after="0"/>
              <w:rPr>
                <w:sz w:val="17"/>
                <w:szCs w:val="17"/>
                <w:color w:val="auto"/>
              </w:rPr>
            </w:pPr>
          </w:p>
        </w:tc>
        <w:tc>
          <w:tcPr>
            <w:tcW w:w="1000" w:type="dxa"/>
            <w:vAlign w:val="bottom"/>
            <w:tcBorders>
              <w:bottom w:val="single" w:sz="8" w:color="929292"/>
            </w:tcBorders>
            <w:shd w:val="clear" w:color="auto" w:fill="CCEEFF"/>
          </w:tcPr>
          <w:p>
            <w:pPr>
              <w:spacing w:after="0"/>
              <w:rPr>
                <w:sz w:val="17"/>
                <w:szCs w:val="17"/>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r>
      <w:tr>
        <w:trPr>
          <w:trHeight w:val="95"/>
        </w:trPr>
        <w:tc>
          <w:tcPr>
            <w:tcW w:w="5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177"/>
        </w:trPr>
        <w:tc>
          <w:tcPr>
            <w:tcW w:w="5200" w:type="dxa"/>
            <w:vAlign w:val="bottom"/>
          </w:tcPr>
          <w:p>
            <w:pPr>
              <w:ind w:left="20"/>
              <w:spacing w:after="0" w:line="178" w:lineRule="exact"/>
              <w:rPr>
                <w:sz w:val="20"/>
                <w:szCs w:val="20"/>
                <w:color w:val="auto"/>
              </w:rPr>
            </w:pPr>
            <w:r>
              <w:rPr>
                <w:rFonts w:ascii="Arial" w:cs="Arial" w:eastAsia="Arial" w:hAnsi="Arial"/>
                <w:sz w:val="16"/>
                <w:szCs w:val="16"/>
                <w:color w:val="auto"/>
              </w:rPr>
              <w:t>Potential common shares excluded from the calculation of diluted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5200" w:type="dxa"/>
            <w:vAlign w:val="bottom"/>
          </w:tcPr>
          <w:p>
            <w:pPr>
              <w:ind w:left="20"/>
              <w:spacing w:after="0"/>
              <w:rPr>
                <w:sz w:val="20"/>
                <w:szCs w:val="20"/>
                <w:color w:val="auto"/>
              </w:rPr>
            </w:pPr>
            <w:r>
              <w:rPr>
                <w:rFonts w:ascii="Arial" w:cs="Arial" w:eastAsia="Arial" w:hAnsi="Arial"/>
                <w:sz w:val="16"/>
                <w:szCs w:val="16"/>
                <w:color w:val="auto"/>
              </w:rPr>
              <w:t>earnings per share above*: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r>
    </w:tbl>
    <w:p>
      <w:pPr>
        <w:spacing w:after="0" w:line="99" w:lineRule="exact"/>
        <w:rPr>
          <w:sz w:val="20"/>
          <w:szCs w:val="20"/>
          <w:color w:val="auto"/>
        </w:rPr>
      </w:pPr>
    </w:p>
    <w:p>
      <w:pPr>
        <w:ind w:left="340" w:right="40" w:hanging="332"/>
        <w:spacing w:after="0" w:line="241" w:lineRule="auto"/>
        <w:tabs>
          <w:tab w:leader="none" w:pos="232"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time-based share-based awards and Convertible Notes. See Note 8 for discussion of the terms and conditions of the potential impact of the 2024 Convertible Notes and 2025 Convertible Notes.</w:t>
      </w:r>
    </w:p>
    <w:p>
      <w:pPr>
        <w:spacing w:after="0" w:line="1" w:lineRule="exact"/>
        <w:rPr>
          <w:sz w:val="20"/>
          <w:szCs w:val="20"/>
          <w:color w:val="auto"/>
        </w:rPr>
      </w:pPr>
    </w:p>
    <w:p>
      <w:pPr>
        <w:ind w:left="340" w:right="80" w:hanging="332"/>
        <w:spacing w:after="0" w:line="258" w:lineRule="auto"/>
        <w:tabs>
          <w:tab w:leader="none" w:pos="28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LEASES</w:t>
      </w:r>
    </w:p>
    <w:p>
      <w:pPr>
        <w:spacing w:after="0" w:line="2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w:t>
      </w:r>
    </w:p>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information below provides a summary of our leasing activities. See Note 12 in our 2020 Annual Report for additional information about our leasing activities.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balances of our operating leases: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5"/>
        </w:trPr>
        <w:tc>
          <w:tcPr>
            <w:tcW w:w="67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170,479</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206,839</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183,809</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49,742</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liability, non-current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171,006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153,040</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179,682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215,082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202,782</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composition of our lease costs: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5,900</w:t>
            </w:r>
          </w:p>
        </w:tc>
      </w:tr>
      <w:tr>
        <w:trPr>
          <w:trHeight w:val="219"/>
        </w:trPr>
        <w:tc>
          <w:tcPr>
            <w:tcW w:w="5200" w:type="dxa"/>
            <w:vAlign w:val="bottom"/>
            <w:tcBorders>
              <w:bottom w:val="single" w:sz="8" w:color="auto"/>
            </w:tcBorders>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16,680</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18,546</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34,058</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 Includes sublease rental income.</w:t>
      </w:r>
    </w:p>
    <w:p>
      <w:pPr>
        <w:spacing w:after="0" w:line="33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includes the following for our operating leases:</w:t>
      </w:r>
    </w:p>
    <w:p>
      <w:pPr>
        <w:spacing w:after="0" w:line="30"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Six Months Ended</w:t>
      </w:r>
    </w:p>
    <w:p>
      <w:pPr>
        <w:jc w:val="center"/>
        <w:ind w:left="774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34"/>
        </w:trPr>
        <w:tc>
          <w:tcPr>
            <w:tcW w:w="7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6"/>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Weighted-average remaining contractual lease term </w:t>
            </w:r>
            <w:r>
              <w:rPr>
                <w:rFonts w:ascii="Arial" w:cs="Arial" w:eastAsia="Arial" w:hAnsi="Arial"/>
                <w:sz w:val="16"/>
                <w:szCs w:val="16"/>
                <w:i w:val="1"/>
                <w:iCs w:val="1"/>
                <w:color w:val="auto"/>
              </w:rPr>
              <w:t>(years)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10"/>
        </w:trPr>
        <w:tc>
          <w:tcPr>
            <w:tcW w:w="8860" w:type="dxa"/>
            <w:vAlign w:val="bottom"/>
            <w:gridSpan w:val="2"/>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580" w:type="dxa"/>
            <w:vAlign w:val="bottom"/>
          </w:tcPr>
          <w:p>
            <w:pPr>
              <w:jc w:val="right"/>
              <w:spacing w:after="0"/>
              <w:rPr>
                <w:sz w:val="20"/>
                <w:szCs w:val="20"/>
                <w:color w:val="auto"/>
              </w:rPr>
            </w:pPr>
            <w:r>
              <w:rPr>
                <w:rFonts w:ascii="Arial" w:cs="Arial" w:eastAsia="Arial" w:hAnsi="Arial"/>
                <w:sz w:val="16"/>
                <w:szCs w:val="16"/>
                <w:color w:val="auto"/>
              </w:rPr>
              <w:t>7.88 %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8.25 %</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March 31, 2021 were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2021</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26,419</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53,629</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41,651</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30,463</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21,522</w:t>
            </w:r>
          </w:p>
        </w:tc>
      </w:tr>
      <w:tr>
        <w:trPr>
          <w:trHeight w:val="21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45,866</w:t>
            </w: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payments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219,550</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interest</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39,868</w:t>
            </w: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179,682</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Current portion</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41,060</w:t>
            </w:r>
          </w:p>
        </w:tc>
      </w:tr>
      <w:tr>
        <w:trPr>
          <w:trHeight w:val="219"/>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portion</w:t>
            </w:r>
          </w:p>
        </w:tc>
        <w:tc>
          <w:tcPr>
            <w:tcW w:w="3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138,622</w:t>
            </w:r>
          </w:p>
        </w:tc>
      </w:tr>
    </w:tbl>
    <w:p>
      <w:pPr>
        <w:spacing w:after="0" w:line="24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We recorded $6.6 million and $ 0.9 million in non-cash additions to our right of use assets and lease liabilities for the six months ended March 31, 2021 and March 31, 2020,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STRATEGIC INVESTMENTS</w:t>
      </w: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March 31, 2021, we owned 214,183,714 shares, or 34.75%, of Cash Converters International Limited ("Cash Converters International"). The following tables present summary financial information for Cash Converters International’s most recently reported results at December 31, 2020 after translation to U.S. dollars: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164,906</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189,810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199,277</w:t>
            </w:r>
          </w:p>
        </w:tc>
      </w:tr>
      <w:tr>
        <w:trPr>
          <w:trHeight w:val="219"/>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360,222</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364,183</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93,958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60,503</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241,892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209,722</w:t>
            </w:r>
          </w:p>
        </w:tc>
      </w:tr>
      <w:tr>
        <w:trPr>
          <w:trHeight w:val="219"/>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360,222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364,183</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Half-Year Ended December 31,</w:t>
            </w: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5"/>
        </w:trPr>
        <w:tc>
          <w:tcPr>
            <w:tcW w:w="8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8"/>
              </w:rPr>
              <w:t>98,531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color w:val="auto"/>
                <w:w w:val="98"/>
              </w:rPr>
              <w:t>59,250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(13,280)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212529"/>
        </w:rPr>
        <w:t>See Note 7 for the fair value and carrying value of our investment in Cash Converters International.</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FAIR VALUE MEASUREMENTS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5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 on a Recurring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September 30, 2020, we did not have any financial assets or liabilities measured at fair value on a recurring basis.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Carrying Value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2021</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7,597</w:t>
            </w:r>
          </w:p>
        </w:tc>
      </w:tr>
      <w:tr>
        <w:trPr>
          <w:trHeight w:val="216"/>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liabilities: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120,307</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132,609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132,609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Value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2020</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20" w:type="dxa"/>
            <w:vAlign w:val="bottom"/>
          </w:tcPr>
          <w:p>
            <w:pPr>
              <w:ind w:left="220"/>
              <w:spacing w:after="0"/>
              <w:rPr>
                <w:sz w:val="20"/>
                <w:szCs w:val="20"/>
                <w:color w:val="auto"/>
              </w:rPr>
            </w:pPr>
            <w:r>
              <w:rPr>
                <w:rFonts w:ascii="Arial" w:cs="Arial" w:eastAsia="Arial" w:hAnsi="Arial"/>
                <w:sz w:val="16"/>
                <w:szCs w:val="16"/>
                <w:color w:val="auto"/>
              </w:rPr>
              <w:t>Notes receivable from Grupo Finmart, net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3,728</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3,853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3,853</w:t>
            </w: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r>
      <w:tr>
        <w:trPr>
          <w:trHeight w:val="213"/>
        </w:trPr>
        <w:tc>
          <w:tcPr>
            <w:tcW w:w="462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7,779</w:t>
            </w:r>
          </w:p>
        </w:tc>
      </w:tr>
      <w:tr>
        <w:trPr>
          <w:trHeight w:val="219"/>
        </w:trPr>
        <w:tc>
          <w:tcPr>
            <w:tcW w:w="4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6"/>
                <w:szCs w:val="16"/>
                <w:color w:val="auto"/>
              </w:rPr>
              <w:t>Financial liabilities: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129,624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128,081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128,081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8.5% unsecured debt due 2024</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r>
      <w:tr>
        <w:trPr>
          <w:trHeight w:val="210"/>
        </w:trPr>
        <w:tc>
          <w:tcPr>
            <w:tcW w:w="4620" w:type="dxa"/>
            <w:vAlign w:val="bottom"/>
          </w:tcPr>
          <w:p>
            <w:pPr>
              <w:ind w:left="220"/>
              <w:spacing w:after="0"/>
              <w:rPr>
                <w:sz w:val="20"/>
                <w:szCs w:val="20"/>
                <w:color w:val="auto"/>
              </w:rPr>
            </w:pPr>
            <w:r>
              <w:rPr>
                <w:rFonts w:ascii="Arial" w:cs="Arial" w:eastAsia="Arial" w:hAnsi="Arial"/>
                <w:sz w:val="16"/>
                <w:szCs w:val="16"/>
                <w:color w:val="auto"/>
              </w:rPr>
              <w:t>CASHMAX secured borrowing facility</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281</w:t>
            </w: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liabilities: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117,193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129,979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129,979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00" w:type="dxa"/>
            <w:vAlign w:val="bottom"/>
          </w:tcPr>
          <w:p>
            <w:pPr>
              <w:ind w:left="220"/>
              <w:spacing w:after="0"/>
              <w:rPr>
                <w:sz w:val="20"/>
                <w:szCs w:val="20"/>
                <w:color w:val="auto"/>
              </w:rPr>
            </w:pPr>
            <w:r>
              <w:rPr>
                <w:rFonts w:ascii="Arial" w:cs="Arial" w:eastAsia="Arial" w:hAnsi="Arial"/>
                <w:sz w:val="16"/>
                <w:szCs w:val="16"/>
                <w:color w:val="auto"/>
              </w:rPr>
              <w:t>8.5% unsecured debt due 2024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872</w:t>
            </w:r>
          </w:p>
        </w:tc>
      </w:tr>
    </w:tbl>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the short-term nature of cash and cash equivalents, pawn loans, pawn service charges receivable and other debt, we estimate that the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note approximated its carrying value as of March 31, 2021.</w:t>
      </w:r>
    </w:p>
    <w:p>
      <w:pPr>
        <w:spacing w:after="0" w:line="1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the equity method of accounting to account for our 34.75% ownership in Cash Converters International. The inputs used to generate the fair value of the investment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use the equity method of accounting to account for our 13.14% ownership in Rich Data Corporation, a previously consolidated variable interest entity for which we no longer have the power to direct the activities that most significantly affect its economic performance. We believe its fair value approximates carrying value although such fair value is highly variable and includes significant unobservable inputs.</w:t>
      </w:r>
    </w:p>
    <w:p>
      <w:pPr>
        <w:spacing w:after="0" w:line="14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September 2020, we received the final payment from AlphaCredit on the notes receivable related to the sale of Grupo Finmart and recorded the amount under “Restricted cash” in our consolidated balance sheet as of March 31, 2021. In August 2019, AlphaCredit notified us of an indemnity claim for certain pre-closing taxes, but the nature, extent and validity of such claim has yet to be determined.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DEBT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and</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and</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and</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117,193</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136,836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133,164</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8.5% unsecured debt due</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177"/>
        </w:trPr>
        <w:tc>
          <w:tcPr>
            <w:tcW w:w="2240" w:type="dxa"/>
            <w:vAlign w:val="bottom"/>
          </w:tcPr>
          <w:p>
            <w:pPr>
              <w:ind w:left="20"/>
              <w:spacing w:after="0" w:line="178" w:lineRule="exact"/>
              <w:rPr>
                <w:sz w:val="20"/>
                <w:szCs w:val="20"/>
                <w:color w:val="auto"/>
              </w:rPr>
            </w:pPr>
            <w:r>
              <w:rPr>
                <w:rFonts w:ascii="Arial" w:cs="Arial" w:eastAsia="Arial" w:hAnsi="Arial"/>
                <w:sz w:val="16"/>
                <w:szCs w:val="16"/>
                <w:color w:val="auto"/>
              </w:rPr>
              <w:t>CASHMAX secured borrowing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facility*</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251,229</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20"/>
        </w:trPr>
        <w:tc>
          <w:tcPr>
            <w:tcW w:w="2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257,143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317,247</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(72,959)</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244,288</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316,909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(65,893)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251,016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 Amount translated from Guatemalan quetzals and Canadian dollars as of applicable period end. Certain disclosures omitted due to materiality considerations.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March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8"/>
          </w:tcPr>
          <w:p>
            <w:pPr>
              <w:ind w:left="400"/>
              <w:spacing w:after="0"/>
              <w:rPr>
                <w:sz w:val="20"/>
                <w:szCs w:val="20"/>
                <w:color w:val="auto"/>
              </w:rPr>
            </w:pPr>
            <w:r>
              <w:rPr>
                <w:rFonts w:ascii="Arial" w:cs="Arial" w:eastAsia="Arial" w:hAnsi="Arial"/>
                <w:sz w:val="16"/>
                <w:szCs w:val="16"/>
                <w:b w:val="1"/>
                <w:bCs w:val="1"/>
                <w:color w:val="auto"/>
              </w:rPr>
              <w:t>Schedule of Contractual Maturities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Less Than 1 Year</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1 - 3 Years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3 - 5 Years</w:t>
            </w:r>
          </w:p>
        </w:tc>
        <w:tc>
          <w:tcPr>
            <w:tcW w:w="18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 Excludes the potential impact of embedded derivatives as discussed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and six months ended March 31, 2021 and 2020:</w:t>
      </w: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71"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99"/>
              <w:spacing w:after="0" w:line="171" w:lineRule="exact"/>
              <w:rPr>
                <w:sz w:val="20"/>
                <w:szCs w:val="20"/>
                <w:color w:val="auto"/>
              </w:rPr>
            </w:pPr>
            <w:r>
              <w:rPr>
                <w:rFonts w:ascii="Arial" w:cs="Arial" w:eastAsia="Arial" w:hAnsi="Arial"/>
                <w:sz w:val="16"/>
                <w:szCs w:val="16"/>
                <w:b w:val="1"/>
                <w:bCs w:val="1"/>
                <w:color w:val="auto"/>
              </w:rPr>
              <w:t>Six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2,066</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w:t>
            </w:r>
          </w:p>
        </w:tc>
      </w:tr>
      <w:tr>
        <w:trPr>
          <w:trHeight w:val="220"/>
        </w:trPr>
        <w:tc>
          <w:tcPr>
            <w:tcW w:w="5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5,180</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4,952</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r>
      <w:tr>
        <w:trPr>
          <w:trHeight w:val="219"/>
        </w:trPr>
        <w:tc>
          <w:tcPr>
            <w:tcW w:w="5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5,720</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carrying amount of the 2024 Convertible Notes as a separate equity-classified instrument (the “2024 Convertible Notes Embedded Derivative”) included in “Additional paid-in capital” in our condensed consolidated balance sheets as of March 31, 2021 was $39.8 million, ($25.3 million, net of tax). The effective interest rate for the three and six months ended March 31, 2021 was approximately 9%. As of March 31, 2021, the remaining unamortized debt discount and issuance costs will be amortized through the 2024 Maturity Date assuming no early conversion.</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 per $1,000 principal amount of 2024 Convertible Notes (equivalent to an initial conversion price of $10.00 per share of Class A Common Stock). We account for the Class A Common Stock issuable upon conversion under the treasury stock method. To the extent the average share price is over $10.00 per share for any fiscal quarter, we are required to recognize incremental dilution of our earnings per share.</w:t>
      </w:r>
    </w:p>
    <w:p>
      <w:pPr>
        <w:spacing w:after="0" w:line="15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If, among other triggers described in the 2017 Indenture, the market price of the Class A Common Stock meets the threshold based on at least 20 of the final 30 trading days of the quarter for the 2024 Convertible Notes to become convertible at the option 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March 31, 2021. As of March 31, 2021, the if-converted value of the 2024 Convertible Notes did not exceed the principal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The carrying amount of the 2025 Convertible Notes as a separate equity-classified instrument (the “2025 Convertible Notes Embedded Derivative”) included in “Additional paid-in capital” in our condensed consolidated balance sheets as of March 31, 2021 was $ 49.6 million, ($39.1 million, net of tax). The effective interest rate for the three and six months ended March 31, 2021 was approximately 9%. As of March 31, 2021, the remaining unamortized debt discount and issuance costs will be amortized through the 2025 Maturity Date assuming no early conversion.</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2025 Convertible Notes are convertible into cash or shares of Class A Common Stock, or any combination thereof, at our option subject to satisfaction of certain conditions and during the periods described in the 2018 Indenture, based on an initial conversion rate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62.8931 shares of Class A Common Stock per $1,000 principal amount of 2025 Convertible Notes (equivalent to an initial conversion price of $15.90 per share of Class A Common Stock). We account for the Class A Common Stock issuable upon conversion under the treasury stock method. To the extent the average share price is over $15.90 per share for any fiscal quarter or year-to-date period, we are required to recognize incremental dilution of our earnings per share.</w:t>
      </w:r>
    </w:p>
    <w:p>
      <w:pPr>
        <w:spacing w:after="0" w:line="15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If, among other triggers described in the 2018 Indenture, the market price of the Class A Common Stock meets the threshold based on at least 20 of the final 30 trading days of the quarter for the 2025 Convertible Notes to become convertible at the option of the holders during the subsequent quarter, we may be required to classify the 2025 Convertible Notes as current on our condensed consolidated balance sheets for each quarter in which such triggers are met. The stock trading price condition and other triggers are measured on a quarter-by-quarter basis and were not met as of March 31, 2021. As of March 31, 2021, the if-converted value of the 2025 Convertible Notes did not exceed the principal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CASHMA</w:t>
      </w:r>
      <w:r>
        <w:rPr>
          <w:rFonts w:ascii="Arial" w:cs="Arial" w:eastAsia="Arial" w:hAnsi="Arial"/>
          <w:sz w:val="18"/>
          <w:szCs w:val="18"/>
          <w:b w:val="1"/>
          <w:bCs w:val="1"/>
          <w:i w:val="1"/>
          <w:iCs w:val="1"/>
          <w:color w:val="auto"/>
        </w:rPr>
        <w:t>X</w:t>
      </w:r>
      <w:r>
        <w:rPr>
          <w:rFonts w:ascii="Arial" w:cs="Arial" w:eastAsia="Arial" w:hAnsi="Arial"/>
          <w:sz w:val="18"/>
          <w:szCs w:val="18"/>
          <w:b w:val="1"/>
          <w:bCs w:val="1"/>
          <w:color w:val="auto"/>
        </w:rPr>
        <w:t xml:space="preserve"> Secured Borrowing Facility</w:t>
      </w:r>
    </w:p>
    <w:p>
      <w:pPr>
        <w:spacing w:after="0" w:line="1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November 2018, we entered into a receivable's securitization facility with a third-party lender to provide funding for installment loan originations in our Canadian CASHMAX business. We terminated this facility in September 2020 as part of the closure of the operations of our CASHMAX business. See our 2020 Annual Report for additional information regarding the closure of our Canadian operations.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SHARE-BASED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December 2019, the Company's Board of Directors (the "Board") authorized the repurchase of up to $60.0 million of our Class A Common Stock over three years. Repurchases under the program were suspended in March 2020 in order to preserve liquidity as a result of uncertainties related to the COVID-19 pandemic. No share repurchases under the program have been made during fiscal 2021. During fiscal 2020, we repurchased and retired 943,149 shares of our Class A Common Stock for $5.2 million, which was allocated between "Additional paid-in capital" and "Retained earnings" in our condensed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December 2020, we granted 143,145 restricted stock awards to our non-employee directors at a grant date fair value of $5.03. These awards vested in February 2021 (79,525 awards) and March 2021 (63,620 awards). In February 2021, we granted 127,744 restricted stock awards to our non-employee directors at a grant date fair value of $5.01, which awards will vest at the next annual meeting of stockholders, but no later than March 31, 2022.</w:t>
      </w:r>
    </w:p>
    <w:p>
      <w:pPr>
        <w:spacing w:after="0" w:line="150"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In January 2021, we granted 289,592 restricted stock awards to employees at a grant date fair value of $ 4.68 and 275,107 restricted stock awards to employees at a grant date fair value of $4.71. These awards vest on September 30, 2021 and September 30, 2022, respectively.</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February 2021, we granted 392,419 restricted stock awards to employees at a grant date fair value of $4.96, which vest on September 30, 2023.</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During the first quarter of fiscal 2020, we granted 222,912 shares of restricted stock awards to non-employee directors based on a share price of $6.46. These awards vested on September 30, 2020.</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INCOME TAXES</w:t>
      </w:r>
    </w:p>
    <w:p>
      <w:pPr>
        <w:spacing w:after="0" w:line="20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March 27, 2020, the Coronavirus Aid, Relief, and Economic Security (CARES) Act was signed into law and includes certain income tax provisions relevant to businesses. We recognized the effect on the consolidated financial statements in the period ended March 31, 2020. For the period ended March 31, 2021, the CARES Act has not had a material impact on our consolidated financial statements. At this time, we do not expect the impact of the CARES Act to have a material impact on our consolidated financial statements for the year ending September 30, 2021.</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COMMITMENTS AND CONTINGENCIES</w:t>
      </w:r>
    </w:p>
    <w:p>
      <w:pPr>
        <w:spacing w:after="0" w:line="20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The amount of resulting loss may differ from these estimates.</w:t>
      </w:r>
    </w:p>
    <w:p>
      <w:pPr>
        <w:spacing w:after="0" w:line="1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While we are unable to determine the ultimate outcome of any current litigation or regulatory actions, we do not believe the resolution of any particular matter will have a material adverse effect on our financial condition, results of operations or liquidity.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SEGMENT INFORMATION</w:t>
      </w:r>
    </w:p>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(CODM) evaluates performance for purposes of allocating resources and assessing performance. During the first quarter of fiscal 2021, the financial information of our Lana business activities were no longer reviewed by the CODM for evaluating performance since Lana no longer has business activities. Rather, Lana offers support activities to U.S. Pawn. As a result, Lana is no longer an operating or reportable segment. Our historical segment results have been recast to conform to current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International — primarily our equity interest in the net income of Cash Converters International and Rich Data Corporation.</w:t>
      </w:r>
    </w:p>
    <w:p>
      <w:pPr>
        <w:spacing w:after="0" w:line="17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14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right"/>
              <w:ind w:right="39"/>
              <w:spacing w:after="0"/>
              <w:rPr>
                <w:sz w:val="20"/>
                <w:szCs w:val="20"/>
                <w:color w:val="auto"/>
              </w:rPr>
            </w:pPr>
            <w:r>
              <w:rPr>
                <w:rFonts w:ascii="Arial" w:cs="Arial" w:eastAsia="Arial" w:hAnsi="Arial"/>
                <w:sz w:val="16"/>
                <w:szCs w:val="16"/>
                <w:b w:val="1"/>
                <w:bCs w:val="1"/>
                <w:color w:val="auto"/>
              </w:rPr>
              <w:t>Three Months Ended March 31, 2021</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Pawn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93,827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21,398</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115,225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115,225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63,436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63,436</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184,939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184,939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65,790</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92,053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113,748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113,748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63,657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81,149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81,149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5,518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2,621</w:t>
            </w: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29,796</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(22,997)</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right"/>
              <w:ind w:right="39"/>
              <w:spacing w:after="0"/>
              <w:rPr>
                <w:sz w:val="20"/>
                <w:szCs w:val="20"/>
                <w:color w:val="auto"/>
              </w:rPr>
            </w:pPr>
            <w:r>
              <w:rPr>
                <w:rFonts w:ascii="Arial" w:cs="Arial" w:eastAsia="Arial" w:hAnsi="Arial"/>
                <w:sz w:val="16"/>
                <w:szCs w:val="16"/>
                <w:b w:val="1"/>
                <w:bCs w:val="1"/>
                <w:color w:val="auto"/>
              </w:rPr>
              <w:t>Three Months Ended March 31, 2020</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Pawn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102,447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27,383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129,830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129,830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11,878</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80,222</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223,280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223,280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85,776</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9,617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100,751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127,362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67,619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87,648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87,648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15,341</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Impairment of goodwill, intangible and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47,060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7,762</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(30,141)</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(34,125)</w:t>
            </w:r>
          </w:p>
        </w:tc>
        <w:tc>
          <w:tcPr>
            <w:tcW w:w="0" w:type="dxa"/>
            <w:vAlign w:val="bottom"/>
          </w:tcPr>
          <w:p>
            <w:pPr>
              <w:spacing w:after="0"/>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Six Months Ended March 31, 2021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176,080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46,928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223,008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223,008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12,834</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99,797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126,925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126,925</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283,513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363,074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363,074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130,333</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10,603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177,649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222,138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222,138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125,749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160,458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10,973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46,501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7,583</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56,300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56,300</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(43,999)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Six Months Ended March 31, 2020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197,801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58,757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256,558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256,558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21,406</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125,790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164,947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164,947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339,434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445,714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445,714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169,852</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17,371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55,539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257,430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135,678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38,452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176,923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176,923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34,179</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Impairment of goodwill, intangible and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47,060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15,495</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48,975</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(22,014)</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13: SUPPLEMENTAL CONSOLIDATED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5"/>
        </w:trPr>
        <w:tc>
          <w:tcPr>
            <w:tcW w:w="67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27,259</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27,304</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20,580</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108,205</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86,214</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173,251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95,891</w:t>
            </w:r>
          </w:p>
        </w:tc>
        <w:tc>
          <w:tcPr>
            <w:tcW w:w="0" w:type="dxa"/>
            <w:vAlign w:val="bottom"/>
          </w:tcPr>
          <w:p>
            <w:pPr>
              <w:spacing w:after="0"/>
              <w:rPr>
                <w:sz w:val="1"/>
                <w:szCs w:val="1"/>
                <w:color w:val="auto"/>
              </w:rPr>
            </w:pPr>
          </w:p>
        </w:tc>
      </w:tr>
      <w:tr>
        <w:trPr>
          <w:trHeight w:val="202"/>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10,614</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6,991</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receivable</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14,353</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273,513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261,234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267,509</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(221,677)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(202,447)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(210,523)</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51,836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58,787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56,986</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17,957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15,582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19,114</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52,390</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69,019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80"/>
        <w:spacing w:after="0" w:line="28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96"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0">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ended September 30, 2020,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20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EZCORP is a Delaware corporation headquartered in Austin, Texas. We are a leading provider of pawn loans in the United States and Latin America. Pawn loans are non-recourse loans collateralized by personal property. We also sell merchandise, primarily collateral forfeited from unpaid loans or goods purchased directly from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194945</wp:posOffset>
            </wp:positionV>
            <wp:extent cx="5760720" cy="694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60720" cy="694055"/>
                    </a:xfrm>
                    <a:prstGeom prst="rect">
                      <a:avLst/>
                    </a:prstGeom>
                    <a:noFill/>
                  </pic:spPr>
                </pic:pic>
              </a:graphicData>
            </a:graphic>
          </wp:anchor>
        </w:drawing>
      </w:r>
    </w:p>
    <w:p>
      <w:pPr>
        <w:spacing w:after="0" w:line="287" w:lineRule="exact"/>
        <w:rPr>
          <w:sz w:val="20"/>
          <w:szCs w:val="20"/>
          <w:color w:val="auto"/>
        </w:rPr>
      </w:pPr>
    </w:p>
    <w:tbl>
      <w:tblPr>
        <w:tblLayout w:type="fixed"/>
        <w:tblInd w:w="980" w:type="dxa"/>
        <w:tblCellMar>
          <w:top w:w="0" w:type="dxa"/>
          <w:left w:w="0" w:type="dxa"/>
          <w:bottom w:w="0" w:type="dxa"/>
          <w:right w:w="0" w:type="dxa"/>
        </w:tblCellMar>
      </w:tblPr>
      <w:tr>
        <w:trPr>
          <w:trHeight w:val="247"/>
        </w:trPr>
        <w:tc>
          <w:tcPr>
            <w:tcW w:w="2480" w:type="dxa"/>
            <w:vAlign w:val="bottom"/>
            <w:shd w:val="clear" w:color="auto" w:fill="026DCE"/>
          </w:tcPr>
          <w:p>
            <w:pPr>
              <w:ind w:left="40"/>
              <w:spacing w:after="0"/>
              <w:rPr>
                <w:sz w:val="20"/>
                <w:szCs w:val="20"/>
                <w:color w:val="auto"/>
              </w:rPr>
            </w:pPr>
            <w:r>
              <w:rPr>
                <w:rFonts w:ascii="Arial" w:cs="Arial" w:eastAsia="Arial" w:hAnsi="Arial"/>
                <w:sz w:val="18"/>
                <w:szCs w:val="18"/>
                <w:b w:val="1"/>
                <w:bCs w:val="1"/>
                <w:color w:val="FFFFFF"/>
              </w:rPr>
              <w:t>Strengthen the Core</w:t>
            </w:r>
          </w:p>
        </w:tc>
        <w:tc>
          <w:tcPr>
            <w:tcW w:w="658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Renewed focus on the unique and essential elements of our pawn business</w:t>
            </w:r>
          </w:p>
        </w:tc>
        <w:tc>
          <w:tcPr>
            <w:tcW w:w="0" w:type="dxa"/>
            <w:vAlign w:val="bottom"/>
          </w:tcPr>
          <w:p>
            <w:pPr>
              <w:spacing w:after="0"/>
              <w:rPr>
                <w:sz w:val="1"/>
                <w:szCs w:val="1"/>
                <w:color w:val="auto"/>
              </w:rPr>
            </w:pPr>
          </w:p>
        </w:tc>
      </w:tr>
      <w:tr>
        <w:trPr>
          <w:trHeight w:val="185"/>
        </w:trPr>
        <w:tc>
          <w:tcPr>
            <w:tcW w:w="2480" w:type="dxa"/>
            <w:vAlign w:val="bottom"/>
            <w:shd w:val="clear" w:color="auto" w:fill="026DCE"/>
          </w:tcPr>
          <w:p>
            <w:pPr>
              <w:ind w:left="40"/>
              <w:spacing w:after="0" w:line="185" w:lineRule="exact"/>
              <w:rPr>
                <w:sz w:val="20"/>
                <w:szCs w:val="20"/>
                <w:color w:val="auto"/>
              </w:rPr>
            </w:pPr>
            <w:r>
              <w:rPr>
                <w:rFonts w:ascii="Arial" w:cs="Arial" w:eastAsia="Arial" w:hAnsi="Arial"/>
                <w:sz w:val="18"/>
                <w:szCs w:val="18"/>
                <w:b w:val="1"/>
                <w:bCs w:val="1"/>
                <w:color w:val="FFFFFF"/>
              </w:rPr>
              <w:t>Cost Reduction and</w:t>
            </w:r>
          </w:p>
        </w:tc>
        <w:tc>
          <w:tcPr>
            <w:tcW w:w="6580" w:type="dxa"/>
            <w:vAlign w:val="bottom"/>
            <w:shd w:val="clear" w:color="auto" w:fill="80C9FF"/>
          </w:tcPr>
          <w:p>
            <w:pPr>
              <w:ind w:left="40"/>
              <w:spacing w:after="0" w:line="185" w:lineRule="exact"/>
              <w:rPr>
                <w:sz w:val="20"/>
                <w:szCs w:val="20"/>
                <w:color w:val="auto"/>
              </w:rPr>
            </w:pPr>
            <w:r>
              <w:rPr>
                <w:rFonts w:ascii="Arial" w:cs="Arial" w:eastAsia="Arial" w:hAnsi="Arial"/>
                <w:sz w:val="18"/>
                <w:szCs w:val="18"/>
                <w:b w:val="1"/>
                <w:bCs w:val="1"/>
                <w:color w:val="FFFFFF"/>
              </w:rPr>
              <w:t>Significant and sustained adjustment of cost base through ongoing</w:t>
            </w:r>
          </w:p>
        </w:tc>
        <w:tc>
          <w:tcPr>
            <w:tcW w:w="0" w:type="dxa"/>
            <w:vAlign w:val="bottom"/>
          </w:tcPr>
          <w:p>
            <w:pPr>
              <w:spacing w:after="0"/>
              <w:rPr>
                <w:sz w:val="1"/>
                <w:szCs w:val="1"/>
                <w:color w:val="auto"/>
              </w:rPr>
            </w:pPr>
          </w:p>
        </w:tc>
      </w:tr>
      <w:tr>
        <w:trPr>
          <w:trHeight w:val="234"/>
        </w:trPr>
        <w:tc>
          <w:tcPr>
            <w:tcW w:w="2480" w:type="dxa"/>
            <w:vAlign w:val="bottom"/>
            <w:shd w:val="clear" w:color="auto" w:fill="026DCE"/>
          </w:tcPr>
          <w:p>
            <w:pPr>
              <w:ind w:left="40"/>
              <w:spacing w:after="0"/>
              <w:rPr>
                <w:sz w:val="20"/>
                <w:szCs w:val="20"/>
                <w:color w:val="auto"/>
              </w:rPr>
            </w:pPr>
            <w:r>
              <w:rPr>
                <w:rFonts w:ascii="Arial" w:cs="Arial" w:eastAsia="Arial" w:hAnsi="Arial"/>
                <w:sz w:val="18"/>
                <w:szCs w:val="18"/>
                <w:b w:val="1"/>
                <w:bCs w:val="1"/>
                <w:color w:val="FFFFFF"/>
              </w:rPr>
              <w:t>Simplification</w:t>
            </w:r>
          </w:p>
        </w:tc>
        <w:tc>
          <w:tcPr>
            <w:tcW w:w="658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simplification</w:t>
            </w:r>
          </w:p>
        </w:tc>
        <w:tc>
          <w:tcPr>
            <w:tcW w:w="0" w:type="dxa"/>
            <w:vAlign w:val="bottom"/>
          </w:tcPr>
          <w:p>
            <w:pPr>
              <w:spacing w:after="0"/>
              <w:rPr>
                <w:sz w:val="1"/>
                <w:szCs w:val="1"/>
                <w:color w:val="auto"/>
              </w:rPr>
            </w:pPr>
          </w:p>
        </w:tc>
      </w:tr>
      <w:tr>
        <w:trPr>
          <w:trHeight w:val="185"/>
        </w:trPr>
        <w:tc>
          <w:tcPr>
            <w:tcW w:w="2480" w:type="dxa"/>
            <w:vAlign w:val="bottom"/>
            <w:vMerge w:val="restart"/>
            <w:shd w:val="clear" w:color="auto" w:fill="026DCE"/>
          </w:tcPr>
          <w:p>
            <w:pPr>
              <w:ind w:left="40"/>
              <w:spacing w:after="0"/>
              <w:rPr>
                <w:sz w:val="20"/>
                <w:szCs w:val="20"/>
                <w:color w:val="auto"/>
              </w:rPr>
            </w:pPr>
            <w:r>
              <w:rPr>
                <w:rFonts w:ascii="Arial" w:cs="Arial" w:eastAsia="Arial" w:hAnsi="Arial"/>
                <w:sz w:val="18"/>
                <w:szCs w:val="18"/>
                <w:b w:val="1"/>
                <w:bCs w:val="1"/>
                <w:color w:val="FFFFFF"/>
              </w:rPr>
              <w:t>Innovate and Grow</w:t>
            </w:r>
          </w:p>
        </w:tc>
        <w:tc>
          <w:tcPr>
            <w:tcW w:w="6580" w:type="dxa"/>
            <w:vAlign w:val="bottom"/>
            <w:shd w:val="clear" w:color="auto" w:fill="80C9FF"/>
          </w:tcPr>
          <w:p>
            <w:pPr>
              <w:ind w:left="40"/>
              <w:spacing w:after="0" w:line="185" w:lineRule="exact"/>
              <w:rPr>
                <w:sz w:val="20"/>
                <w:szCs w:val="20"/>
                <w:color w:val="auto"/>
              </w:rPr>
            </w:pPr>
            <w:r>
              <w:rPr>
                <w:rFonts w:ascii="Arial" w:cs="Arial" w:eastAsia="Arial" w:hAnsi="Arial"/>
                <w:sz w:val="18"/>
                <w:szCs w:val="18"/>
                <w:b w:val="1"/>
                <w:bCs w:val="1"/>
                <w:color w:val="FFFFFF"/>
              </w:rPr>
              <w:t>Broaden customer engagement to service more customers more frequently</w:t>
            </w:r>
          </w:p>
        </w:tc>
        <w:tc>
          <w:tcPr>
            <w:tcW w:w="0" w:type="dxa"/>
            <w:vAlign w:val="bottom"/>
          </w:tcPr>
          <w:p>
            <w:pPr>
              <w:spacing w:after="0"/>
              <w:rPr>
                <w:sz w:val="1"/>
                <w:szCs w:val="1"/>
                <w:color w:val="auto"/>
              </w:rPr>
            </w:pPr>
          </w:p>
        </w:tc>
      </w:tr>
      <w:tr>
        <w:trPr>
          <w:trHeight w:val="135"/>
        </w:trPr>
        <w:tc>
          <w:tcPr>
            <w:tcW w:w="2480" w:type="dxa"/>
            <w:vAlign w:val="bottom"/>
            <w:vMerge w:val="continue"/>
            <w:shd w:val="clear" w:color="auto" w:fill="026DCE"/>
          </w:tcPr>
          <w:p>
            <w:pPr>
              <w:spacing w:after="0"/>
              <w:rPr>
                <w:sz w:val="11"/>
                <w:szCs w:val="11"/>
                <w:color w:val="auto"/>
              </w:rPr>
            </w:pPr>
          </w:p>
        </w:tc>
        <w:tc>
          <w:tcPr>
            <w:tcW w:w="6580" w:type="dxa"/>
            <w:vAlign w:val="bottom"/>
            <w:vMerge w:val="restart"/>
            <w:shd w:val="clear" w:color="auto" w:fill="80C9FF"/>
          </w:tcPr>
          <w:p>
            <w:pPr>
              <w:ind w:left="40"/>
              <w:spacing w:after="0"/>
              <w:rPr>
                <w:sz w:val="20"/>
                <w:szCs w:val="20"/>
                <w:color w:val="auto"/>
              </w:rPr>
            </w:pPr>
            <w:r>
              <w:rPr>
                <w:rFonts w:ascii="Arial" w:cs="Arial" w:eastAsia="Arial" w:hAnsi="Arial"/>
                <w:sz w:val="18"/>
                <w:szCs w:val="18"/>
                <w:b w:val="1"/>
                <w:bCs w:val="1"/>
                <w:color w:val="FFFFFF"/>
              </w:rPr>
              <w:t>in more locations</w:t>
            </w:r>
          </w:p>
        </w:tc>
        <w:tc>
          <w:tcPr>
            <w:tcW w:w="0" w:type="dxa"/>
            <w:vAlign w:val="bottom"/>
          </w:tcPr>
          <w:p>
            <w:pPr>
              <w:spacing w:after="0"/>
              <w:rPr>
                <w:sz w:val="1"/>
                <w:szCs w:val="1"/>
                <w:color w:val="auto"/>
              </w:rPr>
            </w:pPr>
          </w:p>
        </w:tc>
      </w:tr>
      <w:tr>
        <w:trPr>
          <w:trHeight w:val="95"/>
        </w:trPr>
        <w:tc>
          <w:tcPr>
            <w:tcW w:w="2480" w:type="dxa"/>
            <w:vAlign w:val="bottom"/>
            <w:shd w:val="clear" w:color="auto" w:fill="026DCE"/>
          </w:tcPr>
          <w:p>
            <w:pPr>
              <w:spacing w:after="0"/>
              <w:rPr>
                <w:sz w:val="8"/>
                <w:szCs w:val="8"/>
                <w:color w:val="auto"/>
              </w:rPr>
            </w:pPr>
          </w:p>
        </w:tc>
        <w:tc>
          <w:tcPr>
            <w:tcW w:w="658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collateralized personal property and the perceived probability of the loans' redemption.</w:t>
      </w:r>
    </w:p>
    <w:p>
      <w:pPr>
        <w:spacing w:after="0" w:line="1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ability to offer quality pre-owned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and our ability to sell that merchandise in a timely manner. As a significant portion of our inventory and sales involve gold and jewelry, our results can be influenced by the market price of gold and diamonds.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8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We see opportunity for further expansion through acquisitions and de novo openings in Latin America and acquisitions in the United States.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United States, pawn service charges are historically highest in our fourth fiscal quarter (July through September) due to a higher average loan balance during the summer lending season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fiscal quarter (April through June). These historical trends have been impacted by COVID-19. However, we expect these historical trends to return in the future.</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pawn service charges (“PSC”). The following chart presents sources of net revenues, including PSC, merchandise sales gross profit ("Merchandise sales GP") and jewelry scrapping gross profit ("Jewelry Scrapping GP") for the three and six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59690</wp:posOffset>
            </wp:positionV>
            <wp:extent cx="5743575" cy="2785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chart presents sources of net revenues by geographic disbursement for the three and six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57785</wp:posOffset>
            </wp:positionV>
            <wp:extent cx="5743575" cy="2785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Business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COVID-19 pandemic continues to affect the U.S. and global economies, and as disclosed in our 2020 Annual Report on Form 10-K, the pandemic also affected our business in a variety of ways beginning in the second quarter of fiscal 2020 and continuing into fiscal 2021.</w:t>
      </w:r>
    </w:p>
    <w:p>
      <w:pPr>
        <w:spacing w:after="0" w:line="1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business was negatively impacted by COVID-19 during the current quarter largely due to increased loan redemptions as compared to the prior-year quarter, resulting in decreased loan balances in both the U.S. and Latin America. Additionally, the impact of sustained lower pawn loan portfolios has led to reduced inventory available for sale. Retail sales margins increased significantly during the current quarter in both the U.S. and Latin America compared to the prior-year quarter as a result of continued retail demand for value priced pre-owned merchandise and lower levels of aged inventory, all of which limited the need for normal discounting. In Latin America, we are seeing continued impact as the result of constrained traffic, limited operating hours and increased remittances from the U.S. As a result, our net revenues for the three months ended March 31, 2021 were down $13.6 million as compared to the prior-year quarter.</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full extent and duration of the COVID-19 impact on the global economy generally, and on our business specifically, is currently unknown. We expect the impact of the pandemic, and the recovery therefrom, will continue to adversely affect net revenues and earnings in fiscal 2021. A prolonged pandemic and recovery may have an adverse effect on our results of operations, financial position and liquidity in future periods.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365F91"/>
        </w:rPr>
        <w:t>Reinvestment of Dividends</w:t>
      </w:r>
    </w:p>
    <w:p>
      <w:pPr>
        <w:spacing w:after="0" w:line="18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February 21, 2021, Cash Converters International announced that its board of directors declared an interim dividend of AUD $0.01 per share, which was payable on April 14, 2021 to ordinary shareholders of record as of the close of business on March 25, 2021. We elected to receive our dividend entitlement in the form of additional ordinary shares pursuant to Cash Converters International's pre-existing Dividend Reinvestment Plan. Under that plan, on April 14, 2021, we received an additional 9,519,277 shares, bringing our total ownership to 223,702,991 shares, representing 35.65% of Cash Converters International's total outstanding ordinary shares.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Financial Information</w:t>
      </w:r>
    </w:p>
    <w:p>
      <w:pPr>
        <w:spacing w:after="0" w:line="184"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We use constant currency results to evaluate our Latin America Pawn operations, which are denominated primarily in Mexican pesos, Guatemalan quetzals and other Latin American currencies. We believe presentation of constant currency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six months ended March 31, 2021 and March 31, 2020 were as follows:</w:t>
      </w:r>
    </w:p>
    <w:tbl>
      <w:tblPr>
        <w:tblLayout w:type="fixed"/>
        <w:tblInd w:w="0" w:type="dxa"/>
        <w:tblCellMar>
          <w:top w:w="0" w:type="dxa"/>
          <w:left w:w="0" w:type="dxa"/>
          <w:bottom w:w="0" w:type="dxa"/>
          <w:right w:w="0" w:type="dxa"/>
        </w:tblCellMar>
      </w:tblPr>
      <w:tr>
        <w:trPr>
          <w:trHeight w:val="179"/>
        </w:trPr>
        <w:tc>
          <w:tcPr>
            <w:tcW w:w="4540" w:type="dxa"/>
            <w:vAlign w:val="bottom"/>
          </w:tcPr>
          <w:p>
            <w:pPr>
              <w:spacing w:after="0"/>
              <w:rPr>
                <w:sz w:val="15"/>
                <w:szCs w:val="15"/>
                <w:color w:val="auto"/>
              </w:rPr>
            </w:pPr>
          </w:p>
        </w:tc>
        <w:tc>
          <w:tcPr>
            <w:tcW w:w="146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3"/>
          </w:tcPr>
          <w:p>
            <w:pPr>
              <w:ind w:left="280"/>
              <w:spacing w:after="0" w:line="179" w:lineRule="exact"/>
              <w:rPr>
                <w:sz w:val="20"/>
                <w:szCs w:val="20"/>
                <w:color w:val="auto"/>
              </w:rPr>
            </w:pPr>
            <w:r>
              <w:rPr>
                <w:rFonts w:ascii="Arial" w:cs="Arial" w:eastAsia="Arial" w:hAnsi="Arial"/>
                <w:sz w:val="16"/>
                <w:szCs w:val="16"/>
                <w:b w:val="1"/>
                <w:bCs w:val="1"/>
                <w:color w:val="auto"/>
              </w:rPr>
              <w:t>Three Months Ended</w:t>
            </w:r>
          </w:p>
        </w:tc>
        <w:tc>
          <w:tcPr>
            <w:tcW w:w="2180" w:type="dxa"/>
            <w:vAlign w:val="bottom"/>
            <w:gridSpan w:val="4"/>
          </w:tcPr>
          <w:p>
            <w:pPr>
              <w:jc w:val="center"/>
              <w:spacing w:after="0" w:line="179"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35"/>
        </w:trPr>
        <w:tc>
          <w:tcPr>
            <w:tcW w:w="4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20.3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color w:val="auto"/>
              </w:rPr>
              <w:t>7.6</w:t>
            </w:r>
          </w:p>
        </w:tc>
        <w:tc>
          <w:tcPr>
            <w:tcW w:w="7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23.8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6"/>
                <w:szCs w:val="16"/>
                <w:color w:val="auto"/>
              </w:rPr>
              <w:t>Peruvian sol</w:t>
            </w: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color w:val="auto"/>
              </w:rPr>
              <w:t>3.6</w:t>
            </w: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operating segments;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40" w:hanging="328"/>
        <w:spacing w:after="0" w:line="256"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International — Represents our equity interest in the net income of Cash Converters International and Rich Data Corporation and our financial services stores in Canada, operating under the CASHMAX brand. In the fourth quarter of fiscal 2020, we closed our stores in Canada, and closing activities related to CASHMAX in fiscal year 2021 are not material.</w:t>
      </w:r>
    </w:p>
    <w:p>
      <w:pPr>
        <w:spacing w:after="0" w:line="14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See Note 12 (Segment Information) for information regarding changes in reportable segments. Our historical segment results have been recast to conform to current presentation.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Data by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Three Months Ended March 31, 2020</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15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Other</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International</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20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 March 31,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Six Months Ended March 31, 2020</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5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2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Latin America</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Other</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Pawn</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International</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20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2019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vs. Three Months Ended March 31, 2020</w:t>
      </w:r>
    </w:p>
    <w:p>
      <w:pPr>
        <w:spacing w:after="0" w:line="1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49,577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61,700</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(20)%</w:t>
            </w:r>
          </w:p>
        </w:tc>
      </w:tr>
      <w:tr>
        <w:trPr>
          <w:trHeight w:val="219"/>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93,827</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102,447</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(8)%</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42,015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37,161</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13%</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900bps</w:t>
            </w:r>
          </w:p>
        </w:tc>
      </w:tr>
      <w:tr>
        <w:trPr>
          <w:trHeight w:val="219"/>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3,581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9,659</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(63)%</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1,859</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(77)%</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(700)bps</w:t>
            </w:r>
          </w:p>
        </w:tc>
      </w:tr>
      <w:tr>
        <w:trPr>
          <w:trHeight w:val="219"/>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92,053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100,751</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w:t>
            </w:r>
          </w:p>
        </w:tc>
      </w:t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63,657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67,619</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 intangibles and other assets</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2,636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2,711</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(3)%</w:t>
            </w:r>
          </w:p>
        </w:tc>
      </w:tr>
      <w:tr>
        <w:trPr>
          <w:trHeight w:val="220"/>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25,760</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20,421</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26%</w:t>
            </w:r>
          </w:p>
        </w:tc>
      </w:t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165,151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263,112</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(37)%</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45%</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271</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(21)%</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100bps</w:t>
            </w: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Pawn loan redemption rate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100bps</w:t>
            </w:r>
          </w:p>
        </w:tc>
      </w:tr>
    </w:tbl>
    <w:p>
      <w:pPr>
        <w:spacing w:after="0" w:line="254" w:lineRule="exact"/>
        <w:rPr>
          <w:sz w:val="20"/>
          <w:szCs w:val="20"/>
          <w:color w:val="auto"/>
        </w:rPr>
      </w:pPr>
    </w:p>
    <w:p>
      <w:pPr>
        <w:ind w:left="360" w:hanging="334"/>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decreased by 20% due to a decrease in pawn loans outstanding resulting from the effects of the COVID-19 pandemic.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Same stores pawn service charges decreased by 19%.</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Merchandise sales decreased 8% on both a total and same store basis driven by lower inventory levels. Merchandise sales gross profit increased 13% to $42.0 million driven by a 900 bps improvement in merchandise sales gross profit margin, primarily due to reduced aged inventory levels and improved inventory turnover.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6% driven by a reduction in labor expense.</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Segment contribution increased $5.3 million or 26% due to a $4.0 million decrease in store expenses and a $10.0 million impairment charge taken in the prior year quarter with no similar charge in the current year quarter, partially offset by a $8.7 million decrease in net revenues driven by the decrease in pawn service charges described above.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740"/>
              <w:spacing w:after="0"/>
              <w:rPr>
                <w:sz w:val="20"/>
                <w:szCs w:val="20"/>
                <w:color w:val="auto"/>
              </w:rPr>
            </w:pPr>
            <w:r>
              <w:rPr>
                <w:rFonts w:ascii="Arial" w:cs="Arial" w:eastAsia="Arial" w:hAnsi="Arial"/>
                <w:sz w:val="16"/>
                <w:szCs w:val="16"/>
                <w:b w:val="1"/>
                <w:bCs w:val="1"/>
                <w:color w:val="auto"/>
              </w:rPr>
              <w:t>Three Months Ended 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2021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2020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2021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13,859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18,522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14,096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21,398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27,383</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21,804</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6,893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7,567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1,000bps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2,494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2,472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(800)bps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(800)bps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25,805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21,911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17,492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18,469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17,834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35,936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1,793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(30,540)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2,247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107%</w:t>
            </w:r>
          </w:p>
        </w:tc>
        <w:tc>
          <w:tcPr>
            <w:tcW w:w="0" w:type="dxa"/>
            <w:vAlign w:val="bottom"/>
          </w:tcPr>
          <w:p>
            <w:pPr>
              <w:spacing w:after="0"/>
              <w:rPr>
                <w:sz w:val="1"/>
                <w:szCs w:val="1"/>
                <w:color w:val="auto"/>
              </w:rPr>
            </w:pPr>
          </w:p>
        </w:tc>
      </w:tr>
      <w:tr>
        <w:trPr>
          <w:trHeight w:val="42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 income (a)</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(30,141)</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2,672</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109%</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70,318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41,845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200bps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200bps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 (d)</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400bps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400bps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right="200" w:hanging="334"/>
        <w:spacing w:after="0" w:line="229"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2021 constant currency amount excludes a nominal net GAAP basis foreign currency transaction adjustment resulting from movement in exchange rates. The net foreign currency transaction adjustment for fiscal 2020 was nominal and are included in the above results.</w:t>
      </w:r>
    </w:p>
    <w:p>
      <w:pPr>
        <w:spacing w:after="0" w:line="16" w:lineRule="exact"/>
        <w:rPr>
          <w:rFonts w:ascii="Arial" w:cs="Arial" w:eastAsia="Arial" w:hAnsi="Arial"/>
          <w:sz w:val="14"/>
          <w:szCs w:val="14"/>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current quarter, our Latin America pawn segment opened four de novo stores.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Pawn service charges decreased 25% (24% on a constant currency basis). Same stores pawn service charges also decreased by 25% (24% on a constant currency basis). The average ending monthly pawn loan balance outstanding during the current quarter was down 33%. We have experienced a substantial decline in new loans activity and associated loan balances as the result of the impact of constrained traffic, limited operating hours and increased remittances from the U.S.</w:t>
      </w:r>
    </w:p>
    <w:p>
      <w:pPr>
        <w:spacing w:after="0" w:line="15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Merchandise sales decreased 22% (20% on a constant currency basis) and 22% on a same store basis (21% on a constant currency basis) driven by lower inventory levels. This decrease in merchandise sales was offset by an increase in merchandise sales gross profit</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of 8% to $7.4 million (10% to $7.6 million on a constant currency basis) driven by a 1,000 basis points improvement in merchandise sales gross profit margin primarily due to reduced aged inventory levels and improved inventory turnover.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5% (3% on a constant currency basis) driven by a reduction in labor expense.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Segment contribution increased $32.8 million primarily due to a $35.9 million impairment charge of goodwill, intangible and other assets taken in the prior year quarter with no similar charge in the current quarter.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International</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presents selected financial data for our Other International segment after translation to U.S. dollars from its functional currency of primarily Australian and Canadian dollars: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(87)%</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Consumer loan debt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09"/>
        </w:trPr>
        <w:tc>
          <w:tcPr>
            <w:tcW w:w="6700" w:type="dxa"/>
            <w:vAlign w:val="bottom"/>
          </w:tcPr>
          <w:p>
            <w:pPr>
              <w:ind w:left="440"/>
              <w:spacing w:after="0"/>
              <w:rPr>
                <w:sz w:val="20"/>
                <w:szCs w:val="20"/>
                <w:color w:val="auto"/>
              </w:rPr>
            </w:pPr>
            <w:r>
              <w:rPr>
                <w:rFonts w:ascii="Arial" w:cs="Arial" w:eastAsia="Arial" w:hAnsi="Arial"/>
                <w:sz w:val="16"/>
                <w:szCs w:val="16"/>
                <w:color w:val="auto"/>
              </w:rPr>
              <w:t>Net revenues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806</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(78)%</w:t>
            </w:r>
          </w:p>
        </w:tc>
      </w:tr>
      <w:tr>
        <w:trPr>
          <w:trHeight w:val="219"/>
        </w:trPr>
        <w:tc>
          <w:tcPr>
            <w:tcW w:w="6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Segment operating expenses: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Impairment of goodwill, intangibles and other assets</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1,124</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on unconsolidated affiliates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299%</w:t>
            </w:r>
          </w:p>
        </w:tc>
      </w:t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expense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(95)%</w:t>
            </w:r>
          </w:p>
        </w:tc>
      </w:tr>
      <w:tr>
        <w:trPr>
          <w:trHeight w:val="219"/>
        </w:trPr>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259%</w:t>
            </w:r>
          </w:p>
        </w:tc>
      </w:tr>
    </w:tbl>
    <w:p>
      <w:pPr>
        <w:spacing w:after="0" w:line="261"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Segment contribution was $1.4 million, an increase of $2.3 million from the prior-year quarter primarily due to a $1.1 million impairment charge of certain long-lived assets in the second quarter of fiscal 2020 and $1.0 increase in net segment operating contribution resulting from the closure of our Canada operations.</w:t>
      </w:r>
    </w:p>
    <w:p>
      <w:pPr>
        <w:spacing w:after="0" w:line="14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operated 22 financial services stores in Canada under the CASHMAX brand during fiscal year 2020. During the fourth quarter of fiscal year 2020, we closed our CASHMAX business and are no longer operating stores in Canada.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 (loss)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(10,611)</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381%</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3,088</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19%</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sale or disposal of assets and other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(97)%</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5,325</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4%</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(98)%</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2"/>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(34,125)</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120%</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6,749</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(78)%</w:t>
            </w:r>
          </w:p>
        </w:tc>
      </w:tr>
      <w:tr>
        <w:trPr>
          <w:trHeight w:val="22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113%</w:t>
            </w:r>
          </w:p>
        </w:tc>
      </w:tr>
    </w:tbl>
    <w:p>
      <w:pPr>
        <w:spacing w:after="0" w:line="248"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Segment contribution increased $ 40.4 million over the prior-year quarter primarily due to a $47.1 million impairment charge of certain long-lived assets in the second quarter of fiscal 2020. Excluding the impairment charges, segment contribution decreased by $6.7 million or 18% primarily due to reduced pawn service charges from a decline in new loan activity and associated loan balances as a result of a change in customer borrowing behaviors due to COVID-19, partially offset by increased merchandise sales gross profit and decreased store expenses.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General and administrative expenses decreased $1.6 million or 10% due to strategic initiatives implemented in the fourth quarter of fiscal year 2020 to optimize our cost structure at the corporate level.</w:t>
      </w:r>
    </w:p>
    <w:p>
      <w:pPr>
        <w:spacing w:after="0" w:line="14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Income tax expense decreased $5.3 million for the quarter primarily due to a decrease in income tax expense of approximately $14.0 million due to non-deductible goodwill impairments booked in the prior year quarter, offset by an increase in income taxes for the current year due to an approximately $43.0 million increase in income from continuing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items include the net effect of state taxes, non-deductible items and changes in valuation allowances for certain foreign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2021 vs. Six Months Ended March 31, 2020</w:t>
      </w:r>
    </w:p>
    <w:p>
      <w:pPr>
        <w:spacing w:after="0" w:line="19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tables below and discussion that follows should be read in conjunction with the accompanying condensed consolidated financial statements and related notes.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Pawn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Six Months Ended March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99,797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125,790</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(21)%</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176,080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197,801</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(11)%</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76,209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71,151</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700bps</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7,585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15,776</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(52)%</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3,221</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(51)%</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100bps</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(24)%</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177,649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200,229</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(11)%</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125,749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135,678</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(7)%</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 intangibles and other assets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5,372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5,576</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(4)%</w:t>
            </w:r>
          </w:p>
        </w:tc>
      </w:tr>
      <w:tr>
        <w:trPr>
          <w:trHeight w:val="212"/>
        </w:trPr>
        <w:tc>
          <w:tcPr>
            <w:tcW w:w="6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46,528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48,975</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expense</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r>
        <w:trPr>
          <w:trHeight w:val="220"/>
        </w:trPr>
        <w:tc>
          <w:tcPr>
            <w:tcW w:w="65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46,501</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48,975</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(5)%</w:t>
            </w:r>
          </w:p>
        </w:tc>
      </w:tr>
      <w:tr>
        <w:trPr>
          <w:trHeight w:val="203"/>
        </w:trPr>
        <w:tc>
          <w:tcPr>
            <w:tcW w:w="6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286</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(22)%</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100bps</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r>
    </w:tbl>
    <w:p>
      <w:pPr>
        <w:spacing w:after="0" w:line="248"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7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Pawn service charges decreased 21% (20% on a same store basis) due to a substantial decline in new loans activity and associated loan balances as a result of a change in customer borrowing behaviors as a result of COVID-19.</w:t>
      </w:r>
    </w:p>
    <w:p>
      <w:pPr>
        <w:spacing w:after="0" w:line="144"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Merchandise sales decreased 11% (10% on a same store basis) due to lower inventory levels. Merchandise sales gross profit increased 7% to $76.2 million driven by a 700 bps improvement in merchandise sales gross profit margin, primarily driven by reduced aged inventory levels and improved inventory turnover.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7% due to a reduction in labor expense.</w:t>
      </w:r>
    </w:p>
    <w:p>
      <w:pPr>
        <w:spacing w:after="0" w:line="171"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Segment contribution decreased $ 2.5 million primarily due to the goodwill impairment charge recorded during the prior year quarter. Excluding the goodwill impairment charge, segment contribution decreased $12.5 million, or 21%, to $46.5 million. This decrease was primarily due to the changes in revenue and store expenses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Pawn</w:t>
      </w:r>
    </w:p>
    <w:p>
      <w:pPr>
        <w:spacing w:after="0" w:line="18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presents selected summary financial data our Latin America Pawn segment, including constant currency results, after translation to U.S. dollars from functional currencies. See “Results of Operations — Non-GAAP Financial Information” above.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840"/>
              <w:spacing w:after="0"/>
              <w:rPr>
                <w:sz w:val="20"/>
                <w:szCs w:val="20"/>
                <w:color w:val="auto"/>
              </w:rPr>
            </w:pPr>
            <w:r>
              <w:rPr>
                <w:rFonts w:ascii="Arial" w:cs="Arial" w:eastAsia="Arial" w:hAnsi="Arial"/>
                <w:sz w:val="16"/>
                <w:szCs w:val="16"/>
                <w:b w:val="1"/>
                <w:bCs w:val="1"/>
                <w:color w:val="auto"/>
              </w:rPr>
              <w:t>Six Months Ended 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2021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2020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2021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27,128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39,157</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28,045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46,928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58,757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48,588</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15,555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17,013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900bps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900bps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5,249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5,630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5,327</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(200)bps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55,539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45,731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34,709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38,452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35,931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3,829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3,785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Impairment of goodwill, intangibles and other assets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35,936</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 (loss)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(22,678)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6,015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127%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income (a)</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(1,705)</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(1,684)</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154%</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7,583</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(22,014)</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7,699</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135%</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100bps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400bps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400bps</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right="200" w:hanging="334"/>
        <w:spacing w:after="0" w:line="229"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Fiscal 2021 constant currency amount excludes a nominal net GAAP basis foreign currency transaction adjustment resulting from movement in exchange rates. The net foreign currency transaction adjustment for fiscal 2020 was nominal and are included in the above results.</w:t>
      </w:r>
    </w:p>
    <w:p>
      <w:pPr>
        <w:spacing w:after="0" w:line="16" w:lineRule="exact"/>
        <w:rPr>
          <w:rFonts w:ascii="Arial" w:cs="Arial" w:eastAsia="Arial" w:hAnsi="Arial"/>
          <w:sz w:val="14"/>
          <w:szCs w:val="14"/>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March 31, 2021, our Latin America pawn segment opened six de novo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is summarized as follows:</w:t>
      </w:r>
    </w:p>
    <w:p>
      <w:pPr>
        <w:spacing w:after="0" w:line="17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Pawn service charges decreased 31% (28% on a constant currency basis). Same stores pawn service charges also decreased by 31% (29% on a constant currency basis). The average ending monthly pawn loan balance outstanding during the current quarter was down 38%</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(37% on a constant currency basis). We have experienced a substantial decline in new loans activity and associated loan balances as the result of the impact of constrained traffic, limited operating hours and increased remittances from the U.S.</w:t>
      </w:r>
    </w:p>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Merchandise sales decreased 20% (17% on both a same store and constant currency basis) and 21% on a same store constant currency basis due to lower inventory levels. This decrease in merchandise sales was offset by an increase in merchandise sales gross profit of 6% to</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$16.5 million (9% to $17.0 million on a constant currency basis) driven by a 900 bps improvement in merchandise sales gross profit margin primarily due to reduced aged inventory levels and improved inventory turnover.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10% (7% on a constant currency basis) driven by a reduction in labor expense.</w:t>
      </w:r>
    </w:p>
    <w:p>
      <w:pPr>
        <w:spacing w:after="0" w:line="17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Segment contribution increased $29.6 million primarily due to the impairment charges recorded during the prior year quarter. Excluding the impairment charges, segment contribution decreased $6.3 million, or 46%, to $13.9 million. This decrease was primarily due to the changes in revenue and store expenses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International</w:t>
      </w:r>
    </w:p>
    <w:p>
      <w:pPr>
        <w:spacing w:after="0" w:line="18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presents selected financial data for our Other International segment after translation to U.S. dollars from its functional currency of primarily Australian and Canadian dollars: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2,686</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(91)%</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Consumer loan debt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09"/>
        </w:trPr>
        <w:tc>
          <w:tcPr>
            <w:tcW w:w="6700" w:type="dxa"/>
            <w:vAlign w:val="bottom"/>
          </w:tcPr>
          <w:p>
            <w:pPr>
              <w:ind w:left="440"/>
              <w:spacing w:after="0"/>
              <w:rPr>
                <w:sz w:val="20"/>
                <w:szCs w:val="20"/>
                <w:color w:val="auto"/>
              </w:rPr>
            </w:pPr>
            <w:r>
              <w:rPr>
                <w:rFonts w:ascii="Arial" w:cs="Arial" w:eastAsia="Arial" w:hAnsi="Arial"/>
                <w:sz w:val="16"/>
                <w:szCs w:val="16"/>
                <w:color w:val="auto"/>
              </w:rPr>
              <w:t>Net revenues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1,662</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(85)%</w:t>
            </w:r>
          </w:p>
        </w:tc>
      </w:tr>
      <w:tr>
        <w:trPr>
          <w:trHeight w:val="219"/>
        </w:trPr>
        <w:tc>
          <w:tcPr>
            <w:tcW w:w="6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(100)%</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Equity in net (income) loss on unconsolidated affiliates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4,713</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137%</w:t>
            </w:r>
          </w:p>
        </w:tc>
      </w:tr>
      <w:tr>
        <w:trPr>
          <w:trHeight w:val="209"/>
        </w:trPr>
        <w:tc>
          <w:tcPr>
            <w:tcW w:w="6700" w:type="dxa"/>
            <w:vAlign w:val="bottom"/>
          </w:tcPr>
          <w:p>
            <w:pPr>
              <w:ind w:left="460"/>
              <w:spacing w:after="0"/>
              <w:rPr>
                <w:sz w:val="20"/>
                <w:szCs w:val="20"/>
                <w:color w:val="auto"/>
              </w:rPr>
            </w:pPr>
            <w:r>
              <w:rPr>
                <w:rFonts w:ascii="Arial" w:cs="Arial" w:eastAsia="Arial" w:hAnsi="Arial"/>
                <w:sz w:val="16"/>
                <w:szCs w:val="16"/>
                <w:color w:val="auto"/>
              </w:rPr>
              <w:t>Segment operating contribution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(7,025)</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129%</w:t>
            </w:r>
          </w:p>
        </w:tc>
      </w:tr>
      <w:tr>
        <w:trPr>
          <w:trHeight w:val="219"/>
        </w:trPr>
        <w:tc>
          <w:tcPr>
            <w:tcW w:w="6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(income)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159%</w:t>
            </w:r>
          </w:p>
        </w:tc>
      </w:tr>
      <w:tr>
        <w:trPr>
          <w:trHeight w:val="220"/>
        </w:trPr>
        <w:tc>
          <w:tcPr>
            <w:tcW w:w="6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130%</w:t>
            </w:r>
          </w:p>
        </w:tc>
      </w:tr>
    </w:tbl>
    <w:p>
      <w:pPr>
        <w:spacing w:after="0" w:line="37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Segment contribution was $2.2 million, an increase of $9.6 million from the prior-year quarter primarily due to a $6.5 million increase in the net income from our unconsolidated affiliates, $1.4 decrease in net revenues and a $2.8 million decrease in store expenses resulting from the closure of our Canada operations. We operated 22 financial services stores in Canada under the CASHMAX brand during fiscal year 2020. During the fourth quarter of fiscal year 2020, we closed our CASHMAX business and are no longer operating stores in Canada.</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Items</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19,593</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187%</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(23)%</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6,033</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10%</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sale or disposal of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(94)%</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10,456</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5%</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(93)%</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expense (income)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685%</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(loss) from continuing operations before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(31,128)</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140%</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8,508</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(69)%</w:t>
            </w:r>
          </w:p>
        </w:tc>
      </w:tr>
      <w:tr>
        <w:trPr>
          <w:trHeight w:val="20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EZCORP, Inc.</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(39,636)</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124%</w:t>
            </w:r>
          </w:p>
        </w:tc>
      </w:tr>
    </w:tbl>
    <w:p>
      <w:pPr>
        <w:spacing w:after="0" w:line="16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Segment contribution increased $36.7 million or 187% over the prior-year period, primarily due to a $47.1 million impairment charge of certain long-lived assets in the second quarter of fiscal 2020. Excluding the impairment charges, segment contribution decreased by $10.4 million or 16% primarily due to reduced pawn service charges from a decline in new loan activity and associated loan balances as a result of a change in customer borrowing behaviors due to COVID-19, partially offset by increased merchandise sales gross profit and decreased store expenses.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General and administrative expenses decreased $7.9 million due to strategic initiatives implemented in the fourth quarter of fiscal year 2020 to optimize our cost structure at the corporate level.</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Income tax expense decreased $5.8 million primarily due to a decrease in income tax expense of approximately $14.0 million due to non-deductible goodwill impairments booked in the quarter ended March 31, 2020, offset by an increase in income taxes for the current year due to an approximately $43.0 million increase in income from continuing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items include the net effect of state taxes, non-deductible items and changes in valuation allowances for certain foreign operations.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20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currently believe that, based on available capital resources and projected operating cash flow, we have adequate capital resources to fund working capital needs, currently anticipated capital expenditures, currently anticipated business growth and expansion, tax payments, and current and projected debt service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8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cash and equivalents balance was $335.6 million at March 31, 2021 compared to $304.5 million at September 30, 2020. At March 31, 2021, our cash and equivalents were held in cash depository accounts with major banks or invested in high quality, short-term liquid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21,271</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(12)%</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Cash flows provided by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28,636</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(68)%</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(7,256)</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76%</w:t>
            </w:r>
          </w:p>
        </w:tc>
      </w:tr>
      <w:tr>
        <w:trPr>
          <w:trHeight w:val="21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(7,364)</w:t>
            </w:r>
          </w:p>
        </w:tc>
        <w:tc>
          <w:tcPr>
            <w:tcW w:w="12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168%</w:t>
            </w:r>
          </w:p>
        </w:tc>
      </w:tr>
      <w:tr>
        <w:trPr>
          <w:trHeight w:val="220"/>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31,091</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35,287</w:t>
            </w:r>
          </w:p>
        </w:tc>
        <w:tc>
          <w:tcPr>
            <w:tcW w:w="12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(12)%</w:t>
            </w:r>
          </w:p>
        </w:tc>
      </w:tr>
    </w:tbl>
    <w:p>
      <w:pPr>
        <w:spacing w:after="0" w:line="3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cash provided by operating activities decreased $2.6 million or 12% year-over-year due to a decrease of $7.3 million in net income adjusted for non-cash items, offset by an increase of $4.8 million in net changes in working capital requirements primarily due to a decrease in inventory of $7.0 million.</w:t>
      </w:r>
    </w:p>
    <w:p>
      <w:pPr>
        <w:spacing w:after="0" w:line="14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cash provided by investing activities decreased by $19.6 million, or 68%, year-over-year primarily due to a $49.8 million decrease in the sale of forfeited collateral, offset by an $30.4 million net increase in pawn loan redemptions due to COVID-19 related government stimulus payments.</w:t>
      </w:r>
    </w:p>
    <w:p>
      <w:pPr>
        <w:spacing w:after="0" w:line="148"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Net cash used in financing activities decreased $5.5 million, or 76%, year-over-year primarily due to a $5.2 million decrease in the repurchase of common stock.</w:t>
      </w:r>
    </w:p>
    <w:p>
      <w:pPr>
        <w:spacing w:after="0" w:line="14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net effect of cash flows was a $31.1 million increase in cash on hand during the current year-to-date period, resulting in a $343.6 million ending cash and restricted cash balance.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December 2019, our Board of Directors authorized a stock repurchase program that will allow us to repurchase up to $60 million of our Class A Non-voting Common Stock over three years. On March 20, 2020, we suspended the repurchase of shares under the program in order to preserve current liquidity given the uncertainty of the impact of the COVID-19 pandemic to our operations. As of September 30, 2020, we had repurchased and retired 943,149 shares of our Class A Common Stock for $5.2 million. The resumption of our stock repurchase program and the amount and timing of purchases will be dependent on a variety of factors, such as the return to normal business conditions, stock price, trading volume, general market conditions, legal and regulatory requirements, cash flow levels, and corporate considerations determined by management and the Board, such as liquidity and capital needs and the availability of attractive alternative investment opportunities. The Board of Directors has reserved the right to modify, suspend or terminate the program at any time. During the three and six months ended March 31, 2021, there were no stock repurchases.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our contractual obligations, planned de novo store growth, capital expenditures and working capital requirements through fiscal 2021.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Given the current uncertainty related to the COVID-19 pandemic, we may adjust our capital or other expenditures.</w:t>
      </w:r>
      <w:r>
        <w:rPr>
          <w:rFonts w:ascii="Arial" w:cs="Arial" w:eastAsia="Arial" w:hAnsi="Arial"/>
          <w:sz w:val="18"/>
          <w:szCs w:val="18"/>
          <w:color w:val="auto"/>
        </w:rPr>
        <w:t xml:space="preserve"> </w:t>
      </w:r>
      <w:r>
        <w:rPr>
          <w:rFonts w:ascii="Arial" w:cs="Arial" w:eastAsia="Arial" w:hAnsi="Arial"/>
          <w:sz w:val="18"/>
          <w:szCs w:val="18"/>
          <w:color w:val="212529"/>
        </w:rPr>
        <w:t>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84" w:lineRule="exact"/>
        <w:rPr>
          <w:sz w:val="20"/>
          <w:szCs w:val="20"/>
          <w:color w:val="auto"/>
        </w:rPr>
      </w:pPr>
    </w:p>
    <w:p>
      <w:pPr>
        <w:ind w:right="40"/>
        <w:spacing w:after="0" w:line="253" w:lineRule="auto"/>
        <w:rPr>
          <w:rFonts w:ascii="Arial" w:cs="Arial" w:eastAsia="Arial" w:hAnsi="Arial"/>
          <w:sz w:val="18"/>
          <w:szCs w:val="18"/>
          <w:color w:val="auto"/>
        </w:rPr>
      </w:pPr>
      <w:hyperlink r:id="rId20">
        <w:r>
          <w:rPr>
            <w:rFonts w:ascii="Arial" w:cs="Arial" w:eastAsia="Arial" w:hAnsi="Arial"/>
            <w:sz w:val="18"/>
            <w:szCs w:val="18"/>
            <w:color w:val="auto"/>
          </w:rPr>
          <w:t>In "Part II, Item 7 — Management's Discussion and Analysis of Financial Condition and Results of Operations" of our Annual Report on Form</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10-K for the year ended September 30, 2020, we reported that we had $ 604.6 million in total contractual obligations as of September 30,</w:t>
        </w:r>
      </w:hyperlink>
      <w:r>
        <w:rPr>
          <w:rFonts w:ascii="Arial" w:cs="Arial" w:eastAsia="Arial" w:hAnsi="Arial"/>
          <w:sz w:val="18"/>
          <w:szCs w:val="18"/>
          <w:color w:val="auto"/>
        </w:rPr>
        <w:t xml:space="preserve"> 2020. There have been no material changes to this total obligation since September 30, 2020, other than changes as the result of adoption of accounting standards as further discussed in Note 1 of Notes to Interim Condensed Consolidated Financial Statements included in "Part I, Item 1 — Financial Statements."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2020, these collectively amounted to $12.3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201" w:lineRule="exact"/>
        <w:rPr>
          <w:sz w:val="20"/>
          <w:szCs w:val="20"/>
          <w:color w:val="auto"/>
        </w:rPr>
      </w:pPr>
    </w:p>
    <w:p>
      <w:pPr>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0">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 xml:space="preserve">Item 1A — Risk Factors" of our Annual Report on Form 10-K for the year ended September 30, 2020 and "Part II, Item 1A — Risk Factors" </w:t>
        </w:r>
      </w:hyperlink>
      <w:r>
        <w:rPr>
          <w:rFonts w:ascii="Arial" w:cs="Arial" w:eastAsia="Arial" w:hAnsi="Arial"/>
          <w:sz w:val="18"/>
          <w:szCs w:val="18"/>
          <w:color w:val="auto"/>
        </w:rPr>
        <w:t>of this Report.</w:t>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2020. With the exception of the impacts of COVID-19, which are discussed elsewhere in this Report, there have been no material changes in our reported market risks or risk management policies since the filing of our Annual Report on Form 10-K for the year ended September 30, 2020.</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March 31, 2021. Our principal executive officer and principal financial officer have concluded that as of March 31, 2021,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2021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8" w:lineRule="exact"/>
        <w:rPr>
          <w:sz w:val="20"/>
          <w:szCs w:val="20"/>
          <w:color w:val="auto"/>
        </w:rPr>
      </w:pPr>
    </w:p>
    <w:p>
      <w:pPr>
        <w:ind w:right="3580" w:firstLine="3627"/>
        <w:spacing w:after="0" w:line="395"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Note 11 of Notes to Interim Condensed Consolidated Financial Statements included in "Part I, Item 1 —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201" w:lineRule="exact"/>
        <w:rPr>
          <w:sz w:val="20"/>
          <w:szCs w:val="20"/>
          <w:color w:val="auto"/>
        </w:rPr>
      </w:pPr>
    </w:p>
    <w:p>
      <w:pPr>
        <w:ind w:right="10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Important risk factors that could affect our operations and financial performance, or that could cause results or events to differ from current expectations, are described in </w:t>
      </w:r>
      <w:hyperlink r:id="rId20">
        <w:r>
          <w:rPr>
            <w:rFonts w:ascii="Arial" w:cs="Arial" w:eastAsia="Arial" w:hAnsi="Arial"/>
            <w:sz w:val="18"/>
            <w:szCs w:val="18"/>
            <w:color w:val="auto"/>
          </w:rPr>
          <w:t xml:space="preserve">"Part I, Item 1A — Risk Factors" of our Annual Report on Form 10-K for the year ended September 30, </w:t>
        </w:r>
      </w:hyperlink>
      <w:r>
        <w:rPr>
          <w:rFonts w:ascii="Arial" w:cs="Arial" w:eastAsia="Arial" w:hAnsi="Arial"/>
          <w:sz w:val="18"/>
          <w:szCs w:val="18"/>
          <w:color w:val="auto"/>
        </w:rPr>
        <w:t>2020, as supplemented by the information set forth below.</w:t>
      </w:r>
    </w:p>
    <w:p>
      <w:pPr>
        <w:spacing w:after="0" w:line="12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Illinois recently passed the Predatory Loan Prevention Act, which we do not believe applies to pawn. If it is determined that the new law applies to pawn transactions, our business in Illinois (20 stores) could be adversely affected.</w:t>
      </w:r>
    </w:p>
    <w:p>
      <w:pPr>
        <w:spacing w:after="0" w:line="12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Illinois Predatory Loan Prevention Act was signed into law on March 23, 2021. Pawn transactions are not mentioned in the act, and we believe that pawn transactions are not subject to the provisions of the act. On April 28, the Illinois Department of Financial &amp; Professional Regulation issued a fact sheet that lists "pawn loans" as among the types of consumer loans covered by the law. We are seeking formal confirmation that the new act does not apply to pawn transactions. If it is determined that the act does apply to pawn, then our business in Illinois could be adversely affected and we could be subject to civil penalties.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UNREGISTERED SALES OF EQUITY SECURITIES AND USE OF PROCEEDS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April 2015, we issued a $300,000 promissory note to Diego Creel Miranda in connection with our acquisition of his interest in Renueva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Comercial S.A.P.I. de C.V. (known as TUYO), which at the time conducted a buy-sell business in Mexico that we have since discontinued.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Note 3 of the Notes to Consolidated Financial Statements included in our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We had the option to satisfy the promissory note at maturity either by paying the principal and accrued interest in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by issuing shares of our Class A Non-Voting Stock having a market value at the time the note was issued equal to the principal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March 18, 2021, we issued 33,187 shares of our Class A Non-Voting Common Stock, having a market value at the time of issuance of</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approximately $185,000, in full satisfaction of the promissory note. The shares were issued to a single individual, and in connection with a single, isolated transaction, in reliance on the exemption from registration provided in Section 4(2) of the Securities Act of 1933.</w:t>
      </w:r>
    </w:p>
    <w:p>
      <w:pPr>
        <w:spacing w:after="0" w:line="200" w:lineRule="exact"/>
        <w:rPr>
          <w:sz w:val="20"/>
          <w:szCs w:val="20"/>
          <w:color w:val="auto"/>
        </w:rPr>
      </w:pP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 w:right="6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32"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27260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6471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4"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w:anchor="page37">
        <w:r>
          <w:rPr>
            <w:rFonts w:ascii="Arial" w:cs="Arial" w:eastAsia="Arial" w:hAnsi="Arial"/>
            <w:sz w:val="16"/>
            <w:szCs w:val="16"/>
            <w:u w:val="single" w:color="auto"/>
            <w:color w:val="0000FF"/>
          </w:rPr>
          <w:t>Form of Restricted Stock Unit Award Agreement for fiscal 2021</w:t>
        </w:r>
      </w:hyperlink>
    </w:p>
    <w:p>
      <w:pPr>
        <w:ind w:left="80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grants to executive officers</w:t>
        </w:r>
      </w:hyperlink>
    </w:p>
    <w:p>
      <w:pPr>
        <w:spacing w:after="0" w:line="10"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43">
        <w:r>
          <w:rPr>
            <w:rFonts w:ascii="Arial" w:cs="Arial" w:eastAsia="Arial" w:hAnsi="Arial"/>
            <w:sz w:val="16"/>
            <w:szCs w:val="16"/>
            <w:u w:val="single" w:color="auto"/>
            <w:color w:val="0000FF"/>
          </w:rPr>
          <w:t>Certification of Principal Executive Officer, pursuant to Rule 13a-</w:t>
        </w:r>
      </w:hyperlink>
    </w:p>
    <w:p>
      <w:pPr>
        <w:ind w:left="800"/>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14(a) 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44">
        <w:r>
          <w:rPr>
            <w:rFonts w:ascii="Arial" w:cs="Arial" w:eastAsia="Arial" w:hAnsi="Arial"/>
            <w:sz w:val="16"/>
            <w:szCs w:val="16"/>
            <w:u w:val="single" w:color="auto"/>
            <w:color w:val="0000FF"/>
          </w:rPr>
          <w:t>Certification of Principal Financial Officer, pursuant to Rule 13a-14(a)</w:t>
        </w:r>
      </w:hyperlink>
    </w:p>
    <w:p>
      <w:pPr>
        <w:ind w:left="80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under the Securities Exchange Act of 1934</w:t>
        </w:r>
      </w:hyperlink>
    </w:p>
    <w:p>
      <w:pPr>
        <w:spacing w:after="0" w:line="10" w:lineRule="exact"/>
        <w:rPr>
          <w:sz w:val="20"/>
          <w:szCs w:val="20"/>
          <w:color w:val="auto"/>
        </w:rPr>
      </w:pPr>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45">
        <w:r>
          <w:rPr>
            <w:rFonts w:ascii="Arial" w:cs="Arial" w:eastAsia="Arial" w:hAnsi="Arial"/>
            <w:sz w:val="16"/>
            <w:szCs w:val="16"/>
            <w:u w:val="single" w:color="auto"/>
            <w:color w:val="0000FF"/>
          </w:rPr>
          <w:t>Certifications of Principal Executive Officer, pursuant to 18 U.S.C.</w:t>
        </w:r>
      </w:hyperlink>
    </w:p>
    <w:p>
      <w:pPr>
        <w:ind w:left="80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32.2†</w:t>
      </w:r>
      <w:r>
        <w:rPr>
          <w:sz w:val="20"/>
          <w:szCs w:val="20"/>
          <w:color w:val="auto"/>
        </w:rPr>
        <w:tab/>
      </w:r>
      <w:hyperlink w:anchor="page46">
        <w:r>
          <w:rPr>
            <w:rFonts w:ascii="Arial" w:cs="Arial" w:eastAsia="Arial" w:hAnsi="Arial"/>
            <w:sz w:val="16"/>
            <w:szCs w:val="16"/>
            <w:u w:val="single" w:color="auto"/>
            <w:color w:val="0000FF"/>
          </w:rPr>
          <w:t>Certifications of Principal Financial Officer, pursuant to 18 U.S.C.</w:t>
        </w:r>
      </w:hyperlink>
    </w:p>
    <w:p>
      <w:pPr>
        <w:ind w:left="80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Section 1350</w:t>
        </w:r>
      </w:hyperlink>
    </w:p>
    <w:p>
      <w:pPr>
        <w:spacing w:after="0" w:line="32" w:lineRule="exact"/>
        <w:rPr>
          <w:sz w:val="20"/>
          <w:szCs w:val="20"/>
          <w:color w:val="auto"/>
        </w:rPr>
      </w:pPr>
    </w:p>
    <w:p>
      <w:pPr>
        <w:ind w:left="800" w:right="4280" w:hanging="694"/>
        <w:spacing w:after="0" w:line="225"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32" w:lineRule="exact"/>
        <w:rPr>
          <w:sz w:val="20"/>
          <w:szCs w:val="20"/>
          <w:color w:val="auto"/>
        </w:rPr>
      </w:pPr>
    </w:p>
    <w:p>
      <w:pPr>
        <w:ind w:left="800" w:right="4080" w:hanging="542"/>
        <w:spacing w:after="0" w:line="232"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Filed</w:t>
      </w:r>
    </w:p>
    <w:p>
      <w:pPr>
        <w:jc w:val="center"/>
        <w:ind w:right="80"/>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474" w:lineRule="exact"/>
        <w:rPr>
          <w:sz w:val="20"/>
          <w:szCs w:val="20"/>
          <w:color w:val="auto"/>
        </w:rPr>
      </w:pPr>
    </w:p>
    <w:p>
      <w:pPr>
        <w:sectPr>
          <w:pgSz w:w="11900" w:h="16838" w:orient="portrait"/>
          <w:cols w:equalWidth="0" w:num="2">
            <w:col w:w="9760" w:space="680"/>
            <w:col w:w="760"/>
          </w:cols>
          <w:pgMar w:left="320" w:top="144" w:right="379" w:bottom="1440" w:gutter="0" w:footer="0" w:header="0"/>
        </w:sect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800" w:hanging="774"/>
        <w:spacing w:after="0" w:line="219"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8"/>
          <w:szCs w:val="18"/>
          <w:color w:val="auto"/>
        </w:rPr>
        <w:t>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7"/>
          <w:szCs w:val="17"/>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6350</wp:posOffset>
            </wp:positionV>
            <wp:extent cx="33343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Jason A. Kulas,</w:t>
      </w:r>
    </w:p>
    <w:p>
      <w:pPr>
        <w:ind w:left="5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144" w:right="459" w:bottom="1440" w:gutter="0" w:footer="0" w:header="0"/>
        </w:sectPr>
      </w:pPr>
    </w:p>
    <w:bookmarkStart w:id="36" w:name="page37"/>
    <w:bookmarkEnd w:id="36"/>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88900</wp:posOffset>
            </wp:positionV>
            <wp:extent cx="2057400" cy="351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511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RESTRICTED STOCK UNIT AWARD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Summary</w:t>
      </w:r>
    </w:p>
    <w:p>
      <w:pPr>
        <w:spacing w:after="0" w:line="368" w:lineRule="exact"/>
        <w:rPr>
          <w:sz w:val="20"/>
          <w:szCs w:val="20"/>
          <w:color w:val="auto"/>
        </w:rPr>
      </w:pPr>
    </w:p>
    <w:p>
      <w:pPr>
        <w:ind w:left="1920" w:right="2320"/>
        <w:spacing w:after="0" w:line="271" w:lineRule="auto"/>
        <w:rPr>
          <w:sz w:val="20"/>
          <w:szCs w:val="20"/>
          <w:color w:val="auto"/>
        </w:rPr>
      </w:pPr>
      <w:r>
        <w:rPr>
          <w:rFonts w:ascii="Arial" w:cs="Arial" w:eastAsia="Arial" w:hAnsi="Arial"/>
          <w:sz w:val="21"/>
          <w:szCs w:val="21"/>
          <w:b w:val="1"/>
          <w:bCs w:val="1"/>
          <w:color w:val="auto"/>
        </w:rPr>
        <w:t>Recipient.............................................................[NAME OF RECIPIENT] Employee No. .....................................................[XXX-XX-XXXX] Award Identification No. .................................….[XXXXXXXXX] Date of Award .....................................................February 22, 2021 Number of Units (Total)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-861695</wp:posOffset>
            </wp:positionV>
            <wp:extent cx="5768975" cy="1663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768975" cy="166306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22"/>
          <w:szCs w:val="22"/>
          <w:b w:val="1"/>
          <w:bCs w:val="1"/>
          <w:color w:val="auto"/>
        </w:rPr>
        <w:t xml:space="preserve">Vesting Schedule* ............................................… </w:t>
      </w:r>
      <w:r>
        <w:rPr>
          <w:rFonts w:ascii="Arial" w:cs="Arial" w:eastAsia="Arial" w:hAnsi="Arial"/>
          <w:sz w:val="22"/>
          <w:szCs w:val="22"/>
          <w:b w:val="1"/>
          <w:bCs w:val="1"/>
          <w:u w:val="single" w:color="auto"/>
          <w:color w:val="auto"/>
        </w:rPr>
        <w:t>Number Date</w:t>
      </w:r>
    </w:p>
    <w:p>
      <w:pPr>
        <w:ind w:left="7760"/>
        <w:spacing w:after="0" w:line="231" w:lineRule="auto"/>
        <w:rPr>
          <w:sz w:val="20"/>
          <w:szCs w:val="20"/>
          <w:color w:val="auto"/>
        </w:rPr>
      </w:pPr>
      <w:r>
        <w:rPr>
          <w:rFonts w:ascii="Arial" w:cs="Arial" w:eastAsia="Arial" w:hAnsi="Arial"/>
          <w:sz w:val="22"/>
          <w:szCs w:val="22"/>
          <w:b w:val="1"/>
          <w:bCs w:val="1"/>
          <w:color w:val="auto"/>
        </w:rPr>
        <w:t>XXXX September 30,</w:t>
      </w:r>
    </w:p>
    <w:p>
      <w:pPr>
        <w:ind w:left="1920"/>
        <w:spacing w:after="0"/>
        <w:rPr>
          <w:sz w:val="20"/>
          <w:szCs w:val="20"/>
          <w:color w:val="auto"/>
        </w:rPr>
      </w:pPr>
      <w:r>
        <w:rPr>
          <w:rFonts w:ascii="Arial" w:cs="Arial" w:eastAsia="Arial" w:hAnsi="Arial"/>
          <w:sz w:val="22"/>
          <w:szCs w:val="22"/>
          <w:b w:val="1"/>
          <w:bCs w:val="1"/>
          <w:color w:val="auto"/>
        </w:rPr>
        <w:t>2023</w:t>
      </w:r>
    </w:p>
    <w:p>
      <w:pPr>
        <w:spacing w:after="0" w:line="7" w:lineRule="exact"/>
        <w:rPr>
          <w:sz w:val="20"/>
          <w:szCs w:val="20"/>
          <w:color w:val="auto"/>
        </w:rPr>
      </w:pPr>
    </w:p>
    <w:p>
      <w:pPr>
        <w:ind w:left="1920" w:right="1780" w:firstLine="9"/>
        <w:spacing w:after="0" w:line="230" w:lineRule="auto"/>
        <w:tabs>
          <w:tab w:leader="none" w:pos="2244"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Subject to the Performance Goals and service conditions described in Exhibit A</w:t>
      </w:r>
    </w:p>
    <w:p>
      <w:pPr>
        <w:spacing w:after="0" w:line="200" w:lineRule="exact"/>
        <w:rPr>
          <w:sz w:val="20"/>
          <w:szCs w:val="20"/>
          <w:color w:val="auto"/>
        </w:rPr>
      </w:pPr>
    </w:p>
    <w:p>
      <w:pPr>
        <w:spacing w:after="0" w:line="2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EZCORP, Inc., a Delaware corporation (the “Company”), is pleased to award you Restricted Stock Units, subject to the “Standard Terms and Conditions” attached to this Award Summary (the “Terms and Conditions”). This Award Summary, together with the Terms and Conditions, shall constitute the Award Agreement with regard to the award of Restricted Stock Units described herein.</w:t>
      </w:r>
    </w:p>
    <w:p>
      <w:pPr>
        <w:spacing w:after="0" w:line="13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As provided in the Terms and Conditions, this award of Restricted Stock Units will not be effective until you have accepted the award, and acknowledged and agreed to the terms and conditions set forth in the Award Agreement, by executing this Award Summary in the space provided below and returning it to the Company’s Stock Plan Administrator. Delivery to the Stock Plan Administrator will be automatic if you execute the this Amended Award Summary via DocuSign. If you do not execute via DocuSign, delivery may be made via email (carrie_putnam@ezcorp.com) or physical delivery (EZCORP, Inc., 2500 Bee Cave Road, Building One, Suite 200, Rollingwood, Texas 78746, Attention: Carrie Putnam).</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Awarded subject to the terms and conditions stated above:</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95" w:lineRule="exact"/>
        <w:rPr>
          <w:sz w:val="20"/>
          <w:szCs w:val="20"/>
          <w:color w:val="auto"/>
        </w:rPr>
      </w:pPr>
    </w:p>
    <w:p>
      <w:pPr>
        <w:ind w:left="4220"/>
        <w:spacing w:after="0"/>
        <w:tabs>
          <w:tab w:leader="none" w:pos="4720" w:val="left"/>
        </w:tabs>
        <w:rPr>
          <w:sz w:val="20"/>
          <w:szCs w:val="20"/>
          <w:color w:val="auto"/>
        </w:rPr>
      </w:pPr>
      <w:r>
        <w:rPr>
          <w:rFonts w:ascii="Arial" w:cs="Arial" w:eastAsia="Arial" w:hAnsi="Arial"/>
          <w:sz w:val="18"/>
          <w:szCs w:val="18"/>
          <w:color w:val="auto"/>
        </w:rPr>
        <w:t>By:</w:t>
        <w:tab/>
        <w:t>___________________________________________</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Lisa VanRoekel,</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Human Resources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 hereby accept the Award described herein and acknowledge and agree to the terms and conditions set forth in the Award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___________________________________________</w:t>
      </w:r>
      <w:r>
        <w:rPr>
          <w:sz w:val="20"/>
          <w:szCs w:val="20"/>
          <w:color w:val="auto"/>
        </w:rPr>
        <w:tab/>
      </w:r>
      <w:r>
        <w:rPr>
          <w:rFonts w:ascii="Arial" w:cs="Arial" w:eastAsia="Arial" w:hAnsi="Arial"/>
          <w:sz w:val="18"/>
          <w:szCs w:val="18"/>
          <w:color w:val="auto"/>
        </w:rPr>
        <w:t>Date:________________________________________</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OF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PERFORMANCE-BASED VESTING (FY21)</w:t>
      </w:r>
    </w:p>
    <w:p>
      <w:pPr>
        <w:sectPr>
          <w:pgSz w:w="11900" w:h="16838" w:orient="portrait"/>
          <w:cols w:equalWidth="0" w:num="1">
            <w:col w:w="11240"/>
          </w:cols>
          <w:pgMar w:left="320" w:top="144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Exhibit constitutes a part of the Award Summary to which it is attached, and is hereby incorporated into such Award Summary.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w:t>
      </w:r>
    </w:p>
    <w:p>
      <w:pPr>
        <w:spacing w:after="0" w:line="17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respective meanings indicated:</w:t>
      </w:r>
    </w:p>
    <w:p>
      <w:pPr>
        <w:spacing w:after="0" w:line="144" w:lineRule="exact"/>
        <w:rPr>
          <w:rFonts w:ascii="Arial" w:cs="Arial" w:eastAsia="Arial" w:hAnsi="Arial"/>
          <w:sz w:val="18"/>
          <w:szCs w:val="18"/>
          <w:color w:val="auto"/>
        </w:rPr>
      </w:pPr>
    </w:p>
    <w:p>
      <w:pPr>
        <w:ind w:left="840" w:hanging="427"/>
        <w:spacing w:after="0"/>
        <w:tabs>
          <w:tab w:leader="none" w:pos="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Net Income” for any Fiscal year is calculated as described in Paragraph 3 below.</w:t>
      </w:r>
    </w:p>
    <w:p>
      <w:pPr>
        <w:spacing w:after="0" w:line="157" w:lineRule="exact"/>
        <w:rPr>
          <w:rFonts w:ascii="Arial" w:cs="Arial" w:eastAsia="Arial" w:hAnsi="Arial"/>
          <w:sz w:val="18"/>
          <w:szCs w:val="18"/>
          <w:color w:val="auto"/>
        </w:rPr>
      </w:pPr>
    </w:p>
    <w:p>
      <w:pPr>
        <w:ind w:left="900" w:hanging="487"/>
        <w:spacing w:after="0" w:line="261"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Net Income Budget” for any Fiscal year refers to the Adjusted Net Income target that is specified in the budget for such Fiscal year, as approved by the Board of Directors.</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“Employment” has the meaning specified in Paragraph 3 of the Standard Terms and Conditions.</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“Fiscal” year refers to the Company’s fiscal year ended September 30 of that year.</w:t>
      </w:r>
    </w:p>
    <w:p>
      <w:pPr>
        <w:spacing w:after="0" w:line="157" w:lineRule="exact"/>
        <w:rPr>
          <w:rFonts w:ascii="Arial" w:cs="Arial" w:eastAsia="Arial" w:hAnsi="Arial"/>
          <w:sz w:val="18"/>
          <w:szCs w:val="18"/>
          <w:color w:val="auto"/>
        </w:rPr>
      </w:pPr>
    </w:p>
    <w:p>
      <w:pPr>
        <w:ind w:left="840" w:hanging="427"/>
        <w:spacing w:after="0"/>
        <w:tabs>
          <w:tab w:leader="none" w:pos="8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“Performance Period” refers to the three-year period consisting of Fiscal 2021, Fiscal 2022 and Fiscal 2023.</w:t>
      </w:r>
    </w:p>
    <w:p>
      <w:pPr>
        <w:spacing w:after="0" w:line="157" w:lineRule="exact"/>
        <w:rPr>
          <w:rFonts w:ascii="Arial" w:cs="Arial" w:eastAsia="Arial" w:hAnsi="Arial"/>
          <w:sz w:val="18"/>
          <w:szCs w:val="18"/>
          <w:color w:val="auto"/>
        </w:rPr>
      </w:pPr>
    </w:p>
    <w:p>
      <w:pPr>
        <w:ind w:left="420" w:hanging="412"/>
        <w:spacing w:after="0" w:line="261" w:lineRule="auto"/>
        <w:tabs>
          <w:tab w:leader="none" w:pos="4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Units will vest in accordance with the Vesting Schedule set forth in the Award Summary only if the performance goals and service conditions described below have been achieved:</w:t>
      </w:r>
    </w:p>
    <w:p>
      <w:pPr>
        <w:spacing w:after="0" w:line="116" w:lineRule="exact"/>
        <w:rPr>
          <w:rFonts w:ascii="Arial" w:cs="Arial" w:eastAsia="Arial" w:hAnsi="Arial"/>
          <w:sz w:val="18"/>
          <w:szCs w:val="18"/>
          <w:color w:val="auto"/>
        </w:rPr>
      </w:pPr>
    </w:p>
    <w:p>
      <w:pPr>
        <w:ind w:left="820" w:hanging="407"/>
        <w:spacing w:after="0"/>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total number of Units will be allocated equally (to the nearest whole Unit) among the three years in the Performance Period.</w:t>
      </w:r>
    </w:p>
    <w:p>
      <w:pPr>
        <w:spacing w:after="0" w:line="157" w:lineRule="exact"/>
        <w:rPr>
          <w:rFonts w:ascii="Arial" w:cs="Arial" w:eastAsia="Arial" w:hAnsi="Arial"/>
          <w:sz w:val="18"/>
          <w:szCs w:val="18"/>
          <w:color w:val="auto"/>
        </w:rPr>
      </w:pPr>
    </w:p>
    <w:p>
      <w:pPr>
        <w:ind w:left="900" w:hanging="487"/>
        <w:spacing w:after="0" w:line="261"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vesting of the Units allocated to each Fiscal year during the Performance Period will be subject to a performance goal based on Adjusted Net Income for such Fiscal year, as follows:</w:t>
      </w:r>
    </w:p>
    <w:p>
      <w:pPr>
        <w:spacing w:after="0" w:line="130" w:lineRule="exact"/>
        <w:rPr>
          <w:rFonts w:ascii="Arial" w:cs="Arial" w:eastAsia="Arial" w:hAnsi="Arial"/>
          <w:sz w:val="18"/>
          <w:szCs w:val="18"/>
          <w:color w:val="auto"/>
        </w:rPr>
      </w:pPr>
    </w:p>
    <w:p>
      <w:pPr>
        <w:ind w:left="1460" w:hanging="480"/>
        <w:spacing w:after="0" w:line="261" w:lineRule="auto"/>
        <w:tabs>
          <w:tab w:leader="none" w:pos="1377"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the Company achieves 80% of the Adjusted Net Income Budget for such Fiscal year, then 50% of the Units allocated to that Fiscal year will be available to vest at the end of the Performance Period.</w:t>
      </w:r>
    </w:p>
    <w:p>
      <w:pPr>
        <w:spacing w:after="0" w:line="116" w:lineRule="exact"/>
        <w:rPr>
          <w:rFonts w:ascii="Arial" w:cs="Arial" w:eastAsia="Arial" w:hAnsi="Arial"/>
          <w:sz w:val="18"/>
          <w:szCs w:val="18"/>
          <w:color w:val="auto"/>
        </w:rPr>
      </w:pPr>
    </w:p>
    <w:p>
      <w:pPr>
        <w:ind w:left="1460" w:hanging="480"/>
        <w:spacing w:after="0" w:line="261" w:lineRule="auto"/>
        <w:tabs>
          <w:tab w:leader="none" w:pos="1428"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the Company achieves 120% or more of the Adjusted Net Income Budget for such Fiscal year, then 150% of the Units allocated to such Fiscal year will be available to vest at the end of the Performance Period.</w:t>
      </w:r>
    </w:p>
    <w:p>
      <w:pPr>
        <w:spacing w:after="0" w:line="130" w:lineRule="exact"/>
        <w:rPr>
          <w:rFonts w:ascii="Arial" w:cs="Arial" w:eastAsia="Arial" w:hAnsi="Arial"/>
          <w:sz w:val="18"/>
          <w:szCs w:val="18"/>
          <w:color w:val="auto"/>
        </w:rPr>
      </w:pPr>
    </w:p>
    <w:p>
      <w:pPr>
        <w:jc w:val="both"/>
        <w:ind w:left="1460" w:hanging="480"/>
        <w:spacing w:after="0" w:line="254" w:lineRule="auto"/>
        <w:tabs>
          <w:tab w:leader="none" w:pos="1429"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the Company achieves more than 80%, but less than 120%, of the Adjusted Net Income Budget for such Fiscal year, the percentage of Units allocated to such Fiscal year that will be available to vest at the end of the Performance Period will be interpolated between 50% and 150% based on the percentage of the Adjusted Net Income Budget for such Fiscal year actually achieved.</w:t>
      </w:r>
    </w:p>
    <w:p>
      <w:pPr>
        <w:spacing w:after="0" w:line="136" w:lineRule="exact"/>
        <w:rPr>
          <w:rFonts w:ascii="Arial" w:cs="Arial" w:eastAsia="Arial" w:hAnsi="Arial"/>
          <w:sz w:val="18"/>
          <w:szCs w:val="18"/>
          <w:color w:val="auto"/>
        </w:rPr>
      </w:pPr>
    </w:p>
    <w:p>
      <w:pPr>
        <w:ind w:left="1460" w:right="20" w:hanging="480"/>
        <w:spacing w:after="0" w:line="261" w:lineRule="auto"/>
        <w:tabs>
          <w:tab w:leader="none" w:pos="14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the Company does not achieve at least 80% of the Adjusted Net Income Budget for a Fiscal year, then none of the Units allocated to such Fiscal year will be available to vest at the end of the Performance Period.</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Units that are not available to vest at the end of the Performance Period, determined as described above, will be forfeited.</w:t>
      </w:r>
    </w:p>
    <w:p>
      <w:pPr>
        <w:spacing w:after="0" w:line="158" w:lineRule="exact"/>
        <w:rPr>
          <w:sz w:val="20"/>
          <w:szCs w:val="20"/>
          <w:color w:val="auto"/>
        </w:rPr>
      </w:pPr>
    </w:p>
    <w:p>
      <w:pPr>
        <w:ind w:left="900" w:hanging="487"/>
        <w:spacing w:after="0" w:line="261" w:lineRule="auto"/>
        <w:tabs>
          <w:tab w:leader="none" w:pos="943" w:val="left"/>
        </w:tabs>
        <w:numPr>
          <w:ilvl w:val="1"/>
          <w:numId w:val="20"/>
        </w:numPr>
        <w:rPr>
          <w:rFonts w:ascii="Arial" w:cs="Arial" w:eastAsia="Arial" w:hAnsi="Arial"/>
          <w:sz w:val="18"/>
          <w:szCs w:val="18"/>
          <w:color w:val="auto"/>
        </w:rPr>
      </w:pPr>
      <w:r>
        <w:rPr>
          <w:rFonts w:ascii="Arial" w:cs="Arial" w:eastAsia="Arial" w:hAnsi="Arial"/>
          <w:sz w:val="18"/>
          <w:szCs w:val="18"/>
          <w:color w:val="auto"/>
        </w:rPr>
        <w:t>Units that are available to vest at the end of the Performance Period, determined as described above, will vest only if your Employment continues through the end of the Performance Period.</w:t>
      </w:r>
    </w:p>
    <w:p>
      <w:pPr>
        <w:spacing w:after="0" w:line="130" w:lineRule="exact"/>
        <w:rPr>
          <w:rFonts w:ascii="Arial" w:cs="Arial" w:eastAsia="Arial" w:hAnsi="Arial"/>
          <w:sz w:val="18"/>
          <w:szCs w:val="18"/>
          <w:color w:val="auto"/>
        </w:rPr>
      </w:pPr>
    </w:p>
    <w:p>
      <w:pPr>
        <w:jc w:val="both"/>
        <w:ind w:left="420" w:hanging="412"/>
        <w:spacing w:after="0" w:line="254" w:lineRule="auto"/>
        <w:tabs>
          <w:tab w:leader="none" w:pos="4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 for any Fiscal year shall be calculated from the Company’s audited consolidated financial statements for such year, and shall be equal to the Company’s consolidated net income, with such adjustments, if any, that the People and Compensation Committee of the Board of Directors determines, in its sole discretion, to be necessary, appropriate or desirable to take into consideration special events or other circumstances reasonably beyond management’s control.</w:t>
      </w:r>
    </w:p>
    <w:p>
      <w:pPr>
        <w:spacing w:after="0" w:line="122" w:lineRule="exact"/>
        <w:rPr>
          <w:rFonts w:ascii="Arial" w:cs="Arial" w:eastAsia="Arial" w:hAnsi="Arial"/>
          <w:sz w:val="18"/>
          <w:szCs w:val="18"/>
          <w:color w:val="auto"/>
        </w:rPr>
      </w:pPr>
    </w:p>
    <w:p>
      <w:pPr>
        <w:ind w:left="420" w:hanging="412"/>
        <w:spacing w:after="0" w:line="261" w:lineRule="auto"/>
        <w:tabs>
          <w:tab w:leader="none" w:pos="4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Notwithstanding the Vesting Schedule set forth in the Award Summary, vesting will be deferred until such time as the Committee has determined that the applicable performance goal has been achieved.</w:t>
      </w:r>
    </w:p>
    <w:p>
      <w:pPr>
        <w:sectPr>
          <w:pgSz w:w="11900" w:h="16838" w:orient="portrait"/>
          <w:cols w:equalWidth="0" w:num="1">
            <w:col w:w="11240"/>
          </w:cols>
          <w:pgMar w:left="320" w:top="111" w:right="339" w:bottom="1440" w:gutter="0" w:footer="0" w:header="0"/>
        </w:sectPr>
      </w:pPr>
    </w:p>
    <w:bookmarkStart w:id="38" w:name="page39"/>
    <w:bookmarkEnd w:id="38"/>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88900</wp:posOffset>
            </wp:positionV>
            <wp:extent cx="2057400" cy="351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511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RESTRICTED STOCK UNIT AWARD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Term and Conditions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 Subject to Performance-Based Vesting)</w:t>
      </w:r>
    </w:p>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Award described below is made under the EZCORP, Inc. Long-Term Incentive Plan (the “Plan”) and is governed by the terms of the Plan in addition to the terms and conditions stated in the Award Agreement referred to below. A copy of the Plan is available from the Company’s Stock Plan Administration Department. Unless otherwise defined, all capitalized terms used herein shall have the respective meanings described in the Plan.</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Unless other terms and conditions are made specifically applicable, the following terms and conditions apply to the award of Restricted Stock Units made with respect to fiscal year 2021 by EZCORP, Inc., a Delaware corporation (the “Company”), to any employee of the Company or any Subsidiary of the Company. The recipient of an Award, the date of the Award and the number of Units awarded are set forth in an Award Summary that has been duly executed and issued by the Company and appropriately acknowledged and accepted by the recipient (the “Award Summary”). That Award Summary, together with these terms and conditions, shall constitute the Award Agreement with regard to the Award. As used herein, the term “you” (and derivatives thereof) refers to the recipient of the Award, and the term “Units” refers to the Restricted Stock Units that are subject to the Award.</w:t>
      </w:r>
    </w:p>
    <w:p>
      <w:pPr>
        <w:spacing w:after="0" w:line="158" w:lineRule="exact"/>
        <w:rPr>
          <w:sz w:val="20"/>
          <w:szCs w:val="20"/>
          <w:color w:val="auto"/>
        </w:rPr>
      </w:pPr>
    </w:p>
    <w:p>
      <w:pPr>
        <w:jc w:val="both"/>
        <w:ind w:left="420" w:hanging="412"/>
        <w:spacing w:after="0" w:line="268" w:lineRule="auto"/>
        <w:tabs>
          <w:tab w:leader="none" w:pos="378"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 As a material inducement to the Company to make the Award, you agree that the following terms and conditions shall apply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Award, that you are not otherwise entitled to the Award, that the Company is providing the Award in consideration for your promises and agreements below and that the Company would not grant the Award absent those promises and agreements.</w:t>
      </w:r>
    </w:p>
    <w:p>
      <w:pPr>
        <w:spacing w:after="0" w:line="193"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color w:val="auto"/>
        </w:rPr>
        <w:t>Each Unit awarded to you represents your right to receive one share of Stock on the applicable vesting date, subject to the terms and conditions described herein.</w:t>
      </w:r>
    </w:p>
    <w:p>
      <w:pPr>
        <w:spacing w:after="0" w:line="95" w:lineRule="exact"/>
        <w:rPr>
          <w:sz w:val="20"/>
          <w:szCs w:val="20"/>
          <w:color w:val="auto"/>
        </w:rPr>
      </w:pPr>
    </w:p>
    <w:p>
      <w:pPr>
        <w:jc w:val="both"/>
        <w:ind w:left="420" w:hanging="412"/>
        <w:spacing w:after="0" w:line="262" w:lineRule="auto"/>
        <w:tabs>
          <w:tab w:leader="none" w:pos="36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 Subject to the terms and conditions of this Agreement, the Units will vest in accordance with the Vesting Schedule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applicable Award Summary. Any Units that remain unvested following the last vesting date shown in the Award Summary will expire at that time, and your right to receive any consideration for such Unit (whether Stock or cash) will terminate, without any payment of consideration by the Company.</w:t>
      </w:r>
    </w:p>
    <w:p>
      <w:pPr>
        <w:spacing w:after="0" w:line="198"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color w:val="auto"/>
        </w:rPr>
        <w:t>Notwithstanding that Vesting Schedule, if your Employment (as defined below) is terminated by reason of your death or Permanent Disability, all Units will vest immediately and automatically upon such termination of Employment.</w:t>
      </w:r>
    </w:p>
    <w:p>
      <w:pPr>
        <w:spacing w:after="0" w:line="108" w:lineRule="exact"/>
        <w:rPr>
          <w:sz w:val="20"/>
          <w:szCs w:val="20"/>
          <w:color w:val="auto"/>
        </w:rPr>
      </w:pPr>
    </w:p>
    <w:p>
      <w:pPr>
        <w:jc w:val="both"/>
        <w:ind w:left="420" w:hanging="412"/>
        <w:spacing w:after="0" w:line="258" w:lineRule="auto"/>
        <w:tabs>
          <w:tab w:leader="none" w:pos="432"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Transfer Restrictions and Expiration </w:t>
      </w:r>
      <w:r>
        <w:rPr>
          <w:rFonts w:ascii="Arial" w:cs="Arial" w:eastAsia="Arial" w:hAnsi="Arial"/>
          <w:sz w:val="18"/>
          <w:szCs w:val="18"/>
          <w:color w:val="auto"/>
        </w:rPr>
        <w:t>— You may not sell, assign, transfer, pledge or otherwise dispose of any Unit. You may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 transfer, pledge or otherwise dispose of the underlying share of Stock only after you have received that share upon vesting of the related Unit (if the Unit is settled in Stock).</w:t>
      </w:r>
    </w:p>
    <w:p>
      <w:pPr>
        <w:spacing w:after="0" w:line="2" w:lineRule="exact"/>
        <w:rPr>
          <w:rFonts w:ascii="Arial" w:cs="Arial" w:eastAsia="Arial" w:hAnsi="Arial"/>
          <w:sz w:val="18"/>
          <w:szCs w:val="18"/>
          <w:color w:val="auto"/>
        </w:rPr>
      </w:pPr>
    </w:p>
    <w:p>
      <w:pPr>
        <w:jc w:val="both"/>
        <w:ind w:left="420"/>
        <w:spacing w:after="0" w:line="256" w:lineRule="auto"/>
        <w:rPr>
          <w:rFonts w:ascii="Arial" w:cs="Arial" w:eastAsia="Arial" w:hAnsi="Arial"/>
          <w:sz w:val="18"/>
          <w:szCs w:val="18"/>
          <w:color w:val="auto"/>
        </w:rPr>
      </w:pPr>
      <w:r>
        <w:rPr>
          <w:rFonts w:ascii="Arial" w:cs="Arial" w:eastAsia="Arial" w:hAnsi="Arial"/>
          <w:sz w:val="18"/>
          <w:szCs w:val="18"/>
          <w:color w:val="auto"/>
        </w:rPr>
        <w:t>If your Employment terminates for any reason other than your death or Permanent Disability, any Unit that has not vested will expire at that time, and your right to receive any consideration for such Unit (whether Stock or cash) will terminate, without any payment of consideration by the Company.</w:t>
      </w:r>
    </w:p>
    <w:p>
      <w:pPr>
        <w:spacing w:after="0" w:line="161" w:lineRule="exact"/>
        <w:rPr>
          <w:rFonts w:ascii="Arial" w:cs="Arial" w:eastAsia="Arial" w:hAnsi="Arial"/>
          <w:sz w:val="18"/>
          <w:szCs w:val="18"/>
          <w:color w:val="auto"/>
        </w:rPr>
      </w:pPr>
    </w:p>
    <w:p>
      <w:pPr>
        <w:jc w:val="both"/>
        <w:ind w:left="420"/>
        <w:spacing w:after="0" w:line="256" w:lineRule="auto"/>
        <w:rPr>
          <w:rFonts w:ascii="Arial" w:cs="Arial" w:eastAsia="Arial" w:hAnsi="Arial"/>
          <w:sz w:val="18"/>
          <w:szCs w:val="18"/>
          <w:color w:val="auto"/>
        </w:rPr>
      </w:pPr>
      <w:r>
        <w:rPr>
          <w:rFonts w:ascii="Arial" w:cs="Arial" w:eastAsia="Arial" w:hAnsi="Arial"/>
          <w:sz w:val="18"/>
          <w:szCs w:val="18"/>
          <w:color w:val="auto"/>
        </w:rPr>
        <w:t>As used herein, the term “Employment” means your regular full-time or part-time employment with the Company or any of its Subsidiaries, and the term “Employer” means the Company (if you are employed by the Company) or the Subsidiary of the Company that employs you.</w:t>
      </w:r>
    </w:p>
    <w:p>
      <w:pPr>
        <w:spacing w:after="0" w:line="152" w:lineRule="exact"/>
        <w:rPr>
          <w:rFonts w:ascii="Arial" w:cs="Arial" w:eastAsia="Arial" w:hAnsi="Arial"/>
          <w:sz w:val="18"/>
          <w:szCs w:val="18"/>
          <w:color w:val="auto"/>
        </w:rPr>
      </w:pPr>
    </w:p>
    <w:p>
      <w:pPr>
        <w:jc w:val="both"/>
        <w:ind w:left="420" w:hanging="412"/>
        <w:spacing w:after="0" w:line="268" w:lineRule="auto"/>
        <w:tabs>
          <w:tab w:leader="none" w:pos="36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Rights as a Stockholder </w:t>
      </w:r>
      <w:r>
        <w:rPr>
          <w:rFonts w:ascii="Arial" w:cs="Arial" w:eastAsia="Arial" w:hAnsi="Arial"/>
          <w:sz w:val="18"/>
          <w:szCs w:val="18"/>
          <w:color w:val="auto"/>
        </w:rPr>
        <w:t>— You will have no rights as a stockholder with respect to the Units awarded pursuant to this Award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to dividends or dividend equivalent payments and rights to vote) until the Units have vested and the Stock underlying those Units have been actually issued and registered in your name on the books of the Company’s transfer agent.</w:t>
      </w:r>
    </w:p>
    <w:p>
      <w:pPr>
        <w:spacing w:after="0" w:line="89" w:lineRule="exact"/>
        <w:rPr>
          <w:rFonts w:ascii="Arial" w:cs="Arial" w:eastAsia="Arial" w:hAnsi="Arial"/>
          <w:sz w:val="18"/>
          <w:szCs w:val="18"/>
          <w:color w:val="auto"/>
        </w:rPr>
      </w:pPr>
    </w:p>
    <w:p>
      <w:pPr>
        <w:ind w:left="420" w:right="20" w:hanging="412"/>
        <w:spacing w:after="0" w:line="287" w:lineRule="auto"/>
        <w:tabs>
          <w:tab w:leader="none" w:pos="392"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Settlement </w:t>
      </w:r>
      <w:r>
        <w:rPr>
          <w:rFonts w:ascii="Arial" w:cs="Arial" w:eastAsia="Arial" w:hAnsi="Arial"/>
          <w:sz w:val="18"/>
          <w:szCs w:val="18"/>
          <w:color w:val="auto"/>
        </w:rPr>
        <w:t>— Notwithstanding anything to the contrary herein and subject to Paragraph 6 below, as soon as practicable after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which the Units have vested, the Company, at its option and in its sole and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PERFORMANCE-BASED VESTING (FY21)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jc w:val="both"/>
        <w:ind w:left="412"/>
        <w:spacing w:after="0" w:line="261" w:lineRule="auto"/>
        <w:rPr>
          <w:sz w:val="20"/>
          <w:szCs w:val="20"/>
          <w:color w:val="auto"/>
        </w:rPr>
      </w:pPr>
      <w:r>
        <w:rPr>
          <w:rFonts w:ascii="Arial" w:cs="Arial" w:eastAsia="Arial" w:hAnsi="Arial"/>
          <w:sz w:val="18"/>
          <w:szCs w:val="18"/>
          <w:color w:val="auto"/>
        </w:rPr>
        <w:t>discretion, shall, for each vested Unit, either (a) issue to you a share of Stock or (b) deliver to you an amount in cash equal to the Fair Market Value of a share of Stock on the vesting date.</w:t>
      </w:r>
    </w:p>
    <w:p>
      <w:pPr>
        <w:spacing w:after="0" w:line="198" w:lineRule="exact"/>
        <w:rPr>
          <w:sz w:val="20"/>
          <w:szCs w:val="20"/>
          <w:color w:val="auto"/>
        </w:rPr>
      </w:pPr>
    </w:p>
    <w:p>
      <w:pPr>
        <w:jc w:val="both"/>
        <w:ind w:left="412"/>
        <w:spacing w:after="0" w:line="254" w:lineRule="auto"/>
        <w:rPr>
          <w:sz w:val="20"/>
          <w:szCs w:val="20"/>
          <w:color w:val="auto"/>
        </w:rPr>
      </w:pPr>
      <w:r>
        <w:rPr>
          <w:rFonts w:ascii="Arial" w:cs="Arial" w:eastAsia="Arial" w:hAnsi="Arial"/>
          <w:sz w:val="18"/>
          <w:szCs w:val="18"/>
          <w:color w:val="auto"/>
        </w:rPr>
        <w:t>To the extent that the Company chooses to settle the Units in Stock, the Company will issue the underlying Stock in your name in the form of an entry into a share memo account with the Company’s stock transfer agent. At any time thereafter, you (or, in the case of your death or Permanent Disability, your legal representatives) shall have the right to have such Stock certificated and transferred in accordance with the transfer agent’s procedures generally applicable to all stockholders.</w:t>
      </w:r>
    </w:p>
    <w:p>
      <w:pPr>
        <w:spacing w:after="0" w:line="141" w:lineRule="exact"/>
        <w:rPr>
          <w:sz w:val="20"/>
          <w:szCs w:val="20"/>
          <w:color w:val="auto"/>
        </w:rPr>
      </w:pPr>
    </w:p>
    <w:p>
      <w:pPr>
        <w:jc w:val="both"/>
        <w:ind w:left="412" w:hanging="412"/>
        <w:spacing w:after="0" w:line="253" w:lineRule="auto"/>
        <w:tabs>
          <w:tab w:leader="none" w:pos="37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Agreement With Respect to Taxes </w:t>
      </w:r>
      <w:r>
        <w:rPr>
          <w:rFonts w:ascii="Arial" w:cs="Arial" w:eastAsia="Arial" w:hAnsi="Arial"/>
          <w:sz w:val="18"/>
          <w:szCs w:val="18"/>
          <w:color w:val="auto"/>
        </w:rPr>
        <w:t>— You must pay any taxes that are required to be withheld by the Company or your Employer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this Award. You may pay such amounts in cash or make other arrangements satisfactory to the Company or your Employer for the payment of such amounts. You agree that the Company and your Employer, at their sole discretion and to the fullest extent permitted by law, shall have the right to (a) demand that you pay such amounts in cash, (b) deduct such amounts from any payments of any kind otherwise due to you or (c) withhold or deduct from Stock or cash to which you would otherwise be entitled the number of shares of Stock, or amount of cash, having an aggregate Fair Market Value at that time equal to the amount you owe. If the Units are settled in Stock and the Company or your Employer, in their sole discretion, determines that your obligations will not be satisfied under the methods described in this Paragraph, you hereby authorize the Company (or its agent) to sell a portion of the Stock that is issued in satisfaction of the Units, which the Company determines as having at least the market value sufficient to meet your obligations (plus additional shares to account for rounding and market fluctuations), and use the net proceeds of such sale to satisfy your obligations. Any such shares may be sold as part of a block trade for the collective benefit of you and other participants, with all such participants receiving an average price.</w:t>
      </w:r>
    </w:p>
    <w:p>
      <w:pPr>
        <w:spacing w:after="0" w:line="122" w:lineRule="exact"/>
        <w:rPr>
          <w:rFonts w:ascii="Arial" w:cs="Arial" w:eastAsia="Arial" w:hAnsi="Arial"/>
          <w:sz w:val="18"/>
          <w:szCs w:val="18"/>
          <w:color w:val="auto"/>
        </w:rPr>
      </w:pPr>
    </w:p>
    <w:p>
      <w:pPr>
        <w:ind w:left="412" w:hanging="412"/>
        <w:spacing w:after="0" w:line="287" w:lineRule="auto"/>
        <w:tabs>
          <w:tab w:leader="none" w:pos="384"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Leaves of Absence </w:t>
      </w:r>
      <w:r>
        <w:rPr>
          <w:rFonts w:ascii="Arial" w:cs="Arial" w:eastAsia="Arial" w:hAnsi="Arial"/>
          <w:sz w:val="18"/>
          <w:szCs w:val="18"/>
          <w:color w:val="auto"/>
        </w:rPr>
        <w:t>— If you take a leave of absence from active Employment that has been approved by your Employer or is one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you are legally entitled regardless of such approval, the following provisions will apply:</w:t>
      </w:r>
    </w:p>
    <w:p>
      <w:pPr>
        <w:spacing w:after="0" w:line="75" w:lineRule="exact"/>
        <w:rPr>
          <w:rFonts w:ascii="Arial" w:cs="Arial" w:eastAsia="Arial" w:hAnsi="Arial"/>
          <w:sz w:val="18"/>
          <w:szCs w:val="18"/>
          <w:color w:val="auto"/>
        </w:rPr>
      </w:pPr>
    </w:p>
    <w:p>
      <w:pPr>
        <w:ind w:left="892" w:hanging="487"/>
        <w:spacing w:after="0" w:line="261" w:lineRule="auto"/>
        <w:tabs>
          <w:tab w:leader="none" w:pos="826"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Vesting During Leave </w:t>
      </w:r>
      <w:r>
        <w:rPr>
          <w:rFonts w:ascii="Arial" w:cs="Arial" w:eastAsia="Arial" w:hAnsi="Arial"/>
          <w:sz w:val="18"/>
          <w:szCs w:val="18"/>
          <w:color w:val="auto"/>
        </w:rPr>
        <w:t>— Notwithstanding the Vesting Schedule set forth in the Award Summary, no Shares will vest during a leave</w:t>
      </w:r>
      <w:r>
        <w:rPr>
          <w:rFonts w:ascii="Arial" w:cs="Arial" w:eastAsia="Arial" w:hAnsi="Arial"/>
          <w:sz w:val="18"/>
          <w:szCs w:val="18"/>
          <w:i w:val="1"/>
          <w:iCs w:val="1"/>
          <w:color w:val="auto"/>
        </w:rPr>
        <w:t xml:space="preserve"> </w:t>
      </w:r>
      <w:r>
        <w:rPr>
          <w:rFonts w:ascii="Arial" w:cs="Arial" w:eastAsia="Arial" w:hAnsi="Arial"/>
          <w:sz w:val="18"/>
          <w:szCs w:val="18"/>
          <w:color w:val="auto"/>
        </w:rPr>
        <w:t>of absence lasting more than 30 days, unless such leave of absence is an approved medical, FMLA or military leave. The vesting that would have otherwise occurred during a leave of absence will be deferred by the number of days you are on leave of absence.</w:t>
      </w:r>
    </w:p>
    <w:p>
      <w:pPr>
        <w:spacing w:after="0" w:line="112" w:lineRule="exact"/>
        <w:rPr>
          <w:rFonts w:ascii="Arial" w:cs="Arial" w:eastAsia="Arial" w:hAnsi="Arial"/>
          <w:sz w:val="18"/>
          <w:szCs w:val="18"/>
          <w:color w:val="auto"/>
        </w:rPr>
      </w:pPr>
    </w:p>
    <w:p>
      <w:pPr>
        <w:ind w:left="892" w:hanging="487"/>
        <w:spacing w:after="0" w:line="282" w:lineRule="auto"/>
        <w:tabs>
          <w:tab w:leader="none" w:pos="839"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Effect of </w:t>
      </w:r>
      <w:r>
        <w:rPr>
          <w:rFonts w:ascii="Arial" w:cs="Arial" w:eastAsia="Arial" w:hAnsi="Arial"/>
          <w:sz w:val="18"/>
          <w:szCs w:val="18"/>
          <w:color w:val="auto"/>
        </w:rPr>
        <w:t>Termination</w:t>
      </w:r>
      <w:r>
        <w:rPr>
          <w:rFonts w:ascii="Arial" w:cs="Arial" w:eastAsia="Arial" w:hAnsi="Arial"/>
          <w:sz w:val="18"/>
          <w:szCs w:val="18"/>
          <w:i w:val="1"/>
          <w:iCs w:val="1"/>
          <w:color w:val="auto"/>
        </w:rPr>
        <w:t xml:space="preserve"> During Leave </w:t>
      </w:r>
      <w:r>
        <w:rPr>
          <w:rFonts w:ascii="Arial" w:cs="Arial" w:eastAsia="Arial" w:hAnsi="Arial"/>
          <w:sz w:val="18"/>
          <w:szCs w:val="18"/>
          <w:color w:val="auto"/>
        </w:rPr>
        <w:t>— If your Employment is terminated while you are on a leave of absence, the Units will vest or</w:t>
      </w:r>
      <w:r>
        <w:rPr>
          <w:rFonts w:ascii="Arial" w:cs="Arial" w:eastAsia="Arial" w:hAnsi="Arial"/>
          <w:sz w:val="18"/>
          <w:szCs w:val="18"/>
          <w:i w:val="1"/>
          <w:iCs w:val="1"/>
          <w:color w:val="auto"/>
        </w:rPr>
        <w:t xml:space="preserve"> </w:t>
      </w:r>
      <w:r>
        <w:rPr>
          <w:rFonts w:ascii="Arial" w:cs="Arial" w:eastAsia="Arial" w:hAnsi="Arial"/>
          <w:sz w:val="18"/>
          <w:szCs w:val="18"/>
          <w:color w:val="auto"/>
        </w:rPr>
        <w:t>expire in accordance with the terms stated in Paragraphs 2 and 3.</w:t>
      </w:r>
    </w:p>
    <w:p>
      <w:pPr>
        <w:spacing w:after="0" w:line="90" w:lineRule="exact"/>
        <w:rPr>
          <w:rFonts w:ascii="Arial" w:cs="Arial" w:eastAsia="Arial" w:hAnsi="Arial"/>
          <w:sz w:val="18"/>
          <w:szCs w:val="18"/>
          <w:color w:val="auto"/>
        </w:rPr>
      </w:pPr>
    </w:p>
    <w:p>
      <w:pPr>
        <w:jc w:val="both"/>
        <w:ind w:left="412" w:hanging="412"/>
        <w:spacing w:after="0" w:line="255" w:lineRule="auto"/>
        <w:tabs>
          <w:tab w:leader="none" w:pos="384"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of Share or Cash Value </w:t>
      </w:r>
      <w:r>
        <w:rPr>
          <w:rFonts w:ascii="Arial" w:cs="Arial" w:eastAsia="Arial" w:hAnsi="Arial"/>
          <w:sz w:val="18"/>
          <w:szCs w:val="18"/>
          <w:color w:val="auto"/>
        </w:rPr>
        <w:t>— By accepting this Award, you agree that if the Company determines that you engaged in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Detrimental to the Company” (as defined below) during your Employment or during the one-year period following the termination of your Employment, you shall be required, upon demand, to return to the Company, in the form of a cash payment, the “Returnable Value.” For this purpose, “Returnable Value” means the total Fair Market Value of all Stock that was issued to you, or the total amount of cash that was delivered to you, pursuant to this Award (including any cash or Stock that was withheld or sold to satisfy your obligations under Paragraph 6), determined as of the date such Stock was issued, or such cash was delivered, to you. The payment of the Returnable Value shall be in addition to and separate from any other relief or remedies available to the Company due to your Conduct Detrimental to the Company.</w:t>
      </w:r>
    </w:p>
    <w:p>
      <w:pPr>
        <w:spacing w:after="0" w:line="126" w:lineRule="exact"/>
        <w:rPr>
          <w:sz w:val="20"/>
          <w:szCs w:val="20"/>
          <w:color w:val="auto"/>
        </w:rPr>
      </w:pPr>
    </w:p>
    <w:p>
      <w:pPr>
        <w:jc w:val="both"/>
        <w:ind w:left="412" w:hanging="404"/>
        <w:spacing w:after="0" w:line="253" w:lineRule="auto"/>
        <w:rPr>
          <w:sz w:val="20"/>
          <w:szCs w:val="20"/>
          <w:color w:val="auto"/>
        </w:rPr>
      </w:pPr>
      <w:r>
        <w:rPr>
          <w:rFonts w:ascii="Arial" w:cs="Arial" w:eastAsia="Arial" w:hAnsi="Arial"/>
          <w:sz w:val="18"/>
          <w:szCs w:val="18"/>
          <w:color w:val="auto"/>
        </w:rPr>
        <w:t>For purposes of this Agreement, you will be considered to have engaged in “Conduct Detrimental to the Company” if (a) you engage in serious misconduct (whether or not such serious misconduct is discovered by the Company prior to the termination of your Employment) or (b) you violate the terms of the Restrictive Covenant Agreement (in some cases, also known as the Protection of Sensitive Information, Noncompetition and Nonsolicitation Agreement) between you and the Company, the terms and provisions of which you hereby acknowledge and reaffirm.</w:t>
      </w:r>
    </w:p>
    <w:p>
      <w:pPr>
        <w:spacing w:after="0" w:line="116" w:lineRule="exact"/>
        <w:rPr>
          <w:sz w:val="20"/>
          <w:szCs w:val="20"/>
          <w:color w:val="auto"/>
        </w:rPr>
      </w:pPr>
    </w:p>
    <w:p>
      <w:pPr>
        <w:jc w:val="both"/>
        <w:ind w:left="412" w:hanging="412"/>
        <w:spacing w:after="0" w:line="259" w:lineRule="auto"/>
        <w:tabs>
          <w:tab w:leader="none" w:pos="438"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Trading Restrictions </w:t>
      </w:r>
      <w:r>
        <w:rPr>
          <w:rFonts w:ascii="Arial" w:cs="Arial" w:eastAsia="Arial" w:hAnsi="Arial"/>
          <w:sz w:val="18"/>
          <w:szCs w:val="18"/>
          <w:color w:val="auto"/>
        </w:rPr>
        <w:t>— The Company may establish periods from time to time during which your ability to engage in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involving the Stock is subject to specified restrictions (“Restricted Periods”). If the Units vest during a Restricted Period and are settled in Stock, then you may not be able to sell such Stock (either to satisfy tax withholding obligations or otherwise) unless you have made irrevocable arrangements to do so outside of any Restricted Period. You may be subject to a Restricted Period for any reason that the Company determines appropriate, including</w:t>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32"/>
          </w:cols>
          <w:pgMar w:left="328" w:top="1440" w:right="339" w:bottom="1440" w:gutter="0" w:footer="0" w:header="0"/>
          <w:type w:val="continuous"/>
        </w:sectPr>
      </w:pPr>
    </w:p>
    <w:bookmarkStart w:id="40" w:name="page41"/>
    <w:bookmarkEnd w:id="40"/>
    <w:p>
      <w:pPr>
        <w:spacing w:after="0" w:line="144" w:lineRule="exact"/>
        <w:rPr>
          <w:sz w:val="20"/>
          <w:szCs w:val="20"/>
          <w:color w:val="auto"/>
        </w:rPr>
      </w:pPr>
    </w:p>
    <w:p>
      <w:pPr>
        <w:ind w:left="420"/>
        <w:spacing w:after="0" w:line="261" w:lineRule="auto"/>
        <w:rPr>
          <w:sz w:val="20"/>
          <w:szCs w:val="20"/>
          <w:color w:val="auto"/>
        </w:rPr>
      </w:pPr>
      <w:r>
        <w:rPr>
          <w:rFonts w:ascii="Arial" w:cs="Arial" w:eastAsia="Arial" w:hAnsi="Arial"/>
          <w:sz w:val="18"/>
          <w:szCs w:val="18"/>
          <w:color w:val="auto"/>
        </w:rPr>
        <w:t>Restricted Periods generally applicable to employees or groups of employees or Restricted Periods applicable to you during an investigation of allegations of misconduct or Conduct Detrimental to the Company by you.</w:t>
      </w:r>
    </w:p>
    <w:p>
      <w:pPr>
        <w:spacing w:after="0" w:line="95" w:lineRule="exact"/>
        <w:rPr>
          <w:sz w:val="20"/>
          <w:szCs w:val="20"/>
          <w:color w:val="auto"/>
        </w:rPr>
      </w:pPr>
    </w:p>
    <w:p>
      <w:pPr>
        <w:ind w:left="420" w:hanging="412"/>
        <w:spacing w:after="0" w:line="287" w:lineRule="auto"/>
        <w:tabs>
          <w:tab w:leader="none" w:pos="519"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Prospectus </w:t>
      </w:r>
      <w:r>
        <w:rPr>
          <w:rFonts w:ascii="Arial" w:cs="Arial" w:eastAsia="Arial" w:hAnsi="Arial"/>
          <w:sz w:val="18"/>
          <w:szCs w:val="18"/>
          <w:color w:val="auto"/>
        </w:rPr>
        <w:t>— You may obtain a copy of the prospectus related to the Stock free of charge by making a request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Plan Administration Department: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 2500 Bee Cave Road, Building One, Suite 200, Rollingwood, Texas 78746, Attention: Carrie Putnam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 314-3325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carrie_putnam@ezcorp.com</w:t>
      </w:r>
    </w:p>
    <w:p>
      <w:pPr>
        <w:spacing w:after="0" w:line="176" w:lineRule="exact"/>
        <w:rPr>
          <w:sz w:val="20"/>
          <w:szCs w:val="20"/>
          <w:color w:val="auto"/>
        </w:rPr>
      </w:pPr>
    </w:p>
    <w:p>
      <w:pPr>
        <w:ind w:left="420" w:hanging="412"/>
        <w:spacing w:after="0" w:line="287" w:lineRule="auto"/>
        <w:tabs>
          <w:tab w:leader="none" w:pos="519"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 </w:t>
      </w:r>
      <w:r>
        <w:rPr>
          <w:rFonts w:ascii="Arial" w:cs="Arial" w:eastAsia="Arial" w:hAnsi="Arial"/>
          <w:sz w:val="18"/>
          <w:szCs w:val="18"/>
          <w:color w:val="auto"/>
        </w:rPr>
        <w:t>— You agree that notices regarding this Award may be given to you in writing either at your home address as shown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records of the Company, or by electronic transmission (including e-mail or reference to a website or other URL).</w:t>
      </w:r>
    </w:p>
    <w:p>
      <w:pPr>
        <w:spacing w:after="0" w:line="71"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Acknowledgements </w:t>
      </w:r>
      <w:r>
        <w:rPr>
          <w:rFonts w:ascii="Arial" w:cs="Arial" w:eastAsia="Arial" w:hAnsi="Arial"/>
          <w:sz w:val="18"/>
          <w:szCs w:val="18"/>
          <w:color w:val="auto"/>
        </w:rPr>
        <w:t>— By accepting this Award, you expressly acknowledge the following:</w:t>
      </w:r>
    </w:p>
    <w:p>
      <w:pPr>
        <w:spacing w:after="0" w:line="193" w:lineRule="exact"/>
        <w:rPr>
          <w:rFonts w:ascii="Arial" w:cs="Arial" w:eastAsia="Arial" w:hAnsi="Arial"/>
          <w:sz w:val="18"/>
          <w:szCs w:val="18"/>
          <w:color w:val="auto"/>
        </w:rPr>
      </w:pPr>
    </w:p>
    <w:p>
      <w:pPr>
        <w:jc w:val="both"/>
        <w:ind w:left="980" w:hanging="486"/>
        <w:spacing w:after="0" w:line="215" w:lineRule="auto"/>
        <w:tabs>
          <w:tab w:leader="none" w:pos="975" w:val="left"/>
        </w:tabs>
        <w:numPr>
          <w:ilvl w:val="1"/>
          <w:numId w:val="28"/>
        </w:numPr>
        <w:rPr>
          <w:rFonts w:ascii="Arial" w:cs="Arial" w:eastAsia="Arial" w:hAnsi="Arial"/>
          <w:sz w:val="22"/>
          <w:szCs w:val="22"/>
          <w:color w:val="auto"/>
        </w:rPr>
      </w:pPr>
      <w:r>
        <w:rPr>
          <w:rFonts w:ascii="Arial" w:cs="Arial" w:eastAsia="Arial" w:hAnsi="Arial"/>
          <w:sz w:val="18"/>
          <w:szCs w:val="18"/>
          <w:color w:val="auto"/>
        </w:rPr>
        <w:t>Unless you have a written employment agreement, your Employment is “at will,” and this Award does not alter that relationship in any way and does not confer upon you any right to expectation of employment by, or to continue in the employment of, your Employer. If you have a written employment agreement, this Award shall not be deemed to in any manner enlarge your rights, or diminish your Employer’s rights, under such employment agreement.</w:t>
      </w:r>
    </w:p>
    <w:p>
      <w:pPr>
        <w:spacing w:after="0" w:line="112" w:lineRule="exact"/>
        <w:rPr>
          <w:rFonts w:ascii="Arial" w:cs="Arial" w:eastAsia="Arial" w:hAnsi="Arial"/>
          <w:sz w:val="22"/>
          <w:szCs w:val="22"/>
          <w:color w:val="auto"/>
        </w:rPr>
      </w:pPr>
    </w:p>
    <w:p>
      <w:pPr>
        <w:ind w:left="980" w:hanging="486"/>
        <w:spacing w:after="0"/>
        <w:tabs>
          <w:tab w:leader="none" w:pos="980" w:val="left"/>
        </w:tabs>
        <w:numPr>
          <w:ilvl w:val="1"/>
          <w:numId w:val="28"/>
        </w:numPr>
        <w:rPr>
          <w:rFonts w:ascii="Arial" w:cs="Arial" w:eastAsia="Arial" w:hAnsi="Arial"/>
          <w:sz w:val="22"/>
          <w:szCs w:val="22"/>
          <w:color w:val="auto"/>
        </w:rPr>
      </w:pPr>
      <w:r>
        <w:rPr>
          <w:rFonts w:ascii="Arial" w:cs="Arial" w:eastAsia="Arial" w:hAnsi="Arial"/>
          <w:sz w:val="18"/>
          <w:szCs w:val="18"/>
          <w:color w:val="auto"/>
        </w:rPr>
        <w:t>The Plan is discretionary in nature and may be suspended or terminated by the Company at any time.</w:t>
      </w:r>
    </w:p>
    <w:p>
      <w:pPr>
        <w:spacing w:after="0" w:line="134" w:lineRule="exact"/>
        <w:rPr>
          <w:rFonts w:ascii="Arial" w:cs="Arial" w:eastAsia="Arial" w:hAnsi="Arial"/>
          <w:sz w:val="22"/>
          <w:szCs w:val="22"/>
          <w:color w:val="auto"/>
        </w:rPr>
      </w:pPr>
    </w:p>
    <w:p>
      <w:pPr>
        <w:ind w:left="980" w:right="20" w:hanging="486"/>
        <w:spacing w:after="0" w:line="211" w:lineRule="auto"/>
        <w:tabs>
          <w:tab w:leader="none" w:pos="975" w:val="left"/>
        </w:tabs>
        <w:numPr>
          <w:ilvl w:val="1"/>
          <w:numId w:val="28"/>
        </w:numPr>
        <w:rPr>
          <w:rFonts w:ascii="Arial" w:cs="Arial" w:eastAsia="Arial" w:hAnsi="Arial"/>
          <w:sz w:val="22"/>
          <w:szCs w:val="22"/>
          <w:color w:val="auto"/>
        </w:rPr>
      </w:pPr>
      <w:r>
        <w:rPr>
          <w:rFonts w:ascii="Arial" w:cs="Arial" w:eastAsia="Arial" w:hAnsi="Arial"/>
          <w:sz w:val="18"/>
          <w:szCs w:val="18"/>
          <w:color w:val="auto"/>
        </w:rPr>
        <w:t>This Award is a one-time benefit that does not create any contractual or other right to receive future Awards or benefits in lieu of Awards.</w:t>
      </w:r>
    </w:p>
    <w:p>
      <w:pPr>
        <w:spacing w:after="0" w:line="149" w:lineRule="exact"/>
        <w:rPr>
          <w:rFonts w:ascii="Arial" w:cs="Arial" w:eastAsia="Arial" w:hAnsi="Arial"/>
          <w:sz w:val="22"/>
          <w:szCs w:val="22"/>
          <w:color w:val="auto"/>
        </w:rPr>
      </w:pPr>
    </w:p>
    <w:p>
      <w:pPr>
        <w:ind w:left="980" w:hanging="486"/>
        <w:spacing w:after="0" w:line="211" w:lineRule="auto"/>
        <w:tabs>
          <w:tab w:leader="none" w:pos="975" w:val="left"/>
        </w:tabs>
        <w:numPr>
          <w:ilvl w:val="1"/>
          <w:numId w:val="28"/>
        </w:numPr>
        <w:rPr>
          <w:rFonts w:ascii="Arial" w:cs="Arial" w:eastAsia="Arial" w:hAnsi="Arial"/>
          <w:sz w:val="22"/>
          <w:szCs w:val="22"/>
          <w:color w:val="auto"/>
        </w:rPr>
      </w:pPr>
      <w:r>
        <w:rPr>
          <w:rFonts w:ascii="Arial" w:cs="Arial" w:eastAsia="Arial" w:hAnsi="Arial"/>
          <w:sz w:val="18"/>
          <w:szCs w:val="18"/>
          <w:color w:val="auto"/>
        </w:rPr>
        <w:t>All determinations with respect to future Awards, if any, including the award date, the nature and size of the Award, the vesting dates and applicable restrictions, will be at the sole discretion of the Company.</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1"/>
          <w:numId w:val="28"/>
        </w:numPr>
        <w:rPr>
          <w:rFonts w:ascii="Arial" w:cs="Arial" w:eastAsia="Arial" w:hAnsi="Arial"/>
          <w:sz w:val="22"/>
          <w:szCs w:val="22"/>
          <w:color w:val="auto"/>
        </w:rPr>
      </w:pPr>
      <w:r>
        <w:rPr>
          <w:rFonts w:ascii="Arial" w:cs="Arial" w:eastAsia="Arial" w:hAnsi="Arial"/>
          <w:sz w:val="18"/>
          <w:szCs w:val="18"/>
          <w:color w:val="auto"/>
        </w:rPr>
        <w:t>Your participation in the Plan, and your acceptance of this Award, is entirely voluntary.</w:t>
      </w:r>
    </w:p>
    <w:p>
      <w:pPr>
        <w:spacing w:after="0" w:line="134" w:lineRule="exact"/>
        <w:rPr>
          <w:rFonts w:ascii="Arial" w:cs="Arial" w:eastAsia="Arial" w:hAnsi="Arial"/>
          <w:sz w:val="22"/>
          <w:szCs w:val="22"/>
          <w:color w:val="auto"/>
        </w:rPr>
      </w:pPr>
    </w:p>
    <w:p>
      <w:pPr>
        <w:jc w:val="both"/>
        <w:ind w:left="980" w:hanging="486"/>
        <w:spacing w:after="0" w:line="214" w:lineRule="auto"/>
        <w:tabs>
          <w:tab w:leader="none" w:pos="975" w:val="left"/>
        </w:tabs>
        <w:numPr>
          <w:ilvl w:val="1"/>
          <w:numId w:val="28"/>
        </w:numPr>
        <w:rPr>
          <w:rFonts w:ascii="Arial" w:cs="Arial" w:eastAsia="Arial" w:hAnsi="Arial"/>
          <w:sz w:val="22"/>
          <w:szCs w:val="22"/>
          <w:color w:val="auto"/>
        </w:rPr>
      </w:pPr>
      <w:r>
        <w:rPr>
          <w:rFonts w:ascii="Arial" w:cs="Arial" w:eastAsia="Arial" w:hAnsi="Arial"/>
          <w:sz w:val="18"/>
          <w:szCs w:val="18"/>
          <w:color w:val="auto"/>
        </w:rPr>
        <w:t>The value of this Award is an extraordinary item of compensation, is not part of normal or expected compensation for any purpose and is not to be used for purposes of calculating any severance, resignation, redundancy, end of service payments, bonuses, long-service awards, pension or retirement benefits or similar payments, and you waive any claim on such basis.</w:t>
      </w:r>
    </w:p>
    <w:p>
      <w:pPr>
        <w:spacing w:after="0" w:line="147" w:lineRule="exact"/>
        <w:rPr>
          <w:rFonts w:ascii="Arial" w:cs="Arial" w:eastAsia="Arial" w:hAnsi="Arial"/>
          <w:sz w:val="22"/>
          <w:szCs w:val="22"/>
          <w:color w:val="auto"/>
        </w:rPr>
      </w:pPr>
    </w:p>
    <w:p>
      <w:pPr>
        <w:jc w:val="both"/>
        <w:ind w:left="980" w:hanging="486"/>
        <w:spacing w:after="0" w:line="214" w:lineRule="auto"/>
        <w:tabs>
          <w:tab w:leader="none" w:pos="975" w:val="left"/>
        </w:tabs>
        <w:numPr>
          <w:ilvl w:val="1"/>
          <w:numId w:val="28"/>
        </w:numPr>
        <w:rPr>
          <w:rFonts w:ascii="Arial" w:cs="Arial" w:eastAsia="Arial" w:hAnsi="Arial"/>
          <w:sz w:val="22"/>
          <w:szCs w:val="22"/>
          <w:color w:val="auto"/>
        </w:rPr>
      </w:pPr>
      <w:r>
        <w:rPr>
          <w:rFonts w:ascii="Arial" w:cs="Arial" w:eastAsia="Arial" w:hAnsi="Arial"/>
          <w:sz w:val="18"/>
          <w:szCs w:val="18"/>
          <w:color w:val="auto"/>
        </w:rPr>
        <w:t>The grant of an equity interest in the Company (represented by this Award) gives rise to the Company’s need (on behalf of itself and its stockholders) to protect itself from Conduct Detrimental to the Company, and your promises and agreements described in Paragraph 8 are designed to protect the Company and its stockholders from Conduct Detrimental to the Company.</w:t>
      </w:r>
    </w:p>
    <w:p>
      <w:pPr>
        <w:spacing w:after="0" w:line="147" w:lineRule="exact"/>
        <w:rPr>
          <w:rFonts w:ascii="Arial" w:cs="Arial" w:eastAsia="Arial" w:hAnsi="Arial"/>
          <w:sz w:val="22"/>
          <w:szCs w:val="22"/>
          <w:color w:val="auto"/>
        </w:rPr>
      </w:pPr>
    </w:p>
    <w:p>
      <w:pPr>
        <w:ind w:left="980" w:hanging="486"/>
        <w:spacing w:after="0" w:line="211" w:lineRule="auto"/>
        <w:tabs>
          <w:tab w:leader="none" w:pos="975" w:val="left"/>
        </w:tabs>
        <w:numPr>
          <w:ilvl w:val="1"/>
          <w:numId w:val="28"/>
        </w:numPr>
        <w:rPr>
          <w:rFonts w:ascii="Arial" w:cs="Arial" w:eastAsia="Arial" w:hAnsi="Arial"/>
          <w:sz w:val="22"/>
          <w:szCs w:val="22"/>
          <w:color w:val="auto"/>
        </w:rPr>
      </w:pPr>
      <w:r>
        <w:rPr>
          <w:rFonts w:ascii="Arial" w:cs="Arial" w:eastAsia="Arial" w:hAnsi="Arial"/>
          <w:sz w:val="18"/>
          <w:szCs w:val="18"/>
          <w:color w:val="auto"/>
        </w:rPr>
        <w:t>Vesting of Units ceases upon termination of Employment for any reason, except as may otherwise be explicitly provided in the Award Agreement or the Plan.</w:t>
      </w:r>
    </w:p>
    <w:p>
      <w:pPr>
        <w:spacing w:after="0" w:line="135" w:lineRule="exact"/>
        <w:rPr>
          <w:rFonts w:ascii="Arial" w:cs="Arial" w:eastAsia="Arial" w:hAnsi="Arial"/>
          <w:sz w:val="22"/>
          <w:szCs w:val="22"/>
          <w:color w:val="auto"/>
        </w:rPr>
      </w:pPr>
    </w:p>
    <w:p>
      <w:pPr>
        <w:ind w:left="980" w:hanging="486"/>
        <w:spacing w:after="0" w:line="211" w:lineRule="auto"/>
        <w:tabs>
          <w:tab w:leader="none" w:pos="975" w:val="left"/>
        </w:tabs>
        <w:numPr>
          <w:ilvl w:val="1"/>
          <w:numId w:val="28"/>
        </w:numPr>
        <w:rPr>
          <w:rFonts w:ascii="Arial" w:cs="Arial" w:eastAsia="Arial" w:hAnsi="Arial"/>
          <w:sz w:val="22"/>
          <w:szCs w:val="22"/>
          <w:color w:val="auto"/>
        </w:rPr>
      </w:pPr>
      <w:r>
        <w:rPr>
          <w:rFonts w:ascii="Arial" w:cs="Arial" w:eastAsia="Arial" w:hAnsi="Arial"/>
          <w:sz w:val="18"/>
          <w:szCs w:val="18"/>
          <w:color w:val="auto"/>
        </w:rPr>
        <w:t>The future value of the Units (and the Stock that may be issued pursuant to this Award) is unknown and cannot be predicted with certainty.</w:t>
      </w:r>
    </w:p>
    <w:p>
      <w:pPr>
        <w:spacing w:after="0" w:line="149" w:lineRule="exact"/>
        <w:rPr>
          <w:rFonts w:ascii="Arial" w:cs="Arial" w:eastAsia="Arial" w:hAnsi="Arial"/>
          <w:sz w:val="22"/>
          <w:szCs w:val="22"/>
          <w:color w:val="auto"/>
        </w:rPr>
      </w:pPr>
    </w:p>
    <w:p>
      <w:pPr>
        <w:ind w:left="980" w:hanging="486"/>
        <w:spacing w:after="0" w:line="211" w:lineRule="auto"/>
        <w:tabs>
          <w:tab w:leader="none" w:pos="975" w:val="left"/>
        </w:tabs>
        <w:numPr>
          <w:ilvl w:val="1"/>
          <w:numId w:val="28"/>
        </w:numPr>
        <w:rPr>
          <w:rFonts w:ascii="Arial" w:cs="Arial" w:eastAsia="Arial" w:hAnsi="Arial"/>
          <w:sz w:val="22"/>
          <w:szCs w:val="22"/>
          <w:color w:val="auto"/>
        </w:rPr>
      </w:pPr>
      <w:r>
        <w:rPr>
          <w:rFonts w:ascii="Arial" w:cs="Arial" w:eastAsia="Arial" w:hAnsi="Arial"/>
          <w:sz w:val="18"/>
          <w:szCs w:val="18"/>
          <w:color w:val="auto"/>
        </w:rPr>
        <w:t>You understand, acknowledge and agree that you will have no rights to compensation or damages related to this Award as a consequence of the termination of your Employment for any reason whatsoever and whether or not in breach of contract.</w:t>
      </w:r>
    </w:p>
    <w:p>
      <w:pPr>
        <w:spacing w:after="0" w:line="113" w:lineRule="exact"/>
        <w:rPr>
          <w:rFonts w:ascii="Arial" w:cs="Arial" w:eastAsia="Arial" w:hAnsi="Arial"/>
          <w:sz w:val="22"/>
          <w:szCs w:val="22"/>
          <w:color w:val="auto"/>
        </w:rPr>
      </w:pPr>
    </w:p>
    <w:p>
      <w:pPr>
        <w:jc w:val="both"/>
        <w:ind w:left="420" w:hanging="412"/>
        <w:spacing w:after="0" w:line="259" w:lineRule="auto"/>
        <w:tabs>
          <w:tab w:leader="none" w:pos="478"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Privacy Consent </w:t>
      </w:r>
      <w:r>
        <w:rPr>
          <w:rFonts w:ascii="Arial" w:cs="Arial" w:eastAsia="Arial" w:hAnsi="Arial"/>
          <w:sz w:val="18"/>
          <w:szCs w:val="18"/>
          <w:color w:val="auto"/>
        </w:rPr>
        <w:t>— As a condition to Company’s making this Award, you consent to the collection, use and transfer of personal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as described in this Paragraph. You understand that the Company and its Subsidiaries hold certain personal information about you, including your name, home address and telephone number, date of birth, social security number, salary, nationality, job title, any ownership interests or directorships held in the Company or its Subsidiaries and details of all Awards made or cancelled (collectively, “Data”). You further understand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ind w:left="420"/>
        <w:spacing w:after="0" w:line="252" w:lineRule="auto"/>
        <w:rPr>
          <w:sz w:val="20"/>
          <w:szCs w:val="20"/>
          <w:color w:val="auto"/>
        </w:rPr>
      </w:pPr>
      <w:r>
        <w:rPr>
          <w:rFonts w:ascii="Arial" w:cs="Arial" w:eastAsia="Arial" w:hAnsi="Arial"/>
          <w:sz w:val="18"/>
          <w:szCs w:val="18"/>
          <w:color w:val="auto"/>
        </w:rPr>
        <w:t>Company and its Subsidiaries will transfer Data among themselves as necessary for the purposes of implementation, administration and management of your participation in the Plan, and that the Company and any of its Subsidiaries may each further transfer Data to any third parties assisting the Company in the implementation, administration and management of the Plan. You understand that these recipients may be located in the United States of America, the European Economic Area or elsewhere. You authorize them to receive, possess, use, retain and transfer such Data as may be required for the administration of the Plan or the subsequent holding of Stock on your behalf, in electronic or other form, for the purposes of implementing, administering and managing your participation in the Plan, including any requisite transfer to a broker or other third party with whom you may elect to deposit any shares of Stock acquired under the Plan. You understand that you may, at any time, view such Data or require any necessary amendments to it.</w:t>
      </w:r>
    </w:p>
    <w:p>
      <w:pPr>
        <w:spacing w:after="0" w:line="102" w:lineRule="exact"/>
        <w:rPr>
          <w:sz w:val="20"/>
          <w:szCs w:val="20"/>
          <w:color w:val="auto"/>
        </w:rPr>
      </w:pPr>
    </w:p>
    <w:p>
      <w:pPr>
        <w:jc w:val="both"/>
        <w:ind w:left="420" w:hanging="412"/>
        <w:spacing w:after="0" w:line="257" w:lineRule="auto"/>
        <w:tabs>
          <w:tab w:leader="none" w:pos="478"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and Venue </w:t>
      </w:r>
      <w:r>
        <w:rPr>
          <w:rFonts w:ascii="Arial" w:cs="Arial" w:eastAsia="Arial" w:hAnsi="Arial"/>
          <w:sz w:val="18"/>
          <w:szCs w:val="18"/>
          <w:color w:val="auto"/>
        </w:rPr>
        <w:t>— This Award Agreement and the Plan shall be governed by, and construed in accordance with, the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State of Delaware, United States of America. The venue for any and all disputes arising out of or in connection with this Agreement shall be Travis County, Texas, United States of America, and the courts sitting exclusively in Travis County, Texas, United States of America shall have exclusive jurisdiction to adjudicate such disputes. Each party hereby expressly consents to the exercise of jurisdiction by such courts and hereby irrevocably and unconditionally waives, to the fullest extent it may legally and effectively do so, any objection that it may now or hereafter have to such laying of venue (including the defense of inconvenient forum).</w:t>
      </w:r>
    </w:p>
    <w:p>
      <w:pPr>
        <w:spacing w:after="0" w:line="114" w:lineRule="exact"/>
        <w:rPr>
          <w:rFonts w:ascii="Arial" w:cs="Arial" w:eastAsia="Arial" w:hAnsi="Arial"/>
          <w:sz w:val="18"/>
          <w:szCs w:val="18"/>
          <w:color w:val="auto"/>
        </w:rPr>
      </w:pPr>
    </w:p>
    <w:p>
      <w:pPr>
        <w:jc w:val="both"/>
        <w:ind w:left="420" w:hanging="412"/>
        <w:spacing w:after="0" w:line="262" w:lineRule="auto"/>
        <w:tabs>
          <w:tab w:leader="none" w:pos="559"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Invalid Provisions </w:t>
      </w:r>
      <w:r>
        <w:rPr>
          <w:rFonts w:ascii="Arial" w:cs="Arial" w:eastAsia="Arial" w:hAnsi="Arial"/>
          <w:sz w:val="18"/>
          <w:szCs w:val="18"/>
          <w:color w:val="auto"/>
        </w:rPr>
        <w:t>— If any of the terms or conditions set forth in the Award Agreement are determined by a court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competent jurisdiction to be unenforceable, any Shares that have not vested as described above will be forfeited at that time and you agree to return to the Company the Returnable Share Value (as defined in Paragraph 8) with respect to all Shares theretofore vested pursuant to this Award.</w:t>
      </w:r>
    </w:p>
    <w:p>
      <w:pPr>
        <w:spacing w:after="0" w:line="108" w:lineRule="exact"/>
        <w:rPr>
          <w:rFonts w:ascii="Arial" w:cs="Arial" w:eastAsia="Arial" w:hAnsi="Arial"/>
          <w:sz w:val="18"/>
          <w:szCs w:val="18"/>
          <w:color w:val="auto"/>
        </w:rPr>
      </w:pPr>
    </w:p>
    <w:p>
      <w:pPr>
        <w:jc w:val="both"/>
        <w:ind w:left="420" w:hanging="412"/>
        <w:spacing w:after="0" w:line="268" w:lineRule="auto"/>
        <w:tabs>
          <w:tab w:leader="none" w:pos="492"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Acceptance of Terms and Conditions </w:t>
      </w:r>
      <w:r>
        <w:rPr>
          <w:rFonts w:ascii="Arial" w:cs="Arial" w:eastAsia="Arial" w:hAnsi="Arial"/>
          <w:sz w:val="18"/>
          <w:szCs w:val="18"/>
          <w:color w:val="auto"/>
        </w:rPr>
        <w:t>— This Award will not be effective until you have accepted the Award and acknowledged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to the terms and conditions set forth in the Award Agreement in the manner prescribed by the Company. Failure to accept the Award prior to the first vesting date will result in immediate and automatic expiration and cancellation of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Jason A. Kulas,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Jason A. Kulas, certify that:</w:t>
      </w:r>
    </w:p>
    <w:p>
      <w:pPr>
        <w:spacing w:after="0" w:line="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Jason A. Kulas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258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Jason A. Kulas, Chief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undersigned officer of EZCORP, Inc. hereby certifies that (a) EZCORP’s Quarterly Report on Form 10-Q for the quarter ended March 31, 2021,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Jason A. Kulas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undersigned officer of EZCORP, Inc. hereby certifies that (a) EZCORP’s Quarterly Report on Form 10-Q for the quarter ended March 31, 2021,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decimal"/>
      <w:start w:val="104"/>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4353D0CD"/>
    <w:multiLevelType w:val="hybridMultilevel"/>
    <w:lvl w:ilvl="0">
      <w:lvlJc w:val="left"/>
      <w:lvlText w:val="%1"/>
      <w:numFmt w:val="decimal"/>
      <w:start w:val="1"/>
    </w:lvl>
    <w:lvl w:ilvl="1">
      <w:lvlJc w:val="left"/>
      <w:lvlText w:val="(%2)"/>
      <w:numFmt w:val="lowerLetter"/>
      <w:start w:val="3"/>
    </w:lvl>
  </w:abstractNum>
  <w:abstractNum w:abstractNumId="20">
    <w:nsid w:val="B03E0C6"/>
    <w:multiLevelType w:val="hybridMultilevel"/>
    <w:lvl w:ilvl="0">
      <w:lvlJc w:val="left"/>
      <w:lvlText w:val="%1."/>
      <w:numFmt w:val="decimal"/>
      <w:start w:val="3"/>
    </w:lvl>
    <w:lvl w:ilvl="1">
      <w:lvlJc w:val="left"/>
      <w:lvlText w:val="%2"/>
      <w:numFmt w:val="lowerLetter"/>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1."/>
      <w:numFmt w:val="decimal"/>
      <w:start w:val="3"/>
    </w:lvl>
  </w:abstractNum>
  <w:abstractNum w:abstractNumId="24">
    <w:nsid w:val="2CA88611"/>
    <w:multiLevelType w:val="hybridMultilevel"/>
    <w:lvl w:ilvl="0">
      <w:lvlJc w:val="left"/>
      <w:lvlText w:val="%1."/>
      <w:numFmt w:val="decimal"/>
      <w:start w:val="6"/>
    </w:lvl>
    <w:lvl w:ilvl="1">
      <w:lvlJc w:val="left"/>
      <w:lvlText w:val="(%2)"/>
      <w:numFmt w:val="lowerLetter"/>
      <w:start w:val="1"/>
    </w:lvl>
  </w:abstractNum>
  <w:abstractNum w:abstractNumId="25">
    <w:nsid w:val="836C40E"/>
    <w:multiLevelType w:val="hybridMultilevel"/>
    <w:lvl w:ilvl="0">
      <w:lvlJc w:val="left"/>
      <w:lvlText w:val="%1."/>
      <w:numFmt w:val="decimal"/>
      <w:start w:val="9"/>
    </w:lvl>
  </w:abstractNum>
  <w:abstractNum w:abstractNumId="26">
    <w:nsid w:val="2901D82"/>
    <w:multiLevelType w:val="hybridMultilevel"/>
    <w:lvl w:ilvl="0">
      <w:lvlJc w:val="left"/>
      <w:lvlText w:val="%1."/>
      <w:numFmt w:val="decimal"/>
      <w:start w:val="10"/>
    </w:lvl>
  </w:abstractNum>
  <w:abstractNum w:abstractNumId="27">
    <w:nsid w:val="3A95F874"/>
    <w:multiLevelType w:val="hybridMultilevel"/>
    <w:lvl w:ilvl="0">
      <w:lvlJc w:val="left"/>
      <w:lvlText w:val="%1."/>
      <w:numFmt w:val="decimal"/>
      <w:start w:val="11"/>
    </w:lvl>
    <w:lvl w:ilvl="1">
      <w:lvlJc w:val="left"/>
      <w:lvlText w:val="•"/>
      <w:numFmt w:val="bullet"/>
      <w:start w:val="1"/>
    </w:lvl>
  </w:abstractNum>
  <w:abstractNum w:abstractNumId="28">
    <w:nsid w:val="8138641"/>
    <w:multiLevelType w:val="hybridMultilevel"/>
    <w:lvl w:ilvl="0">
      <w:lvlJc w:val="left"/>
      <w:lvlText w:val="%1."/>
      <w:numFmt w:val="decimal"/>
      <w:start w:val="14"/>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20" Type="http://schemas.openxmlformats.org/officeDocument/2006/relationships/hyperlink" Target="http://www.sec.gov/ix?doc=/Archives/edgar/data/876523/000087652320000059/ezpw-2020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2021-05-05T16:25:37Z</dcterms:created>
  <dcterms:modified xsi:type="dcterms:W3CDTF">2021-05-05T16:25:37Z</dcterms:modified>
</cp:coreProperties>
</file>