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9)*</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EZCORP INC-CL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22-2370029)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593300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593300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593300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1901 Capital Pkwy, Austin, TX 78746-7613, United States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1299 Ocean Avenue, Santa Monica, CA 90401</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302301106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593300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593300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593300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8"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(formerly, Dimensional Fund Advisors Inc.) (“Dimensional”), an investment advisor registered under Section 203 of the Investment Advisors Act of 1940,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investment and/or voting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259" w:lineRule="auto"/>
        <w:rPr>
          <w:sz w:val="20"/>
          <w:szCs w:val="20"/>
          <w:color w:val="auto"/>
        </w:rPr>
      </w:pPr>
      <w:r>
        <w:rPr>
          <w:rFonts w:ascii="Arial" w:cs="Arial" w:eastAsia="Arial" w:hAnsi="Arial"/>
          <w:sz w:val="18"/>
          <w:szCs w:val="18"/>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disclaims beneficial ownership of all such securities.</w:t>
      </w:r>
    </w:p>
    <w:p>
      <w:pPr>
        <w:spacing w:after="0" w:line="86"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2020-02-03T20:40:30Z</dcterms:created>
  <dcterms:modified xsi:type="dcterms:W3CDTF">2020-02-03T20:40:30Z</dcterms:modified>
</cp:coreProperties>
</file>