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473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7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Alomes Scott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Human Resources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12/05/2019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36,166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5.19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88,441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12/05/2019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8,807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5.19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79,634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2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36,166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5.19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12/05/2019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36,166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2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5.19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79,488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to cover tax liability associated with the vesting of restricted stock units.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Total Non-Derivative Securities Beneficially Owned includes 12,000 unvested Restricted Stock Awards.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vested on December 5, 2019 after specified performance goals were achieved.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Carrie Putnam,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12/13/2019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849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34986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2019-12-13T16:02:17Z</dcterms:created>
  <dcterms:modified xsi:type="dcterms:W3CDTF">2019-12-13T16:02:17Z</dcterms:modified>
</cp:coreProperties>
</file>