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2)*</w:t>
      </w:r>
    </w:p>
    <w:p>
      <w:pPr>
        <w:spacing w:after="0" w:line="162" w:lineRule="exact"/>
        <w:rPr>
          <w:sz w:val="24"/>
          <w:szCs w:val="24"/>
          <w:color w:val="auto"/>
        </w:rPr>
      </w:pPr>
    </w:p>
    <w:p>
      <w:pPr>
        <w:jc w:val="center"/>
        <w:ind w:right="-79"/>
        <w:spacing w:after="0"/>
        <w:rPr>
          <w:sz w:val="20"/>
          <w:szCs w:val="20"/>
          <w:color w:val="auto"/>
        </w:rPr>
      </w:pPr>
      <w:r>
        <w:rPr>
          <w:rFonts w:ascii="Arial" w:cs="Arial" w:eastAsia="Arial" w:hAnsi="Arial"/>
          <w:sz w:val="40"/>
          <w:szCs w:val="40"/>
          <w:b w:val="1"/>
          <w:bCs w:val="1"/>
          <w:color w:val="auto"/>
        </w:rPr>
        <w:t>EZCORP, INC.</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CLASS A NON VOTING COMMON STOCK, $0.01 PAR VALUE</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302301106</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31 DECEMBER 2017</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00" w:hanging="215"/>
        <w:spacing w:after="0"/>
        <w:tabs>
          <w:tab w:leader="none" w:pos="11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100" w:hanging="215"/>
        <w:spacing w:after="0"/>
        <w:tabs>
          <w:tab w:leader="none" w:pos="11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100" w:hanging="215"/>
        <w:spacing w:after="0"/>
        <w:tabs>
          <w:tab w:leader="none" w:pos="110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4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7"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6997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193040</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60"/>
          </w:cols>
          <w:pgMar w:left="440" w:top="517" w:right="4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540" w:type="dxa"/>
            <w:vAlign w:val="bottom"/>
          </w:tcPr>
          <w:p>
            <w:pPr>
              <w:ind w:left="3340"/>
              <w:spacing w:after="0"/>
              <w:rPr>
                <w:sz w:val="20"/>
                <w:szCs w:val="20"/>
                <w:color w:val="auto"/>
              </w:rPr>
            </w:pPr>
            <w:r>
              <w:rPr>
                <w:rFonts w:ascii="Arial" w:cs="Arial" w:eastAsia="Arial" w:hAnsi="Arial"/>
                <w:sz w:val="18"/>
                <w:szCs w:val="18"/>
                <w:color w:val="auto"/>
              </w:rPr>
              <w:t>SCHEDULE 13G</w:t>
            </w:r>
          </w:p>
        </w:tc>
        <w:tc>
          <w:tcPr>
            <w:tcW w:w="0" w:type="dxa"/>
            <w:vAlign w:val="bottom"/>
          </w:tcPr>
          <w:p>
            <w:pPr>
              <w:spacing w:after="0"/>
              <w:rPr>
                <w:sz w:val="1"/>
                <w:szCs w:val="1"/>
                <w:color w:val="auto"/>
              </w:rPr>
            </w:pPr>
          </w:p>
        </w:tc>
      </w:tr>
      <w:tr>
        <w:trPr>
          <w:trHeight w:val="459"/>
        </w:trPr>
        <w:tc>
          <w:tcPr>
            <w:tcW w:w="11060" w:type="dxa"/>
            <w:vAlign w:val="bottom"/>
            <w:gridSpan w:val="7"/>
          </w:tcPr>
          <w:p>
            <w:pPr>
              <w:spacing w:after="0"/>
              <w:rPr>
                <w:sz w:val="20"/>
                <w:szCs w:val="20"/>
                <w:color w:val="auto"/>
              </w:rPr>
            </w:pPr>
            <w:r>
              <w:rPr>
                <w:rFonts w:ascii="Arial" w:cs="Arial" w:eastAsia="Arial" w:hAnsi="Arial"/>
                <w:sz w:val="18"/>
                <w:szCs w:val="18"/>
                <w:color w:val="auto"/>
              </w:rPr>
              <w:t>CUSIP No. 302301106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640" w:type="dxa"/>
            <w:vAlign w:val="bottom"/>
            <w:tcBorders>
              <w:bottom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64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064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ROVIDA ADVISORS INC.</w:t>
            </w:r>
          </w:p>
        </w:tc>
        <w:tc>
          <w:tcPr>
            <w:tcW w:w="0" w:type="dxa"/>
            <w:vAlign w:val="bottom"/>
          </w:tcPr>
          <w:p>
            <w:pPr>
              <w:spacing w:after="0"/>
              <w:rPr>
                <w:sz w:val="1"/>
                <w:szCs w:val="1"/>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380" w:type="dxa"/>
            <w:vAlign w:val="bottom"/>
            <w:tcBorders>
              <w:righ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10640" w:type="dxa"/>
            <w:vAlign w:val="bottom"/>
            <w:tcBorders>
              <w:right w:val="single" w:sz="8" w:color="auto"/>
            </w:tcBorders>
            <w:gridSpan w:val="5"/>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84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800" w:type="dxa"/>
            <w:vAlign w:val="bottom"/>
            <w:tcBorders>
              <w:right w:val="single" w:sz="8" w:color="auto"/>
            </w:tcBorders>
            <w:gridSpan w:val="3"/>
          </w:tcPr>
          <w:p>
            <w:pPr>
              <w:ind w:left="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vMerge w:val="restart"/>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tcBorders>
            <w:gridSpan w:val="4"/>
          </w:tcPr>
          <w:p>
            <w:pPr>
              <w:spacing w:after="0"/>
              <w:rPr>
                <w:sz w:val="20"/>
                <w:szCs w:val="20"/>
                <w:color w:val="auto"/>
              </w:rPr>
            </w:pPr>
          </w:p>
        </w:tc>
        <w:tc>
          <w:tcPr>
            <w:tcW w:w="95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100" w:type="dxa"/>
            <w:vAlign w:val="bottom"/>
            <w:gridSpan w:val="4"/>
          </w:tcPr>
          <w:p>
            <w:pPr>
              <w:ind w:left="100"/>
              <w:spacing w:after="0"/>
              <w:rPr>
                <w:sz w:val="20"/>
                <w:szCs w:val="20"/>
                <w:color w:val="auto"/>
              </w:rPr>
            </w:pPr>
            <w:r>
              <w:rPr>
                <w:rFonts w:ascii="Arial" w:cs="Arial" w:eastAsia="Arial" w:hAnsi="Arial"/>
                <w:sz w:val="18"/>
                <w:szCs w:val="18"/>
                <w:color w:val="auto"/>
                <w:w w:val="89"/>
              </w:rPr>
              <w:t>Sec Use Only</w:t>
            </w:r>
          </w:p>
        </w:tc>
        <w:tc>
          <w:tcPr>
            <w:tcW w:w="95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vMerge w:val="restart"/>
          </w:tcPr>
          <w:p>
            <w:pPr>
              <w:spacing w:after="0"/>
              <w:rPr>
                <w:sz w:val="21"/>
                <w:szCs w:val="21"/>
                <w:color w:val="auto"/>
              </w:rPr>
            </w:pPr>
          </w:p>
        </w:tc>
        <w:tc>
          <w:tcPr>
            <w:tcW w:w="380" w:type="dxa"/>
            <w:vAlign w:val="bottom"/>
            <w:tcBorders>
              <w:bottom w:val="single" w:sz="8" w:color="auto"/>
              <w:right w:val="single" w:sz="8" w:color="auto"/>
            </w:tcBorders>
          </w:tcPr>
          <w:p>
            <w:pPr>
              <w:spacing w:after="0"/>
              <w:rPr>
                <w:sz w:val="21"/>
                <w:szCs w:val="21"/>
                <w:color w:val="auto"/>
              </w:rPr>
            </w:pPr>
          </w:p>
        </w:tc>
        <w:tc>
          <w:tcPr>
            <w:tcW w:w="10640" w:type="dxa"/>
            <w:vAlign w:val="bottom"/>
            <w:tcBorders>
              <w:bottom w:val="single" w:sz="8" w:color="auto"/>
              <w:right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64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064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DELAWARE, USA</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5</w:t>
            </w:r>
          </w:p>
        </w:tc>
        <w:tc>
          <w:tcPr>
            <w:tcW w:w="80" w:type="dxa"/>
            <w:vAlign w:val="bottom"/>
          </w:tcPr>
          <w:p>
            <w:pPr>
              <w:spacing w:after="0"/>
              <w:rPr>
                <w:sz w:val="20"/>
                <w:szCs w:val="20"/>
                <w:color w:val="auto"/>
              </w:rPr>
            </w:pPr>
          </w:p>
        </w:tc>
        <w:tc>
          <w:tcPr>
            <w:tcW w:w="95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gridSpan w:val="2"/>
          </w:tcPr>
          <w:p>
            <w:pPr>
              <w:jc w:val="center"/>
              <w:ind w:left="10"/>
              <w:spacing w:after="0"/>
              <w:rPr>
                <w:sz w:val="20"/>
                <w:szCs w:val="20"/>
                <w:color w:val="auto"/>
              </w:rPr>
            </w:pPr>
            <w:r>
              <w:rPr>
                <w:rFonts w:ascii="Arial" w:cs="Arial" w:eastAsia="Arial" w:hAnsi="Arial"/>
                <w:sz w:val="18"/>
                <w:szCs w:val="18"/>
                <w:color w:val="auto"/>
                <w:w w:val="92"/>
              </w:rPr>
              <w:t>Number of</w:t>
            </w: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4,000,000</w:t>
            </w: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Borders>
              <w:right w:val="single" w:sz="8" w:color="auto"/>
            </w:tcBorders>
          </w:tcPr>
          <w:p>
            <w:pPr>
              <w:jc w:val="center"/>
              <w:ind w:right="210"/>
              <w:spacing w:after="0"/>
              <w:rPr>
                <w:sz w:val="20"/>
                <w:szCs w:val="20"/>
                <w:color w:val="auto"/>
              </w:rPr>
            </w:pPr>
            <w:r>
              <w:rPr>
                <w:rFonts w:ascii="Arial" w:cs="Arial" w:eastAsia="Arial" w:hAnsi="Arial"/>
                <w:sz w:val="18"/>
                <w:szCs w:val="18"/>
                <w:color w:val="auto"/>
                <w:w w:val="84"/>
              </w:rPr>
              <w:t>Shares</w:t>
            </w:r>
          </w:p>
        </w:tc>
        <w:tc>
          <w:tcPr>
            <w:tcW w:w="60" w:type="dxa"/>
            <w:vAlign w:val="bottom"/>
          </w:tcPr>
          <w:p>
            <w:pPr>
              <w:spacing w:after="0"/>
              <w:rPr>
                <w:sz w:val="20"/>
                <w:szCs w:val="20"/>
                <w:color w:val="auto"/>
              </w:rPr>
            </w:pPr>
          </w:p>
        </w:tc>
        <w:tc>
          <w:tcPr>
            <w:tcW w:w="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6</w:t>
            </w:r>
          </w:p>
        </w:tc>
        <w:tc>
          <w:tcPr>
            <w:tcW w:w="80" w:type="dxa"/>
            <w:vAlign w:val="bottom"/>
          </w:tcPr>
          <w:p>
            <w:pPr>
              <w:spacing w:after="0"/>
              <w:rPr>
                <w:sz w:val="20"/>
                <w:szCs w:val="20"/>
                <w:color w:val="auto"/>
              </w:rPr>
            </w:pPr>
          </w:p>
        </w:tc>
        <w:tc>
          <w:tcPr>
            <w:tcW w:w="95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6"/>
              </w:rPr>
              <w:t>Beneficially</w:t>
            </w:r>
          </w:p>
        </w:tc>
        <w:tc>
          <w:tcPr>
            <w:tcW w:w="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gridSpan w:val="2"/>
          </w:tcPr>
          <w:p>
            <w:pPr>
              <w:jc w:val="center"/>
              <w:ind w:left="10"/>
              <w:spacing w:after="0"/>
              <w:rPr>
                <w:sz w:val="20"/>
                <w:szCs w:val="20"/>
                <w:color w:val="auto"/>
              </w:rPr>
            </w:pPr>
            <w:r>
              <w:rPr>
                <w:rFonts w:ascii="Arial" w:cs="Arial" w:eastAsia="Arial" w:hAnsi="Arial"/>
                <w:sz w:val="18"/>
                <w:szCs w:val="18"/>
                <w:color w:val="auto"/>
                <w:w w:val="91"/>
              </w:rPr>
              <w:t>Owned by</w:t>
            </w: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5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Borders>
              <w:right w:val="single" w:sz="8" w:color="auto"/>
            </w:tcBorders>
          </w:tcPr>
          <w:p>
            <w:pPr>
              <w:jc w:val="center"/>
              <w:ind w:right="210"/>
              <w:spacing w:after="0" w:line="182" w:lineRule="exact"/>
              <w:rPr>
                <w:sz w:val="20"/>
                <w:szCs w:val="20"/>
                <w:color w:val="auto"/>
              </w:rPr>
            </w:pPr>
            <w:r>
              <w:rPr>
                <w:rFonts w:ascii="Arial" w:cs="Arial" w:eastAsia="Arial" w:hAnsi="Arial"/>
                <w:sz w:val="18"/>
                <w:szCs w:val="18"/>
                <w:color w:val="auto"/>
                <w:w w:val="87"/>
              </w:rPr>
              <w:t>Each</w:t>
            </w:r>
          </w:p>
        </w:tc>
        <w:tc>
          <w:tcPr>
            <w:tcW w:w="60" w:type="dxa"/>
            <w:vAlign w:val="bottom"/>
          </w:tcPr>
          <w:p>
            <w:pPr>
              <w:spacing w:after="0"/>
              <w:rPr>
                <w:sz w:val="15"/>
                <w:szCs w:val="15"/>
                <w:color w:val="auto"/>
              </w:rPr>
            </w:pPr>
          </w:p>
        </w:tc>
        <w:tc>
          <w:tcPr>
            <w:tcW w:w="18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7</w:t>
            </w:r>
          </w:p>
        </w:tc>
        <w:tc>
          <w:tcPr>
            <w:tcW w:w="80" w:type="dxa"/>
            <w:vAlign w:val="bottom"/>
          </w:tcPr>
          <w:p>
            <w:pPr>
              <w:spacing w:after="0"/>
              <w:rPr>
                <w:sz w:val="15"/>
                <w:szCs w:val="15"/>
                <w:color w:val="auto"/>
              </w:rPr>
            </w:pPr>
          </w:p>
        </w:tc>
        <w:tc>
          <w:tcPr>
            <w:tcW w:w="954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Reporting</w:t>
            </w:r>
          </w:p>
        </w:tc>
        <w:tc>
          <w:tcPr>
            <w:tcW w:w="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Borders>
              <w:right w:val="single" w:sz="8" w:color="auto"/>
            </w:tcBorders>
          </w:tcPr>
          <w:p>
            <w:pPr>
              <w:jc w:val="center"/>
              <w:ind w:right="210"/>
              <w:spacing w:after="0"/>
              <w:rPr>
                <w:sz w:val="20"/>
                <w:szCs w:val="20"/>
                <w:color w:val="auto"/>
              </w:rPr>
            </w:pPr>
            <w:r>
              <w:rPr>
                <w:rFonts w:ascii="Arial" w:cs="Arial" w:eastAsia="Arial" w:hAnsi="Arial"/>
                <w:sz w:val="18"/>
                <w:szCs w:val="18"/>
                <w:color w:val="auto"/>
                <w:w w:val="84"/>
              </w:rPr>
              <w:t>Person</w:t>
            </w:r>
          </w:p>
        </w:tc>
        <w:tc>
          <w:tcPr>
            <w:tcW w:w="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4,000,000</w:t>
            </w: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tcBorders>
              <w:right w:val="single" w:sz="8" w:color="auto"/>
            </w:tcBorders>
            <w:vMerge w:val="restart"/>
          </w:tcPr>
          <w:p>
            <w:pPr>
              <w:jc w:val="center"/>
              <w:ind w:right="210"/>
              <w:spacing w:after="0"/>
              <w:rPr>
                <w:sz w:val="20"/>
                <w:szCs w:val="20"/>
                <w:color w:val="auto"/>
              </w:rPr>
            </w:pPr>
            <w:r>
              <w:rPr>
                <w:rFonts w:ascii="Arial" w:cs="Arial" w:eastAsia="Arial" w:hAnsi="Arial"/>
                <w:sz w:val="18"/>
                <w:szCs w:val="18"/>
                <w:color w:val="auto"/>
                <w:w w:val="97"/>
              </w:rPr>
              <w:t>With:</w:t>
            </w:r>
          </w:p>
        </w:tc>
        <w:tc>
          <w:tcPr>
            <w:tcW w:w="6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8</w:t>
            </w:r>
          </w:p>
        </w:tc>
        <w:tc>
          <w:tcPr>
            <w:tcW w:w="80" w:type="dxa"/>
            <w:vAlign w:val="bottom"/>
          </w:tcPr>
          <w:p>
            <w:pPr>
              <w:spacing w:after="0"/>
              <w:rPr>
                <w:sz w:val="12"/>
                <w:szCs w:val="12"/>
                <w:color w:val="auto"/>
              </w:rPr>
            </w:pPr>
          </w:p>
        </w:tc>
        <w:tc>
          <w:tcPr>
            <w:tcW w:w="95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5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20" w:type="dxa"/>
            <w:vAlign w:val="bottom"/>
            <w:gridSpan w:val="3"/>
          </w:tcPr>
          <w:p>
            <w:pPr>
              <w:ind w:left="100"/>
              <w:spacing w:after="0"/>
              <w:rPr>
                <w:sz w:val="20"/>
                <w:szCs w:val="20"/>
                <w:color w:val="auto"/>
              </w:rPr>
            </w:pPr>
            <w:r>
              <w:rPr>
                <w:rFonts w:ascii="Arial" w:cs="Arial" w:eastAsia="Arial" w:hAnsi="Arial"/>
                <w:sz w:val="18"/>
                <w:szCs w:val="18"/>
                <w:color w:val="auto"/>
              </w:rPr>
              <w:t>Aggregate</w:t>
            </w:r>
          </w:p>
        </w:tc>
        <w:tc>
          <w:tcPr>
            <w:tcW w:w="96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89"/>
              </w:rPr>
              <w:t>4,000,000</w:t>
            </w: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64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64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7.7%</w:t>
            </w: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64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IA</w:t>
            </w: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540" w:type="dxa"/>
            <w:vAlign w:val="bottom"/>
          </w:tcPr>
          <w:p>
            <w:pPr>
              <w:ind w:left="3580"/>
              <w:spacing w:after="0"/>
              <w:rPr>
                <w:sz w:val="20"/>
                <w:szCs w:val="20"/>
                <w:color w:val="auto"/>
              </w:rPr>
            </w:pPr>
            <w:r>
              <w:rPr>
                <w:rFonts w:ascii="Arial" w:cs="Arial" w:eastAsia="Arial" w:hAnsi="Arial"/>
                <w:sz w:val="18"/>
                <w:szCs w:val="18"/>
                <w:color w:val="auto"/>
              </w:rPr>
              <w:t>Page 2 of 5</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40"/>
          </w:cols>
          <w:pgMar w:left="440" w:top="274"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w:t>
      </w:r>
    </w:p>
    <w:p>
      <w:pPr>
        <w:spacing w:after="0" w:line="131" w:lineRule="exact"/>
        <w:rPr>
          <w:sz w:val="20"/>
          <w:szCs w:val="20"/>
          <w:color w:val="auto"/>
        </w:rPr>
      </w:pPr>
    </w:p>
    <w:p>
      <w:pPr>
        <w:ind w:left="440" w:right="8359" w:hanging="436"/>
        <w:spacing w:after="0" w:line="502" w:lineRule="auto"/>
        <w:tabs>
          <w:tab w:leader="none" w:pos="432"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Name of Issuer: </w:t>
      </w:r>
      <w:r>
        <w:rPr>
          <w:rFonts w:ascii="Arial" w:cs="Arial" w:eastAsia="Arial" w:hAnsi="Arial"/>
          <w:sz w:val="16"/>
          <w:szCs w:val="16"/>
          <w:color w:val="auto"/>
        </w:rPr>
        <w:t>EZCORP, Inc.</w:t>
      </w:r>
    </w:p>
    <w:p>
      <w:pPr>
        <w:ind w:left="440" w:hanging="436"/>
        <w:spacing w:after="0"/>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Issuer’s Principal Executive Offices:</w:t>
      </w:r>
    </w:p>
    <w:p>
      <w:pPr>
        <w:spacing w:after="0" w:line="121" w:lineRule="exact"/>
        <w:rPr>
          <w:rFonts w:ascii="Arial" w:cs="Arial" w:eastAsia="Arial" w:hAnsi="Arial"/>
          <w:sz w:val="18"/>
          <w:szCs w:val="18"/>
          <w:b w:val="1"/>
          <w:bCs w:val="1"/>
          <w:color w:val="auto"/>
        </w:rPr>
      </w:pPr>
    </w:p>
    <w:p>
      <w:pPr>
        <w:ind w:left="440" w:right="8059"/>
        <w:spacing w:after="0" w:line="258" w:lineRule="auto"/>
        <w:rPr>
          <w:rFonts w:ascii="Arial" w:cs="Arial" w:eastAsia="Arial" w:hAnsi="Arial"/>
          <w:sz w:val="18"/>
          <w:szCs w:val="18"/>
          <w:b w:val="1"/>
          <w:bCs w:val="1"/>
          <w:color w:val="auto"/>
        </w:rPr>
      </w:pPr>
      <w:r>
        <w:rPr>
          <w:rFonts w:ascii="Arial" w:cs="Arial" w:eastAsia="Arial" w:hAnsi="Arial"/>
          <w:sz w:val="18"/>
          <w:szCs w:val="18"/>
          <w:color w:val="auto"/>
        </w:rPr>
        <w:t>2500 Bee Cave Road Bldg One</w:t>
      </w:r>
    </w:p>
    <w:p>
      <w:pPr>
        <w:spacing w:after="0" w:line="1"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Suite 200</w:t>
      </w:r>
    </w:p>
    <w:p>
      <w:pPr>
        <w:spacing w:after="0" w:line="9"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Rollingwood, Texas 78746</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31" w:lineRule="exact"/>
        <w:rPr>
          <w:sz w:val="20"/>
          <w:szCs w:val="20"/>
          <w:color w:val="auto"/>
        </w:rPr>
      </w:pPr>
    </w:p>
    <w:p>
      <w:pPr>
        <w:ind w:left="440" w:right="7799" w:hanging="436"/>
        <w:spacing w:after="0" w:line="431" w:lineRule="auto"/>
        <w:tabs>
          <w:tab w:leader="none" w:pos="432"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Name of Person Filing: </w:t>
      </w:r>
      <w:r>
        <w:rPr>
          <w:rFonts w:ascii="Arial" w:cs="Arial" w:eastAsia="Arial" w:hAnsi="Arial"/>
          <w:sz w:val="16"/>
          <w:szCs w:val="16"/>
          <w:color w:val="auto"/>
        </w:rPr>
        <w:t>Rovida Advisors Inc.</w:t>
      </w:r>
    </w:p>
    <w:p>
      <w:pPr>
        <w:ind w:left="440" w:hanging="436"/>
        <w:spacing w:after="0"/>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Principal Business Office or, if None, Residence:</w:t>
      </w:r>
    </w:p>
    <w:p>
      <w:pPr>
        <w:spacing w:after="0" w:line="121" w:lineRule="exact"/>
        <w:rPr>
          <w:rFonts w:ascii="Arial" w:cs="Arial" w:eastAsia="Arial" w:hAnsi="Arial"/>
          <w:sz w:val="18"/>
          <w:szCs w:val="18"/>
          <w:b w:val="1"/>
          <w:bCs w:val="1"/>
          <w:color w:val="auto"/>
        </w:rPr>
      </w:pPr>
    </w:p>
    <w:p>
      <w:pPr>
        <w:ind w:left="440" w:right="8179"/>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1 Gateway Centre Suite 2530 Newark, NJ, 07102</w:t>
      </w:r>
    </w:p>
    <w:p>
      <w:pPr>
        <w:spacing w:after="0" w:line="48" w:lineRule="exact"/>
        <w:rPr>
          <w:rFonts w:ascii="Arial" w:cs="Arial" w:eastAsia="Arial" w:hAnsi="Arial"/>
          <w:sz w:val="18"/>
          <w:szCs w:val="18"/>
          <w:b w:val="1"/>
          <w:bCs w:val="1"/>
          <w:color w:val="auto"/>
        </w:rPr>
      </w:pPr>
    </w:p>
    <w:p>
      <w:pPr>
        <w:ind w:left="440" w:right="8439" w:hanging="436"/>
        <w:spacing w:after="0" w:line="431" w:lineRule="auto"/>
        <w:tabs>
          <w:tab w:leader="none" w:pos="432"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Citizenship: </w:t>
      </w:r>
      <w:r>
        <w:rPr>
          <w:rFonts w:ascii="Arial" w:cs="Arial" w:eastAsia="Arial" w:hAnsi="Arial"/>
          <w:sz w:val="16"/>
          <w:szCs w:val="16"/>
          <w:color w:val="auto"/>
        </w:rPr>
        <w:t>Delaware, USA</w:t>
      </w:r>
    </w:p>
    <w:p>
      <w:pPr>
        <w:ind w:left="440" w:hanging="436"/>
        <w:spacing w:after="0"/>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Title and Class of Securities:</w:t>
      </w:r>
    </w:p>
    <w:p>
      <w:pPr>
        <w:spacing w:after="0" w:line="121"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Class A Non-Voting Common Stock, $0.01 Par Value</w:t>
      </w:r>
    </w:p>
    <w:p>
      <w:pPr>
        <w:spacing w:after="0" w:line="126" w:lineRule="exact"/>
        <w:rPr>
          <w:rFonts w:ascii="Arial" w:cs="Arial" w:eastAsia="Arial" w:hAnsi="Arial"/>
          <w:sz w:val="18"/>
          <w:szCs w:val="18"/>
          <w:b w:val="1"/>
          <w:bCs w:val="1"/>
          <w:color w:val="auto"/>
        </w:rPr>
      </w:pPr>
    </w:p>
    <w:p>
      <w:pPr>
        <w:ind w:left="440" w:right="8679" w:hanging="436"/>
        <w:spacing w:after="0" w:line="445" w:lineRule="auto"/>
        <w:tabs>
          <w:tab w:leader="none" w:pos="432"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CUSIP No.: </w:t>
      </w:r>
      <w:r>
        <w:rPr>
          <w:rFonts w:ascii="Arial" w:cs="Arial" w:eastAsia="Arial" w:hAnsi="Arial"/>
          <w:sz w:val="17"/>
          <w:szCs w:val="17"/>
          <w:color w:val="auto"/>
        </w:rPr>
        <w:t>302301106</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Inapplicable</w:t>
      </w:r>
    </w:p>
    <w:p>
      <w:pPr>
        <w:spacing w:after="0" w:line="220" w:lineRule="exact"/>
        <w:rPr>
          <w:sz w:val="20"/>
          <w:szCs w:val="20"/>
          <w:color w:val="auto"/>
        </w:rPr>
      </w:pPr>
    </w:p>
    <w:p>
      <w:pPr>
        <w:ind w:left="900" w:hanging="536"/>
        <w:spacing w:after="0" w:line="207" w:lineRule="exact"/>
        <w:tabs>
          <w:tab w:leader="none" w:pos="9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w:t>
      </w:r>
    </w:p>
    <w:p>
      <w:pPr>
        <w:spacing w:after="0" w:line="117" w:lineRule="exact"/>
        <w:rPr>
          <w:rFonts w:ascii="Arial" w:cs="Arial" w:eastAsia="Arial" w:hAnsi="Arial"/>
          <w:sz w:val="18"/>
          <w:szCs w:val="18"/>
          <w:color w:val="auto"/>
        </w:rPr>
      </w:pPr>
    </w:p>
    <w:p>
      <w:pPr>
        <w:ind w:left="900" w:hanging="536"/>
        <w:spacing w:after="0" w:line="207" w:lineRule="exact"/>
        <w:tabs>
          <w:tab w:leader="none" w:pos="9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w:t>
      </w:r>
    </w:p>
    <w:p>
      <w:pPr>
        <w:spacing w:after="0" w:line="117" w:lineRule="exact"/>
        <w:rPr>
          <w:rFonts w:ascii="Arial" w:cs="Arial" w:eastAsia="Arial" w:hAnsi="Arial"/>
          <w:sz w:val="18"/>
          <w:szCs w:val="18"/>
          <w:color w:val="auto"/>
        </w:rPr>
      </w:pPr>
    </w:p>
    <w:p>
      <w:pPr>
        <w:ind w:left="900" w:hanging="536"/>
        <w:spacing w:after="0" w:line="207" w:lineRule="exact"/>
        <w:tabs>
          <w:tab w:leader="none" w:pos="9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w:t>
      </w:r>
    </w:p>
    <w:p>
      <w:pPr>
        <w:spacing w:after="0" w:line="117" w:lineRule="exact"/>
        <w:rPr>
          <w:rFonts w:ascii="Arial" w:cs="Arial" w:eastAsia="Arial" w:hAnsi="Arial"/>
          <w:sz w:val="18"/>
          <w:szCs w:val="18"/>
          <w:color w:val="auto"/>
        </w:rPr>
      </w:pPr>
    </w:p>
    <w:p>
      <w:pPr>
        <w:ind w:left="900" w:hanging="536"/>
        <w:spacing w:after="0" w:line="207" w:lineRule="exact"/>
        <w:tabs>
          <w:tab w:leader="none" w:pos="9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117" w:lineRule="exact"/>
        <w:rPr>
          <w:rFonts w:ascii="Arial" w:cs="Arial" w:eastAsia="Arial" w:hAnsi="Arial"/>
          <w:sz w:val="18"/>
          <w:szCs w:val="18"/>
          <w:color w:val="auto"/>
        </w:rPr>
      </w:pPr>
    </w:p>
    <w:p>
      <w:pPr>
        <w:ind w:left="900" w:hanging="536"/>
        <w:spacing w:after="0" w:line="207" w:lineRule="exact"/>
        <w:tabs>
          <w:tab w:leader="none" w:pos="9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190"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Page 3 of 5</w:t>
      </w:r>
    </w:p>
    <w:p>
      <w:pPr>
        <w:sectPr>
          <w:pgSz w:w="11900" w:h="16838" w:orient="portrait"/>
          <w:cols w:equalWidth="0" w:num="1">
            <w:col w:w="10019"/>
          </w:cols>
          <w:pgMar w:left="440" w:top="270" w:right="1440" w:bottom="1440" w:gutter="0" w:footer="0" w:header="0"/>
        </w:sectPr>
      </w:pPr>
    </w:p>
    <w:bookmarkStart w:id="3" w:name="page4"/>
    <w:bookmarkEnd w:id="3"/>
    <w:p>
      <w:pPr>
        <w:ind w:left="900" w:hanging="536"/>
        <w:spacing w:after="0" w:line="207" w:lineRule="exact"/>
        <w:tabs>
          <w:tab w:leader="none" w:pos="9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color w:val="auto"/>
        </w:rPr>
        <w:t xml:space="preserve"> An employee benefit plan or endowment fund in accordance with Rule 13d-1(b)(1)(ii)(F);</w:t>
      </w:r>
    </w:p>
    <w:p>
      <w:pPr>
        <w:spacing w:after="0" w:line="117" w:lineRule="exact"/>
        <w:rPr>
          <w:rFonts w:ascii="Arial" w:cs="Arial" w:eastAsia="Arial" w:hAnsi="Arial"/>
          <w:sz w:val="18"/>
          <w:szCs w:val="18"/>
          <w:color w:val="auto"/>
        </w:rPr>
      </w:pPr>
    </w:p>
    <w:p>
      <w:pPr>
        <w:ind w:left="900" w:hanging="536"/>
        <w:spacing w:after="0" w:line="207" w:lineRule="exact"/>
        <w:tabs>
          <w:tab w:leader="none" w:pos="9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117" w:lineRule="exact"/>
        <w:rPr>
          <w:rFonts w:ascii="Arial" w:cs="Arial" w:eastAsia="Arial" w:hAnsi="Arial"/>
          <w:sz w:val="18"/>
          <w:szCs w:val="18"/>
          <w:color w:val="auto"/>
        </w:rPr>
      </w:pPr>
    </w:p>
    <w:p>
      <w:pPr>
        <w:ind w:left="900" w:hanging="536"/>
        <w:spacing w:after="0" w:line="207" w:lineRule="exact"/>
        <w:tabs>
          <w:tab w:leader="none" w:pos="9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180" w:right="100" w:hanging="816"/>
        <w:spacing w:after="0" w:line="239" w:lineRule="exact"/>
        <w:tabs>
          <w:tab w:leader="none" w:pos="91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w:t>
      </w:r>
    </w:p>
    <w:p>
      <w:pPr>
        <w:spacing w:after="0" w:line="62" w:lineRule="exact"/>
        <w:rPr>
          <w:rFonts w:ascii="Arial" w:cs="Arial" w:eastAsia="Arial" w:hAnsi="Arial"/>
          <w:sz w:val="18"/>
          <w:szCs w:val="18"/>
          <w:color w:val="auto"/>
        </w:rPr>
      </w:pPr>
    </w:p>
    <w:p>
      <w:pPr>
        <w:ind w:left="900" w:hanging="536"/>
        <w:spacing w:after="0" w:line="207" w:lineRule="exact"/>
        <w:tabs>
          <w:tab w:leader="none" w:pos="9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Rule 240.13d-1(b)(1)(ii)(J);</w:t>
      </w:r>
    </w:p>
    <w:p>
      <w:pPr>
        <w:spacing w:after="0" w:line="117" w:lineRule="exact"/>
        <w:rPr>
          <w:rFonts w:ascii="Arial" w:cs="Arial" w:eastAsia="Arial" w:hAnsi="Arial"/>
          <w:sz w:val="18"/>
          <w:szCs w:val="18"/>
          <w:color w:val="auto"/>
        </w:rPr>
      </w:pPr>
    </w:p>
    <w:p>
      <w:pPr>
        <w:ind w:left="1180" w:hanging="816"/>
        <w:spacing w:after="0" w:line="239" w:lineRule="exact"/>
        <w:tabs>
          <w:tab w:leader="none" w:pos="91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240.13d-1(b)(1)(ii)(K). If filing as a non-U.S. institution in accordance with Rule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86360</wp:posOffset>
            </wp:positionV>
            <wp:extent cx="694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131" w:lineRule="exact"/>
        <w:rPr>
          <w:sz w:val="20"/>
          <w:szCs w:val="20"/>
          <w:color w:val="auto"/>
        </w:rPr>
      </w:pPr>
    </w:p>
    <w:p>
      <w:pPr>
        <w:ind w:left="540" w:hanging="536"/>
        <w:spacing w:after="0"/>
        <w:tabs>
          <w:tab w:leader="none" w:pos="5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Amount Beneficially Owned: </w:t>
      </w:r>
      <w:r>
        <w:rPr>
          <w:rFonts w:ascii="Arial" w:cs="Arial" w:eastAsia="Arial" w:hAnsi="Arial"/>
          <w:sz w:val="18"/>
          <w:szCs w:val="18"/>
          <w:color w:val="auto"/>
        </w:rPr>
        <w:t>4,000,000</w:t>
      </w:r>
    </w:p>
    <w:p>
      <w:pPr>
        <w:spacing w:after="0" w:line="130" w:lineRule="exact"/>
        <w:rPr>
          <w:rFonts w:ascii="Arial" w:cs="Arial" w:eastAsia="Arial" w:hAnsi="Arial"/>
          <w:sz w:val="18"/>
          <w:szCs w:val="18"/>
          <w:b w:val="1"/>
          <w:bCs w:val="1"/>
          <w:color w:val="auto"/>
        </w:rPr>
      </w:pPr>
    </w:p>
    <w:p>
      <w:pPr>
        <w:ind w:left="540" w:hanging="536"/>
        <w:spacing w:after="0"/>
        <w:tabs>
          <w:tab w:leader="none" w:pos="5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w:t>
      </w:r>
      <w:r>
        <w:rPr>
          <w:rFonts w:ascii="Arial" w:cs="Arial" w:eastAsia="Arial" w:hAnsi="Arial"/>
          <w:sz w:val="18"/>
          <w:szCs w:val="18"/>
          <w:color w:val="auto"/>
        </w:rPr>
        <w:t>7.7%</w:t>
      </w:r>
    </w:p>
    <w:p>
      <w:pPr>
        <w:spacing w:after="0" w:line="130" w:lineRule="exact"/>
        <w:rPr>
          <w:rFonts w:ascii="Arial" w:cs="Arial" w:eastAsia="Arial" w:hAnsi="Arial"/>
          <w:sz w:val="18"/>
          <w:szCs w:val="18"/>
          <w:b w:val="1"/>
          <w:bCs w:val="1"/>
          <w:color w:val="auto"/>
        </w:rPr>
      </w:pPr>
    </w:p>
    <w:p>
      <w:pPr>
        <w:ind w:left="540" w:hanging="536"/>
        <w:spacing w:after="0"/>
        <w:tabs>
          <w:tab w:leader="none" w:pos="5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such person has:</w:t>
      </w:r>
    </w:p>
    <w:p>
      <w:pPr>
        <w:spacing w:after="0" w:line="130" w:lineRule="exact"/>
        <w:rPr>
          <w:rFonts w:ascii="Arial" w:cs="Arial" w:eastAsia="Arial" w:hAnsi="Arial"/>
          <w:sz w:val="18"/>
          <w:szCs w:val="18"/>
          <w:b w:val="1"/>
          <w:bCs w:val="1"/>
          <w:color w:val="auto"/>
        </w:rPr>
      </w:pPr>
    </w:p>
    <w:p>
      <w:pPr>
        <w:ind w:left="1080" w:hanging="536"/>
        <w:spacing w:after="0"/>
        <w:tabs>
          <w:tab w:leader="none" w:pos="1080"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power to vote or to direct the vote: </w:t>
      </w:r>
      <w:r>
        <w:rPr>
          <w:rFonts w:ascii="Arial" w:cs="Arial" w:eastAsia="Arial" w:hAnsi="Arial"/>
          <w:sz w:val="18"/>
          <w:szCs w:val="18"/>
          <w:color w:val="auto"/>
        </w:rPr>
        <w:t>4,000,000</w:t>
      </w:r>
    </w:p>
    <w:p>
      <w:pPr>
        <w:spacing w:after="0" w:line="130" w:lineRule="exact"/>
        <w:rPr>
          <w:rFonts w:ascii="Arial" w:cs="Arial" w:eastAsia="Arial" w:hAnsi="Arial"/>
          <w:sz w:val="18"/>
          <w:szCs w:val="18"/>
          <w:b w:val="1"/>
          <w:bCs w:val="1"/>
          <w:color w:val="auto"/>
        </w:rPr>
      </w:pPr>
    </w:p>
    <w:p>
      <w:pPr>
        <w:ind w:left="1080" w:hanging="536"/>
        <w:spacing w:after="0"/>
        <w:tabs>
          <w:tab w:leader="none" w:pos="1080"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power to vote or to direct the vote: </w:t>
      </w:r>
      <w:r>
        <w:rPr>
          <w:rFonts w:ascii="Arial" w:cs="Arial" w:eastAsia="Arial" w:hAnsi="Arial"/>
          <w:sz w:val="18"/>
          <w:szCs w:val="18"/>
          <w:color w:val="auto"/>
        </w:rPr>
        <w:t>0</w:t>
      </w:r>
    </w:p>
    <w:p>
      <w:pPr>
        <w:spacing w:after="0" w:line="130" w:lineRule="exact"/>
        <w:rPr>
          <w:rFonts w:ascii="Arial" w:cs="Arial" w:eastAsia="Arial" w:hAnsi="Arial"/>
          <w:sz w:val="18"/>
          <w:szCs w:val="18"/>
          <w:b w:val="1"/>
          <w:bCs w:val="1"/>
          <w:color w:val="auto"/>
        </w:rPr>
      </w:pPr>
    </w:p>
    <w:p>
      <w:pPr>
        <w:ind w:left="1080" w:hanging="536"/>
        <w:spacing w:after="0"/>
        <w:tabs>
          <w:tab w:leader="none" w:pos="1080"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power to dispose or to direct the disposition of: </w:t>
      </w:r>
      <w:r>
        <w:rPr>
          <w:rFonts w:ascii="Arial" w:cs="Arial" w:eastAsia="Arial" w:hAnsi="Arial"/>
          <w:sz w:val="18"/>
          <w:szCs w:val="18"/>
          <w:color w:val="auto"/>
        </w:rPr>
        <w:t>4,000,000</w:t>
      </w:r>
    </w:p>
    <w:p>
      <w:pPr>
        <w:spacing w:after="0" w:line="130" w:lineRule="exact"/>
        <w:rPr>
          <w:rFonts w:ascii="Arial" w:cs="Arial" w:eastAsia="Arial" w:hAnsi="Arial"/>
          <w:sz w:val="18"/>
          <w:szCs w:val="18"/>
          <w:b w:val="1"/>
          <w:bCs w:val="1"/>
          <w:color w:val="auto"/>
        </w:rPr>
      </w:pPr>
    </w:p>
    <w:p>
      <w:pPr>
        <w:ind w:left="1080" w:hanging="536"/>
        <w:spacing w:after="0"/>
        <w:tabs>
          <w:tab w:leader="none" w:pos="1080"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power to dispose or to direct the disposition of: </w:t>
      </w:r>
      <w:r>
        <w:rPr>
          <w:rFonts w:ascii="Arial" w:cs="Arial" w:eastAsia="Arial" w:hAnsi="Arial"/>
          <w:sz w:val="18"/>
          <w:szCs w:val="18"/>
          <w:color w:val="auto"/>
        </w:rPr>
        <w:t>0</w:t>
      </w:r>
    </w:p>
    <w:p>
      <w:pPr>
        <w:spacing w:after="0" w:line="3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Inapplicable</w:t>
      </w:r>
    </w:p>
    <w:p>
      <w:pPr>
        <w:spacing w:after="0" w:line="370" w:lineRule="exact"/>
        <w:rPr>
          <w:sz w:val="20"/>
          <w:szCs w:val="20"/>
          <w:color w:val="auto"/>
        </w:rPr>
      </w:pPr>
    </w:p>
    <w:p>
      <w:pPr>
        <w:ind w:left="980" w:right="60" w:hanging="985"/>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 of 5</w:t>
      </w:r>
    </w:p>
    <w:p>
      <w:pPr>
        <w:sectPr>
          <w:pgSz w:w="11900" w:h="16838" w:orient="portrait"/>
          <w:cols w:equalWidth="0" w:num="1">
            <w:col w:w="11020"/>
          </w:cols>
          <w:pgMar w:left="440" w:top="241" w:right="439" w:bottom="1440" w:gutter="0" w:footer="0" w:header="0"/>
        </w:sectPr>
      </w:pPr>
    </w:p>
    <w:bookmarkStart w:id="4" w:name="page5"/>
    <w:bookmarkEnd w:id="4"/>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jc w:val="both"/>
        <w:ind w:left="100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11,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Jonathan H. Seligson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President &amp; Treasurer</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16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Page 5 of 5</w:t>
      </w:r>
    </w:p>
    <w:sectPr>
      <w:pgSz w:w="11900" w:h="16838" w:orient="portrait"/>
      <w:cols w:equalWidth="0" w:num="1">
        <w:col w:w="10940"/>
      </w:cols>
      <w:pgMar w:left="440" w:top="27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lvl w:ilvl="1">
      <w:lvlJc w:val="left"/>
      <w:lvlText w:val="☐"/>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6"/>
    </w:lvl>
  </w:abstractNum>
  <w:abstractNum w:abstractNumId="7">
    <w:nsid w:val="7545E146"/>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2020-01-09T19:56:37Z</dcterms:created>
  <dcterms:modified xsi:type="dcterms:W3CDTF">2020-01-09T19:56:37Z</dcterms:modified>
</cp:coreProperties>
</file>