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10,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186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0-19424</w:t>
            </w:r>
          </w:p>
        </w:tc>
        <w:tc>
          <w:tcPr>
            <w:tcW w:w="148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(Commission</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File Number)</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6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8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8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2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8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20" w:type="dxa"/>
            <w:vAlign w:val="bottom"/>
          </w:tcPr>
          <w:p>
            <w:pPr>
              <w:jc w:val="right"/>
              <w:ind w:right="398"/>
              <w:spacing w:after="0"/>
              <w:rPr>
                <w:sz w:val="20"/>
                <w:szCs w:val="20"/>
                <w:color w:val="auto"/>
              </w:rPr>
            </w:pPr>
            <w:r>
              <w:rPr>
                <w:rFonts w:ascii="Arial" w:cs="Arial" w:eastAsia="Arial" w:hAnsi="Arial"/>
                <w:sz w:val="18"/>
                <w:szCs w:val="18"/>
                <w:color w:val="auto"/>
                <w:w w:val="94"/>
              </w:rPr>
              <w:t>_______________________________________________________</w:t>
            </w:r>
          </w:p>
        </w:tc>
        <w:tc>
          <w:tcPr>
            <w:tcW w:w="148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 Costs Associated with Exit or Disposal Activities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September 10, 2014, the Board of Directors, with management's recommendation, approved certain staff reductions and other personnel actions in order to "right-size" the business, align skills with needs, and refocus the organization on high-return, value-added activities. Such reductions and other actions are intended to constitute a "plan of termination" under FASB ASC Paragraph 420-10-25-4 (Exit or Disposal Cost Obligations). The Company began implementing the plan on September 11, 2014 and currently expects to complete the plan within 60 days. The total costs to be incurred in connection with the plan (all of which will constitute one-time termination benefits and will result in cash expenditures) is estimated to be $4 million.</w:t>
      </w:r>
    </w:p>
    <w:p>
      <w:pPr>
        <w:spacing w:after="0" w:line="200" w:lineRule="exact"/>
        <w:rPr>
          <w:sz w:val="20"/>
          <w:szCs w:val="20"/>
          <w:color w:val="auto"/>
        </w:rPr>
      </w:pPr>
    </w:p>
    <w:p>
      <w:pPr>
        <w:spacing w:after="0" w:line="29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64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September 12, 2014, Barry W. Guest, President, Pawn and Cash Converters Americas and a Named Executive Officer, resigned from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September 15, 2014, the Company issued a press release announcing that Eric Fosse has joined the Compnay as President, Pawn and Cash Converters Americas. A copy of that press release is filed as Exhibit 99.1.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8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15, 2014, announcing the appointment of Eric Fosse as President, Pawn and Cash Converters Americas.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40"/>
        <w:spacing w:after="0"/>
        <w:tabs>
          <w:tab w:leader="none" w:pos="5460" w:val="left"/>
          <w:tab w:leader="none" w:pos="6120" w:val="left"/>
        </w:tabs>
        <w:rPr>
          <w:sz w:val="20"/>
          <w:szCs w:val="20"/>
          <w:color w:val="auto"/>
        </w:rPr>
      </w:pPr>
      <w:r>
        <w:rPr>
          <w:rFonts w:ascii="Arial" w:cs="Arial" w:eastAsia="Arial" w:hAnsi="Arial"/>
          <w:sz w:val="18"/>
          <w:szCs w:val="18"/>
          <w:color w:val="auto"/>
        </w:rPr>
        <w:t>Date: September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31750</wp:posOffset>
            </wp:positionV>
            <wp:extent cx="3524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EZCORP Names Eric Fosse to Lead Pawn Business</w:t>
      </w:r>
    </w:p>
    <w:p>
      <w:pPr>
        <w:spacing w:after="0" w:line="200" w:lineRule="exact"/>
        <w:rPr>
          <w:sz w:val="20"/>
          <w:szCs w:val="20"/>
          <w:color w:val="auto"/>
        </w:rPr>
      </w:pPr>
    </w:p>
    <w:p>
      <w:pPr>
        <w:spacing w:after="0" w:line="2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AUSTIN, Texas (September 15, 2014) - EZCORP, Inc. (NASDAQ: EZPW), a leading provider of instant cash solutions for consumers, today announced that Eric Fosse has rejoined the company as President, Pawn and Cash Converters America. In this role, Mr. Fosse will lead the company's pawn and buy/sell businesses in the United States, Mexico and Canada. Mr. Fosse will report directly to Mark Kuchenrither, the company’s President and Chief Executive Officer.</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Kuchenrither said, “I am pleased to welcome Eric to our team. He is an outstanding senior executive and leader and an expert in the pawn lending activities that drive success and profitability in this business. Eric previously led the EZCORP pawn businesses, both in the U.S. and Mexico, where he drove storefront and revenue growth while significantly increasing profitability. I look forward to working with him again.”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Fosse was an executive with EZCORP from 2004 through 2012. He has served as Vice President of EZMoney Operations, President of the EZMoney Division, President of Pawn Americas, President of North American Operations and President of U.S. Financial and Online Services. Since leaving EZCORP in December 2012, Mr. Fosse has been a consultant to private equity investors, advising on opportunities within the consumer finance and financial services industries.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announced that Barry Guest, former President of Pawn and Cash Converters Americas, has left EZCORP to pursue other opportunities.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27"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EZCORP is a leader in delivering easy cash solutions to our consumers across channels, products, services and markets. With approximately 7,300 team members and approximately 1,400 locations and branches, we give our customers multiple ways to access instant cash, including pawn loans and consumer loans in the United States, Mexico, Canada and the United Kingdom, and fee-based credit services to customers seeking loans. At our pawn and buy/sell stores and online, we also sell merchandise, primarily collateral forfeited from pawn lending operations and used merchandise purchased from customers.</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announcement contains certain forward-looking statements regarding the company’s strategy and initiatives.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Trinske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 314-2220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http://investors.ezcorp.com/</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2020-01-28T16:17:48Z</dcterms:created>
  <dcterms:modified xsi:type="dcterms:W3CDTF">2020-01-28T16:17:48Z</dcterms:modified>
</cp:coreProperties>
</file>