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f23ebefb2a034441b34bd80bafe03393"/>
      <w:bookmarkStart w:id="1" w:name="a20158-kchangeinauditors.htm"/>
      <w:bookmarkStart w:id="2" w:name="ksa20158kchangeinauditors"/>
      <w:bookmarkStart w:id="3" w:name="sf23ebefb2a034441b34bd80bafe03393"/>
      <w:bookmarkStart w:id="4" w:name="a20158-kchangeinauditors.htm"/>
      <w:bookmarkStart w:id="5" w:name="ksa20158kchangeinauditors"/>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rFonts w:ascii="inherit" w:hAnsi="inherit"/>
          <w:b/>
          <w:sz w:val="20"/>
        </w:rPr>
      </w:pPr>
      <w:r>
        <w:rPr>
          <w:rFonts w:ascii="inherit" w:hAnsi="inherit"/>
          <w:b/>
          <w:sz w:val="20"/>
        </w:rPr>
        <w:t xml:space="preserve">Date of Report (Date of earliest event reported): December 15, 2014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6" w:name="s4aa1cee3ba7d40f59d4b37033220de56"/>
      <w:bookmarkStart w:id="7" w:name="s4aa1cee3ba7d40f59d4b37033220de56"/>
      <w:bookmarkEnd w:id="7"/>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4.01 - Changes in Registrant's Certifying Accountant</w:t>
      </w:r>
    </w:p>
    <w:p>
      <w:pPr>
        <w:pStyle w:val="TextBody"/>
        <w:spacing w:lineRule="auto" w:line="288" w:before="0" w:after="0"/>
        <w:jc w:val="left"/>
        <w:rPr>
          <w:rFonts w:ascii="inherit" w:hAnsi="inherit"/>
          <w:sz w:val="17"/>
        </w:rPr>
      </w:pPr>
      <w:r>
        <w:rPr>
          <w:rFonts w:ascii="inherit" w:hAnsi="inherit"/>
          <w:sz w:val="17"/>
        </w:rPr>
        <w:t>On December 15, 2014, Deloitte &amp; Touche LLP ("Deloitte"), our independent registered public accounting firm, informed us that it was declining to stand for re-appointment as our independent registered public accounting firm for the audit of the financial statements for the year ending September 30, 2015. This decision was confirmed to the Chairman of our Audit Committee on December 16, 2014. Deloitte indicated that it would be willing to be engaged to perform the quarterly review in conjunction with the filing of our Quarterly Report on Form 10-Q for the quarter ending December 31, 2014, which is expected in early February 2015.</w:t>
      </w:r>
    </w:p>
    <w:p>
      <w:pPr>
        <w:pStyle w:val="TextBody"/>
        <w:spacing w:lineRule="auto" w:line="288" w:before="0" w:after="0"/>
        <w:jc w:val="left"/>
        <w:rPr>
          <w:rFonts w:ascii="inherit" w:hAnsi="inherit"/>
          <w:sz w:val="17"/>
        </w:rPr>
      </w:pPr>
      <w:r>
        <w:rPr>
          <w:rFonts w:ascii="inherit" w:hAnsi="inherit"/>
          <w:sz w:val="17"/>
        </w:rPr>
        <w:t>The Audit Committee has selected and appointed BDO USA, LLP ("BDO") to serve as our independent registered public accounting firm for fiscal 2015, and expects to finalize the terms of its engagement of BDO within the next few days. BDO previously served as our independent registered public accounting firm from fiscal 2004 through fiscal 2012.</w:t>
      </w:r>
    </w:p>
    <w:p>
      <w:pPr>
        <w:pStyle w:val="TextBody"/>
        <w:spacing w:lineRule="auto" w:line="288" w:before="0" w:after="0"/>
        <w:jc w:val="left"/>
        <w:rPr>
          <w:rFonts w:ascii="inherit" w:hAnsi="inherit"/>
          <w:sz w:val="17"/>
        </w:rPr>
      </w:pPr>
      <w:r>
        <w:rPr>
          <w:rFonts w:ascii="inherit" w:hAnsi="inherit"/>
          <w:sz w:val="17"/>
        </w:rPr>
        <w:t>Deloitte's reports on our consolidated financial statements as of and for the fiscal years ended September 30, 2014 and September 30, 2013 did not contain an adverse opinion or a disclaimer of opinion and were not qualified or modified as to uncertainty, audit scope or accounting principles. Deloitte's audit reports on the effectiveness of our internal control over financial reporting as of September 30, 2014 and September 30, 2013 did not contain any adverse opinion, nor were they qualified or modified as to uncertainty, audit scope or accounting principles.</w:t>
      </w:r>
    </w:p>
    <w:p>
      <w:pPr>
        <w:pStyle w:val="TextBody"/>
        <w:spacing w:lineRule="auto" w:line="288" w:before="0" w:after="0"/>
        <w:jc w:val="left"/>
        <w:rPr>
          <w:rFonts w:ascii="inherit" w:hAnsi="inherit"/>
          <w:sz w:val="17"/>
        </w:rPr>
      </w:pPr>
      <w:r>
        <w:rPr>
          <w:rFonts w:ascii="inherit" w:hAnsi="inherit"/>
          <w:sz w:val="17"/>
        </w:rPr>
        <w:t>During the fiscal years ended September 30, 2014 and September 30, 2013, and the subsequent interim period through December 15, 2014, there were (i) no "disagreements" (as that term is defined in Item 304(a)(1)(iv) of Regulation S-K) between us and Deloitte on any matter of accounting principles or practices, financial statement disclosure or auditing scope or procedure, which disagreements, if not resolved to the satisfaction of Deloitte, would have caused Deloitte to make reference to the subject matter of the disagreement in their reports on the financial statements for such fiscal years, and (ii) no "reportable events" (as that term is defined in Item 304(a)(1)(v) of Regulation S-K).</w:t>
      </w:r>
    </w:p>
    <w:p>
      <w:pPr>
        <w:pStyle w:val="TextBody"/>
        <w:spacing w:lineRule="auto" w:line="288" w:before="0" w:after="0"/>
        <w:jc w:val="left"/>
        <w:rPr>
          <w:rFonts w:ascii="inherit" w:hAnsi="inherit"/>
          <w:sz w:val="17"/>
        </w:rPr>
      </w:pPr>
      <w:r>
        <w:rPr>
          <w:rFonts w:ascii="inherit" w:hAnsi="inherit"/>
          <w:sz w:val="17"/>
        </w:rPr>
        <w:t>We provided Deloitte with a copy of the disclosures we are making in this report and requested that Deloitte furnish us with a letter addressed to the Securities and Exchange Commission (the "SEC") stating whether or not it agrees with the statements made herein. A copy of Deloitte's letter, dated December 19, 2014, is filed as Exhibit 16.1 to this report.</w:t>
      </w:r>
    </w:p>
    <w:p>
      <w:pPr>
        <w:pStyle w:val="TextBody"/>
        <w:spacing w:lineRule="auto" w:line="288" w:before="0" w:after="0"/>
        <w:jc w:val="left"/>
        <w:rPr>
          <w:rFonts w:ascii="inherit" w:hAnsi="inherit"/>
          <w:sz w:val="17"/>
        </w:rPr>
      </w:pPr>
      <w:r>
        <w:rPr>
          <w:rFonts w:ascii="inherit" w:hAnsi="inherit"/>
          <w:sz w:val="17"/>
        </w:rPr>
        <w:t>During the fiscal years ended September 30, 2014 and September 30, 2013, and the subsequent interim period through December 19, 2014, neither we nor anyone acting on our behalf has consulted with BDO with respect to (i) the application of accounting principles to a specified transaction, either completed or proposed, or the type of audit opinion that might be rendered on our financial statements, and neither a written report nor oral advice was provided to us that BDO concluded was an important factor considered by us in reaching a decision as to any accounting, auditing or financial reporting issues or (ii) any matter that was either the subject of a "disagreement" or "reportable event" (as those terms are defined in Item 304(a)(1) of Regulation S-K).</w:t>
      </w:r>
    </w:p>
    <w:p>
      <w:pPr>
        <w:pStyle w:val="TextBody"/>
        <w:spacing w:lineRule="auto" w:line="288" w:before="0" w:after="0"/>
        <w:jc w:val="left"/>
        <w:rPr>
          <w:rFonts w:ascii="inherit" w:hAnsi="inherit"/>
          <w:b/>
          <w:sz w:val="17"/>
        </w:rPr>
      </w:pPr>
      <w:bookmarkStart w:id="8" w:name="sec494aa1a00d4726a56b783e9030124f"/>
      <w:bookmarkEnd w:id="8"/>
      <w:r>
        <w:rPr>
          <w:rFonts w:ascii="inherit" w:hAnsi="inherit"/>
          <w:b/>
          <w:sz w:val="17"/>
        </w:rPr>
        <w:t>Item 9.01 - Financial Statements and Exhibits</w:t>
      </w:r>
    </w:p>
    <w:p>
      <w:pPr>
        <w:pStyle w:val="TextBody"/>
        <w:spacing w:lineRule="auto" w:line="288" w:before="0" w:after="0"/>
        <w:jc w:val="left"/>
        <w:rPr>
          <w:sz w:val="17"/>
        </w:rPr>
      </w:pPr>
      <w:r>
        <w:rPr>
          <w:rFonts w:ascii="inherit" w:hAnsi="inherit"/>
          <w:sz w:val="17"/>
        </w:rPr>
        <w:t>(d)</w:t>
      </w:r>
      <w:r>
        <w:rPr>
          <w:sz w:val="17"/>
        </w:rPr>
        <w:t>    </w:t>
      </w:r>
      <w:r>
        <w:rPr>
          <w:rFonts w:ascii="inherit" w:hAnsi="inherit"/>
          <w:sz w:val="17"/>
        </w:rPr>
        <w:t>Exhibits.</w:t>
      </w:r>
    </w:p>
    <w:tbl>
      <w:tblPr>
        <w:tblW w:w="9955" w:type="dxa"/>
        <w:jc w:val="left"/>
        <w:tblInd w:w="0" w:type="dxa"/>
        <w:tblCellMar>
          <w:top w:w="0" w:type="dxa"/>
          <w:left w:w="0" w:type="dxa"/>
          <w:bottom w:w="0" w:type="dxa"/>
          <w:right w:w="0" w:type="dxa"/>
        </w:tblCellMar>
      </w:tblPr>
      <w:tblGrid>
        <w:gridCol w:w="1115"/>
        <w:gridCol w:w="8840"/>
      </w:tblGrid>
      <w:tr>
        <w:trPr/>
        <w:tc>
          <w:tcPr>
            <w:tcW w:w="1115" w:type="dxa"/>
            <w:tcBorders/>
            <w:shd w:fill="auto" w:val="clear"/>
            <w:vAlign w:val="center"/>
          </w:tcPr>
          <w:p>
            <w:pPr>
              <w:pStyle w:val="TableContents"/>
              <w:spacing w:before="0" w:after="283"/>
              <w:rPr>
                <w:sz w:val="4"/>
                <w:szCs w:val="4"/>
              </w:rPr>
            </w:pPr>
            <w:r>
              <w:rPr>
                <w:sz w:val="4"/>
                <w:szCs w:val="4"/>
              </w:rPr>
            </w:r>
          </w:p>
        </w:tc>
        <w:tc>
          <w:tcPr>
            <w:tcW w:w="8840"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16.1</w:t>
            </w:r>
          </w:p>
        </w:tc>
        <w:tc>
          <w:tcPr>
            <w:tcW w:w="88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Letter from Deloitte &amp; Touche LLP to the Securities and Exchange Commission, dated December 19, 2014.</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9" w:name="s2ba51170ce6b4110969d16e14d5ffcf4"/>
      <w:bookmarkStart w:id="10" w:name="s2ba51170ce6b4110969d16e14d5ffcf4"/>
      <w:bookmarkEnd w:id="10"/>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566"/>
        <w:gridCol w:w="3940"/>
        <w:gridCol w:w="306"/>
        <w:gridCol w:w="500"/>
        <w:gridCol w:w="209"/>
        <w:gridCol w:w="533"/>
        <w:gridCol w:w="209"/>
        <w:gridCol w:w="394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66" w:type="dxa"/>
            <w:tcBorders/>
            <w:shd w:fill="auto" w:val="clear"/>
            <w:vAlign w:val="center"/>
          </w:tcPr>
          <w:p>
            <w:pPr>
              <w:pStyle w:val="TableContents"/>
              <w:spacing w:before="0" w:after="283"/>
              <w:rPr>
                <w:sz w:val="4"/>
                <w:szCs w:val="4"/>
              </w:rPr>
            </w:pPr>
            <w:r>
              <w:rPr>
                <w:sz w:val="4"/>
                <w:szCs w:val="4"/>
              </w:rPr>
            </w:r>
          </w:p>
        </w:tc>
        <w:tc>
          <w:tcPr>
            <w:tcW w:w="394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39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6" w:type="dxa"/>
            <w:tcBorders/>
            <w:shd w:fill="auto" w:val="clear"/>
            <w:vAlign w:val="center"/>
          </w:tcPr>
          <w:p>
            <w:pPr>
              <w:pStyle w:val="TableContents"/>
              <w:spacing w:before="0" w:after="0"/>
              <w:ind w:left="0" w:right="0" w:firstLine="30"/>
              <w:rPr/>
            </w:pPr>
            <w:r>
              <w:rPr/>
              <w:t> </w:t>
            </w:r>
          </w:p>
        </w:tc>
        <w:tc>
          <w:tcPr>
            <w:tcW w:w="3940"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jc w:val="left"/>
              <w:rPr/>
            </w:pPr>
            <w:r>
              <w:rPr/>
              <w:t> </w:t>
            </w:r>
          </w:p>
        </w:tc>
        <w:tc>
          <w:tcPr>
            <w:tcW w:w="4684"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566" w:type="dxa"/>
            <w:tcBorders/>
            <w:shd w:fill="auto" w:val="clear"/>
            <w:vAlign w:val="center"/>
          </w:tcPr>
          <w:p>
            <w:pPr>
              <w:pStyle w:val="TableContents"/>
              <w:spacing w:before="0" w:after="0"/>
              <w:ind w:left="0" w:right="0" w:firstLine="30"/>
              <w:rPr/>
            </w:pPr>
            <w:r>
              <w:rPr/>
              <w:t> </w:t>
            </w:r>
          </w:p>
        </w:tc>
        <w:tc>
          <w:tcPr>
            <w:tcW w:w="3940" w:type="dxa"/>
            <w:tcBorders/>
            <w:shd w:fill="auto" w:val="clear"/>
            <w:vAlign w:val="center"/>
          </w:tcPr>
          <w:p>
            <w:pPr>
              <w:pStyle w:val="TableContents"/>
              <w:spacing w:before="0" w:after="0"/>
              <w:ind w:left="0" w:right="0" w:firstLine="30"/>
              <w:rPr/>
            </w:pPr>
            <w:r>
              <w:rPr/>
              <w:t> </w:t>
            </w:r>
          </w:p>
        </w:tc>
        <w:tc>
          <w:tcPr>
            <w:tcW w:w="806" w:type="dxa"/>
            <w:gridSpan w:val="2"/>
            <w:tcBorders/>
            <w:shd w:fill="auto" w:val="clear"/>
            <w:vAlign w:val="center"/>
          </w:tcPr>
          <w:p>
            <w:pPr>
              <w:pStyle w:val="TableContents"/>
              <w:spacing w:before="0" w:after="0"/>
              <w:ind w:left="0" w:right="0" w:firstLine="30"/>
              <w:rPr/>
            </w:pPr>
            <w:r>
              <w:rPr/>
              <w:t> </w:t>
            </w:r>
          </w:p>
        </w:tc>
        <w:tc>
          <w:tcPr>
            <w:tcW w:w="742" w:type="dxa"/>
            <w:gridSpan w:val="2"/>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rPr/>
            </w:pPr>
            <w:r>
              <w:rPr/>
              <w:t> </w:t>
            </w:r>
          </w:p>
        </w:tc>
        <w:tc>
          <w:tcPr>
            <w:tcW w:w="3942" w:type="dxa"/>
            <w:tcBorders/>
            <w:shd w:fill="auto" w:val="clear"/>
            <w:vAlign w:val="center"/>
          </w:tcPr>
          <w:p>
            <w:pPr>
              <w:pStyle w:val="TableContents"/>
              <w:spacing w:before="0" w:after="0"/>
              <w:ind w:left="0" w:right="0" w:firstLine="30"/>
              <w:rPr/>
            </w:pPr>
            <w:r>
              <w:rPr/>
              <w:t> </w:t>
            </w:r>
          </w:p>
        </w:tc>
      </w:tr>
      <w:tr>
        <w:trPr/>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December 19, 2014</w:t>
            </w:r>
          </w:p>
        </w:tc>
        <w:tc>
          <w:tcPr>
            <w:tcW w:w="306"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jc w:val="left"/>
              <w:rPr/>
            </w:pPr>
            <w:r>
              <w:rPr/>
              <w:t> </w:t>
            </w:r>
          </w:p>
        </w:tc>
        <w:tc>
          <w:tcPr>
            <w:tcW w:w="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09" w:type="dxa"/>
            <w:tcBorders/>
            <w:shd w:fill="auto" w:val="clear"/>
            <w:vAlign w:val="center"/>
          </w:tcPr>
          <w:p>
            <w:pPr>
              <w:pStyle w:val="TableContents"/>
              <w:spacing w:before="0" w:after="0"/>
              <w:ind w:left="0" w:right="0" w:firstLine="30"/>
              <w:jc w:val="left"/>
              <w:rPr/>
            </w:pPr>
            <w:r>
              <w:rPr/>
              <w:t> </w:t>
            </w:r>
          </w:p>
        </w:tc>
        <w:tc>
          <w:tcPr>
            <w:tcW w:w="394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r>
      <w:tr>
        <w:trPr/>
        <w:tc>
          <w:tcPr>
            <w:tcW w:w="566" w:type="dxa"/>
            <w:tcBorders/>
            <w:shd w:fill="auto" w:val="clear"/>
            <w:vAlign w:val="center"/>
          </w:tcPr>
          <w:p>
            <w:pPr>
              <w:pStyle w:val="TableContents"/>
              <w:spacing w:before="0" w:after="0"/>
              <w:ind w:left="0" w:right="0" w:firstLine="30"/>
              <w:rPr/>
            </w:pPr>
            <w:r>
              <w:rPr/>
              <w:t> </w:t>
            </w:r>
          </w:p>
        </w:tc>
        <w:tc>
          <w:tcPr>
            <w:tcW w:w="3940"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jc w:val="left"/>
              <w:rPr/>
            </w:pPr>
            <w:r>
              <w:rPr/>
              <w:t> </w:t>
            </w:r>
          </w:p>
        </w:tc>
        <w:tc>
          <w:tcPr>
            <w:tcW w:w="533"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jc w:val="left"/>
              <w:rPr/>
            </w:pPr>
            <w:r>
              <w:rPr/>
              <w:t> </w:t>
            </w:r>
          </w:p>
        </w:tc>
        <w:tc>
          <w:tcPr>
            <w:tcW w:w="39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566" w:type="dxa"/>
            <w:tcBorders/>
            <w:shd w:fill="auto" w:val="clear"/>
            <w:vAlign w:val="center"/>
          </w:tcPr>
          <w:p>
            <w:pPr>
              <w:pStyle w:val="TableContents"/>
              <w:spacing w:before="0" w:after="0"/>
              <w:ind w:left="0" w:right="0" w:firstLine="30"/>
              <w:rPr/>
            </w:pPr>
            <w:r>
              <w:rPr/>
              <w:t> </w:t>
            </w:r>
          </w:p>
        </w:tc>
        <w:tc>
          <w:tcPr>
            <w:tcW w:w="3940"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jc w:val="left"/>
              <w:rPr/>
            </w:pPr>
            <w:r>
              <w:rPr/>
              <w:t> </w:t>
            </w:r>
          </w:p>
        </w:tc>
        <w:tc>
          <w:tcPr>
            <w:tcW w:w="533"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jc w:val="left"/>
              <w:rPr/>
            </w:pPr>
            <w:r>
              <w:rPr/>
              <w:t> </w:t>
            </w:r>
          </w:p>
        </w:tc>
        <w:tc>
          <w:tcPr>
            <w:tcW w:w="39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General Counsel and Secretary</w:t>
            </w:r>
          </w:p>
        </w:tc>
      </w:tr>
      <w:tr>
        <w:trPr/>
        <w:tc>
          <w:tcPr>
            <w:tcW w:w="566" w:type="dxa"/>
            <w:tcBorders/>
            <w:shd w:fill="auto" w:val="clear"/>
            <w:vAlign w:val="center"/>
          </w:tcPr>
          <w:p>
            <w:pPr>
              <w:pStyle w:val="TableContents"/>
              <w:spacing w:before="0" w:after="0"/>
              <w:ind w:left="0" w:right="0" w:firstLine="30"/>
              <w:rPr/>
            </w:pPr>
            <w:r>
              <w:rPr/>
              <w:t> </w:t>
            </w:r>
          </w:p>
        </w:tc>
        <w:tc>
          <w:tcPr>
            <w:tcW w:w="3940"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rPr/>
            </w:pPr>
            <w:r>
              <w:rPr/>
              <w:t> </w:t>
            </w:r>
          </w:p>
        </w:tc>
        <w:tc>
          <w:tcPr>
            <w:tcW w:w="533"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ind w:left="0" w:right="0" w:firstLine="30"/>
              <w:rPr/>
            </w:pPr>
            <w:r>
              <w:rPr/>
              <w:t> </w:t>
            </w:r>
          </w:p>
        </w:tc>
        <w:tc>
          <w:tcPr>
            <w:tcW w:w="3942"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rFonts w:ascii="inherit" w:hAnsi="inherit"/>
          <w:sz w:val="17"/>
        </w:rPr>
      </w:pPr>
      <w:r>
        <w:rPr>
          <w:rFonts w:ascii="inherit" w:hAnsi="inherit"/>
          <w:sz w:val="17"/>
        </w:rPr>
      </w:r>
      <w:bookmarkStart w:id="11" w:name="s54dc952f743b44618e8d5b215e6f2a6a"/>
      <w:bookmarkStart w:id="12" w:name="s54dc952f743b44618e8d5b215e6f2a6a"/>
      <w:bookmarkEnd w:id="12"/>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EXHIBIT INDEX</w:t>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340"/>
        <w:gridCol w:w="204"/>
        <w:gridCol w:w="866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86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Exhibit No.</w:t>
            </w:r>
          </w:p>
        </w:tc>
        <w:tc>
          <w:tcPr>
            <w:tcW w:w="204" w:type="dxa"/>
            <w:tcBorders/>
            <w:shd w:fill="auto" w:val="clear"/>
            <w:vAlign w:val="center"/>
          </w:tcPr>
          <w:p>
            <w:pPr>
              <w:pStyle w:val="TableContents"/>
              <w:spacing w:before="0" w:after="0"/>
              <w:ind w:left="0" w:right="0" w:firstLine="30"/>
              <w:rPr/>
            </w:pPr>
            <w:r>
              <w:rPr/>
              <w:t> </w:t>
            </w:r>
          </w:p>
        </w:tc>
        <w:tc>
          <w:tcPr>
            <w:tcW w:w="866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Description of Exhibit</w:t>
            </w:r>
          </w:p>
        </w:tc>
      </w:tr>
      <w:tr>
        <w:trPr/>
        <w:tc>
          <w:tcPr>
            <w:tcW w:w="1340"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rPr/>
            </w:pPr>
            <w:r>
              <w:rPr/>
              <w:t> </w:t>
            </w:r>
          </w:p>
        </w:tc>
        <w:tc>
          <w:tcPr>
            <w:tcW w:w="8661" w:type="dxa"/>
            <w:tcBorders/>
            <w:shd w:fill="auto" w:val="clear"/>
            <w:vAlign w:val="center"/>
          </w:tcPr>
          <w:p>
            <w:pPr>
              <w:pStyle w:val="TableContents"/>
              <w:spacing w:before="0" w:after="0"/>
              <w:ind w:left="0" w:right="0" w:firstLine="30"/>
              <w:rPr/>
            </w:pPr>
            <w:r>
              <w:rPr/>
              <w:t> </w:t>
            </w:r>
          </w:p>
        </w:tc>
      </w:tr>
      <w:tr>
        <w:trPr/>
        <w:tc>
          <w:tcPr>
            <w:tcW w:w="134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16.1</w:t>
            </w:r>
          </w:p>
        </w:tc>
        <w:tc>
          <w:tcPr>
            <w:tcW w:w="204" w:type="dxa"/>
            <w:tcBorders/>
            <w:shd w:fill="auto" w:val="clear"/>
            <w:vAlign w:val="center"/>
          </w:tcPr>
          <w:p>
            <w:pPr>
              <w:pStyle w:val="TableContents"/>
              <w:spacing w:before="0" w:after="0"/>
              <w:ind w:left="0" w:right="0" w:firstLine="30"/>
              <w:rPr/>
            </w:pPr>
            <w:r>
              <w:rPr/>
              <w:t> </w:t>
            </w:r>
          </w:p>
        </w:tc>
        <w:tc>
          <w:tcPr>
            <w:tcW w:w="8661" w:type="dxa"/>
            <w:tcBorders/>
            <w:shd w:fill="auto" w:val="clear"/>
            <w:vAlign w:val="center"/>
          </w:tcPr>
          <w:p>
            <w:pPr>
              <w:pStyle w:val="TableContents"/>
              <w:spacing w:before="0" w:after="0"/>
              <w:jc w:val="left"/>
              <w:rPr>
                <w:rFonts w:ascii="inherit" w:hAnsi="inherit"/>
                <w:sz w:val="17"/>
              </w:rPr>
            </w:pPr>
            <w:r>
              <w:rPr>
                <w:rFonts w:ascii="inherit" w:hAnsi="inherit"/>
                <w:sz w:val="17"/>
              </w:rPr>
              <w:t>Letter from Deloitte &amp; Touche LLP to the Securities and Exchange Commission, dated December 19, 2014.</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rFonts w:ascii="inherit" w:hAnsi="inherit"/>
          <w:sz w:val="17"/>
        </w:rPr>
      </w:pPr>
      <w:r>
        <w:rPr>
          <w:rFonts w:ascii="inherit" w:hAnsi="inherit"/>
          <w:sz w:val="17"/>
        </w:rPr>
      </w:r>
      <w:bookmarkStart w:id="13" w:name="s315e394fbbf74ed9b10d487e221fcd32"/>
      <w:bookmarkStart w:id="14" w:name="deloitteresignationexhibit.htm"/>
      <w:bookmarkStart w:id="15" w:name="ksdeloitteresignationexhibit"/>
      <w:bookmarkStart w:id="16" w:name="s315e394fbbf74ed9b10d487e221fcd32"/>
      <w:bookmarkStart w:id="17" w:name="deloitteresignationexhibit.htm"/>
      <w:bookmarkStart w:id="18" w:name="ksdeloitteresignationexhibit"/>
      <w:bookmarkEnd w:id="16"/>
      <w:bookmarkEnd w:id="17"/>
      <w:bookmarkEnd w:id="18"/>
    </w:p>
    <w:p>
      <w:pPr>
        <w:pStyle w:val="TextBody"/>
        <w:spacing w:before="0" w:after="0"/>
        <w:rPr/>
      </w:pPr>
      <w:r>
        <w:rPr/>
      </w:r>
    </w:p>
    <w:p>
      <w:pPr>
        <w:pStyle w:val="TextBody"/>
        <w:spacing w:lineRule="auto" w:line="288" w:before="0" w:after="0"/>
        <w:ind w:left="0" w:right="0" w:firstLine="8640"/>
        <w:jc w:val="left"/>
        <w:rPr/>
      </w:pPr>
      <w:r>
        <w:rPr/>
        <w:t>                                                </w:t>
      </w:r>
    </w:p>
    <w:tbl>
      <w:tblPr>
        <w:tblW w:w="10056" w:type="dxa"/>
        <w:jc w:val="left"/>
        <w:tblInd w:w="0" w:type="dxa"/>
        <w:tblCellMar>
          <w:top w:w="0" w:type="dxa"/>
          <w:left w:w="0" w:type="dxa"/>
          <w:bottom w:w="0" w:type="dxa"/>
          <w:right w:w="0" w:type="dxa"/>
        </w:tblCellMar>
      </w:tblPr>
      <w:tblGrid>
        <w:gridCol w:w="4023"/>
        <w:gridCol w:w="2011"/>
        <w:gridCol w:w="2011"/>
        <w:gridCol w:w="2011"/>
      </w:tblGrid>
      <w:tr>
        <w:trPr/>
        <w:tc>
          <w:tcPr>
            <w:tcW w:w="10056" w:type="dxa"/>
            <w:gridSpan w:val="4"/>
            <w:tcBorders/>
            <w:shd w:fill="auto" w:val="clear"/>
            <w:vAlign w:val="center"/>
          </w:tcPr>
          <w:p>
            <w:pPr>
              <w:pStyle w:val="TableContents"/>
              <w:spacing w:before="0" w:after="283"/>
              <w:rPr>
                <w:sz w:val="4"/>
                <w:szCs w:val="4"/>
              </w:rPr>
            </w:pPr>
            <w:r>
              <w:rPr>
                <w:sz w:val="4"/>
                <w:szCs w:val="4"/>
              </w:rPr>
            </w:r>
          </w:p>
        </w:tc>
      </w:tr>
      <w:tr>
        <w:trPr/>
        <w:tc>
          <w:tcPr>
            <w:tcW w:w="4023"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23" w:type="dxa"/>
            <w:tcBorders/>
            <w:shd w:fill="auto" w:val="clear"/>
            <w:vAlign w:val="center"/>
          </w:tcPr>
          <w:p>
            <w:pPr>
              <w:pStyle w:val="TableContents"/>
              <w:spacing w:before="0" w:after="0"/>
              <w:ind w:left="0" w:right="0" w:firstLine="30"/>
              <w:jc w:val="left"/>
              <w:rPr/>
            </w:pPr>
            <w:r>
              <w:rPr/>
              <w:drawing>
                <wp:inline distT="0" distB="0" distL="0" distR="0">
                  <wp:extent cx="249555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95550" cy="466725"/>
                          </a:xfrm>
                          <a:prstGeom prst="rect">
                            <a:avLst/>
                          </a:prstGeom>
                        </pic:spPr>
                      </pic:pic>
                    </a:graphicData>
                  </a:graphic>
                </wp:inline>
              </w:drawing>
            </w:r>
          </w:p>
        </w:tc>
        <w:tc>
          <w:tcPr>
            <w:tcW w:w="2011" w:type="dxa"/>
            <w:tcBorders/>
            <w:shd w:fill="auto" w:val="clear"/>
            <w:vAlign w:val="center"/>
          </w:tcPr>
          <w:p>
            <w:pPr>
              <w:pStyle w:val="TableContents"/>
              <w:spacing w:before="0" w:after="0"/>
              <w:ind w:left="0" w:right="0" w:firstLine="30"/>
              <w:rPr/>
            </w:pPr>
            <w:r>
              <w:rPr/>
              <w:t> </w:t>
            </w:r>
          </w:p>
        </w:tc>
        <w:tc>
          <w:tcPr>
            <w:tcW w:w="2011" w:type="dxa"/>
            <w:tcBorders/>
            <w:shd w:fill="auto" w:val="clear"/>
            <w:vAlign w:val="center"/>
          </w:tcPr>
          <w:p>
            <w:pPr>
              <w:pStyle w:val="TableContents"/>
              <w:spacing w:before="0" w:after="0"/>
              <w:ind w:left="0" w:right="0" w:firstLine="30"/>
              <w:rPr/>
            </w:pPr>
            <w:r>
              <w:rPr/>
              <w:t> </w:t>
            </w:r>
          </w:p>
        </w:tc>
        <w:tc>
          <w:tcPr>
            <w:tcW w:w="2011" w:type="dxa"/>
            <w:tcBorders/>
            <w:shd w:fill="auto" w:val="clear"/>
            <w:vAlign w:val="center"/>
          </w:tcPr>
          <w:p>
            <w:pPr>
              <w:pStyle w:val="TableContents"/>
              <w:spacing w:before="0" w:after="0"/>
              <w:rPr>
                <w:rFonts w:ascii="inherit" w:hAnsi="inherit"/>
                <w:b/>
                <w:sz w:val="15"/>
              </w:rPr>
            </w:pPr>
            <w:r>
              <w:rPr>
                <w:rFonts w:ascii="inherit" w:hAnsi="inherit"/>
                <w:b/>
                <w:sz w:val="15"/>
              </w:rPr>
              <w:t>Deloitte &amp; Touche LLP</w:t>
            </w:r>
          </w:p>
          <w:p>
            <w:pPr>
              <w:pStyle w:val="TableContents"/>
              <w:spacing w:before="0" w:after="0"/>
              <w:rPr>
                <w:rFonts w:ascii="Arial" w:hAnsi="Arial"/>
                <w:sz w:val="15"/>
              </w:rPr>
            </w:pPr>
            <w:r>
              <w:rPr>
                <w:rFonts w:ascii="Arial" w:hAnsi="Arial"/>
                <w:sz w:val="15"/>
              </w:rPr>
              <w:t>Suite 1700</w:t>
            </w:r>
          </w:p>
          <w:p>
            <w:pPr>
              <w:pStyle w:val="TableContents"/>
              <w:spacing w:before="0" w:after="0"/>
              <w:rPr>
                <w:rFonts w:ascii="Arial" w:hAnsi="Arial"/>
                <w:sz w:val="15"/>
              </w:rPr>
            </w:pPr>
            <w:r>
              <w:rPr>
                <w:rFonts w:ascii="Arial" w:hAnsi="Arial"/>
                <w:sz w:val="15"/>
              </w:rPr>
              <w:t>400 West 15th Street</w:t>
            </w:r>
          </w:p>
          <w:p>
            <w:pPr>
              <w:pStyle w:val="TableContents"/>
              <w:spacing w:before="0" w:after="0"/>
              <w:rPr>
                <w:rFonts w:ascii="Arial" w:hAnsi="Arial"/>
                <w:sz w:val="15"/>
              </w:rPr>
            </w:pPr>
            <w:r>
              <w:rPr>
                <w:rFonts w:ascii="Arial" w:hAnsi="Arial"/>
                <w:sz w:val="15"/>
              </w:rPr>
              <w:t>Austin, TX 78701-1648</w:t>
            </w:r>
          </w:p>
          <w:p>
            <w:pPr>
              <w:pStyle w:val="TableContents"/>
              <w:spacing w:before="0" w:after="0"/>
              <w:rPr>
                <w:rFonts w:ascii="Arial" w:hAnsi="Arial"/>
                <w:sz w:val="15"/>
              </w:rPr>
            </w:pPr>
            <w:r>
              <w:rPr>
                <w:rFonts w:ascii="Arial" w:hAnsi="Arial"/>
                <w:sz w:val="15"/>
              </w:rPr>
              <w:t>USA</w:t>
            </w:r>
          </w:p>
          <w:p>
            <w:pPr>
              <w:pStyle w:val="TableContents"/>
              <w:spacing w:before="0" w:after="0"/>
              <w:rPr>
                <w:rFonts w:ascii="Arial" w:hAnsi="Arial"/>
                <w:sz w:val="15"/>
              </w:rPr>
            </w:pPr>
            <w:r>
              <w:rPr>
                <w:rFonts w:ascii="Arial" w:hAnsi="Arial"/>
                <w:sz w:val="15"/>
              </w:rPr>
              <w:t>Tel: 1+ 512 691 2300</w:t>
            </w:r>
          </w:p>
          <w:p>
            <w:pPr>
              <w:pStyle w:val="TableContents"/>
              <w:spacing w:before="0" w:after="0"/>
              <w:rPr>
                <w:rFonts w:ascii="Arial" w:hAnsi="Arial"/>
                <w:sz w:val="15"/>
              </w:rPr>
            </w:pPr>
            <w:r>
              <w:rPr>
                <w:rFonts w:ascii="Arial" w:hAnsi="Arial"/>
                <w:sz w:val="15"/>
              </w:rPr>
              <w:t>Fax: 1+ 512 708 1035</w:t>
            </w:r>
          </w:p>
          <w:p>
            <w:pPr>
              <w:pStyle w:val="TableContents"/>
              <w:spacing w:before="0" w:after="0"/>
              <w:rPr>
                <w:rFonts w:ascii="Arial" w:hAnsi="Arial"/>
                <w:sz w:val="15"/>
              </w:rPr>
            </w:pPr>
            <w:r>
              <w:rPr>
                <w:rFonts w:ascii="Arial" w:hAnsi="Arial"/>
                <w:sz w:val="15"/>
              </w:rPr>
              <w:t>www.deloitte.com</w:t>
            </w:r>
          </w:p>
        </w:tc>
      </w:tr>
    </w:tbl>
    <w:p>
      <w:pPr>
        <w:pStyle w:val="TextBody"/>
        <w:spacing w:lineRule="auto" w:line="288" w:before="0" w:after="0"/>
        <w:rPr>
          <w:rFonts w:ascii="Arial" w:hAnsi="Arial"/>
          <w:sz w:val="12"/>
        </w:rPr>
      </w:pPr>
      <w:r>
        <w:rPr>
          <w:rFonts w:ascii="Arial" w:hAnsi="Arial"/>
          <w:sz w:val="12"/>
        </w:rPr>
      </w:r>
    </w:p>
    <w:p>
      <w:pPr>
        <w:pStyle w:val="TextBody"/>
        <w:spacing w:lineRule="auto" w:line="288" w:before="0" w:after="0"/>
        <w:ind w:left="0" w:right="0" w:firstLine="2160"/>
        <w:jc w:val="left"/>
        <w:rPr/>
      </w:pPr>
      <w:r>
        <w:rPr/>
        <w:t>            </w:t>
      </w:r>
    </w:p>
    <w:p>
      <w:pPr>
        <w:pStyle w:val="TextBody"/>
        <w:spacing w:lineRule="auto" w:line="288" w:before="0" w:after="0"/>
        <w:ind w:left="0" w:right="0" w:firstLine="7200"/>
        <w:jc w:val="left"/>
        <w:rPr/>
      </w:pPr>
      <w:r>
        <w:rPr/>
        <w:t>                                        </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December 19, 2014</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Securities and Exchange Commission</w:t>
      </w:r>
    </w:p>
    <w:p>
      <w:pPr>
        <w:pStyle w:val="TextBody"/>
        <w:spacing w:lineRule="auto" w:line="288" w:before="0" w:after="0"/>
        <w:jc w:val="left"/>
        <w:rPr>
          <w:rFonts w:ascii="Arial" w:hAnsi="Arial"/>
          <w:sz w:val="17"/>
        </w:rPr>
      </w:pPr>
      <w:r>
        <w:rPr>
          <w:rFonts w:ascii="Arial" w:hAnsi="Arial"/>
          <w:sz w:val="17"/>
        </w:rPr>
        <w:t>100 F Street, N.E.</w:t>
      </w:r>
    </w:p>
    <w:p>
      <w:pPr>
        <w:pStyle w:val="TextBody"/>
        <w:spacing w:lineRule="auto" w:line="288" w:before="0" w:after="0"/>
        <w:jc w:val="left"/>
        <w:rPr>
          <w:rFonts w:ascii="Arial" w:hAnsi="Arial"/>
          <w:sz w:val="17"/>
        </w:rPr>
      </w:pPr>
      <w:r>
        <w:rPr>
          <w:rFonts w:ascii="Arial" w:hAnsi="Arial"/>
          <w:sz w:val="17"/>
        </w:rPr>
        <w:t>Washington, D.C. 20549-7561</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Dear Sirs/Madams:</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We have read Item 4 of EZCORP, Inc.'s Form 8-K dated December 15, 2014, and have the</w:t>
      </w:r>
    </w:p>
    <w:p>
      <w:pPr>
        <w:pStyle w:val="TextBody"/>
        <w:spacing w:lineRule="auto" w:line="288" w:before="0" w:after="0"/>
        <w:jc w:val="left"/>
        <w:rPr>
          <w:rFonts w:ascii="Arial" w:hAnsi="Arial"/>
          <w:sz w:val="17"/>
        </w:rPr>
      </w:pPr>
      <w:r>
        <w:rPr>
          <w:rFonts w:ascii="Arial" w:hAnsi="Arial"/>
          <w:sz w:val="17"/>
        </w:rPr>
        <w:t>following comments:</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1. We agree with the statements made in the first, third, fourth and fifth paragraphs.</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2. We have no basis on which to agree or disagree with the statements made in the second and</w:t>
      </w:r>
    </w:p>
    <w:p>
      <w:pPr>
        <w:pStyle w:val="TextBody"/>
        <w:spacing w:lineRule="auto" w:line="288" w:before="0" w:after="0"/>
        <w:jc w:val="left"/>
        <w:rPr>
          <w:rFonts w:ascii="Arial" w:hAnsi="Arial"/>
          <w:sz w:val="17"/>
        </w:rPr>
      </w:pPr>
      <w:r>
        <w:rPr>
          <w:rFonts w:ascii="Arial" w:hAnsi="Arial"/>
          <w:sz w:val="17"/>
        </w:rPr>
        <w:t>sixth paragraphs.</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Yours truly,</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i/>
          <w:sz w:val="17"/>
        </w:rPr>
      </w:pPr>
      <w:r>
        <w:rPr>
          <w:rFonts w:ascii="inherit" w:hAnsi="inherit"/>
          <w:i/>
          <w:sz w:val="17"/>
        </w:rPr>
        <w:t>/s/ DELOITTE &amp; TOUCHE LLP</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931</Words>
  <CharactersWithSpaces>6209</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