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5107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0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VANROEKEL LISA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BUILDING 1, SUITE 200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7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EZCORP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Human Resources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20"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42,424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42,424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143,935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will vest in whole or in part on September 30, 2026, with 80% being subject to the attainment of specified performance goals in addition to continued employment, and the remaining 20% being subject to continued employment only.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2023.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11/21/2023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1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0562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2023-11-21T14:13:31Z</dcterms:created>
  <dcterms:modified xsi:type="dcterms:W3CDTF">2023-11-21T14:13:31Z</dcterms:modified>
</cp:coreProperties>
</file>