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7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left="360" w:right="2560"/>
        <w:spacing w:after="0" w:line="367" w:lineRule="auto"/>
        <w:rPr>
          <w:sz w:val="20"/>
          <w:szCs w:val="20"/>
          <w:color w:val="auto"/>
        </w:rPr>
      </w:pPr>
      <w:r>
        <w:rPr>
          <w:rFonts w:ascii="Arial" w:cs="Arial" w:eastAsia="Arial" w:hAnsi="Arial"/>
          <w:sz w:val="22"/>
          <w:szCs w:val="22"/>
          <w:b w:val="1"/>
          <w:bCs w:val="1"/>
          <w:color w:val="auto"/>
        </w:rPr>
        <w:t>PURSUANT TO SECTION 13 OR 15(d) OF THE SECURITIES EXCHANGE ACT OF 1934 Date of Report (Date of earliest event reported): February 3, 2015</w:t>
      </w:r>
    </w:p>
    <w:p>
      <w:pPr>
        <w:spacing w:after="0" w:line="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326"/>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 Changes in Registrant's Certifying Accountant</w:t>
      </w:r>
    </w:p>
    <w:p>
      <w:pPr>
        <w:spacing w:after="0" w:line="17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 reported in the Company's Current Report on Form 8-K dated December 15, 2014, the Audit Committee has selected and appointed BDO USA, LLP ("BDO") to serve as the Company's independent registered public accounting firm for fiscal 2015. On February 3, 2015, the Company entered into an engagement letter formalizing the terms BDO's engagement.</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fiscal years ended September 30, 2014 and September 30, 2013, and the subsequent interim period through December 19, 2014, neither the Company nor anyone acting on the Company's behalf consulted with BDO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BDO concluded was an important factor considered by the Company in reaching a decision as to any accounting, auditing or financial reporting issues or (ii) any matter that was either the subject of a "disagreement" or "reportable event" (as those terms are defined in Item 304(a)(1) of Regulation S-K).</w:t>
      </w:r>
    </w:p>
    <w:p>
      <w:pPr>
        <w:spacing w:after="0" w:line="13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  On February 3, 2015, the Board of Directors approved the following realignment of the Company's executive management, effective immediately:</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Stuart I. Grimshaw was named Chief Executive Officer (principal executive officer). Mr. Grimshaw had been Executive Chairman of the Board.</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Lachlan P. Given was named Executive Chairman of the Board. Mr. Given had been Executive Vice Chairman of the Board.</w:t>
      </w:r>
    </w:p>
    <w:p>
      <w:pPr>
        <w:spacing w:after="0" w:line="171" w:lineRule="exact"/>
        <w:rPr>
          <w:rFonts w:ascii="Arial" w:cs="Arial" w:eastAsia="Arial" w:hAnsi="Arial"/>
          <w:sz w:val="18"/>
          <w:szCs w:val="18"/>
          <w:color w:val="auto"/>
        </w:rPr>
      </w:pPr>
    </w:p>
    <w:p>
      <w:pPr>
        <w:ind w:left="980" w:hanging="324"/>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Mark E. Kuchenrither was named President and Chief Operating Officer. Mr. Kuchenrither had been President and Chief Executive Officer. Mr. Kuchenrither will continue to serve as Chief Financial Officer (principal financial officer) until the company hires a new Chief Financial Officer. In his new position, Mr. Kuchenrither will no longer be a member of the Board of Directors, leaving the Board with two executive directors and six non-executive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February 4, 2015, announcing the realignment of the Company's executive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Press Release dated February 4, 2015, announcing the realignment of the Company's executive management</w:t>
            </w: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586105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EZCORP ANNOUNCES REALIGNMENT OF EXECUTIVE MANAGEMENT</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Stuart Grimshaw Named Chief Executive Officer</w:t>
      </w:r>
    </w:p>
    <w:p>
      <w:pPr>
        <w:spacing w:after="0" w:line="313"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(February 3, 2015)</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EZCORP, Inc. (NASDAQ: EZPW), a leading provider of easy cash solutions for consumers,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following realignment of its executive management team:</w:t>
      </w:r>
    </w:p>
    <w:p>
      <w:pPr>
        <w:spacing w:after="0" w:line="1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Stuart I. Grimshaw </w:t>
      </w:r>
      <w:r>
        <w:rPr>
          <w:rFonts w:ascii="Arial" w:cs="Arial" w:eastAsia="Arial" w:hAnsi="Arial"/>
          <w:sz w:val="20"/>
          <w:szCs w:val="20"/>
          <w:color w:val="auto"/>
        </w:rPr>
        <w:t>(formerly Executive Chairman of the Board) has been named Chief Executive Officer;</w:t>
      </w:r>
    </w:p>
    <w:p>
      <w:pPr>
        <w:spacing w:after="0" w:line="175" w:lineRule="exact"/>
        <w:rPr>
          <w:rFonts w:ascii="Arial" w:cs="Arial" w:eastAsia="Arial" w:hAnsi="Arial"/>
          <w:sz w:val="20"/>
          <w:szCs w:val="20"/>
          <w:b w:val="1"/>
          <w:bCs w:val="1"/>
          <w:color w:val="auto"/>
        </w:rPr>
      </w:pPr>
    </w:p>
    <w:p>
      <w:pPr>
        <w:ind w:left="660" w:hanging="328"/>
        <w:spacing w:after="0"/>
        <w:tabs>
          <w:tab w:leader="none" w:pos="6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Lachlan P. Given </w:t>
      </w:r>
      <w:r>
        <w:rPr>
          <w:rFonts w:ascii="Arial" w:cs="Arial" w:eastAsia="Arial" w:hAnsi="Arial"/>
          <w:sz w:val="19"/>
          <w:szCs w:val="19"/>
          <w:color w:val="auto"/>
        </w:rPr>
        <w:t>(formerly Executive Vice Chairman of the Board) has been named Executive Chairman of the Board; and</w:t>
      </w:r>
    </w:p>
    <w:p>
      <w:pPr>
        <w:spacing w:after="0" w:line="186" w:lineRule="exact"/>
        <w:rPr>
          <w:rFonts w:ascii="Arial" w:cs="Arial" w:eastAsia="Arial" w:hAnsi="Arial"/>
          <w:sz w:val="19"/>
          <w:szCs w:val="19"/>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 E. Kuchenrither </w:t>
      </w:r>
      <w:r>
        <w:rPr>
          <w:rFonts w:ascii="Arial" w:cs="Arial" w:eastAsia="Arial" w:hAnsi="Arial"/>
          <w:sz w:val="18"/>
          <w:szCs w:val="18"/>
          <w:color w:val="auto"/>
        </w:rPr>
        <w:t>(formerly President and Chief Executive Officer) has been named President and Chief Operating Officer.</w:t>
      </w:r>
    </w:p>
    <w:p>
      <w:pPr>
        <w:spacing w:after="0" w:line="20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This realignment is designed to streamline the Company's governance structure by positioning Mr. Grimshaw closer to the Company's core U.S. pawn and financial services operations, allowing Mr. Kuchenrither to focus on high-potential growth businesses in Mexico and Canada, and focusing Mr. Given's role on strategic investment and acquisition activities. As Chief Executive Officer, Mr. Grimshaw will assume principal executive officer responsibilities for all strategic, operating and support functions and will report to the Board of Directors.</w:t>
      </w:r>
    </w:p>
    <w:p>
      <w:pPr>
        <w:spacing w:after="0" w:line="121"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auto"/>
        </w:rPr>
        <w:t>Mr. Grimshaw stated: "I am honored to be assuming full executive responsibility for EZCORP. Over the past several months, we have made significant progress on our operational excellence and growth initiatives, but there remains much work to be done. The management realignment announced today is intended to distribute our executive talent across our core and growth businesses and strategic opportunities. I look forward to working with the Board and leading the executive management team to fully realize the enormous potential of this business."</w:t>
      </w:r>
    </w:p>
    <w:p>
      <w:pPr>
        <w:spacing w:after="0" w:line="8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In his new role, Mr. Kuchenrither will no longer be a member of the Board of Directors, which leaves the Board with two executive directors and six non-executive directors. Mr. Kuchenrither will continue to serve as Chief Financial Officer until the Company hires a new 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EZCORP is a leader in delivering easy cash solutions to our customers across channels, products, services and markets. With approximately 7,000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we also sell merchandise, primarily collateral forfeited from pawn lending operations and used merchandise purchased from customers.</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the latest information on EZCORP, please visit our website at: </w:t>
      </w:r>
      <w:r>
        <w:rPr>
          <w:rFonts w:ascii="Arial" w:cs="Arial" w:eastAsia="Arial" w:hAnsi="Arial"/>
          <w:sz w:val="20"/>
          <w:szCs w:val="20"/>
          <w:u w:val="single" w:color="auto"/>
          <w:color w:val="0000FF"/>
        </w:rPr>
        <w:t>http://investors.ezcorp.com/</w:t>
      </w:r>
      <w:r>
        <w:rPr>
          <w:rFonts w:ascii="Arial" w:cs="Arial" w:eastAsia="Arial" w:hAnsi="Arial"/>
          <w:sz w:val="20"/>
          <w:szCs w:val="20"/>
          <w:color w:val="auto"/>
        </w:rPr>
        <w:t>.</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1440" w:right="29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p>
      <w:pPr>
        <w:spacing w:after="0"/>
        <w:rPr>
          <w:sz w:val="20"/>
          <w:szCs w:val="20"/>
          <w:color w:val="auto"/>
        </w:rPr>
      </w:pPr>
      <w:r>
        <w:rPr>
          <w:rFonts w:ascii="Arial" w:cs="Arial" w:eastAsia="Arial" w:hAnsi="Arial"/>
          <w:sz w:val="20"/>
          <w:szCs w:val="20"/>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9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2020-01-22T12:44:40Z</dcterms:created>
  <dcterms:modified xsi:type="dcterms:W3CDTF">2020-01-22T12:44:40Z</dcterms:modified>
</cp:coreProperties>
</file>