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6492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492875"/>
                    </a:xfrm>
                    <a:prstGeom prst="rect">
                      <a:avLst/>
                    </a:prstGeom>
                    <a:noFill/>
                  </pic:spPr>
                </pic:pic>
              </a:graphicData>
            </a:graphic>
          </wp:anchor>
        </w:drawing>
      </w:r>
    </w:p>
    <w:p>
      <w:pPr>
        <w:spacing w:after="0" w:line="1208" w:lineRule="exact"/>
        <w:rPr>
          <w:sz w:val="24"/>
          <w:szCs w:val="24"/>
          <w:color w:val="auto"/>
        </w:rPr>
      </w:pPr>
    </w:p>
    <w:p>
      <w:pPr>
        <w:sectPr>
          <w:pgSz w:w="11900" w:h="17003" w:orient="portrait"/>
          <w:cols w:equalWidth="0" w:num="2">
            <w:col w:w="2300" w:space="300"/>
            <w:col w:w="8480"/>
          </w:cols>
          <w:pgMar w:left="460" w:top="216" w:right="359" w:bottom="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Swies Nicole</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2500 BEE CAVE RD, BLDG. 1, SUITE 200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11/12/2024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824"/>
        <w:spacing w:after="0"/>
        <w:rPr>
          <w:sz w:val="20"/>
          <w:szCs w:val="20"/>
          <w:color w:val="auto"/>
        </w:rPr>
      </w:pPr>
      <w:r>
        <w:rPr>
          <w:rFonts w:ascii="Times New Roman" w:cs="Times New Roman" w:eastAsia="Times New Roman" w:hAnsi="Times New Roman"/>
          <w:sz w:val="17"/>
          <w:szCs w:val="17"/>
          <w:color w:val="0000FF"/>
        </w:rPr>
        <w:t>Chief Revenue Officer</w:t>
      </w:r>
    </w:p>
    <w:p>
      <w:pPr>
        <w:spacing w:after="0" w:line="306" w:lineRule="exact"/>
        <w:rPr>
          <w:sz w:val="24"/>
          <w:szCs w:val="24"/>
          <w:color w:val="auto"/>
        </w:rPr>
      </w:pPr>
    </w:p>
    <w:p>
      <w:pPr>
        <w:sectPr>
          <w:pgSz w:w="11900" w:h="17003" w:orient="portrait"/>
          <w:cols w:equalWidth="0" w:num="3">
            <w:col w:w="3180" w:space="720"/>
            <w:col w:w="3116" w:space="720"/>
            <w:col w:w="334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20" w:type="dxa"/>
            <w:vAlign w:val="bottom"/>
            <w:gridSpan w:val="7"/>
            <w:vMerge w:val="restart"/>
          </w:tcPr>
          <w:p>
            <w:pPr>
              <w:jc w:val="center"/>
              <w:ind w:right="137"/>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78746</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ind w:right="17"/>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4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11/12/2024</w:t>
            </w: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64,413</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11.77</w:t>
            </w:r>
          </w:p>
        </w:tc>
        <w:tc>
          <w:tcPr>
            <w:tcW w:w="128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135,871</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4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11/12/2024</w:t>
            </w: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24,058</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11.77</w:t>
            </w:r>
          </w:p>
        </w:tc>
        <w:tc>
          <w:tcPr>
            <w:tcW w:w="128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111,813</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39"/>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4,943</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11.77</w:t>
            </w:r>
            <w:r>
              <w:rPr>
                <w:rFonts w:ascii="Times New Roman" w:cs="Times New Roman" w:eastAsia="Times New Roman" w:hAnsi="Times New Roman"/>
                <w:sz w:val="21"/>
                <w:szCs w:val="21"/>
                <w:color w:val="008000"/>
                <w:w w:val="92"/>
                <w:vertAlign w:val="superscript"/>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4,943</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153,922</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2,912</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11.77</w:t>
            </w:r>
            <w:r>
              <w:rPr>
                <w:rFonts w:ascii="Times New Roman" w:cs="Times New Roman" w:eastAsia="Times New Roman" w:hAnsi="Times New Roman"/>
                <w:sz w:val="21"/>
                <w:szCs w:val="21"/>
                <w:color w:val="008000"/>
                <w:w w:val="92"/>
                <w:vertAlign w:val="superscript"/>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2,912</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156,834</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2,721</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11.77</w:t>
            </w:r>
            <w:r>
              <w:rPr>
                <w:rFonts w:ascii="Times New Roman" w:cs="Times New Roman" w:eastAsia="Times New Roman" w:hAnsi="Times New Roman"/>
                <w:sz w:val="21"/>
                <w:szCs w:val="21"/>
                <w:color w:val="008000"/>
                <w:w w:val="92"/>
                <w:vertAlign w:val="superscript"/>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2,721</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159,555</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64,413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5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64,413</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11.77</w:t>
            </w:r>
          </w:p>
        </w:tc>
        <w:tc>
          <w:tcPr>
            <w:tcW w:w="60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w w:val="94"/>
              </w:rPr>
              <w:t>95,142</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-3585845</wp:posOffset>
            </wp:positionV>
            <wp:extent cx="29210" cy="3591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5915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2022 Restricted Stock Unit award. These units were earned with achievement of the specified performance goal for fiscal 2024 and vest on September 30, 2024, subject to continued employment.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November 12, 2024. However, no consideration was paid for the award other than services rendered and to be rendered by the Reporting Person.</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2023 Restricted Stock Unit award. These units were earned with achievement of the specified performance goal for fiscal 2024 and vest on September 30, 2025, subject to continued employment.</w:t>
      </w:r>
    </w:p>
    <w:p>
      <w:pPr>
        <w:spacing w:after="0" w:line="19"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2024 Restricted Stock Unit award. These units were earned with achievement of the specified performance goal for fiscal 2024 and vest on September 30, 2026, subject to continued employment.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vested on November 12, 2024 after specified performance goals were achieved.</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Carrie Putnam, Attorney-in-  </w:t>
      </w:r>
      <w:r>
        <w:rPr>
          <w:rFonts w:ascii="Times New Roman" w:cs="Times New Roman" w:eastAsia="Times New Roman" w:hAnsi="Times New Roman"/>
          <w:sz w:val="33"/>
          <w:szCs w:val="33"/>
          <w:color w:val="0000FF"/>
          <w:vertAlign w:val="subscript"/>
        </w:rPr>
        <w:t>11/14/2024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8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7003"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4292" TargetMode="External"/><Relationship Id="rId14"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2024-11-14T15:22:56Z</dcterms:created>
  <dcterms:modified xsi:type="dcterms:W3CDTF">2024-11-14T15:22:56Z</dcterms:modified>
</cp:coreProperties>
</file>