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-234315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-598170</wp:posOffset>
            </wp:positionV>
            <wp:extent cx="8255" cy="59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-606425</wp:posOffset>
            </wp:positionV>
            <wp:extent cx="8255" cy="6070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-582295</wp:posOffset>
            </wp:positionV>
            <wp:extent cx="1270635" cy="558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55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-1636395</wp:posOffset>
            </wp:positionH>
            <wp:positionV relativeFrom="paragraph">
              <wp:posOffset>26670</wp:posOffset>
            </wp:positionV>
            <wp:extent cx="6969760" cy="1724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724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Given Lachlan P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ROAD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EZPW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7" w:right="660" w:firstLine="7"/>
        <w:spacing w:after="0" w:line="235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9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M&amp;A and Funding Officer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53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1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1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Non-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119,284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5.03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119,284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Voting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263,680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-2647315</wp:posOffset>
            </wp:positionV>
            <wp:extent cx="7034530" cy="27844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784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 in whole or in part on September 30, 2023, subject to the attainment of specified performance goals.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Closing market value on September 30, 2020. However, no consideration was paid for the award other than services rendered and to be rendered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Carrie Putnam,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02/24/2021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78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29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14771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2021-02-24T07:25:36Z</dcterms:created>
  <dcterms:modified xsi:type="dcterms:W3CDTF">2021-02-24T07:25:36Z</dcterms:modified>
</cp:coreProperties>
</file>