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83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8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Thomas Craig JR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 N. IH 35, SUITE 12C-1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519" w:val="left"/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9"/>
        <w:spacing w:after="0"/>
        <w:tabs>
          <w:tab w:leader="none" w:pos="21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78701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4.7567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4.7567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2003 Plan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Derivative Securities currently held by Reporting Person reflects the increase in the number of shares resulting from EZCORP's 3-for-1 stock split announed on November 9, 2006.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does not include 30,000 Derivative Securities currently held by Reporting Person.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Laura Jones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02/01/2007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335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2020-02-03T20:11:14Z</dcterms:created>
  <dcterms:modified xsi:type="dcterms:W3CDTF">2020-02-03T20:11:14Z</dcterms:modified>
</cp:coreProperties>
</file>