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9, 2015</w:t>
      </w:r>
    </w:p>
    <w:p>
      <w:pPr>
        <w:spacing w:after="0" w:line="17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179070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4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37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EZCORP, INC.</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900" w:orient="portrait"/>
          <w:cols w:equalWidth="0" w:num="1">
            <w:col w:w="11420"/>
          </w:cols>
          <w:pgMar w:left="240" w:top="391" w:right="239" w:bottom="0" w:gutter="0" w:footer="0" w:header="0"/>
        </w:sectPr>
      </w:pPr>
    </w:p>
    <w:p>
      <w:pPr>
        <w:spacing w:after="0" w:line="200" w:lineRule="exact"/>
        <w:rPr>
          <w:sz w:val="24"/>
          <w:szCs w:val="24"/>
          <w:color w:val="auto"/>
        </w:rPr>
      </w:pPr>
    </w:p>
    <w:p>
      <w:pPr>
        <w:spacing w:after="0" w:line="222" w:lineRule="exact"/>
        <w:rPr>
          <w:sz w:val="24"/>
          <w:szCs w:val="24"/>
          <w:color w:val="auto"/>
        </w:rPr>
      </w:pPr>
    </w:p>
    <w:p>
      <w:pPr>
        <w:ind w:left="16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74-2540145</w:t>
      </w:r>
    </w:p>
    <w:p>
      <w:pPr>
        <w:spacing w:after="0" w:line="86" w:lineRule="exact"/>
        <w:rPr>
          <w:sz w:val="24"/>
          <w:szCs w:val="24"/>
          <w:color w:val="auto"/>
        </w:rPr>
      </w:pPr>
    </w:p>
    <w:p>
      <w:pPr>
        <w:sectPr>
          <w:pgSz w:w="11900" w:h="16900" w:orient="portrait"/>
          <w:cols w:equalWidth="0" w:num="2">
            <w:col w:w="8220" w:space="720"/>
            <w:col w:w="2480"/>
          </w:cols>
          <w:pgMar w:left="240" w:top="391" w:right="239" w:bottom="0" w:gutter="0" w:footer="0" w:header="0"/>
          <w:type w:val="continuous"/>
        </w:sectPr>
      </w:pPr>
    </w:p>
    <w:p>
      <w:pPr>
        <w:ind w:left="1100"/>
        <w:spacing w:after="0"/>
        <w:rPr>
          <w:sz w:val="20"/>
          <w:szCs w:val="20"/>
          <w:color w:val="auto"/>
        </w:rPr>
      </w:pPr>
      <w:r>
        <w:rPr>
          <w:rFonts w:ascii="Arial" w:cs="Arial" w:eastAsia="Arial" w:hAnsi="Arial"/>
          <w:sz w:val="14"/>
          <w:szCs w:val="14"/>
          <w:color w:val="auto"/>
        </w:rPr>
        <w:t>(State or other jurisdiction of</w:t>
      </w:r>
    </w:p>
    <w:p>
      <w:pPr>
        <w:spacing w:after="0" w:line="19" w:lineRule="exact"/>
        <w:rPr>
          <w:sz w:val="24"/>
          <w:szCs w:val="24"/>
          <w:color w:val="auto"/>
        </w:rPr>
      </w:pPr>
    </w:p>
    <w:p>
      <w:pPr>
        <w:ind w:left="108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80" w:lineRule="exact"/>
        <w:rPr>
          <w:sz w:val="24"/>
          <w:szCs w:val="24"/>
          <w:color w:val="auto"/>
        </w:rPr>
      </w:pPr>
    </w:p>
    <w:p>
      <w:pPr>
        <w:sectPr>
          <w:pgSz w:w="11900" w:h="16900" w:orient="portrait"/>
          <w:cols w:equalWidth="0" w:num="2">
            <w:col w:w="7600" w:space="720"/>
            <w:col w:w="3100"/>
          </w:cols>
          <w:pgMar w:left="240" w:top="391" w:right="239" w:bottom="0" w:gutter="0" w:footer="0" w:header="0"/>
          <w:type w:val="continuous"/>
        </w:sectPr>
      </w:pP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314-3400</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of registrant’s principal executive offices)</w:t>
      </w:r>
    </w:p>
    <w:p>
      <w:pPr>
        <w:sectPr>
          <w:pgSz w:w="11900" w:h="16900" w:orient="portrait"/>
          <w:cols w:equalWidth="0" w:num="1">
            <w:col w:w="11420"/>
          </w:cols>
          <w:pgMar w:left="240" w:top="391" w:right="239" w:bottom="0" w:gutter="0" w:footer="0" w:header="0"/>
          <w:type w:val="continuous"/>
        </w:sectPr>
      </w:pP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Thomas H. Welch, Jr.</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1901 Capital Parkway, Austin, Texas 78746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(512) 314-3409</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10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Copies to:</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Robert L. Kimball</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Christopher G. Schmitt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2001 Ross Avenue, 3700 Trammel Crow Center, Dallas, Texas 75201-2975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220-7700</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Approximate date of commencement of proposed sale of the securities to the public: From time to time after the effective date of this registration statement.</w:t>
      </w:r>
    </w:p>
    <w:p>
      <w:pPr>
        <w:spacing w:after="0" w:line="137" w:lineRule="exact"/>
        <w:rPr>
          <w:sz w:val="24"/>
          <w:szCs w:val="24"/>
          <w:color w:val="auto"/>
        </w:rPr>
      </w:pPr>
    </w:p>
    <w:p>
      <w:pPr>
        <w:spacing w:after="0" w:line="242"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21"/>
          <w:szCs w:val="21"/>
          <w:color w:val="auto"/>
        </w:rPr>
        <w:t>☐</w:t>
      </w:r>
    </w:p>
    <w:p>
      <w:pPr>
        <w:spacing w:after="0" w:line="261" w:lineRule="exact"/>
        <w:rPr>
          <w:sz w:val="24"/>
          <w:szCs w:val="24"/>
          <w:color w:val="auto"/>
        </w:rPr>
      </w:pPr>
    </w:p>
    <w:p>
      <w:pPr>
        <w:ind w:right="100"/>
        <w:spacing w:after="0" w:line="328" w:lineRule="auto"/>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Times New Roman" w:cs="Times New Roman" w:eastAsia="Times New Roman" w:hAnsi="Times New Roman"/>
          <w:sz w:val="21"/>
          <w:szCs w:val="21"/>
          <w:color w:val="auto"/>
        </w:rPr>
        <w:t>x</w:t>
      </w:r>
    </w:p>
    <w:p>
      <w:pPr>
        <w:spacing w:after="0" w:line="120" w:lineRule="exact"/>
        <w:rPr>
          <w:sz w:val="24"/>
          <w:szCs w:val="24"/>
          <w:color w:val="auto"/>
        </w:rPr>
      </w:pPr>
    </w:p>
    <w:p>
      <w:pPr>
        <w:ind w:right="200"/>
        <w:spacing w:after="0" w:line="269"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165" w:lineRule="exact"/>
        <w:rPr>
          <w:sz w:val="24"/>
          <w:szCs w:val="24"/>
          <w:color w:val="auto"/>
        </w:rPr>
      </w:pPr>
    </w:p>
    <w:p>
      <w:pPr>
        <w:ind w:right="80"/>
        <w:spacing w:after="0" w:line="269"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21"/>
          <w:szCs w:val="21"/>
          <w:color w:val="auto"/>
        </w:rPr>
        <w:t>☐</w:t>
      </w:r>
    </w:p>
    <w:p>
      <w:pPr>
        <w:spacing w:after="0" w:line="165" w:lineRule="exact"/>
        <w:rPr>
          <w:sz w:val="24"/>
          <w:szCs w:val="24"/>
          <w:color w:val="auto"/>
        </w:rPr>
      </w:pPr>
    </w:p>
    <w:p>
      <w:pPr>
        <w:spacing w:after="0" w:line="269"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21"/>
          <w:szCs w:val="21"/>
          <w:color w:val="auto"/>
        </w:rPr>
        <w:t>☐</w:t>
      </w:r>
    </w:p>
    <w:p>
      <w:pPr>
        <w:spacing w:after="0" w:line="165" w:lineRule="exact"/>
        <w:rPr>
          <w:sz w:val="24"/>
          <w:szCs w:val="24"/>
          <w:color w:val="auto"/>
        </w:rPr>
      </w:pPr>
    </w:p>
    <w:p>
      <w:pPr>
        <w:ind w:right="60"/>
        <w:spacing w:after="0" w:line="269"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21"/>
          <w:szCs w:val="21"/>
          <w:color w:val="auto"/>
        </w:rPr>
        <w:t>☐</w:t>
      </w:r>
    </w:p>
    <w:p>
      <w:pPr>
        <w:spacing w:after="0" w:line="138" w:lineRule="exact"/>
        <w:rPr>
          <w:sz w:val="24"/>
          <w:szCs w:val="24"/>
          <w:color w:val="auto"/>
        </w:rPr>
      </w:pPr>
    </w:p>
    <w:p>
      <w:pPr>
        <w:ind w:right="200"/>
        <w:spacing w:after="0" w:line="29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6" w:lineRule="exact"/>
        <w:rPr>
          <w:sz w:val="24"/>
          <w:szCs w:val="24"/>
          <w:color w:val="auto"/>
        </w:rPr>
      </w:pPr>
    </w:p>
    <w:tbl>
      <w:tblPr>
        <w:tblLayout w:type="fixed"/>
        <w:tblInd w:w="90" w:type="dxa"/>
        <w:tblCellMar>
          <w:top w:w="0" w:type="dxa"/>
          <w:left w:w="0" w:type="dxa"/>
          <w:bottom w:w="0" w:type="dxa"/>
          <w:right w:w="0" w:type="dxa"/>
        </w:tblCellMar>
      </w:tblPr>
      <w:tr>
        <w:trPr>
          <w:trHeight w:val="339"/>
        </w:trPr>
        <w:tc>
          <w:tcPr>
            <w:tcW w:w="2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 xml:space="preserve">Large accelerated filer </w:t>
            </w:r>
            <w:r>
              <w:rPr>
                <w:rFonts w:ascii="Times New Roman" w:cs="Times New Roman" w:eastAsia="Times New Roman" w:hAnsi="Times New Roman"/>
                <w:sz w:val="21"/>
                <w:szCs w:val="21"/>
                <w:color w:val="auto"/>
              </w:rPr>
              <w:t>x</w:t>
            </w:r>
          </w:p>
        </w:tc>
        <w:tc>
          <w:tcPr>
            <w:tcW w:w="2520" w:type="dxa"/>
            <w:vAlign w:val="bottom"/>
            <w:gridSpan w:val="2"/>
          </w:tcPr>
          <w:p>
            <w:pPr>
              <w:jc w:val="right"/>
              <w:ind w:right="1003"/>
              <w:spacing w:after="0" w:line="242" w:lineRule="exact"/>
              <w:rPr>
                <w:sz w:val="20"/>
                <w:szCs w:val="20"/>
                <w:color w:val="auto"/>
              </w:rPr>
            </w:pPr>
            <w:r>
              <w:rPr>
                <w:rFonts w:ascii="Times New Roman" w:cs="Times New Roman" w:eastAsia="Times New Roman" w:hAnsi="Times New Roman"/>
                <w:sz w:val="18"/>
                <w:szCs w:val="18"/>
                <w:color w:val="auto"/>
                <w:w w:val="97"/>
              </w:rPr>
              <w:t xml:space="preserve">Accelerated filer </w:t>
            </w:r>
            <w:r>
              <w:rPr>
                <w:rFonts w:ascii="MS PGothic" w:cs="MS PGothic" w:eastAsia="MS PGothic" w:hAnsi="MS PGothic"/>
                <w:sz w:val="21"/>
                <w:szCs w:val="21"/>
                <w:color w:val="auto"/>
                <w:w w:val="97"/>
              </w:rPr>
              <w:t>☐</w:t>
            </w:r>
          </w:p>
        </w:tc>
        <w:tc>
          <w:tcPr>
            <w:tcW w:w="3480" w:type="dxa"/>
            <w:vAlign w:val="bottom"/>
            <w:gridSpan w:val="3"/>
          </w:tcPr>
          <w:p>
            <w:pPr>
              <w:jc w:val="center"/>
              <w:ind w:right="1088"/>
              <w:spacing w:after="0" w:line="242" w:lineRule="exact"/>
              <w:rPr>
                <w:sz w:val="20"/>
                <w:szCs w:val="20"/>
                <w:color w:val="auto"/>
              </w:rPr>
            </w:pPr>
            <w:r>
              <w:rPr>
                <w:rFonts w:ascii="Times New Roman" w:cs="Times New Roman" w:eastAsia="Times New Roman" w:hAnsi="Times New Roman"/>
                <w:sz w:val="18"/>
                <w:szCs w:val="18"/>
                <w:color w:val="auto"/>
                <w:w w:val="98"/>
              </w:rPr>
              <w:t xml:space="preserve">Non-accelerated filer </w:t>
            </w:r>
            <w:r>
              <w:rPr>
                <w:rFonts w:ascii="MS PGothic" w:cs="MS PGothic" w:eastAsia="MS PGothic" w:hAnsi="MS PGothic"/>
                <w:sz w:val="21"/>
                <w:szCs w:val="21"/>
                <w:color w:val="auto"/>
                <w:w w:val="98"/>
              </w:rPr>
              <w:t>☐</w:t>
            </w:r>
          </w:p>
        </w:tc>
        <w:tc>
          <w:tcPr>
            <w:tcW w:w="2600" w:type="dxa"/>
            <w:vAlign w:val="bottom"/>
          </w:tcPr>
          <w:p>
            <w:pPr>
              <w:ind w:left="60"/>
              <w:spacing w:after="0" w:line="242" w:lineRule="exact"/>
              <w:rPr>
                <w:sz w:val="20"/>
                <w:szCs w:val="20"/>
                <w:color w:val="auto"/>
              </w:rPr>
            </w:pP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21"/>
                <w:szCs w:val="21"/>
                <w:color w:val="auto"/>
              </w:rPr>
              <w:t>☐</w:t>
            </w:r>
          </w:p>
        </w:tc>
      </w:tr>
      <w:tr>
        <w:trPr>
          <w:trHeight w:val="221"/>
        </w:trPr>
        <w:tc>
          <w:tcPr>
            <w:tcW w:w="27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180" w:type="dxa"/>
            <w:vAlign w:val="bottom"/>
            <w:gridSpan w:val="4"/>
          </w:tcPr>
          <w:p>
            <w:pPr>
              <w:jc w:val="center"/>
              <w:ind w:left="463"/>
              <w:spacing w:after="0"/>
              <w:rPr>
                <w:sz w:val="20"/>
                <w:szCs w:val="20"/>
                <w:color w:val="auto"/>
              </w:rPr>
            </w:pPr>
            <w:r>
              <w:rPr>
                <w:rFonts w:ascii="Arial" w:cs="Arial" w:eastAsia="Arial" w:hAnsi="Arial"/>
                <w:sz w:val="16"/>
                <w:szCs w:val="16"/>
                <w:color w:val="auto"/>
              </w:rPr>
              <w:t>(Do not check if a smaller reporting company)</w:t>
            </w:r>
          </w:p>
        </w:tc>
        <w:tc>
          <w:tcPr>
            <w:tcW w:w="2600" w:type="dxa"/>
            <w:vAlign w:val="bottom"/>
          </w:tcPr>
          <w:p>
            <w:pPr>
              <w:spacing w:after="0"/>
              <w:rPr>
                <w:sz w:val="19"/>
                <w:szCs w:val="19"/>
                <w:color w:val="auto"/>
              </w:rPr>
            </w:pPr>
          </w:p>
        </w:tc>
      </w:tr>
      <w:tr>
        <w:trPr>
          <w:trHeight w:val="427"/>
        </w:trPr>
        <w:tc>
          <w:tcPr>
            <w:tcW w:w="2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60" w:type="dxa"/>
            <w:vAlign w:val="bottom"/>
            <w:gridSpan w:val="3"/>
          </w:tcPr>
          <w:p>
            <w:pPr>
              <w:ind w:left="600"/>
              <w:spacing w:after="0"/>
              <w:rPr>
                <w:sz w:val="20"/>
                <w:szCs w:val="20"/>
                <w:color w:val="auto"/>
              </w:rPr>
            </w:pPr>
            <w:r>
              <w:rPr>
                <w:rFonts w:ascii="Arial" w:cs="Arial" w:eastAsia="Arial" w:hAnsi="Arial"/>
                <w:sz w:val="16"/>
                <w:szCs w:val="16"/>
                <w:b w:val="1"/>
                <w:bCs w:val="1"/>
                <w:color w:val="auto"/>
              </w:rPr>
              <w:t>CALCULATION OF REGISTRATION FEE</w:t>
            </w:r>
          </w:p>
        </w:tc>
        <w:tc>
          <w:tcPr>
            <w:tcW w:w="1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69"/>
        </w:trPr>
        <w:tc>
          <w:tcPr>
            <w:tcW w:w="2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tcPr>
          <w:p>
            <w:pPr>
              <w:spacing w:after="0"/>
              <w:rPr>
                <w:sz w:val="14"/>
                <w:szCs w:val="14"/>
                <w:color w:val="auto"/>
              </w:rPr>
            </w:pPr>
          </w:p>
        </w:tc>
      </w:tr>
      <w:tr>
        <w:trPr>
          <w:trHeight w:val="154"/>
        </w:trPr>
        <w:tc>
          <w:tcPr>
            <w:tcW w:w="2700" w:type="dxa"/>
            <w:vAlign w:val="bottom"/>
            <w:tcBorders>
              <w:left w:val="single" w:sz="8" w:color="auto"/>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700" w:type="dxa"/>
            <w:vAlign w:val="bottom"/>
            <w:tcBorders>
              <w:right w:val="single" w:sz="8" w:color="auto"/>
            </w:tcBorders>
          </w:tcPr>
          <w:p>
            <w:pPr>
              <w:spacing w:after="0"/>
              <w:rPr>
                <w:sz w:val="13"/>
                <w:szCs w:val="13"/>
                <w:color w:val="auto"/>
              </w:rPr>
            </w:pPr>
          </w:p>
        </w:tc>
        <w:tc>
          <w:tcPr>
            <w:tcW w:w="1680" w:type="dxa"/>
            <w:vAlign w:val="bottom"/>
            <w:tcBorders>
              <w:right w:val="single" w:sz="8" w:color="auto"/>
            </w:tcBorders>
          </w:tcPr>
          <w:p>
            <w:pPr>
              <w:jc w:val="center"/>
              <w:ind w:left="44"/>
              <w:spacing w:after="0" w:line="155" w:lineRule="exact"/>
              <w:rPr>
                <w:sz w:val="20"/>
                <w:szCs w:val="20"/>
                <w:color w:val="auto"/>
              </w:rPr>
            </w:pPr>
            <w:r>
              <w:rPr>
                <w:rFonts w:ascii="Arial" w:cs="Arial" w:eastAsia="Arial" w:hAnsi="Arial"/>
                <w:sz w:val="14"/>
                <w:szCs w:val="14"/>
                <w:b w:val="1"/>
                <w:bCs w:val="1"/>
                <w:color w:val="auto"/>
              </w:rPr>
              <w:t>Proposed maximum</w:t>
            </w:r>
          </w:p>
        </w:tc>
        <w:tc>
          <w:tcPr>
            <w:tcW w:w="280" w:type="dxa"/>
            <w:vAlign w:val="bottom"/>
          </w:tcPr>
          <w:p>
            <w:pPr>
              <w:spacing w:after="0"/>
              <w:rPr>
                <w:sz w:val="13"/>
                <w:szCs w:val="13"/>
                <w:color w:val="auto"/>
              </w:rPr>
            </w:pPr>
          </w:p>
        </w:tc>
        <w:tc>
          <w:tcPr>
            <w:tcW w:w="1520" w:type="dxa"/>
            <w:vAlign w:val="bottom"/>
            <w:tcBorders>
              <w:right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rPr>
              <w:t>Proposed maximum</w:t>
            </w:r>
          </w:p>
        </w:tc>
        <w:tc>
          <w:tcPr>
            <w:tcW w:w="2600" w:type="dxa"/>
            <w:vAlign w:val="bottom"/>
            <w:tcBorders>
              <w:right w:val="single" w:sz="8" w:color="auto"/>
            </w:tcBorders>
          </w:tcPr>
          <w:p>
            <w:pPr>
              <w:spacing w:after="0"/>
              <w:rPr>
                <w:sz w:val="13"/>
                <w:szCs w:val="13"/>
                <w:color w:val="auto"/>
              </w:rPr>
            </w:pPr>
          </w:p>
        </w:tc>
      </w:tr>
      <w:tr>
        <w:trPr>
          <w:trHeight w:val="162"/>
        </w:trPr>
        <w:tc>
          <w:tcPr>
            <w:tcW w:w="2700" w:type="dxa"/>
            <w:vAlign w:val="bottom"/>
            <w:tcBorders>
              <w:left w:val="single" w:sz="8" w:color="auto"/>
            </w:tcBorders>
          </w:tcPr>
          <w:p>
            <w:pPr>
              <w:jc w:val="center"/>
              <w:ind w:left="722"/>
              <w:spacing w:after="0"/>
              <w:rPr>
                <w:sz w:val="20"/>
                <w:szCs w:val="20"/>
                <w:color w:val="auto"/>
              </w:rPr>
            </w:pPr>
            <w:r>
              <w:rPr>
                <w:rFonts w:ascii="Arial" w:cs="Arial" w:eastAsia="Arial" w:hAnsi="Arial"/>
                <w:sz w:val="14"/>
                <w:szCs w:val="14"/>
                <w:b w:val="1"/>
                <w:bCs w:val="1"/>
                <w:color w:val="auto"/>
              </w:rPr>
              <w:t>Title of Each Class of</w:t>
            </w:r>
          </w:p>
        </w:tc>
        <w:tc>
          <w:tcPr>
            <w:tcW w:w="8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Amount to be</w:t>
            </w:r>
          </w:p>
        </w:tc>
        <w:tc>
          <w:tcPr>
            <w:tcW w:w="1680" w:type="dxa"/>
            <w:vAlign w:val="bottom"/>
            <w:tcBorders>
              <w:right w:val="single" w:sz="8" w:color="auto"/>
            </w:tcBorders>
          </w:tcPr>
          <w:p>
            <w:pPr>
              <w:jc w:val="center"/>
              <w:ind w:left="44"/>
              <w:spacing w:after="0"/>
              <w:rPr>
                <w:sz w:val="20"/>
                <w:szCs w:val="20"/>
                <w:color w:val="auto"/>
              </w:rPr>
            </w:pPr>
            <w:r>
              <w:rPr>
                <w:rFonts w:ascii="Arial" w:cs="Arial" w:eastAsia="Arial" w:hAnsi="Arial"/>
                <w:sz w:val="14"/>
                <w:szCs w:val="14"/>
                <w:b w:val="1"/>
                <w:bCs w:val="1"/>
                <w:color w:val="auto"/>
              </w:rPr>
              <w:t>offering price</w:t>
            </w:r>
          </w:p>
        </w:tc>
        <w:tc>
          <w:tcPr>
            <w:tcW w:w="280" w:type="dxa"/>
            <w:vAlign w:val="bottom"/>
          </w:tcPr>
          <w:p>
            <w:pPr>
              <w:spacing w:after="0"/>
              <w:rPr>
                <w:sz w:val="14"/>
                <w:szCs w:val="14"/>
                <w:color w:val="auto"/>
              </w:rPr>
            </w:pPr>
          </w:p>
        </w:tc>
        <w:tc>
          <w:tcPr>
            <w:tcW w:w="1520" w:type="dxa"/>
            <w:vAlign w:val="bottom"/>
            <w:tcBorders>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aggregate offering</w:t>
            </w:r>
          </w:p>
        </w:tc>
        <w:tc>
          <w:tcPr>
            <w:tcW w:w="26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Amount of</w:t>
            </w:r>
          </w:p>
        </w:tc>
      </w:tr>
      <w:tr>
        <w:trPr>
          <w:trHeight w:val="204"/>
        </w:trPr>
        <w:tc>
          <w:tcPr>
            <w:tcW w:w="2700" w:type="dxa"/>
            <w:vAlign w:val="bottom"/>
            <w:tcBorders>
              <w:left w:val="single" w:sz="8" w:color="auto"/>
              <w:bottom w:val="single" w:sz="8" w:color="auto"/>
            </w:tcBorders>
          </w:tcPr>
          <w:p>
            <w:pPr>
              <w:jc w:val="center"/>
              <w:ind w:left="762"/>
              <w:spacing w:after="0"/>
              <w:rPr>
                <w:sz w:val="20"/>
                <w:szCs w:val="20"/>
                <w:color w:val="auto"/>
              </w:rPr>
            </w:pPr>
            <w:r>
              <w:rPr>
                <w:rFonts w:ascii="Arial" w:cs="Arial" w:eastAsia="Arial" w:hAnsi="Arial"/>
                <w:sz w:val="14"/>
                <w:szCs w:val="14"/>
                <w:b w:val="1"/>
                <w:bCs w:val="1"/>
                <w:color w:val="auto"/>
              </w:rPr>
              <w:t>Securities to be Registered</w:t>
            </w:r>
          </w:p>
        </w:tc>
        <w:tc>
          <w:tcPr>
            <w:tcW w:w="8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7"/>
                <w:szCs w:val="17"/>
                <w:b w:val="1"/>
                <w:bCs w:val="1"/>
                <w:color w:val="auto"/>
                <w:vertAlign w:val="superscript"/>
              </w:rPr>
              <w:t>(1)</w:t>
            </w:r>
          </w:p>
        </w:tc>
        <w:tc>
          <w:tcPr>
            <w:tcW w:w="1680" w:type="dxa"/>
            <w:vAlign w:val="bottom"/>
            <w:tcBorders>
              <w:bottom w:val="single" w:sz="8" w:color="auto"/>
              <w:right w:val="single" w:sz="8" w:color="auto"/>
            </w:tcBorders>
          </w:tcPr>
          <w:p>
            <w:pPr>
              <w:jc w:val="center"/>
              <w:ind w:left="84"/>
              <w:spacing w:after="0"/>
              <w:rPr>
                <w:sz w:val="20"/>
                <w:szCs w:val="20"/>
                <w:color w:val="auto"/>
              </w:rPr>
            </w:pPr>
            <w:r>
              <w:rPr>
                <w:rFonts w:ascii="Arial" w:cs="Arial" w:eastAsia="Arial" w:hAnsi="Arial"/>
                <w:sz w:val="14"/>
                <w:szCs w:val="14"/>
                <w:b w:val="1"/>
                <w:bCs w:val="1"/>
                <w:color w:val="auto"/>
                <w:w w:val="98"/>
              </w:rPr>
              <w:t xml:space="preserve">per unit </w:t>
            </w:r>
            <w:r>
              <w:rPr>
                <w:rFonts w:ascii="Arial" w:cs="Arial" w:eastAsia="Arial" w:hAnsi="Arial"/>
                <w:sz w:val="17"/>
                <w:szCs w:val="17"/>
                <w:b w:val="1"/>
                <w:bCs w:val="1"/>
                <w:color w:val="auto"/>
                <w:w w:val="98"/>
                <w:vertAlign w:val="superscript"/>
              </w:rPr>
              <w:t>(2)</w:t>
            </w: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price</w:t>
            </w:r>
          </w:p>
        </w:tc>
        <w:tc>
          <w:tcPr>
            <w:tcW w:w="2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 fee</w:t>
            </w:r>
          </w:p>
        </w:tc>
      </w:tr>
    </w:tbl>
    <w:p>
      <w:pPr>
        <w:sectPr>
          <w:pgSz w:w="11900" w:h="16900" w:orient="portrait"/>
          <w:cols w:equalWidth="0" w:num="1">
            <w:col w:w="11420"/>
          </w:cols>
          <w:pgMar w:left="240" w:top="391" w:right="239" w:bottom="0" w:gutter="0" w:footer="0" w:header="0"/>
          <w:type w:val="continuous"/>
        </w:sectPr>
      </w:pPr>
    </w:p>
    <w:bookmarkStart w:id="1" w:name="page2"/>
    <w:bookmarkEnd w:id="1"/>
    <w:p>
      <w:pPr>
        <w:ind w:left="2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69150" cy="1166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166495"/>
                    </a:xfrm>
                    <a:prstGeom prst="rect">
                      <a:avLst/>
                    </a:prstGeom>
                    <a:noFill/>
                  </pic:spPr>
                </pic:pic>
              </a:graphicData>
            </a:graphic>
          </wp:anchor>
        </w:drawing>
        <w:t xml:space="preserve">Debt securities </w:t>
      </w:r>
      <w:r>
        <w:rPr>
          <w:rFonts w:ascii="Arial" w:cs="Arial" w:eastAsia="Arial" w:hAnsi="Arial"/>
          <w:sz w:val="17"/>
          <w:szCs w:val="17"/>
          <w:color w:val="auto"/>
          <w:vertAlign w:val="superscript"/>
        </w:rPr>
        <w:t>(3)</w:t>
      </w:r>
    </w:p>
    <w:p>
      <w:pPr>
        <w:spacing w:after="0" w:line="8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Class A Non-voting Common Stock, par value</w:t>
      </w:r>
    </w:p>
    <w:p>
      <w:pPr>
        <w:spacing w:after="0" w:line="1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$0.01 per share</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Warrants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12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Stock purchase contracts</w:t>
      </w:r>
    </w:p>
    <w:p>
      <w:pPr>
        <w:spacing w:after="0" w:line="75" w:lineRule="exact"/>
        <w:rPr>
          <w:sz w:val="20"/>
          <w:szCs w:val="20"/>
          <w:color w:val="auto"/>
        </w:rPr>
      </w:pPr>
    </w:p>
    <w:tbl>
      <w:tblPr>
        <w:tblLayout w:type="fixed"/>
        <w:tblInd w:w="80" w:type="dxa"/>
        <w:tblCellMar>
          <w:top w:w="0" w:type="dxa"/>
          <w:left w:w="0" w:type="dxa"/>
          <w:bottom w:w="0" w:type="dxa"/>
          <w:right w:w="0" w:type="dxa"/>
        </w:tblCellMar>
      </w:tblPr>
      <w:tr>
        <w:trPr>
          <w:trHeight w:val="284"/>
        </w:trPr>
        <w:tc>
          <w:tcPr>
            <w:tcW w:w="35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color w:val="auto"/>
              </w:rPr>
              <w:t>Total</w:t>
            </w:r>
          </w:p>
        </w:tc>
        <w:tc>
          <w:tcPr>
            <w:tcW w:w="1700" w:type="dxa"/>
            <w:vAlign w:val="bottom"/>
            <w:tcBorders>
              <w:top w:val="single" w:sz="8" w:color="auto"/>
              <w:bottom w:val="single" w:sz="8" w:color="auto"/>
              <w:right w:val="single" w:sz="8" w:color="auto"/>
            </w:tcBorders>
          </w:tcPr>
          <w:p>
            <w:pPr>
              <w:spacing w:after="0"/>
              <w:rPr>
                <w:sz w:val="24"/>
                <w:szCs w:val="24"/>
                <w:color w:val="auto"/>
              </w:rPr>
            </w:pPr>
          </w:p>
        </w:tc>
        <w:tc>
          <w:tcPr>
            <w:tcW w:w="1680" w:type="dxa"/>
            <w:vAlign w:val="bottom"/>
            <w:tcBorders>
              <w:top w:val="single" w:sz="8" w:color="auto"/>
              <w:bottom w:val="single" w:sz="8" w:color="auto"/>
              <w:right w:val="single" w:sz="8" w:color="auto"/>
            </w:tcBorders>
          </w:tcPr>
          <w:p>
            <w:pPr>
              <w:spacing w:after="0"/>
              <w:rPr>
                <w:sz w:val="24"/>
                <w:szCs w:val="24"/>
                <w:color w:val="auto"/>
              </w:rPr>
            </w:pPr>
          </w:p>
        </w:tc>
        <w:tc>
          <w:tcPr>
            <w:tcW w:w="1800" w:type="dxa"/>
            <w:vAlign w:val="bottom"/>
            <w:tcBorders>
              <w:top w:val="single" w:sz="8" w:color="auto"/>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$250,000,000</w:t>
            </w:r>
            <w:r>
              <w:rPr>
                <w:rFonts w:ascii="Arial" w:cs="Arial" w:eastAsia="Arial" w:hAnsi="Arial"/>
                <w:sz w:val="17"/>
                <w:szCs w:val="17"/>
                <w:color w:val="auto"/>
                <w:vertAlign w:val="superscript"/>
              </w:rPr>
              <w:t>(4)</w:t>
            </w:r>
          </w:p>
        </w:tc>
        <w:tc>
          <w:tcPr>
            <w:tcW w:w="2580" w:type="dxa"/>
            <w:vAlign w:val="bottom"/>
            <w:tcBorders>
              <w:top w:val="single" w:sz="8" w:color="auto"/>
              <w:bottom w:val="single" w:sz="8" w:color="auto"/>
            </w:tcBorders>
          </w:tcPr>
          <w:p>
            <w:pPr>
              <w:jc w:val="right"/>
              <w:ind w:right="868"/>
              <w:spacing w:after="0"/>
              <w:rPr>
                <w:sz w:val="20"/>
                <w:szCs w:val="20"/>
                <w:color w:val="auto"/>
              </w:rPr>
            </w:pPr>
            <w:r>
              <w:rPr>
                <w:rFonts w:ascii="Arial" w:cs="Arial" w:eastAsia="Arial" w:hAnsi="Arial"/>
                <w:sz w:val="14"/>
                <w:szCs w:val="14"/>
                <w:color w:val="auto"/>
              </w:rPr>
              <w:t>$29,050</w:t>
            </w: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left="500" w:right="20" w:hanging="492"/>
        <w:spacing w:after="0" w:line="251"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This Registration Statement covers an indeterminate aggregate principal amount of debt securities, an indeterminate number of shares of Class A Non-Voting Common Stock and an indeterminate number of warrants, stock purchase contracts or stock purchase units. The securities registered under this Registration Statement may be sold separately or as units with other securities registered under this Registration Statement. Pursuant to Rule 416 under the Securities Act of 1933 (the “Securities Act”), the shares being registered hereunder include such indeterminate number of shares of Class A Non-Voting Common Stock as may be issuable with respect to the shares being registered hereunder as a result of stock splits, stock dividends or similar transactions. This Registration Statement also covers an indeterminate amount of securities as may be issued in exchange for, or upon conversion or exercise of, as the case may be, the securities issued hereunder.</w:t>
      </w:r>
    </w:p>
    <w:p>
      <w:pPr>
        <w:spacing w:after="0" w:line="29" w:lineRule="exact"/>
        <w:rPr>
          <w:rFonts w:ascii="Arial" w:cs="Arial" w:eastAsia="Arial" w:hAnsi="Arial"/>
          <w:sz w:val="14"/>
          <w:szCs w:val="14"/>
          <w:color w:val="auto"/>
        </w:rPr>
      </w:pPr>
    </w:p>
    <w:p>
      <w:pPr>
        <w:ind w:left="500" w:hanging="478"/>
        <w:spacing w:after="0" w:line="291"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for each class of securities will be determined from time to time by the registrant in connection with the issuance of the securities registered hereunder and is not specified pursuant to General Instruction II.D. of Form S-3.</w:t>
      </w:r>
    </w:p>
    <w:p>
      <w:pPr>
        <w:spacing w:after="0" w:line="1" w:lineRule="exact"/>
        <w:rPr>
          <w:rFonts w:ascii="Arial" w:cs="Arial" w:eastAsia="Arial" w:hAnsi="Arial"/>
          <w:sz w:val="14"/>
          <w:szCs w:val="14"/>
          <w:color w:val="auto"/>
        </w:rPr>
      </w:pPr>
    </w:p>
    <w:p>
      <w:pPr>
        <w:ind w:left="500" w:hanging="478"/>
        <w:spacing w:after="0" w:line="291" w:lineRule="auto"/>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If any debt securities are issued at an original issue discount, then the offering price of such debt securities shall be in such amount as shall result in an aggregate initial offering price not to exceed $250,000,000, less the dollar amount of any registered securities previously issued.</w:t>
      </w:r>
    </w:p>
    <w:p>
      <w:pPr>
        <w:spacing w:after="0" w:line="1" w:lineRule="exact"/>
        <w:rPr>
          <w:rFonts w:ascii="Arial" w:cs="Arial" w:eastAsia="Arial" w:hAnsi="Arial"/>
          <w:sz w:val="14"/>
          <w:szCs w:val="14"/>
          <w:color w:val="auto"/>
        </w:rPr>
      </w:pPr>
    </w:p>
    <w:p>
      <w:pPr>
        <w:ind w:left="500" w:hanging="478"/>
        <w:spacing w:after="0"/>
        <w:tabs>
          <w:tab w:leader="none" w:pos="500" w:val="left"/>
        </w:tabs>
        <w:numPr>
          <w:ilvl w:val="1"/>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w:t>
      </w:r>
    </w:p>
    <w:p>
      <w:pPr>
        <w:spacing w:after="0" w:line="221"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___________________________</w:t>
      </w:r>
    </w:p>
    <w:p>
      <w:pPr>
        <w:spacing w:after="0" w:line="11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ectPr>
          <w:pgSz w:w="11900" w:h="16838" w:orient="portrait"/>
          <w:cols w:equalWidth="0" w:num="1">
            <w:col w:w="11420"/>
          </w:cols>
          <w:pgMar w:left="240" w:top="153"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257810</wp:posOffset>
            </wp:positionV>
            <wp:extent cx="727202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8293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60" w:right="300"/>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Subject to Completion, dated March 9,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0033CC"/>
        </w:rPr>
        <w:t>EZCORP</w:t>
      </w:r>
      <w:r>
        <w:rPr>
          <w:rFonts w:ascii="Arial" w:cs="Arial" w:eastAsia="Arial" w:hAnsi="Arial"/>
          <w:sz w:val="28"/>
          <w:szCs w:val="28"/>
          <w:b w:val="1"/>
          <w:bCs w:val="1"/>
          <w:i w:val="1"/>
          <w:iCs w:val="1"/>
          <w:color w:val="0033CC"/>
          <w:vertAlign w:val="superscript"/>
        </w:rPr>
        <w:t>®</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EZCORP, Inc.</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Debt Securities</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A Non-Voting Common Stock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Contracts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Purchase Units</w:t>
      </w:r>
    </w:p>
    <w:p>
      <w:pPr>
        <w:spacing w:after="0" w:line="20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We may offer and sell the securities listed above from time to time in one or more classes or series and in amounts, at prices and on terms that we will determine at the time of the offering.</w:t>
      </w:r>
    </w:p>
    <w:p>
      <w:pPr>
        <w:spacing w:after="0" w:line="10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We will provide specific terms of the securities to be sold by us and the methods by which we will sell them in one or more supplements to this prospectus. A prospectus supplement may also add, update or change information contained in this prospectus. You should read this prospectus and any supplement carefully before you invest. This prospectus may not be used to offer or sell securities without a prospectus supplement describing the methods and terms of the offering. We may sell the securities directly or we may distribute them through underwriters or dealers. In addition, the underwriters may overallot a portion of the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Our Class A Non-Voting Common Stock is traded on The NASDAQ Global Select Market under the symbol “EZPW.”</w:t>
      </w:r>
    </w:p>
    <w:p>
      <w:pPr>
        <w:spacing w:after="0" w:line="1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color w:val="auto"/>
        </w:rPr>
        <w:t>Investing in these securities involves risk. You should carefully consider the risks described in any accompanying prospectus supplement, as well as the risk factors that are incorporated by reference into this prospectus from our filings made with the Securities and Exchange Commission. See “Risk Factors” on page 2.</w:t>
      </w:r>
    </w:p>
    <w:p>
      <w:pPr>
        <w:spacing w:after="0" w:line="107" w:lineRule="exact"/>
        <w:rPr>
          <w:sz w:val="20"/>
          <w:szCs w:val="20"/>
          <w:color w:val="auto"/>
        </w:rPr>
      </w:pPr>
    </w:p>
    <w:p>
      <w:pPr>
        <w:ind w:right="620"/>
        <w:spacing w:after="0" w:line="303"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accurate or complete. Any representation to the contrary is a criminal offense.</w:t>
      </w: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is March , 2015.</w:t>
      </w:r>
    </w:p>
    <w:p>
      <w:pPr>
        <w:sectPr>
          <w:pgSz w:w="11900" w:h="16838" w:orient="portrait"/>
          <w:cols w:equalWidth="0" w:num="1">
            <w:col w:w="11360"/>
          </w:cols>
          <w:pgMar w:left="240" w:top="283"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820" w:type="dxa"/>
            <w:vAlign w:val="bottom"/>
            <w:gridSpan w:val="17"/>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2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4"/>
        </w:trPr>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60" w:type="dxa"/>
            <w:vAlign w:val="bottom"/>
            <w:gridSpan w:val="2"/>
          </w:tcPr>
          <w:p>
            <w:pPr>
              <w:ind w:left="1400"/>
              <w:spacing w:after="0"/>
              <w:rPr>
                <w:sz w:val="20"/>
                <w:szCs w:val="20"/>
                <w:color w:val="auto"/>
              </w:rPr>
            </w:pPr>
            <w:r>
              <w:rPr>
                <w:rFonts w:ascii="Arial" w:cs="Arial" w:eastAsia="Arial" w:hAnsi="Arial"/>
                <w:sz w:val="18"/>
                <w:szCs w:val="18"/>
                <w:b w:val="1"/>
                <w:bCs w:val="1"/>
                <w:color w:val="auto"/>
              </w:rPr>
              <w:t>TABLE OF CONTENTS</w:t>
            </w:r>
          </w:p>
        </w:tc>
        <w:tc>
          <w:tcPr>
            <w:tcW w:w="2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677"/>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rPr>
              <w:t>Page</w:t>
            </w: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4">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Where You Can Find More Information</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Incorporation of Documents by Reference</w:t>
              </w:r>
            </w:hyperlink>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rFonts w:ascii="Arial" w:cs="Arial" w:eastAsia="Arial" w:hAnsi="Arial"/>
                <w:sz w:val="18"/>
                <w:szCs w:val="18"/>
                <w:color w:val="0000EE"/>
                <w:w w:val="74"/>
              </w:rPr>
            </w:pPr>
            <w:hyperlink w:anchor="page5">
              <w:r>
                <w:rPr>
                  <w:rFonts w:ascii="Arial" w:cs="Arial" w:eastAsia="Arial" w:hAnsi="Arial"/>
                  <w:sz w:val="18"/>
                  <w:szCs w:val="18"/>
                  <w:color w:val="0000EE"/>
                  <w:w w:val="74"/>
                </w:rPr>
                <w:t>ii</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EZCORP, Inc.</w:t>
              </w:r>
            </w:hyperlink>
          </w:p>
        </w:tc>
        <w:tc>
          <w:tcPr>
            <w:tcW w:w="2240" w:type="dxa"/>
            <w:vAlign w:val="bottom"/>
            <w:gridSpan w:val="11"/>
          </w:tcPr>
          <w:p>
            <w:pPr>
              <w:spacing w:after="0"/>
              <w:rPr>
                <w:sz w:val="20"/>
                <w:szCs w:val="20"/>
                <w:color w:val="auto"/>
              </w:rPr>
            </w:pPr>
          </w:p>
        </w:tc>
        <w:tc>
          <w:tcPr>
            <w:tcW w:w="5460" w:type="dxa"/>
            <w:vAlign w:val="bottom"/>
            <w:gridSpan w:val="2"/>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gridSpan w:val="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Risk Factors</w:t>
              </w:r>
            </w:hyperlink>
          </w:p>
        </w:tc>
        <w:tc>
          <w:tcPr>
            <w:tcW w:w="80" w:type="dxa"/>
            <w:vAlign w:val="bottom"/>
          </w:tcPr>
          <w:p>
            <w:pPr>
              <w:spacing w:after="0"/>
              <w:rPr>
                <w:sz w:val="20"/>
                <w:szCs w:val="20"/>
                <w:color w:val="auto"/>
              </w:rPr>
            </w:pPr>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Use of Proceeds</w:t>
              </w:r>
            </w:hyperlink>
          </w:p>
        </w:tc>
        <w:tc>
          <w:tcPr>
            <w:tcW w:w="2580" w:type="dxa"/>
            <w:vAlign w:val="bottom"/>
            <w:gridSpan w:val="5"/>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Ratio of Earnings to Fixed Charges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800" w:type="dxa"/>
            <w:vAlign w:val="bottom"/>
            <w:gridSpan w:val="12"/>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Description of Debt Securities</w:t>
              </w:r>
            </w:hyperlink>
          </w:p>
        </w:tc>
        <w:tc>
          <w:tcPr>
            <w:tcW w:w="5980" w:type="dxa"/>
            <w:vAlign w:val="bottom"/>
            <w:gridSpan w:val="4"/>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360" w:type="dxa"/>
            <w:vAlign w:val="bottom"/>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Description of Capital Stock</w:t>
              </w:r>
            </w:hyperlink>
          </w:p>
        </w:tc>
        <w:tc>
          <w:tcPr>
            <w:tcW w:w="6420" w:type="dxa"/>
            <w:vAlign w:val="bottom"/>
            <w:gridSpan w:val="5"/>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11</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140" w:type="dxa"/>
            <w:vAlign w:val="bottom"/>
            <w:gridSpan w:val="6"/>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220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Description of Warrants</w:t>
              </w:r>
            </w:hyperlink>
          </w:p>
        </w:tc>
        <w:tc>
          <w:tcPr>
            <w:tcW w:w="6580" w:type="dxa"/>
            <w:vAlign w:val="bottom"/>
            <w:gridSpan w:val="7"/>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12</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78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Description of Stock Purchase Contracts and Stock Purchase Units</w:t>
              </w:r>
            </w:hyperlink>
          </w:p>
        </w:tc>
        <w:tc>
          <w:tcPr>
            <w:tcW w:w="258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13</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3840" w:type="dxa"/>
            <w:vAlign w:val="bottom"/>
            <w:gridSpan w:val="9"/>
            <w:shd w:val="clear" w:color="auto" w:fill="0000EE"/>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Plan of Distribution</w:t>
              </w:r>
            </w:hyperlink>
          </w:p>
        </w:tc>
        <w:tc>
          <w:tcPr>
            <w:tcW w:w="3440" w:type="dxa"/>
            <w:vAlign w:val="bottom"/>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19">
              <w:r>
                <w:rPr>
                  <w:rFonts w:ascii="Arial" w:cs="Arial" w:eastAsia="Arial" w:hAnsi="Arial"/>
                  <w:sz w:val="18"/>
                  <w:szCs w:val="18"/>
                  <w:color w:val="0000EE"/>
                </w:rPr>
                <w:t>14</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3"/>
            <w:shd w:val="clear" w:color="auto" w:fill="0000EE"/>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500" w:type="dxa"/>
            <w:vAlign w:val="bottom"/>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7280" w:type="dxa"/>
            <w:vAlign w:val="bottom"/>
            <w:gridSpan w:val="10"/>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770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gridSpan w:val="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7700" w:type="dxa"/>
            <w:vAlign w:val="bottom"/>
            <w:gridSpan w:val="13"/>
          </w:tcPr>
          <w:p>
            <w:pPr>
              <w:spacing w:after="0"/>
              <w:rPr>
                <w:sz w:val="20"/>
                <w:szCs w:val="20"/>
                <w:color w:val="auto"/>
              </w:rPr>
            </w:pPr>
          </w:p>
        </w:tc>
        <w:tc>
          <w:tcPr>
            <w:tcW w:w="2580" w:type="dxa"/>
            <w:vAlign w:val="bottom"/>
            <w:gridSpan w:val="5"/>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16</w:t>
              </w:r>
            </w:hyperlink>
          </w:p>
        </w:tc>
      </w:tr>
      <w:tr>
        <w:trPr>
          <w:trHeight w:val="20"/>
        </w:trPr>
        <w:tc>
          <w:tcPr>
            <w:tcW w:w="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This prospectus is a part of a "shelf" registration statement on Form S-3 that we filed with the Securities and Exchange Commission (the “SEC”). Under the shelf registration process, we may from time to time offer and sell any combination of the securities described in this prospectus in one or more offerings. This prospectus provides a general description of the securities we may offer. Each time we offer and sell securities, we will provide a prospectus supplement that will contain specific information about the terms of that offering. 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in this prospectus. You should read both this prospectus and any prospectus supplement together with the documents incorporated by reference into this prospectus as described below under “Information Incorporated by Reference.”</w:t>
      </w:r>
    </w:p>
    <w:p>
      <w:pPr>
        <w:spacing w:after="0" w:line="12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You should rely only on information contained or incorporated by reference in this prospectus and any prospectus supplement. We have not authorized any person to provide information or make any representation about this offering that is not in this prospectus. We are not making offers to sell the securities in any jurisdiction in which an offer or solicitation is not authorized or in which the person making such offer or solicitation is not qualified to do so or to anyone to whom it is unlawful to make an offer or solicitation.</w:t>
      </w:r>
    </w:p>
    <w:p>
      <w:pPr>
        <w:spacing w:after="0" w:line="11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information in this prospectus is accurate as of the date on the front cover. You should not assume that the information contained in this prospectus is accurate as of any other date.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400"/>
          </w:cols>
          <w:pgMar w:left="240" w:top="270"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prospectus and the d</w:t>
      </w:r>
      <w:r>
        <w:rPr>
          <w:rFonts w:ascii="Arial" w:cs="Arial" w:eastAsia="Arial" w:hAnsi="Arial"/>
          <w:sz w:val="18"/>
          <w:szCs w:val="18"/>
          <w:i w:val="1"/>
          <w:iCs w:val="1"/>
          <w:color w:val="auto"/>
        </w:rPr>
        <w:t>o</w:t>
      </w:r>
      <w:r>
        <w:rPr>
          <w:rFonts w:ascii="Arial" w:cs="Arial" w:eastAsia="Arial" w:hAnsi="Arial"/>
          <w:sz w:val="18"/>
          <w:szCs w:val="18"/>
          <w:color w:val="auto"/>
        </w:rPr>
        <w:t>cuments incorporated by reference herein contain “forward-looking statements” within the meaning of Section 27A of the Securities Act of 1933 (the “Securities Act”) and Section 21E of the Securities Exchange Act of 1934 (the “Exchange Act”). We intend that all forward-looking statements be subject to the safe harbors created by these laws. All statements, other than statements of historical facts, included or incorporated herein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 as a representation that the expected results will be achieved. Important risk factors that could cause results or events to differ from current expectations are identified and discussed in the accompanying prospectus supplement and in our SEC filings that are incorporated by reference into this prospectus. See “Risk Factors” and “Incorporation of Documents by Reference”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specifically disclaim all responsibility to publicly update any information contained in a forward-looking statement except as required by law.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All forward-looking statements attributable to us are expressly qualified in their entirety by this cautionary statement.</w:t>
      </w: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3" w:lineRule="exact"/>
        <w:rPr>
          <w:sz w:val="20"/>
          <w:szCs w:val="20"/>
          <w:color w:val="auto"/>
        </w:rPr>
      </w:pPr>
    </w:p>
    <w:p>
      <w:pPr>
        <w:jc w:val="both"/>
        <w:ind w:right="60"/>
        <w:spacing w:after="0" w:line="260" w:lineRule="auto"/>
        <w:rPr>
          <w:sz w:val="20"/>
          <w:szCs w:val="20"/>
          <w:color w:val="auto"/>
        </w:rPr>
      </w:pPr>
      <w:r>
        <w:rPr>
          <w:rFonts w:ascii="Arial" w:cs="Arial" w:eastAsia="Arial" w:hAnsi="Arial"/>
          <w:sz w:val="18"/>
          <w:szCs w:val="18"/>
          <w:color w:val="auto"/>
        </w:rPr>
        <w:t xml:space="preserve">We file annual and quarterly reports and other reports and information with the SEC. You may read and copy any of our reports, statements or other information on file at the SEC’s Public Reference Room located at 100 F Street, N.E., Room 1580, Washington, D.C. 20549. Please call the SEC at 1-800-SEC-0330 for further information regarding its public facilities. Our SEC filings, including the complete registration statement of which this prospectus is a part, are available to the public from commercial document retrieval services and also are available at the Internet website maintained by the SEC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 xml:space="preserve">We maintain an Internet website at </w:t>
      </w:r>
      <w:r>
        <w:rPr>
          <w:rFonts w:ascii="Arial" w:cs="Arial" w:eastAsia="Arial" w:hAnsi="Arial"/>
          <w:sz w:val="18"/>
          <w:szCs w:val="18"/>
          <w:i w:val="1"/>
          <w:iCs w:val="1"/>
          <w:color w:val="auto"/>
        </w:rPr>
        <w:t>www.ezcorp.com</w:t>
      </w:r>
      <w:r>
        <w:rPr>
          <w:rFonts w:ascii="Arial" w:cs="Arial" w:eastAsia="Arial" w:hAnsi="Arial"/>
          <w:sz w:val="18"/>
          <w:szCs w:val="18"/>
          <w:color w:val="auto"/>
        </w:rPr>
        <w:t>. All of our reports filed with the SEC are accessible, free of charge, through the Investor Relations section of our website as soon as reasonably practicable after electronic filing. Information on our website or any other website is not incorporated by reference into this prospectus and does not constitute a part of this prospectus, and you should not rely on that information in making your investment decision unless that information is also in this prospectus or has been expressly incorporated by reference into this prospectus.</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SEC allows us to incorporate by reference the information that we file with the SEC, which means that we disclose important information to you by referring you to those documents. The information incorporated by reference is an important part of this prospectus, and information we file later with the SEC will automatically update and supersede this information. Except to the extent that information in those documents is deemed furnished and not filed pursuant to applicable securities laws and regulations, we incorporate by reference the documents listed below that we previously filed with the SEC under the Exchange Act:</w:t>
      </w:r>
    </w:p>
    <w:p>
      <w:pPr>
        <w:spacing w:after="0" w:line="12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September 30, 2014;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December 31, 2014;</w:t>
      </w:r>
    </w:p>
    <w:p>
      <w:pPr>
        <w:spacing w:after="0" w:line="171" w:lineRule="exact"/>
        <w:rPr>
          <w:rFonts w:ascii="Arial" w:cs="Arial" w:eastAsia="Arial" w:hAnsi="Arial"/>
          <w:sz w:val="18"/>
          <w:szCs w:val="18"/>
          <w:color w:val="auto"/>
        </w:rPr>
      </w:pPr>
    </w:p>
    <w:p>
      <w:pPr>
        <w:ind w:left="660" w:right="4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Reports on Form 8-K filed with the SEC on December 2, 2014; December 19, 2014; January 15, 2015; February 4, 2015; February 24, 2015; February 26, 2015; and March 3, 2015; and</w:t>
      </w:r>
    </w:p>
    <w:p>
      <w:pPr>
        <w:spacing w:after="0" w:line="90" w:lineRule="exact"/>
        <w:rPr>
          <w:rFonts w:ascii="Arial" w:cs="Arial" w:eastAsia="Arial" w:hAnsi="Arial"/>
          <w:sz w:val="18"/>
          <w:szCs w:val="18"/>
          <w:color w:val="auto"/>
        </w:rPr>
      </w:pPr>
    </w:p>
    <w:p>
      <w:pPr>
        <w:ind w:left="660" w:right="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Class A Non-Voting Common Stock set forth in Exhibit 4.1 of our Current Report on Form 8-K filed with the SEC on October 3, 2013.</w:t>
      </w: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400"/>
          </w:cols>
          <w:pgMar w:left="240" w:top="283"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also incorporate by reference each of the documents that we file with the SEC under Section 13(a), 13(c), 14 or 15(d) of the Exchange Act (except as noted below) after the date of this prospectus until the offering of the securities terminates or we have filed with the SEC an amendment to the Registration Statement relating to this offering that deregisters all securities then remaining unsold.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 or in a particular prospectus supplement.</w:t>
      </w:r>
    </w:p>
    <w:p>
      <w:pPr>
        <w:spacing w:after="0" w:line="12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You may obtain copies of any of these filings from us as described below, through the SEC or through the SEC’s Internet website as described above. Documents incorporated by reference are available on our website at www.ezcorp.com, and are available without charge, excluding exhibits, unless an exhibit has been specifically incorporated by reference into this prospectus, by making a request at: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Austin, Texas 78746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Telephone — 512-314-3400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Email — Investor_Relations@ezcorp.com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ON OUR WEBSITE DOES NOT CONSTITUTE A PART OF THIS PROSPECTUS.</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80"/>
          </w:cols>
          <w:pgMar w:left="240" w:top="283" w:right="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EZCORP, INC.</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are a leader in delivering instant cash solutions to our customers across channels, products, services and markets. With more than 7,000 team members and over 1,400 locations, we offer our customers multiple ways to access instant cash, including pawn loans and consumer loans in the United States, Mexico and Canada. At our pawn and buy/sell store, we also sell merchandise, primarily collateral forfeited from pawn lending operations and used merchandise purchased from customers.</w:t>
      </w:r>
    </w:p>
    <w:p>
      <w:pPr>
        <w:spacing w:after="0" w:line="116"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We fulfill the growing global consumer demand for immediate access to cash, financial services and affordable pre-owned merchandise. We offer a variety of instant cash solutions, including collateralized, non-recourse loans, commonly known as pawn loans, and a variety of short-term consumer loans, including single-payment and multiple-payment unsecured loans and single-payment and multiple-payment auto title loans. In our Texas locations, we do not offer or fund loan products themselves, but rather offer credit services to help customers obtain loans from independent third-party lenders.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own a 76% interest in Prestaciones Finmart, S.A.P.I. de C.V., SOFOM, E.N.R. ("Grupo Finmart," doing business under the names “Crediamigo” and “Adex”), a leading consumer loan provider headquartered in Mexico City; and a 59% interest in Renueva Commercial S.A.P.I. de C.V. ("TUYO"), a company headquartered in Mexico City that owns and operates buy/sell stores in Mexico City and the surrounding metropolitan area.</w:t>
      </w:r>
    </w:p>
    <w:p>
      <w:pPr>
        <w:spacing w:after="0" w:line="11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We own approximately 32% of Cash Converters International Limited (“Cash Converters International”), which is based in Australia and franchises and operates a worldwide network of over 750 locations that provide financial services and buy and sell second-hand goods. We also own the Cash Converters master franchise rights in Canada and are the franchisor of five stores there.</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our pawn stores, we offer pawn loans, which are non-recourse loans collateralized by tangible personal property, and sell merchandise to customers looking for good value. The merchandise we sell consists of second-hand collateral forfeited from our pawn lending activities or purchased from customers and new or refurbished merchandise from third party vendors. We also buy and sell second-hand goods. At our financial services stores and at some of our pawn and buy/sell stores, we offer a variety of consumer loan products, including single-payment, unsecured loans with maturity dates typically ranging from seven to 23 days; multiple-payment unsecured loans that may be repaid over extended periods of up to seven months; single-payment 30-day loans secured by automobile titles; multiple-payment auto title loans that carry terms of two to four months; and revolving lines of credit, both unsecured and secured by auto titles. In Texas, our financial services stores and our pawn stores that also offer financial services do not offer loan products themselves, but rather offer credit services to help customers obtain loans from independent third-party lenders.</w:t>
      </w:r>
    </w:p>
    <w:p>
      <w:pPr>
        <w:spacing w:after="0" w:line="12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EZCORP is a Delaware corporation headquartered in Austin, Texas. Our principal executive offices are located at 1901 Capital Parkway, Austin, Texas 78746, and our telephone number is 512-314-3400. We conduct our operations through wholly-owned subsidiaries, and unless otherwise specified, references in this prospectus to “EZCORP,” “we,” “us” or similar terms refer to EZCORP, Inc. and our consolidated subsidiaries.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3"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Investing in our securities involves risks. Before making an investment decision, you should carefully consider the specific risks described in our most recent Annual Report on Form 10-K, as supplemented by subsequent Quarterly Reports on Form 10-Q and Current Reports on Form 8-K, to the extent applicable, each of which is incorporated herein by reference, and those risk factors that may be included or incorporated by reference under the caption “Risk Factors” in any applicable prospectus supplement, together with all of the other information included in this prospectus, any prospectus supplement and the documents we incorporate by reference in evaluating an investment in our securities.</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83"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3" w:lineRule="exact"/>
        <w:rPr>
          <w:sz w:val="20"/>
          <w:szCs w:val="20"/>
          <w:color w:val="auto"/>
        </w:rPr>
      </w:pPr>
    </w:p>
    <w:p>
      <w:pPr>
        <w:ind w:right="620"/>
        <w:spacing w:after="0" w:line="292" w:lineRule="auto"/>
        <w:rPr>
          <w:sz w:val="20"/>
          <w:szCs w:val="20"/>
          <w:color w:val="auto"/>
        </w:rPr>
      </w:pPr>
      <w:r>
        <w:rPr>
          <w:rFonts w:ascii="Arial" w:cs="Arial" w:eastAsia="Arial" w:hAnsi="Arial"/>
          <w:sz w:val="18"/>
          <w:szCs w:val="18"/>
          <w:color w:val="auto"/>
        </w:rPr>
        <w:t>Unless we inform you otherwise in the prospectus supplement, we expect to use the net proceeds from the sale of securities for general corporate purposes. These purposes may include the following:</w:t>
      </w:r>
    </w:p>
    <w:p>
      <w:pPr>
        <w:spacing w:after="0" w:line="9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or refinancing of debt or other corporate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Pending any specific application, we may initially invest funds in short-term marketable securities.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4240" w:type="dxa"/>
            <w:vAlign w:val="bottom"/>
            <w:gridSpan w:val="4"/>
          </w:tcPr>
          <w:p>
            <w:pPr>
              <w:ind w:left="500"/>
              <w:spacing w:after="0"/>
              <w:rPr>
                <w:sz w:val="20"/>
                <w:szCs w:val="20"/>
                <w:color w:val="auto"/>
              </w:rPr>
            </w:pPr>
            <w:r>
              <w:rPr>
                <w:rFonts w:ascii="Arial" w:cs="Arial" w:eastAsia="Arial" w:hAnsi="Arial"/>
                <w:sz w:val="18"/>
                <w:szCs w:val="18"/>
                <w:b w:val="1"/>
                <w:bCs w:val="1"/>
                <w:color w:val="auto"/>
              </w:rPr>
              <w:t>RATIO OF EARNINGS TO FIXED CHARGES</w:t>
            </w: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370"/>
        </w:trPr>
        <w:tc>
          <w:tcPr>
            <w:tcW w:w="8480" w:type="dxa"/>
            <w:vAlign w:val="bottom"/>
            <w:gridSpan w:val="7"/>
          </w:tcPr>
          <w:p>
            <w:pPr>
              <w:spacing w:after="0"/>
              <w:rPr>
                <w:sz w:val="20"/>
                <w:szCs w:val="20"/>
                <w:color w:val="auto"/>
              </w:rPr>
            </w:pPr>
            <w:r>
              <w:rPr>
                <w:rFonts w:ascii="Arial" w:cs="Arial" w:eastAsia="Arial" w:hAnsi="Arial"/>
                <w:sz w:val="18"/>
                <w:szCs w:val="18"/>
                <w:color w:val="auto"/>
              </w:rPr>
              <w:t>The following table sets forth our ratio of consolidated earnings to fixed charges for the periods presented: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0"/>
        </w:trPr>
        <w:tc>
          <w:tcPr>
            <w:tcW w:w="3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ind w:left="180"/>
              <w:spacing w:after="0"/>
              <w:rPr>
                <w:sz w:val="20"/>
                <w:szCs w:val="20"/>
                <w:color w:val="auto"/>
              </w:rPr>
            </w:pPr>
            <w:r>
              <w:rPr>
                <w:rFonts w:ascii="Arial" w:cs="Arial" w:eastAsia="Arial" w:hAnsi="Arial"/>
                <w:sz w:val="18"/>
                <w:szCs w:val="18"/>
                <w:b w:val="1"/>
                <w:bCs w:val="1"/>
                <w:color w:val="auto"/>
              </w:rPr>
              <w:t>Year ended September 30,</w:t>
            </w:r>
          </w:p>
        </w:tc>
        <w:tc>
          <w:tcPr>
            <w:tcW w:w="900" w:type="dxa"/>
            <w:vAlign w:val="bottom"/>
            <w:tcBorders>
              <w:bottom w:val="single" w:sz="8" w:color="auto"/>
            </w:tcBorders>
          </w:tcPr>
          <w:p>
            <w:pPr>
              <w:spacing w:after="0"/>
              <w:rPr>
                <w:sz w:val="24"/>
                <w:szCs w:val="24"/>
                <w:color w:val="auto"/>
              </w:rPr>
            </w:pPr>
          </w:p>
        </w:tc>
      </w:tr>
      <w:tr>
        <w:trPr>
          <w:trHeight w:val="263"/>
        </w:trPr>
        <w:tc>
          <w:tcPr>
            <w:tcW w:w="338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r>
      <w:tr>
        <w:trPr>
          <w:trHeight w:val="297"/>
        </w:trPr>
        <w:tc>
          <w:tcPr>
            <w:tcW w:w="3380" w:type="dxa"/>
            <w:vAlign w:val="bottom"/>
          </w:tcPr>
          <w:p>
            <w:pPr>
              <w:ind w:left="40"/>
              <w:spacing w:after="0"/>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1"/>
                <w:szCs w:val="21"/>
                <w:color w:val="auto"/>
                <w:vertAlign w:val="superscript"/>
              </w:rPr>
              <w:t>(a)</w:t>
            </w:r>
          </w:p>
        </w:tc>
        <w:tc>
          <w:tcPr>
            <w:tcW w:w="302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2.25x</w:t>
            </w: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4.72x</w:t>
            </w:r>
          </w:p>
        </w:tc>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23.69x</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17.61x</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20.38x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82550</wp:posOffset>
            </wp:positionV>
            <wp:extent cx="127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 cy="8890"/>
                    </a:xfrm>
                    <a:prstGeom prst="rect">
                      <a:avLst/>
                    </a:prstGeom>
                    <a:noFill/>
                  </pic:spPr>
                </pic:pic>
              </a:graphicData>
            </a:graphic>
          </wp:anchor>
        </w:drawing>
      </w:r>
    </w:p>
    <w:p>
      <w:pPr>
        <w:spacing w:after="0" w:line="29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ratio has been computed by dividing earnings by fixed charges. For purposes of computing this ratio:</w:t>
      </w:r>
    </w:p>
    <w:p>
      <w:pPr>
        <w:spacing w:after="0" w:line="171" w:lineRule="exact"/>
        <w:rPr>
          <w:rFonts w:ascii="Arial" w:cs="Arial" w:eastAsia="Arial" w:hAnsi="Arial"/>
          <w:sz w:val="18"/>
          <w:szCs w:val="18"/>
          <w:color w:val="auto"/>
        </w:rPr>
      </w:pPr>
    </w:p>
    <w:p>
      <w:pPr>
        <w:ind w:left="980" w:right="100" w:hanging="324"/>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taxes, cumulative effect of change in accounting principle, adjustments for net income or loss attributable to noncontrolling interests and our share of investees’ income or loss accounted for under the equity method, and adjustment for capitalized interest, plus fixed charges and our share of distributed income from investees accounted for under the equity method; and</w:t>
      </w:r>
    </w:p>
    <w:p>
      <w:pPr>
        <w:spacing w:after="0" w:line="115" w:lineRule="exact"/>
        <w:rPr>
          <w:rFonts w:ascii="Arial" w:cs="Arial" w:eastAsia="Arial" w:hAnsi="Arial"/>
          <w:sz w:val="18"/>
          <w:szCs w:val="18"/>
          <w:color w:val="auto"/>
        </w:rPr>
      </w:pPr>
    </w:p>
    <w:p>
      <w:pPr>
        <w:ind w:left="980" w:right="20" w:hanging="324"/>
        <w:spacing w:after="0" w:line="292"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Fixed charges consist of interest expense, capitalized interest and the portion of rental expense deemed to be representative of the interest component of rental expense.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60" w:right="2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3"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The Debt Securities will be debt securities issued under an indenture (the “Indenture”) between us and a trustee to be selected by us (the “Trustee”).</w:t>
      </w:r>
    </w:p>
    <w:p>
      <w:pPr>
        <w:spacing w:after="0" w:line="9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Debt Securities may be issued from time to time in one or more series. The particular terms of each series that are offered by a prospectus supplement will be described in the prospectus supplement.</w:t>
      </w:r>
    </w:p>
    <w:p>
      <w:pPr>
        <w:spacing w:after="0" w:line="91"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Debt Securities are not guaranteed by our subsidiaries, and the rights of EZCORP and our creditors, including Holders of the Debt Securities, to participate in the assets of any subsidiary upon the latter’s liquidation or reorganization will be subject to the prior claims of the subsidiary’s creditors, except to the extent that we may ourself be a creditor with recognized claims against such subsidiary.</w:t>
      </w:r>
    </w:p>
    <w:p>
      <w:pPr>
        <w:spacing w:after="0" w:line="10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have summarized selected provisions of the Indenture below. The summary is not complete. The form of the Indenture has been filed with the SEC as an exhibit to the registration statement of which this prospectus is a part, and you should read the Indenture for provisions that may be important to you. In the summary below, we have included references to article or section numbers of the Indenture so that you can easily locate these provisions. Whenever we refer in this prospectus or in the prospectus supplement to particular articles or sections or defined terms of the Indenture, those articles or sections or defined terms are incorporated by reference herein or therein, as applicable. Capitalized terms used in the summary have the meanings specified in the Indenture.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Indenture provides that Debt Securities in separate series may be issued thereunder from time to time without limitation as to aggregate principal amount. We may specify a maximum aggregate principal amount for the Debt Securities of any series (Section 301). We will determine the terms and conditions of the Debt Securities, including the maturity, principal and interest, but those terms must be consistent with the Indenture. The Debt Securities may be our secured or unsecured obligations.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If the prospectus supplement so indicates, the Debt Securities will be convertible into our Class A Non-Voting Common Stock (Section 301).</w:t>
      </w:r>
    </w:p>
    <w:p>
      <w:pPr>
        <w:spacing w:after="0" w:line="17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applicable prospectus supplement will set forth the price or prices at which the Debt Securities to be offered will be issued and will describe the following terms of such Debt Securities:</w:t>
      </w:r>
    </w:p>
    <w:p>
      <w:pPr>
        <w:spacing w:after="0" w:line="91"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terms upon which the Debt Securities may be redeemed, in whole or in part, at our option;</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171" w:lineRule="exact"/>
        <w:rPr>
          <w:rFonts w:ascii="Arial" w:cs="Arial" w:eastAsia="Arial" w:hAnsi="Arial"/>
          <w:sz w:val="18"/>
          <w:szCs w:val="18"/>
          <w:color w:val="auto"/>
        </w:rPr>
      </w:pPr>
    </w:p>
    <w:p>
      <w:pPr>
        <w:ind w:left="980" w:right="260" w:hanging="648"/>
        <w:spacing w:after="0" w:line="29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portion of the principal amount, if less than all, of the Debt Securities that will be payable upon declaration of acceleration of the Maturity of the Debt Securities;</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are defeasible;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w:t>
      </w:r>
    </w:p>
    <w:p>
      <w:pPr>
        <w:spacing w:after="0" w:line="171" w:lineRule="exact"/>
        <w:rPr>
          <w:rFonts w:ascii="Arial" w:cs="Arial" w:eastAsia="Arial" w:hAnsi="Arial"/>
          <w:sz w:val="18"/>
          <w:szCs w:val="18"/>
          <w:color w:val="auto"/>
        </w:rPr>
      </w:pPr>
    </w:p>
    <w:p>
      <w:pPr>
        <w:ind w:left="980" w:right="140" w:hanging="648"/>
        <w:spacing w:after="0" w:line="271"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Debt Securities are convertible into our Class A Non-Voting Common Stock and, if so, the terms and conditions upon which conversion will be effected, including the initial conversion price or conversion rate and any adjustments thereto and the conversion period;</w:t>
      </w:r>
    </w:p>
    <w:p>
      <w:pPr>
        <w:spacing w:after="0" w:line="109" w:lineRule="exact"/>
        <w:rPr>
          <w:rFonts w:ascii="Arial" w:cs="Arial" w:eastAsia="Arial" w:hAnsi="Arial"/>
          <w:sz w:val="18"/>
          <w:szCs w:val="18"/>
          <w:color w:val="auto"/>
        </w:rPr>
      </w:pPr>
    </w:p>
    <w:p>
      <w:pPr>
        <w:ind w:left="980" w:hanging="648"/>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addition to or change in the covenants in the Indenture;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83" w:right="2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648"/>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provisions of the Indenture (Section 301).</w:t>
      </w:r>
    </w:p>
    <w:p>
      <w:pPr>
        <w:spacing w:after="0" w:line="17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Debt Securities, including any Debt Securities that provide for an amount less than the principal amount thereof to be due and payable upon a declaration of acceleration of the Maturity thereof (“Original Issue Discount Securities”),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173"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The Debt Securities of each series will be issuable only in fully registered form, without coupons, and, unless otherwise specified in the applicable prospectus supplement, only in denominations of $1,000 and integral multiples thereof (Section 302).</w:t>
      </w:r>
    </w:p>
    <w:p>
      <w:pPr>
        <w:spacing w:after="0" w:line="91" w:lineRule="exact"/>
        <w:rPr>
          <w:sz w:val="20"/>
          <w:szCs w:val="20"/>
          <w:color w:val="auto"/>
        </w:rPr>
      </w:pPr>
    </w:p>
    <w:p>
      <w:pPr>
        <w:jc w:val="both"/>
        <w:ind w:right="300"/>
        <w:spacing w:after="0" w:line="271" w:lineRule="auto"/>
        <w:rPr>
          <w:sz w:val="20"/>
          <w:szCs w:val="20"/>
          <w:color w:val="auto"/>
        </w:rPr>
      </w:pPr>
      <w:r>
        <w:rPr>
          <w:rFonts w:ascii="Arial" w:cs="Arial" w:eastAsia="Arial" w:hAnsi="Arial"/>
          <w:sz w:val="18"/>
          <w:szCs w:val="18"/>
          <w:color w:val="auto"/>
        </w:rPr>
        <w:t>At the option of the Holder, subject to the terms of the Indenture and the limitations applicable to Global Securities, Debt Securities of each series will be exchangeable for other Debt Securities of the same series of any authorized denomination and of a like tenor and aggregate principal amount (Section 305).</w:t>
      </w:r>
    </w:p>
    <w:p>
      <w:pPr>
        <w:spacing w:after="0" w:line="10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the terms of the Indenture and the limitations applicable to Global Securities, Debt Securities may be presented for exchange as provided above or for registration of transfer (duly endorsed or with the form of transfer endorsed thereon duly executed) at the office of the Security Registrar or at the office of any other transfer agent designated by us for such purpose. No service charge will be made for any registration of transfer or exchange of Debt Securities, but we may require payment of a sum sufficient to cover any tax or other governmental charge payable in that connection. Such transfer or exchange will be effected upon the Security Registrar or such other transfer agent, as the case may be, being satisfied with the documents of title and identity of the Person making the request. The Security Registrar and any other transfer agent initially designated by us for any Debt Securities will be named in the applicable prospectus supplement (Section 305).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(Section 1002).</w:t>
      </w:r>
    </w:p>
    <w:p>
      <w:pPr>
        <w:spacing w:after="0" w:line="1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If the Debt Securities of any series (or of any series and specified tenor) are to be redeemed in part, we will not be required to (1) issue, register the transfer of or exchange any Debt Security of that series (or of that series and specified tenor, as the case may be) during a period beginning at the opening of business 15 days before the day of mailing of a notice of redemption of any such Debt Security that may be selected for redemption and ending at the close of business on the day of such mailing or (2) register the transfer of or exchange any Debt Security so selected for redemption, in whole or in part, except the unredeemed portion of any such Debt Security being redeemed in part (Section 305).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73"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Some or all of the Debt Securities of any series may be represented, in whole or in part, by one or more Global Securities that will have an aggregate principal amount equal to that of the Debt Securities they represent. Each Global Security will be registered in the name of a Depositary or its nominee identified in the applicable prospectus supplement, will be deposited with such Depositary or nominee or its custodian and will bear a legend regarding the restrictions on exchanges and registration of transfer thereof referred to below and any such other matters as may be provided for pursuant to the Indenture.</w:t>
      </w:r>
    </w:p>
    <w:p>
      <w:pPr>
        <w:spacing w:after="0" w:line="121"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color w:val="auto"/>
        </w:rPr>
        <w:t>Notwithstanding any provision of the Indenture or any Debt Security described in this prospectus, no Global Security may be exchanged in whole or in part for Debt Securities registered, and no transfer of a Global Security in whole or in part may be registered, in the name of any Person other than the Depositary for such Global Security or any nominee of such Depositary unless:</w:t>
      </w:r>
    </w:p>
    <w:p>
      <w:pPr>
        <w:spacing w:after="0" w:line="109" w:lineRule="exact"/>
        <w:rPr>
          <w:sz w:val="20"/>
          <w:szCs w:val="20"/>
          <w:color w:val="auto"/>
        </w:rPr>
      </w:pPr>
    </w:p>
    <w:p>
      <w:pPr>
        <w:ind w:left="980" w:hanging="648"/>
        <w:spacing w:after="0" w:line="292"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Depositary has notified us that it is unwilling or unable to continue as Depositary for such Global Security or has ceased to be qualified to act as such as required by the Indenture, and in either case we fail to appoint a successor Depositary within 90 days;</w:t>
      </w:r>
    </w:p>
    <w:p>
      <w:pPr>
        <w:spacing w:after="0" w:line="3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00"/>
          </w:cols>
          <w:pgMar w:left="240" w:top="283" w:right="35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648"/>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Event of Default with respect to the Debt Securities represented by such Global Security has occurred and is continuing and the Trustee has received a written request from the Depositary to issue certificated Debt Securities;</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the rules of the Depositary, we have elected to terminate the book-entry system through the Depositary; or</w:t>
      </w:r>
    </w:p>
    <w:p>
      <w:pPr>
        <w:spacing w:after="0" w:line="171" w:lineRule="exact"/>
        <w:rPr>
          <w:rFonts w:ascii="Arial" w:cs="Arial" w:eastAsia="Arial" w:hAnsi="Arial"/>
          <w:sz w:val="18"/>
          <w:szCs w:val="18"/>
          <w:color w:val="auto"/>
        </w:rPr>
      </w:pPr>
    </w:p>
    <w:p>
      <w:pPr>
        <w:ind w:left="980" w:right="400" w:hanging="648"/>
        <w:spacing w:after="0" w:line="29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circumstances exist, in addition to or in lieu of those described above, as may be described in the applicable prospectus supplement (Section 305).</w:t>
      </w:r>
    </w:p>
    <w:p>
      <w:pPr>
        <w:spacing w:after="0" w:line="91"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All certificated Debt Securities issued in exchange for a Global Security or any portion thereof will be registered in such names as the Depositary may direct (Section 305).</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long as the Depositary, or its nominee, is the registered holder of a Global Security, the Depositary or such nominee, as the case may be, will be considered the sole owner and Holder of such Global Security and the Debt Securities that it represents for all purposes under the Debt Securities and the Indenture (Section 308). Except in the limited circumstances referred to above, owners of beneficial interests in a Global Security will not be entitled to have such Global Security or any Debt Securities that it represents registered in their names, will not receive or be entitled to receive physical delivery of certificated Debt Securities in exchange for those interests and will not be considered to be the owners or Holders of such Global Security or any Debt Securities that it represents for any purpose under the Debt Securities or the Indenture. All payments on a Global Security will be made to the Depositary or its nominee, as the case may be, as the Holder of the security. The laws of some jurisdictions may require that some purchasers of Debt Securities take physical delivery of such Debt Securities in certificated form. These laws may impair the ability to transfer beneficial interests in a Global Security.</w:t>
      </w:r>
    </w:p>
    <w:p>
      <w:pPr>
        <w:spacing w:after="0" w:line="12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Ownership of beneficial interests in a Global Security will be limited to institutions that have accounts with the Depositary or its nominee (“participants”) and to Persons that may hold beneficial interests through participants. In connection with the issuance of any Global Security, the Depositary will credit, on its book-entry registration and transfer system, the respective principal amounts of Debt Securities represented by the Global Security to the accounts of its participants. Ownership of beneficial interests in a Global Security will be shown only on, and the transfer of those ownership interests will be effected only through, records maintained by the Depositary (with respect to participants’ interests) or any such participant (with respect to interests of Persons held by such participants on their behalf). Payments, transfers, exchanges and other matters relating to beneficial interests in a Global Security may be subject to various policies and procedures adopted by the Depositary from time to time. None of us, the Trustee, or the agents of us or the Trustee will have any responsibility or liability for any aspect of the Depositary’s or any participant’s records relating to, or for payments made on account of, beneficial interests in a Global Security, or for maintaining, supervising or reviewing any records relating to such beneficial interests.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73" w:lineRule="exact"/>
        <w:rPr>
          <w:sz w:val="20"/>
          <w:szCs w:val="20"/>
          <w:color w:val="auto"/>
        </w:rPr>
      </w:pPr>
    </w:p>
    <w:p>
      <w:pPr>
        <w:jc w:val="both"/>
        <w:ind w:right="100"/>
        <w:spacing w:after="0" w:line="271" w:lineRule="auto"/>
        <w:rPr>
          <w:sz w:val="20"/>
          <w:szCs w:val="20"/>
          <w:color w:val="auto"/>
        </w:rPr>
      </w:pPr>
      <w:r>
        <w:rPr>
          <w:rFonts w:ascii="Arial" w:cs="Arial" w:eastAsia="Arial" w:hAnsi="Arial"/>
          <w:sz w:val="18"/>
          <w:szCs w:val="18"/>
          <w:color w:val="auto"/>
        </w:rPr>
        <w:t>Unless otherwise indicated in the applicable prospectus supplement, payment of interest on a Debt Security on any Interest Payment Date will be made to the Person in whose name such Debt Security (or one or more Predecessor Debt Securities) is registered at the close of business on the Regular Record Date for such interest (Section 307).</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otherwise indicated in the applicable prospectus supplement, principal of and any premium and interest on the Debt Securities of a particular series will be payable at the office of such Paying Agent or Paying Agents as we may designate for such purpose from time to time, except that at our option payment of any interest on Debt Securities in certificated form may be made by check mailed to the address of the Person entitled thereto as such address appears in the Security Register. Unless otherwise indicated in the applicable prospectus supplement, the corporate trust office of the Trustee under the Indenture in New York, New York will be designated as sole Paying Agent for payments with respect to Senior Debt Securities of each series. Any other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 (Section 1002).</w:t>
      </w:r>
    </w:p>
    <w:p>
      <w:pPr>
        <w:spacing w:after="0" w:line="12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money paid by us to a Paying Agent for the payment of the principal of or any premium or interest on any Debt Security which remains unclaimed at the end of two years after such principal, premium or interest has become due and payable will be repaid to us, and the Holder of such Debt Security thereafter may look only to us for payment (Section 1003).</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83" w:right="25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73"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Unless otherwise specified in the prospectus supplement, we may not consolidate with or merge into, or transfer, lease or otherwise dispose of all or substantially all of our assets to, any Person (a “successor Person”), and may not permit any Person to consolidate with or merge into us, unless:</w:t>
      </w:r>
    </w:p>
    <w:p>
      <w:pPr>
        <w:spacing w:after="0" w:line="109" w:lineRule="exact"/>
        <w:rPr>
          <w:sz w:val="20"/>
          <w:szCs w:val="20"/>
          <w:color w:val="auto"/>
        </w:rPr>
      </w:pPr>
    </w:p>
    <w:p>
      <w:pPr>
        <w:ind w:left="980" w:hanging="648"/>
        <w:spacing w:after="0" w:line="29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successor Person (if any) is a corporation, partnership, trust or other entity organized and validly existing under the laws of any domestic jurisdiction and assumes our obligations on the Debt Securities and under the Indenture;</w:t>
      </w:r>
    </w:p>
    <w:p>
      <w:pPr>
        <w:spacing w:after="0" w:line="90" w:lineRule="exact"/>
        <w:rPr>
          <w:rFonts w:ascii="Arial" w:cs="Arial" w:eastAsia="Arial" w:hAnsi="Arial"/>
          <w:sz w:val="18"/>
          <w:szCs w:val="18"/>
          <w:color w:val="auto"/>
        </w:rPr>
      </w:pPr>
    </w:p>
    <w:p>
      <w:pPr>
        <w:ind w:left="980" w:right="400" w:hanging="648"/>
        <w:spacing w:after="0" w:line="29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the transaction, no Event of Default, and no event which, after notice or lapse of time or both, would become an Event of Default, has occurred and is continuing; and</w:t>
      </w:r>
    </w:p>
    <w:p>
      <w:pPr>
        <w:spacing w:after="0" w:line="90" w:lineRule="exact"/>
        <w:rPr>
          <w:rFonts w:ascii="Arial" w:cs="Arial" w:eastAsia="Arial" w:hAnsi="Arial"/>
          <w:sz w:val="18"/>
          <w:szCs w:val="18"/>
          <w:color w:val="auto"/>
        </w:rPr>
      </w:pPr>
    </w:p>
    <w:p>
      <w:pPr>
        <w:ind w:left="980" w:right="820" w:hanging="648"/>
        <w:spacing w:after="0" w:line="292"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Several other conditions, including any additional conditions with respect to any particular Debt Securities specified in the applicable prospectus supplement, are met (Section 801).</w:t>
      </w:r>
    </w:p>
    <w:p>
      <w:pPr>
        <w:spacing w:after="0" w:line="91"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The successor Person (if not us) will be substituted for us under the Indenture with the same effect as if it had been an original party to the Indenture, and, except in the case of a lease, we will be relieved from any further obligations under the Indenture and the Debt Securities (Section 802).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73"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Unless otherwise specified in the prospectus supplement, each of the following will constitute an Event of Default under the Indenture with respect to Debt Securities of any series:</w:t>
      </w:r>
    </w:p>
    <w:p>
      <w:pPr>
        <w:spacing w:after="0" w:line="91" w:lineRule="exact"/>
        <w:rPr>
          <w:sz w:val="20"/>
          <w:szCs w:val="20"/>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pay principal of or any premium on any Debt Security of that series when due;</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pay any interest on any Debt Securities of that series when due, continued for 30 days;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deposit any sinking fund payment, when due, in respect of any Debt Security of that series;</w:t>
      </w:r>
    </w:p>
    <w:p>
      <w:pPr>
        <w:spacing w:after="0" w:line="171" w:lineRule="exact"/>
        <w:rPr>
          <w:rFonts w:ascii="Arial" w:cs="Arial" w:eastAsia="Arial" w:hAnsi="Arial"/>
          <w:sz w:val="18"/>
          <w:szCs w:val="18"/>
          <w:color w:val="auto"/>
        </w:rPr>
      </w:pPr>
    </w:p>
    <w:p>
      <w:pPr>
        <w:ind w:left="980" w:right="60" w:hanging="648"/>
        <w:spacing w:after="0" w:line="29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perform or comply with the provisions described under “Description of Debt Securities-Consolidation, Merger and Sale of Assets”;</w:t>
      </w:r>
    </w:p>
    <w:p>
      <w:pPr>
        <w:spacing w:after="0" w:line="90" w:lineRule="exact"/>
        <w:rPr>
          <w:rFonts w:ascii="Arial" w:cs="Arial" w:eastAsia="Arial" w:hAnsi="Arial"/>
          <w:sz w:val="18"/>
          <w:szCs w:val="18"/>
          <w:color w:val="auto"/>
        </w:rPr>
      </w:pPr>
    </w:p>
    <w:p>
      <w:pPr>
        <w:ind w:left="980" w:hanging="648"/>
        <w:spacing w:after="0" w:line="27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perform any of our other covenants in the Indenture (other than a covenant included in the Indenture solely for the benefit of a series other than that series), continued for 60 days after written notice has been given by the Trustee, or the Holders of at least 25% in principal amount of the Outstanding Debt Securities of that series, as provided in the Indenture;</w:t>
      </w:r>
    </w:p>
    <w:p>
      <w:pPr>
        <w:spacing w:after="0" w:line="109" w:lineRule="exact"/>
        <w:rPr>
          <w:rFonts w:ascii="Arial" w:cs="Arial" w:eastAsia="Arial" w:hAnsi="Arial"/>
          <w:sz w:val="18"/>
          <w:szCs w:val="18"/>
          <w:color w:val="auto"/>
        </w:rPr>
      </w:pPr>
    </w:p>
    <w:p>
      <w:pPr>
        <w:ind w:left="980" w:right="60" w:hanging="648"/>
        <w:spacing w:after="0" w:line="292"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Debt of ours or of any Significant Subsidiary, is not paid within any applicable grace period after final maturity or is accelerated by its holders because of a default and the total amount of such Debt unpaid or accelerated exceeds $20 million;</w:t>
      </w:r>
    </w:p>
    <w:p>
      <w:pPr>
        <w:spacing w:after="0" w:line="90" w:lineRule="exact"/>
        <w:rPr>
          <w:rFonts w:ascii="Arial" w:cs="Arial" w:eastAsia="Arial" w:hAnsi="Arial"/>
          <w:sz w:val="18"/>
          <w:szCs w:val="18"/>
          <w:color w:val="auto"/>
        </w:rPr>
      </w:pPr>
    </w:p>
    <w:p>
      <w:pPr>
        <w:ind w:left="980" w:hanging="648"/>
        <w:spacing w:after="0" w:line="271"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judgment or decree for the payment of money in excess of $20 million is entered against us or against any Significant Subsidiary, remains outstanding for a period of 60 consecutive days following entry of such judgment and is not discharged, waived or stayed; and</w:t>
      </w:r>
    </w:p>
    <w:p>
      <w:pPr>
        <w:spacing w:after="0" w:line="109" w:lineRule="exact"/>
        <w:rPr>
          <w:rFonts w:ascii="Arial" w:cs="Arial" w:eastAsia="Arial" w:hAnsi="Arial"/>
          <w:sz w:val="18"/>
          <w:szCs w:val="18"/>
          <w:color w:val="auto"/>
        </w:rPr>
      </w:pPr>
    </w:p>
    <w:p>
      <w:pPr>
        <w:ind w:left="980" w:hanging="648"/>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affecting us or any Significant Subsidiary.</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an Event of Default (other than an Event of Default with respect to EZCORP described in clause (8) above) with respect to the Debt Securities of any series at the time Outstanding occurs and is continuing, either the Trustee or the Holders of at least 25% in principal amount of the Outstanding Debt Securities of that series by notice as provided in the Indenture may declare the principal amount of the Debt Securities of that series (or, in the case of any Debt Security that is an Original Issue Discount Debt Security, such portion of the principal amount of such Debt Security as may be specified in the terms of such Debt Security) to be due and payable immediately, together with any accrued and unpaid interest thereon. If an Event of Default with respect to EZCORP described in clause (8) above with respect to the Debt Securities of any series at the time Outstanding occurs, the principal amount of all the Debt Securities of that series (or, in the case of any such Original Issue Discount Security, such specified amount) will automatically, and without any action by the applicable Trustee or any Holder, become immediately due and payable, together with any accrued and unpaid interest thereon. After any such acceleration, but before a judgment or decree based on acceleration, the Holders of a majority in principal amount of the Outstanding Debt Securities of that series may, under certain circumstances, rescind and annul such acceleration and its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83" w:right="2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consequences if all Events of Default, other than the non-payment of accelerated principal (or other specified amount), have been cured or waived as provided in the Indenture (Section 502). For information as to waiver of defaults, see “Description of Debt Securities-Modification and Waiver” below.</w:t>
      </w:r>
    </w:p>
    <w:p>
      <w:pPr>
        <w:spacing w:after="0" w:line="109"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Subject to the provisions of the Indenture relating to the duties of the Trustee in case an Event of Default has occurred and is continuing, the Trustee will be under no obligation to exercise any of its rights or powers under the Indenture at the request or direction of any of the Holders, unless such Holders have offered to such Trustee reasonable security or indemnity (Section 603). Subject to such provisions for the indemnification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512).</w:t>
      </w:r>
    </w:p>
    <w:p>
      <w:pPr>
        <w:spacing w:after="0" w:line="124"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No Holder of a Debt Security of any series will have any right to institute any proceeding with respect to the Indenture, or for the appointment of a receiver or a trustee, or for any other remedy thereunder, unless:</w:t>
      </w:r>
    </w:p>
    <w:p>
      <w:pPr>
        <w:spacing w:after="0" w:line="91" w:lineRule="exact"/>
        <w:rPr>
          <w:sz w:val="20"/>
          <w:szCs w:val="20"/>
          <w:color w:val="auto"/>
        </w:rPr>
      </w:pPr>
    </w:p>
    <w:p>
      <w:pPr>
        <w:ind w:left="980" w:right="180" w:hanging="648"/>
        <w:spacing w:after="0" w:line="29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Such Holder has previously given to the Trustee under the Indenturewritten notice of a continuing Event of Default with respect to the Debt Securities of that series;</w:t>
      </w:r>
    </w:p>
    <w:p>
      <w:pPr>
        <w:spacing w:after="0" w:line="90" w:lineRule="exact"/>
        <w:rPr>
          <w:rFonts w:ascii="Arial" w:cs="Arial" w:eastAsia="Arial" w:hAnsi="Arial"/>
          <w:sz w:val="18"/>
          <w:szCs w:val="18"/>
          <w:color w:val="auto"/>
        </w:rPr>
      </w:pPr>
    </w:p>
    <w:p>
      <w:pPr>
        <w:ind w:left="980" w:right="220" w:hanging="648"/>
        <w:spacing w:after="0" w:line="292"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have made written request, and such Holder or Holders have offered reasonable indemnity, to the Trustee to institute such proceeding as trustee; and</w:t>
      </w:r>
    </w:p>
    <w:p>
      <w:pPr>
        <w:spacing w:after="0" w:line="90" w:lineRule="exact"/>
        <w:rPr>
          <w:rFonts w:ascii="Arial" w:cs="Arial" w:eastAsia="Arial" w:hAnsi="Arial"/>
          <w:sz w:val="18"/>
          <w:szCs w:val="18"/>
          <w:color w:val="auto"/>
        </w:rPr>
      </w:pPr>
    </w:p>
    <w:p>
      <w:pPr>
        <w:jc w:val="both"/>
        <w:ind w:left="980" w:right="120" w:hanging="648"/>
        <w:spacing w:after="0" w:line="271"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Trustee has failed to institute such proceeding, and has not received from the Holders of a majority in principal amount of the Outstanding Debt Securities of that series a direction inconsistent with such request, within 60 days after such notice, request and offer (Section 507).</w:t>
      </w:r>
    </w:p>
    <w:p>
      <w:pPr>
        <w:spacing w:after="0" w:line="109" w:lineRule="exact"/>
        <w:rPr>
          <w:sz w:val="20"/>
          <w:szCs w:val="20"/>
          <w:color w:val="auto"/>
        </w:rPr>
      </w:pPr>
    </w:p>
    <w:p>
      <w:pPr>
        <w:jc w:val="both"/>
        <w:ind w:right="260"/>
        <w:spacing w:after="0" w:line="271" w:lineRule="auto"/>
        <w:rPr>
          <w:sz w:val="20"/>
          <w:szCs w:val="20"/>
          <w:color w:val="auto"/>
        </w:rPr>
      </w:pPr>
      <w:r>
        <w:rPr>
          <w:rFonts w:ascii="Arial" w:cs="Arial" w:eastAsia="Arial" w:hAnsi="Arial"/>
          <w:sz w:val="18"/>
          <w:szCs w:val="18"/>
          <w:color w:val="auto"/>
        </w:rPr>
        <w:t>However, such limitations do not apply to a suit instituted by a Holder of a Debt Security for the enforcement of payment of the principal of or any premium or interest on such Debt Security on or after the applicable due date specified in such Debt Security or, if applicable, to convert such Debt Security (Section 508).</w:t>
      </w:r>
    </w:p>
    <w:p>
      <w:pPr>
        <w:spacing w:after="0" w:line="109" w:lineRule="exact"/>
        <w:rPr>
          <w:sz w:val="20"/>
          <w:szCs w:val="20"/>
          <w:color w:val="auto"/>
        </w:rPr>
      </w:pPr>
    </w:p>
    <w:p>
      <w:pPr>
        <w:jc w:val="both"/>
        <w:ind w:right="220"/>
        <w:spacing w:after="0" w:line="271" w:lineRule="auto"/>
        <w:rPr>
          <w:sz w:val="20"/>
          <w:szCs w:val="20"/>
          <w:color w:val="auto"/>
        </w:rPr>
      </w:pPr>
      <w:r>
        <w:rPr>
          <w:rFonts w:ascii="Arial" w:cs="Arial" w:eastAsia="Arial" w:hAnsi="Arial"/>
          <w:sz w:val="18"/>
          <w:szCs w:val="18"/>
          <w:color w:val="auto"/>
        </w:rPr>
        <w:t>We will be required to furnish to the Trustee annually a statement by certain of our officers as to whether or not we, to their knowledge, are in default in the performance or observance of any of the terms, provisions and conditions of the Indenture and, if so, specifying all such known defaults (Section 1004).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may modify or amend the Indenture without the consent of any Holders of the Debt Securities in certain circumstances, including:</w:t>
      </w:r>
    </w:p>
    <w:p>
      <w:pPr>
        <w:spacing w:after="0" w:line="171" w:lineRule="exact"/>
        <w:rPr>
          <w:sz w:val="20"/>
          <w:szCs w:val="20"/>
          <w:color w:val="auto"/>
        </w:rPr>
      </w:pPr>
    </w:p>
    <w:p>
      <w:pPr>
        <w:ind w:left="980" w:right="220" w:hanging="648"/>
        <w:spacing w:after="0" w:line="29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the succession under the Indenture of another Person to us or and to provide for its assumption of our obligations to Holders of Debt Securities;</w:t>
      </w:r>
    </w:p>
    <w:p>
      <w:pPr>
        <w:spacing w:after="0" w:line="90" w:lineRule="exact"/>
        <w:rPr>
          <w:rFonts w:ascii="Arial" w:cs="Arial" w:eastAsia="Arial" w:hAnsi="Arial"/>
          <w:sz w:val="18"/>
          <w:szCs w:val="18"/>
          <w:color w:val="auto"/>
        </w:rPr>
      </w:pPr>
    </w:p>
    <w:p>
      <w:pPr>
        <w:ind w:left="980" w:right="100" w:hanging="648"/>
        <w:spacing w:after="0" w:line="29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make any changes that would add any additional covenants of us for the benefit of the Holders of Debt Securities or that do not adversely affect the rights under the Indenture of the Holders of Debt Securities in any material respect;</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establish the form or terms of any series of Debt Securities;</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of a successor Trustee; or</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7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Other modifications and amendments of the Indenture may be made by us and the Trustee only with the consent of the Holders of a majority in principal amount of the Outstanding Debt Securities of each series affected by such</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83" w:right="2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modification or amendment; provided, however, that no such modification or amendment may, without the consent of the Holder of each</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Security affected thereby:</w:t>
      </w:r>
    </w:p>
    <w:p>
      <w:pPr>
        <w:spacing w:after="0" w:line="149" w:lineRule="exact"/>
        <w:rPr>
          <w:sz w:val="20"/>
          <w:szCs w:val="20"/>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Debt Security;</w:t>
      </w:r>
    </w:p>
    <w:p>
      <w:pPr>
        <w:spacing w:after="0" w:line="171"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principal amount of or any premium or interest on, any Debt Security;</w:t>
      </w:r>
    </w:p>
    <w:p>
      <w:pPr>
        <w:spacing w:after="0" w:line="171" w:lineRule="exact"/>
        <w:rPr>
          <w:rFonts w:ascii="Arial" w:cs="Arial" w:eastAsia="Arial" w:hAnsi="Arial"/>
          <w:sz w:val="18"/>
          <w:szCs w:val="18"/>
          <w:color w:val="auto"/>
        </w:rPr>
      </w:pPr>
    </w:p>
    <w:p>
      <w:pPr>
        <w:ind w:left="980" w:right="40" w:hanging="648"/>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amount of principal of an Original Issue Discount Security or any other Debt Security payable upon acceleration of the Maturity thereof;</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 the place or currency of payment of principal of, or any premium or interest on, any Debt Security;</w:t>
      </w:r>
    </w:p>
    <w:p>
      <w:pPr>
        <w:spacing w:after="0" w:line="171" w:lineRule="exact"/>
        <w:rPr>
          <w:rFonts w:ascii="Arial" w:cs="Arial" w:eastAsia="Arial" w:hAnsi="Arial"/>
          <w:sz w:val="18"/>
          <w:szCs w:val="18"/>
          <w:color w:val="auto"/>
        </w:rPr>
      </w:pPr>
    </w:p>
    <w:p>
      <w:pPr>
        <w:ind w:left="980" w:right="640" w:hanging="648"/>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due on or any conversion right with respect to any Debt Security;</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any conversion provisions in a manner adverse to the Holders of the applicable Debt Securities;</w:t>
      </w:r>
    </w:p>
    <w:p>
      <w:pPr>
        <w:spacing w:after="0" w:line="171" w:lineRule="exact"/>
        <w:rPr>
          <w:rFonts w:ascii="Arial" w:cs="Arial" w:eastAsia="Arial" w:hAnsi="Arial"/>
          <w:sz w:val="18"/>
          <w:szCs w:val="18"/>
          <w:color w:val="auto"/>
        </w:rPr>
      </w:pPr>
    </w:p>
    <w:p>
      <w:pPr>
        <w:ind w:left="980" w:right="20" w:hanging="648"/>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the consent of whose Holders is required for modification or amendment of the Indenture;</w:t>
      </w:r>
    </w:p>
    <w:p>
      <w:pPr>
        <w:spacing w:after="0" w:line="90" w:lineRule="exact"/>
        <w:rPr>
          <w:rFonts w:ascii="Arial" w:cs="Arial" w:eastAsia="Arial" w:hAnsi="Arial"/>
          <w:sz w:val="18"/>
          <w:szCs w:val="18"/>
          <w:color w:val="auto"/>
        </w:rPr>
      </w:pPr>
    </w:p>
    <w:p>
      <w:pPr>
        <w:ind w:left="980" w:right="160" w:hanging="648"/>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necessary for waiver of compliance with certain provisions of the Indenture or for waiver of certain defaults;</w:t>
      </w:r>
    </w:p>
    <w:p>
      <w:pPr>
        <w:spacing w:after="0" w:line="90" w:lineRule="exact"/>
        <w:rPr>
          <w:rFonts w:ascii="Arial" w:cs="Arial" w:eastAsia="Arial" w:hAnsi="Arial"/>
          <w:sz w:val="18"/>
          <w:szCs w:val="18"/>
          <w:color w:val="auto"/>
        </w:rPr>
      </w:pPr>
    </w:p>
    <w:p>
      <w:pPr>
        <w:ind w:left="980" w:hanging="648"/>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Modify such provisions with respect to modification, amendment or waiver; or</w:t>
      </w:r>
    </w:p>
    <w:p>
      <w:pPr>
        <w:spacing w:after="0" w:line="171" w:lineRule="exact"/>
        <w:rPr>
          <w:rFonts w:ascii="Arial" w:cs="Arial" w:eastAsia="Arial" w:hAnsi="Arial"/>
          <w:sz w:val="18"/>
          <w:szCs w:val="18"/>
          <w:color w:val="auto"/>
        </w:rPr>
      </w:pPr>
    </w:p>
    <w:p>
      <w:pPr>
        <w:ind w:left="980" w:right="220" w:hanging="648"/>
        <w:spacing w:after="0" w:line="29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Following the making of an offer to purchase Debt Securities from any Holder that has been made pursuant to a covenant in the Indenture, modify such covenant in a manner adverse to such Holder (Section 902).</w:t>
      </w:r>
    </w:p>
    <w:p>
      <w:pPr>
        <w:spacing w:after="0" w:line="9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The Holders of a majority in principal amount of the Outstanding Debt Securities of any series may waive compliance by us with certain restrictive provisions of the Indenture (Section 1009). The Holders of a majority in principal amount of the Outstanding Debt Securities of any series may waive any past default under the Indenture, except a default in the payment of principal, premium or interest and certain covenants and provisions of the Indenture which cannot be amended without the consent of the Holder of each Outstanding Debt Security of such series (Section 513).</w:t>
      </w:r>
    </w:p>
    <w:p>
      <w:pPr>
        <w:spacing w:after="0" w:line="121"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Indenture provides that in determining whether the Holders of the requisite principal amount of the Outstanding Debt Securities have given or taken any direction, notice, consent, waiver or other action under the Indenture as of any date:</w:t>
      </w:r>
    </w:p>
    <w:p>
      <w:pPr>
        <w:spacing w:after="0" w:line="91" w:lineRule="exact"/>
        <w:rPr>
          <w:sz w:val="20"/>
          <w:szCs w:val="20"/>
          <w:color w:val="auto"/>
        </w:rPr>
      </w:pPr>
    </w:p>
    <w:p>
      <w:pPr>
        <w:ind w:left="980" w:right="580" w:hanging="648"/>
        <w:spacing w:after="0" w:line="29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an Original Issue Discount Security that will be deemed to be Outstanding will be the amount of the principal that would be due and payable as of such date upon acceleration of maturity to such date;</w:t>
      </w:r>
    </w:p>
    <w:p>
      <w:pPr>
        <w:spacing w:after="0" w:line="90" w:lineRule="exact"/>
        <w:rPr>
          <w:rFonts w:ascii="Arial" w:cs="Arial" w:eastAsia="Arial" w:hAnsi="Arial"/>
          <w:sz w:val="18"/>
          <w:szCs w:val="18"/>
          <w:color w:val="auto"/>
        </w:rPr>
      </w:pPr>
    </w:p>
    <w:p>
      <w:pPr>
        <w:ind w:left="980" w:right="80" w:hanging="648"/>
        <w:spacing w:after="0" w:line="27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as of such date, the principal amount payable at the Stated Maturity of a Debt Security is not determinable (for example, because it is based on an index), the principal amount of such Debt Security deemed to be Outstanding as of such date will be an amount determined in the manner prescribed for such Debt Security;</w:t>
      </w:r>
    </w:p>
    <w:p>
      <w:pPr>
        <w:spacing w:after="0" w:line="109" w:lineRule="exact"/>
        <w:rPr>
          <w:rFonts w:ascii="Arial" w:cs="Arial" w:eastAsia="Arial" w:hAnsi="Arial"/>
          <w:sz w:val="18"/>
          <w:szCs w:val="18"/>
          <w:color w:val="auto"/>
        </w:rPr>
      </w:pPr>
    </w:p>
    <w:p>
      <w:pPr>
        <w:ind w:left="980" w:hanging="648"/>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principal amount of a Debt Security denominated in one or more foreign currencies or currency units that will be deemed to be Outstanding will be the United States-dollar equivalent, determined as of such date in the manner prescribed for such Debt Security, of the principal amount of such Debt Security (or, in the case of a Debt Security described in clause (1) or (2) above, of the amount described in such clause); and</w:t>
      </w:r>
    </w:p>
    <w:p>
      <w:pPr>
        <w:spacing w:after="0" w:line="115" w:lineRule="exact"/>
        <w:rPr>
          <w:rFonts w:ascii="Arial" w:cs="Arial" w:eastAsia="Arial" w:hAnsi="Arial"/>
          <w:sz w:val="18"/>
          <w:szCs w:val="18"/>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Debt Securities, including those owned by us or any of our Affiliates, will not be deemed to be Outstanding (Section 101).</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Except in certain limited circumstances, we will be entitled to set any day as a record date for the purpose of determining the Holders of Outstanding Debt Securities of any series entitled to give or take any direction, notice, consent, waiver or other action under the Indenture, in the manner and subject to the limitations provided in the</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60"/>
          </w:cols>
          <w:pgMar w:left="240" w:top="283" w:right="29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Indenture. In certain limited circumstances, the Trustee will be entitled to set a record date for action by Holders. If a record date is set for any action to be taken by Holders of a particular series, only Persons who are Holders of Outstanding Debt Securities of that series on the record date may take such action. To be effective, such action must be taken by Holders of the requisite principal amount of such Debt Securities within a specified period following the record date. For any particular record date, this period will be 180 days or such other period as may be specified by us (or the Trustee, if it set the record date), and may be shortened or lengthened (but not beyond 180 days) from time to time (Section 104).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173"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color w:val="auto"/>
        </w:rPr>
        <w:t>The Indenture will be discharged and will cease to be of further effect as to all outstanding Debt Securities of any series issued thereunder, when:</w:t>
      </w:r>
    </w:p>
    <w:p>
      <w:pPr>
        <w:spacing w:after="0" w:line="91" w:lineRule="exact"/>
        <w:rPr>
          <w:sz w:val="20"/>
          <w:szCs w:val="20"/>
          <w:color w:val="auto"/>
        </w:rPr>
      </w:pPr>
    </w:p>
    <w:p>
      <w:pPr>
        <w:ind w:left="980" w:hanging="648"/>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rFonts w:ascii="Arial" w:cs="Arial" w:eastAsia="Arial" w:hAnsi="Arial"/>
          <w:sz w:val="18"/>
          <w:szCs w:val="18"/>
          <w:color w:val="auto"/>
        </w:rPr>
      </w:pPr>
    </w:p>
    <w:p>
      <w:pPr>
        <w:jc w:val="both"/>
        <w:ind w:left="1460" w:right="140" w:hanging="480"/>
        <w:spacing w:after="0" w:line="271"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09" w:lineRule="exact"/>
        <w:rPr>
          <w:rFonts w:ascii="Arial" w:cs="Arial" w:eastAsia="Arial" w:hAnsi="Arial"/>
          <w:sz w:val="18"/>
          <w:szCs w:val="18"/>
          <w:color w:val="auto"/>
        </w:rPr>
      </w:pPr>
    </w:p>
    <w:p>
      <w:pPr>
        <w:ind w:left="1460" w:right="40" w:hanging="480"/>
        <w:spacing w:after="0" w:line="258" w:lineRule="auto"/>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not been delivered to the Trustee for cancellation have become due and payable or will become due and payable at their Stated Maturity within one year or are to be called for redemption within one year under arrangements satisfactory to the Trustee and in any case we have irrevocably deposited with the Trustee as trust funds money in an amount sufficient, without consideration of any reinvestment of interest, to pay the entire indebtedness of such Debt Securities not delivered to the Trustee for cancellation, for principal, premium, if any, and accrued interest to the Stated Maturity or redemption date;</w:t>
      </w:r>
    </w:p>
    <w:p>
      <w:pPr>
        <w:spacing w:after="0" w:line="123" w:lineRule="exact"/>
        <w:rPr>
          <w:rFonts w:ascii="Arial" w:cs="Arial" w:eastAsia="Arial" w:hAnsi="Arial"/>
          <w:sz w:val="18"/>
          <w:szCs w:val="18"/>
          <w:color w:val="auto"/>
        </w:rPr>
      </w:pPr>
    </w:p>
    <w:p>
      <w:pPr>
        <w:ind w:left="980" w:right="380" w:hanging="648"/>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with respect to the Debt Securities of that series; and</w:t>
      </w:r>
    </w:p>
    <w:p>
      <w:pPr>
        <w:spacing w:after="0" w:line="90" w:lineRule="exact"/>
        <w:rPr>
          <w:rFonts w:ascii="Arial" w:cs="Arial" w:eastAsia="Arial" w:hAnsi="Arial"/>
          <w:sz w:val="18"/>
          <w:szCs w:val="18"/>
          <w:color w:val="auto"/>
        </w:rPr>
      </w:pPr>
    </w:p>
    <w:p>
      <w:pPr>
        <w:ind w:left="980" w:right="540" w:hanging="648"/>
        <w:spacing w:after="0" w:line="292"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of the Indenture with respect to the Debt Securities of that series has been satisfied (Article Four).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1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If and to the extent indicated in the applicable prospectus supplement, we may elect, at our option at any time, to have the provisions of Section 1502, relating to defeasance and discharge of indebtedness, which we call “legal defeasance,” or Section 1503, relating to defeasance of certain restrictive covenants, applied to the Debt Securities of any series, or to any specified part of a series, which we call “covenant defeasance” (Section 1501).</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Legal Defeasance — </w:t>
      </w:r>
      <w:r>
        <w:rPr>
          <w:rFonts w:ascii="Arial" w:cs="Arial" w:eastAsia="Arial" w:hAnsi="Arial"/>
          <w:sz w:val="18"/>
          <w:szCs w:val="18"/>
          <w:color w:val="auto"/>
        </w:rPr>
        <w:t>The Indenture provides that, upon our exercise of our option (if any) to have Section 1502 applied to any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we will be discharged from all our obligations with respect to such Debt Securities (except for certain obligations to convert, exchange or register the transfer of Debt Securities, to replace stolen, lost or mutilated Debt Securities, to maintain paying agencies and to hold moneys for payment in trust) upon the deposit in trust for the benefit of the Holders of such Debt Securities of money or U.S. Government Obligations, or both, which, through the payment of principal and interest in respect thereof in accordance with their terms, will provide money in an amount sufficient (in the opinion of a nationally recognized firm of independent public accounts) to pay the principal of and any premium and interest on such Debt Securities on the respective Stated Maturities in accordance with the terms of the Indenture and such Debt Securities. Such defeasance or discharge may occur only if, among other things:</w:t>
      </w:r>
    </w:p>
    <w:p>
      <w:pPr>
        <w:spacing w:after="0" w:line="124" w:lineRule="exact"/>
        <w:rPr>
          <w:sz w:val="20"/>
          <w:szCs w:val="20"/>
          <w:color w:val="auto"/>
        </w:rPr>
      </w:pPr>
    </w:p>
    <w:p>
      <w:pPr>
        <w:ind w:left="980" w:hanging="648"/>
        <w:spacing w:after="0" w:line="26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delivered to the applicable Trustee an Opinion of Counsel to the effect that we have received from, or there has been published by, the United States Internal Revenue Service a ruling, or there has been a change in tax law, in either case to the effect that Holders of such Debt Securities will not recognize gain or loss for federal income tax purposes as a result of such deposit and legal defeasance and will be subject to federal income tax on the same amount, in the same manner and at the same times as would have been the case if such deposit, and legal defeasance were not to occur;</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83" w:right="2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980" w:hanging="648"/>
        <w:spacing w:after="0" w:line="27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Event of Default or event that with the passing of time or the giving of notice, or both, shall constitute an Event of Default shall have occurred and be continuing at the time of such deposit or, with respect to any Event of Default described in clause (8) under “-Events of Default,” at any time until 121 days after such deposit;</w:t>
      </w:r>
    </w:p>
    <w:p>
      <w:pPr>
        <w:spacing w:after="0" w:line="109" w:lineRule="exact"/>
        <w:rPr>
          <w:rFonts w:ascii="Arial" w:cs="Arial" w:eastAsia="Arial" w:hAnsi="Arial"/>
          <w:sz w:val="18"/>
          <w:szCs w:val="18"/>
          <w:color w:val="auto"/>
        </w:rPr>
      </w:pPr>
    </w:p>
    <w:p>
      <w:pPr>
        <w:ind w:left="980" w:right="660" w:hanging="648"/>
        <w:spacing w:after="0" w:line="29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deposit and legal defeasance will not result in a breach or violation of, or constitute a default under, any agreement or instrument (other than the Indenture) to which we are a party or by which we are bound; and</w:t>
      </w:r>
    </w:p>
    <w:p>
      <w:pPr>
        <w:spacing w:after="0" w:line="90" w:lineRule="exact"/>
        <w:rPr>
          <w:rFonts w:ascii="Arial" w:cs="Arial" w:eastAsia="Arial" w:hAnsi="Arial"/>
          <w:sz w:val="18"/>
          <w:szCs w:val="18"/>
          <w:color w:val="auto"/>
        </w:rPr>
      </w:pPr>
    </w:p>
    <w:p>
      <w:pPr>
        <w:ind w:left="980" w:right="220" w:hanging="648"/>
        <w:spacing w:after="0" w:line="292"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delivered to the Trustee an Opinion of Counsel to the effect that such deposit shall not cause the Trustee or the trust so created to be subject to the Investment Company Act of 1940 (Sections 1502 and 1504).</w:t>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Covenant Defeasance — </w:t>
      </w:r>
      <w:r>
        <w:rPr>
          <w:rFonts w:ascii="Arial" w:cs="Arial" w:eastAsia="Arial" w:hAnsi="Arial"/>
          <w:sz w:val="18"/>
          <w:szCs w:val="18"/>
          <w:color w:val="auto"/>
        </w:rPr>
        <w:t>The Indenture provides that, upon our exercise of our option (if any) to have Section 1503 applied to any Debt</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we may omit to comply with certain restrictive covenants (but not to conversion, if applicable), including those that may be described in the applicable prospectus supplement, and the occurrence of certain Events of Default, which are described above in clause (5) (with respect to such restrictive covenants), clauses (6) and (7) under “-Events of Default” and any other that may be described in the applicable prospectus supplement, will not be deemed to either be or result in an Event of Default with respect to such Debt Securities. In order to exercise such option, we must deposit, in trust for the benefit of the Holders of such Debt Securities, money or U.S. Government Obligations, or both, which, through the payment of principal and interest in respect thereof in accordance with their terms, will provide money in an amount sufficient (in the opinion of a nationally recognized firm of independent public accountants) to pay the principal of and any premium and interest on such Debt Securities on the respective Stated Maturities in accordance with the terms of the Indenture and such Debt Securities. Such covenant defeasance may occur only if we have delivered to the applicable Trustee an Opinion of Counsel that in effect says that Holders of such Debt Securities will not recognize gain or loss for federal income tax purposes as a result of such deposit and covenant defeasance and will be subject to federal income tax on the same amount, in the same manner and at the same times as would have been the case if such deposit and covenant defeasance were not to occur, and the requirements set forth in clauses (2), (3) and (4) in the preceding paragraph are satisfied. If we exercise this option with respect to any Debt Securities and such Debt Securities were declared due and payable because of the occurrence of any Event of Default, the amount of money and U.S. Government Obligations so deposited in trust would be sufficient to pay amounts due on such Debt Securities at the time of their respective Stated Maturities but may not be sufficient to pay amounts due on such Debt Securities upon any acceleration resulting from such Event of Default. In such case, we would remain liable for such payments (Sections 1503 and 1504).</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3"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Notices to Holders of Debt Securities will be given by mail to the addresses of such Holders as they may appear in the Security Register (Sections 101 and 106).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1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the Trustee, and any agent of us or the Trustee may treat the Person in whose name a Debt Security is registered as the absolute owner of the Debt Security (whether or not such Debt Security may be overdue) for the purpose of making payment and for all other purposes (Section 308).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 of the State of New York.</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prospectus supplement relating to a particular series of debt securities will identify the Trustee with respect to such series. We may maintain banking and other commercial relationships with the Trustee and its affiliates in the ordinary course of business, and the Trustee may own debt securities issued under the Indenture.</w:t>
      </w:r>
    </w:p>
    <w:p>
      <w:pPr>
        <w:spacing w:after="0" w:line="10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i w:val="1"/>
          <w:iCs w:val="1"/>
          <w:color w:val="auto"/>
        </w:rPr>
        <w:t xml:space="preserve">Resignation or Removal of Trustee </w:t>
      </w:r>
      <w:r>
        <w:rPr>
          <w:rFonts w:ascii="Arial" w:cs="Arial" w:eastAsia="Arial" w:hAnsi="Arial"/>
          <w:sz w:val="18"/>
          <w:szCs w:val="18"/>
          <w:color w:val="auto"/>
        </w:rPr>
        <w:t>— If the Trustee under the Indenture has or acquires a conflicting interest within the meaning of the Trust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Act of 1939, the Trustee must either eliminate its conflicting interest or resign, to the extent and in the manner provided by, and subject to the provisions of, the Trust Indenture Act and the Indenture</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83" w:right="2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580"/>
        <w:spacing w:after="0" w:line="292" w:lineRule="auto"/>
        <w:rPr>
          <w:sz w:val="20"/>
          <w:szCs w:val="20"/>
          <w:color w:val="auto"/>
        </w:rPr>
      </w:pPr>
      <w:r>
        <w:rPr>
          <w:rFonts w:ascii="Arial" w:cs="Arial" w:eastAsia="Arial" w:hAnsi="Arial"/>
          <w:sz w:val="18"/>
          <w:szCs w:val="18"/>
          <w:color w:val="auto"/>
        </w:rPr>
        <w:t>(Section 608). Any resignation will require the appointment of a successor Trustee under the Indenture in accordance with the terms and conditions of the Indenture (Sections 610 and 611).</w:t>
      </w:r>
    </w:p>
    <w:p>
      <w:pPr>
        <w:spacing w:after="0" w:line="91"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A Trustee may resign or be removed by us with respect to one or more series of Debt Securities and a successor Trustee may be appointed to act with respect to any such series. The holders of a majority in principal amount of the Outstanding Debt Securities of any series may remove the Trustee with respect to the Debt Securities of such series (Section 610).</w:t>
      </w:r>
    </w:p>
    <w:p>
      <w:pPr>
        <w:spacing w:after="0" w:line="10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i w:val="1"/>
          <w:iCs w:val="1"/>
          <w:color w:val="auto"/>
        </w:rPr>
        <w:t xml:space="preserve">Limitations on Trustee if It Is Our Creditor -— </w:t>
      </w:r>
      <w:r>
        <w:rPr>
          <w:rFonts w:ascii="Arial" w:cs="Arial" w:eastAsia="Arial" w:hAnsi="Arial"/>
          <w:sz w:val="18"/>
          <w:szCs w:val="18"/>
          <w:color w:val="auto"/>
        </w:rPr>
        <w:t>The Indenture contains certain limitations on the right of the Trustee, in the event that it becomes</w:t>
      </w:r>
      <w:r>
        <w:rPr>
          <w:rFonts w:ascii="Arial" w:cs="Arial" w:eastAsia="Arial" w:hAnsi="Arial"/>
          <w:sz w:val="18"/>
          <w:szCs w:val="18"/>
          <w:i w:val="1"/>
          <w:iCs w:val="1"/>
          <w:color w:val="auto"/>
        </w:rPr>
        <w:t xml:space="preserve"> </w:t>
      </w:r>
      <w:r>
        <w:rPr>
          <w:rFonts w:ascii="Arial" w:cs="Arial" w:eastAsia="Arial" w:hAnsi="Arial"/>
          <w:sz w:val="18"/>
          <w:szCs w:val="18"/>
          <w:color w:val="auto"/>
        </w:rPr>
        <w:t>our creditor, to obtain payment of claims in certain cases, or to realize on certain property received in respect of any such claim as security or otherwise (Section 613).</w:t>
      </w:r>
    </w:p>
    <w:p>
      <w:pPr>
        <w:spacing w:after="0" w:line="109"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Certificates and Opinions to Be Furnished to Trustee -— </w:t>
      </w:r>
      <w:r>
        <w:rPr>
          <w:rFonts w:ascii="Arial" w:cs="Arial" w:eastAsia="Arial" w:hAnsi="Arial"/>
          <w:sz w:val="18"/>
          <w:szCs w:val="18"/>
          <w:color w:val="auto"/>
        </w:rPr>
        <w:t>The Indenture provides that, in addition to other certificates or opinions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required by other provisions of the Indenture, every application by us for action by the Trustee must be accompanied by an Officers’ Certificate and an Opinion of Counsel stating that, in the opinion of the signers, all conditions precedent to such action have been complied with by us (Section 102).</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following is a description of the principal characteristics of our Class A Non-Voting Common Stock based on the terms and provisions of our Amended and Restated Certificate of Incorporation and Bylaws and the provisions of the Delaware General Corporation Act.</w:t>
      </w:r>
    </w:p>
    <w:p>
      <w:pPr>
        <w:spacing w:after="0" w:line="91"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i w:val="1"/>
          <w:iCs w:val="1"/>
          <w:color w:val="auto"/>
        </w:rPr>
        <w:t xml:space="preserve">Authorized and Outstanding Capital Stock — </w:t>
      </w:r>
      <w:r>
        <w:rPr>
          <w:rFonts w:ascii="Arial" w:cs="Arial" w:eastAsia="Arial" w:hAnsi="Arial"/>
          <w:sz w:val="18"/>
          <w:szCs w:val="18"/>
          <w:color w:val="auto"/>
        </w:rPr>
        <w:t>We are authorized to issue 100,000,000 shares of Class A Non-Voting Common Stock, par value</w:t>
      </w:r>
      <w:r>
        <w:rPr>
          <w:rFonts w:ascii="Arial" w:cs="Arial" w:eastAsia="Arial" w:hAnsi="Arial"/>
          <w:sz w:val="18"/>
          <w:szCs w:val="18"/>
          <w:i w:val="1"/>
          <w:iCs w:val="1"/>
          <w:color w:val="auto"/>
        </w:rPr>
        <w:t xml:space="preserve"> </w:t>
      </w:r>
      <w:r>
        <w:rPr>
          <w:rFonts w:ascii="Arial" w:cs="Arial" w:eastAsia="Arial" w:hAnsi="Arial"/>
          <w:sz w:val="18"/>
          <w:szCs w:val="18"/>
          <w:color w:val="auto"/>
        </w:rPr>
        <w:t>$0.01 per share, and 3,000,000 shares of Class B Voting Common Stock, par value $0.01 per share. As of March 6, 2015, there were 51,831,019 shares of Class A Non-Voting Common Stock and 2,970,171 shares of Class B Voting Common Stock issued and outstanding.</w:t>
      </w:r>
    </w:p>
    <w:p>
      <w:pPr>
        <w:spacing w:after="0" w:line="10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Class A Non-Voting Common Stock is traded on The NASDAQ Global Select Market under the symbol “EZPW.” Shares of the Class B Voting Common Stock are not publicly traded, and all outstanding shares of Class B Voting Common Stock are held by a single stockholder, MS Pawn Limited Partnership, an entity controlled by Phillip E. Cohen. Each share of Class B Voting Common Stock is convertible, at the option of the holder, into a share of Class A Non-Voting Common Stock.</w:t>
      </w:r>
    </w:p>
    <w:p>
      <w:pPr>
        <w:spacing w:after="0" w:line="116"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i w:val="1"/>
          <w:iCs w:val="1"/>
          <w:color w:val="auto"/>
        </w:rPr>
        <w:t xml:space="preserve">Preemptive Rights — </w:t>
      </w:r>
      <w:r>
        <w:rPr>
          <w:rFonts w:ascii="Arial" w:cs="Arial" w:eastAsia="Arial" w:hAnsi="Arial"/>
          <w:sz w:val="18"/>
          <w:szCs w:val="18"/>
          <w:color w:val="auto"/>
        </w:rPr>
        <w:t>Holders of Class A Non-Voting Common Stock have no preemptive rights to maintain their percentage of ownership in</w:t>
      </w:r>
      <w:r>
        <w:rPr>
          <w:rFonts w:ascii="Arial" w:cs="Arial" w:eastAsia="Arial" w:hAnsi="Arial"/>
          <w:sz w:val="18"/>
          <w:szCs w:val="18"/>
          <w:i w:val="1"/>
          <w:iCs w:val="1"/>
          <w:color w:val="auto"/>
        </w:rPr>
        <w:t xml:space="preserve"> </w:t>
      </w:r>
      <w:r>
        <w:rPr>
          <w:rFonts w:ascii="Arial" w:cs="Arial" w:eastAsia="Arial" w:hAnsi="Arial"/>
          <w:sz w:val="18"/>
          <w:szCs w:val="18"/>
          <w:color w:val="auto"/>
        </w:rPr>
        <w:t>future offerings or sales of shares of Class A Non-Voting Common Stock.</w:t>
      </w:r>
    </w:p>
    <w:p>
      <w:pPr>
        <w:spacing w:after="0" w:line="9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Voting Rights — </w:t>
      </w:r>
      <w:r>
        <w:rPr>
          <w:rFonts w:ascii="Arial" w:cs="Arial" w:eastAsia="Arial" w:hAnsi="Arial"/>
          <w:sz w:val="18"/>
          <w:szCs w:val="18"/>
          <w:color w:val="auto"/>
        </w:rPr>
        <w:t>The shares of Class A Non-Voting Common Stock have no voting rights except as required by law. Subject to the foregoing</w:t>
      </w:r>
      <w:r>
        <w:rPr>
          <w:rFonts w:ascii="Arial" w:cs="Arial" w:eastAsia="Arial" w:hAnsi="Arial"/>
          <w:sz w:val="18"/>
          <w:szCs w:val="18"/>
          <w:i w:val="1"/>
          <w:iCs w:val="1"/>
          <w:color w:val="auto"/>
        </w:rPr>
        <w:t xml:space="preserve"> </w:t>
      </w:r>
      <w:r>
        <w:rPr>
          <w:rFonts w:ascii="Arial" w:cs="Arial" w:eastAsia="Arial" w:hAnsi="Arial"/>
          <w:sz w:val="18"/>
          <w:szCs w:val="18"/>
          <w:color w:val="auto"/>
        </w:rPr>
        <w:t>exception for the Class A Non-Voting Common Stock, all of the voting rights are assigned to the Class B Voting Common Stock. Consequently, holders of Class A Non-Voting Common Stock will not have any right to elect directors or to vote on any other matter that requires a vote of the Company’s stockholders except as required by the Delaware General Corporation Law. Upon conversion of all of the outstanding Class B Voting Common Stock into Class A Non-Voting Common Stock, the holders of shares of Class A Non-Voting Common Stock will be entitled to vote on all matters submitted to a vote of the Company’s stockholders and will be entitled to one vote per share of Class A Non-Voting Common Stock held.</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8"/>
          <w:szCs w:val="18"/>
          <w:i w:val="1"/>
          <w:iCs w:val="1"/>
          <w:color w:val="auto"/>
        </w:rPr>
        <w:t xml:space="preserve">Stockholder Meetings — </w:t>
      </w:r>
      <w:r>
        <w:rPr>
          <w:rFonts w:ascii="Arial" w:cs="Arial" w:eastAsia="Arial" w:hAnsi="Arial"/>
          <w:sz w:val="18"/>
          <w:szCs w:val="18"/>
          <w:color w:val="auto"/>
        </w:rPr>
        <w:t>Even though the Class A Non-Voting Common Stock has no voting rights, the Company holds an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All holders of Class A Non-Voting Common Stock receive notice of the annual meetings of stockholders, where they are given the opportunity to discuss with management the Company’s performance and plans.</w:t>
      </w:r>
    </w:p>
    <w:p>
      <w:pPr>
        <w:spacing w:after="0" w:line="109" w:lineRule="exact"/>
        <w:rPr>
          <w:sz w:val="20"/>
          <w:szCs w:val="20"/>
          <w:color w:val="auto"/>
        </w:rPr>
      </w:pPr>
    </w:p>
    <w:p>
      <w:pPr>
        <w:ind w:right="400"/>
        <w:spacing w:after="0" w:line="292" w:lineRule="auto"/>
        <w:rPr>
          <w:sz w:val="20"/>
          <w:szCs w:val="20"/>
          <w:color w:val="auto"/>
        </w:rPr>
      </w:pPr>
      <w:r>
        <w:rPr>
          <w:rFonts w:ascii="Arial" w:cs="Arial" w:eastAsia="Arial" w:hAnsi="Arial"/>
          <w:sz w:val="18"/>
          <w:szCs w:val="18"/>
          <w:i w:val="1"/>
          <w:iCs w:val="1"/>
          <w:color w:val="auto"/>
        </w:rPr>
        <w:t xml:space="preserve">Fully Paid </w:t>
      </w:r>
      <w:r>
        <w:rPr>
          <w:rFonts w:ascii="Arial" w:cs="Arial" w:eastAsia="Arial" w:hAnsi="Arial"/>
          <w:sz w:val="18"/>
          <w:szCs w:val="18"/>
          <w:color w:val="auto"/>
        </w:rPr>
        <w:t>— All outstanding shares of Class A Non-Voting Common Stock are fully paid and non-assessable. Any additional Class A Non-Voting Common Stock we offer under this prospectus and issue will also be fully paid and non-assessable.</w:t>
      </w:r>
    </w:p>
    <w:p>
      <w:pPr>
        <w:spacing w:after="0" w:line="9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Under our Amended and Restated Certificate of Incorporation, all shares of our common stock, whether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Class B Voting Common Stock, share dividends pro rata, if, as and when declared by the Board of Directors out of funds legally available therefor. Our Board of Directors has not declared or paid any cash dividends on our common stock since our fiscal year ended September 30, 2000, and we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83" w:right="2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40"/>
        <w:spacing w:after="0" w:line="292" w:lineRule="auto"/>
        <w:rPr>
          <w:sz w:val="20"/>
          <w:szCs w:val="20"/>
          <w:color w:val="auto"/>
        </w:rPr>
      </w:pPr>
      <w:r>
        <w:rPr>
          <w:rFonts w:ascii="Arial" w:cs="Arial" w:eastAsia="Arial" w:hAnsi="Arial"/>
          <w:sz w:val="18"/>
          <w:szCs w:val="18"/>
          <w:color w:val="auto"/>
        </w:rPr>
        <w:t>do not anticipate paying any cash dividends in the immediate future. Any future determination to pay cash dividends will be at the discretion of our Board of Directors.</w:t>
      </w:r>
    </w:p>
    <w:p>
      <w:pPr>
        <w:spacing w:after="0" w:line="91" w:lineRule="exact"/>
        <w:rPr>
          <w:sz w:val="20"/>
          <w:szCs w:val="20"/>
          <w:color w:val="auto"/>
        </w:rPr>
      </w:pPr>
    </w:p>
    <w:p>
      <w:pPr>
        <w:jc w:val="both"/>
        <w:ind w:right="440"/>
        <w:spacing w:after="0" w:line="271" w:lineRule="auto"/>
        <w:rPr>
          <w:sz w:val="20"/>
          <w:szCs w:val="20"/>
          <w:color w:val="auto"/>
        </w:rPr>
      </w:pPr>
      <w:r>
        <w:rPr>
          <w:rFonts w:ascii="Arial" w:cs="Arial" w:eastAsia="Arial" w:hAnsi="Arial"/>
          <w:sz w:val="18"/>
          <w:szCs w:val="18"/>
          <w:i w:val="1"/>
          <w:iCs w:val="1"/>
          <w:color w:val="auto"/>
        </w:rPr>
        <w:t xml:space="preserve">Liquidation, Dissolution and Winding Up — </w:t>
      </w:r>
      <w:r>
        <w:rPr>
          <w:rFonts w:ascii="Arial" w:cs="Arial" w:eastAsia="Arial" w:hAnsi="Arial"/>
          <w:sz w:val="18"/>
          <w:szCs w:val="18"/>
          <w:color w:val="auto"/>
        </w:rPr>
        <w:t>Upon liquidation, dissolution or winding up of our affairs, the holders of the Class A Non-Voting</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the holders of the Class B Voting Common Stock will be entitled to participate equally and ratably, in proportion to the number of shares held, in our net assets available for distribution to holders of common stock.</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Directors’ Liability</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Our Amended and Restated Certificate of Incorporation provides, as authorized by Section 102(b)(7) of the Delaware General Corporation Law, that a director will not be personally liable to the Company or its stockholders for monetary damages for breach of fiduciary duty as a director, except for liability:</w:t>
      </w:r>
    </w:p>
    <w:p>
      <w:pPr>
        <w:spacing w:after="0" w:line="10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Company or its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acts or omission not in good faith or that involve intentional misconduct or a knowing violation of law;</w:t>
      </w:r>
    </w:p>
    <w:p>
      <w:pPr>
        <w:spacing w:after="0" w:line="171" w:lineRule="exact"/>
        <w:rPr>
          <w:rFonts w:ascii="Arial" w:cs="Arial" w:eastAsia="Arial" w:hAnsi="Arial"/>
          <w:sz w:val="18"/>
          <w:szCs w:val="18"/>
          <w:color w:val="auto"/>
        </w:rPr>
      </w:pPr>
    </w:p>
    <w:p>
      <w:pPr>
        <w:ind w:left="660" w:right="80" w:hanging="328"/>
        <w:spacing w:after="0" w:line="29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unlawful payments of dividends or unlawful stock repurchases or redemptions as provided in Section 174 of the Delaware General Corporation Law;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171"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The inclusion of this provision in our Amended and Restated Certificate of Incorporation may have the effect of reducing the likelihood of derivative litigation against directors, and may discourage or deter stockholders or management from bringing a lawsuit against directors for breach of their duty of care, even though such an action, if successful, might otherwise have benefited the Company and its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American Stock Transfer &amp; Trust Company serves as the registrar and transfer agent for the Class A Non-Voting Common Stock.</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We may issue warrants for the purchase of our Class A Non-Voting Common Stock. Warrants may be issued independently or together with other securities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have any obligation or relationship of agency or trust for or with any holders or beneficial owners of warrants. A copy of the warrant agreement will be filed with the SEC in connection with the offering of warrants.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Non-Voting Common Stock Warrants</w:t>
      </w:r>
    </w:p>
    <w:p>
      <w:pPr>
        <w:spacing w:after="0" w:line="173" w:lineRule="exact"/>
        <w:rPr>
          <w:sz w:val="20"/>
          <w:szCs w:val="20"/>
          <w:color w:val="auto"/>
        </w:rPr>
      </w:pPr>
    </w:p>
    <w:p>
      <w:pPr>
        <w:ind w:right="480"/>
        <w:spacing w:after="0" w:line="292" w:lineRule="auto"/>
        <w:rPr>
          <w:sz w:val="20"/>
          <w:szCs w:val="20"/>
          <w:color w:val="auto"/>
        </w:rPr>
      </w:pPr>
      <w:r>
        <w:rPr>
          <w:rFonts w:ascii="Arial" w:cs="Arial" w:eastAsia="Arial" w:hAnsi="Arial"/>
          <w:sz w:val="18"/>
          <w:szCs w:val="18"/>
          <w:color w:val="auto"/>
        </w:rPr>
        <w:t>The prospectus supplement relating to a particular issue of warrants to purchase our Class A Non-Voting Common Stock will describe the terms of the Class A Non-Voting Common Stock warrants, including the following:</w:t>
      </w:r>
    </w:p>
    <w:p>
      <w:pPr>
        <w:spacing w:after="0" w:line="91"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offering price for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designation and terms of the Class A Non-Voting Common Stock that maybe purchased upon exercise of the warrants;</w:t>
      </w:r>
    </w:p>
    <w:p>
      <w:pPr>
        <w:spacing w:after="0" w:line="171"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that the warrants are issued with and the number of warrants issued with each security;</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83" w:right="2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any securities issued with the warrants will be separately transferable;</w:t>
      </w:r>
    </w:p>
    <w:p>
      <w:pPr>
        <w:spacing w:after="0" w:line="171"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of Class A Non-Voting Common Stock that may be purchased upon exercise of a warrant and the price at which the shares may be purchased upon exercise;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commence and expire;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Anti-dilution provisions of the warrants, if 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Redemption or call provisions, if any, applicable to the warrants;</w:t>
      </w:r>
    </w:p>
    <w:p>
      <w:pPr>
        <w:spacing w:after="0" w:line="171" w:lineRule="exact"/>
        <w:rPr>
          <w:rFonts w:ascii="Arial" w:cs="Arial" w:eastAsia="Arial" w:hAnsi="Arial"/>
          <w:sz w:val="18"/>
          <w:szCs w:val="18"/>
          <w:color w:val="auto"/>
        </w:rPr>
      </w:pPr>
    </w:p>
    <w:p>
      <w:pPr>
        <w:ind w:left="660" w:right="820" w:hanging="328"/>
        <w:spacing w:after="0" w:line="292"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and exercise of the warrants;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information we think is important about the warrants.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Warrants</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Each warrant will entitle the holder of the warrant to purchase at the exercise price set forth in the applicable prospectus supplement the shares of Class A Non-Voting Common Stock being offered. Holders may exercise warrants at any time up to the close of business on the expiration date set forth in the applicable prospectus supplement. After the close of business on the expiration date, unexercised warrants are void. Holders may exercise warrants as set forth in the prospectus supplement relating to the warrants being offered.</w:t>
      </w:r>
    </w:p>
    <w:p>
      <w:pPr>
        <w:spacing w:after="0" w:line="116"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Until a warrant holder exercises such holder’s warrants to purchase Class A Non-Voting Common Stock, the holder will not have any rights as a holder of Class A Non-Voting Common Stock by virtue of the holder’s ownership of warrants.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STOCK PURCHASE CONTRACTS AND STOCK PURCHASE UNITS</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issue stock purchase contracts, including contracts obligating holders to purchase from us and contracts obligating us to sell to the holders, a specified number of shares of Class A Non-Voting Common Stock or other securities at a future date or dates, which we refer to in this prospectus as “stock purchase contracts.” The price per share of the securities and the number of shares of the securities may be fixed at the time the stock purchase contracts are issued or may be determined by reference to a specific formula set forth in the stock purchase contracts. The stock purchase contracts may be issued separately or as part of units consisting of a stock purchase contract and warrants or other securities or debt obligations of third parties, including U.S. treasury securities, securing the holders’ obligations to purchase the securities under the stock purchase contracts, which we refer to in this prospectus as “stock purchase units.” The stock purchase contracts may require holders to secure their obligations under the stock purchase contracts in a specified manner. The stock purchase contracts also may require us to make periodic payments to the holders of the stock purchase units or vice versa, and those payments may be unsecured or refunded on some basis.</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stock purchase contracts, and, if applicable, collateral or depositary arrangements, relating to the stock purchase contracts or stock purchase units, will be filed with the SEC in connection with the offering of stock purchase contracts or stock purchase units. The prospectus supplement relating to a particular issue of stock purchase contracts or stock purchase units will describe the terms of those stock purchase contracts or stock purchase units, including the following:</w:t>
      </w:r>
    </w:p>
    <w:p>
      <w:pPr>
        <w:spacing w:after="0" w:line="11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a discussion of material U.S. federal income tax considerations;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information we think important about the stock purchase contracts or the stock purchase units.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83" w:right="25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may sell or distribute the securities offered by this prospectus in one or more of the following ways:</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“at the market offerings” to or through a market maker or into an existing trading market, or a securities exchange or otherwise;</w:t>
      </w:r>
    </w:p>
    <w:p>
      <w:pPr>
        <w:spacing w:after="0" w:line="171"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 transaction not involving market makers or established trading markets, including direct sales or privately negotiated transactions; or</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market prices prevailing at the time of sale, at prices related to the prevailing market prices or at negotiated prices.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may sell some or all of the securities included in this prospectus through:</w:t>
      </w:r>
    </w:p>
    <w:p>
      <w:pPr>
        <w:spacing w:after="0" w:line="171" w:lineRule="exact"/>
        <w:rPr>
          <w:sz w:val="20"/>
          <w:szCs w:val="20"/>
          <w:color w:val="auto"/>
        </w:rPr>
      </w:pPr>
    </w:p>
    <w:p>
      <w:pPr>
        <w:ind w:left="660" w:right="460" w:hanging="328"/>
        <w:spacing w:after="0" w:line="29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block trade in which a broker-dealer will attempt to sell as agent, but may position or resell a portion of the block, as principal, in order to facilitate the transaction;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71"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In addition, we may enter into option or other types of transactions that require us to deliver common shares to a broker-dealer, who will then resell or transfer the common shares under this prospectus. We may enter into hedging transactions with respect to our securities. For example, we may:</w:t>
      </w:r>
    </w:p>
    <w:p>
      <w:pPr>
        <w:spacing w:after="0" w:line="10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involving short sales of the common shares by 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common shares short and redeliver the shares to close out short positions;</w:t>
      </w:r>
    </w:p>
    <w:p>
      <w:pPr>
        <w:spacing w:after="0" w:line="171" w:lineRule="exact"/>
        <w:rPr>
          <w:rFonts w:ascii="Arial" w:cs="Arial" w:eastAsia="Arial" w:hAnsi="Arial"/>
          <w:sz w:val="18"/>
          <w:szCs w:val="18"/>
          <w:color w:val="auto"/>
        </w:rPr>
      </w:pPr>
    </w:p>
    <w:p>
      <w:pPr>
        <w:ind w:left="660" w:right="480" w:hanging="328"/>
        <w:spacing w:after="0" w:line="29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us to deliver common shares to a broker-dealer, who will then resell or transfer the common shares under this prospectus; or</w:t>
      </w:r>
    </w:p>
    <w:p>
      <w:pPr>
        <w:spacing w:after="0" w:line="90" w:lineRule="exact"/>
        <w:rPr>
          <w:rFonts w:ascii="Arial" w:cs="Arial" w:eastAsia="Arial" w:hAnsi="Arial"/>
          <w:sz w:val="18"/>
          <w:szCs w:val="18"/>
          <w:color w:val="auto"/>
        </w:rPr>
      </w:pPr>
    </w:p>
    <w:p>
      <w:pPr>
        <w:ind w:left="660" w:right="460" w:hanging="328"/>
        <w:spacing w:after="0" w:line="29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Loan or pledge the common shares to a broker-dealer, who may sell the loaned shares or, in the event of default, sell the pledged shares.</w:t>
      </w:r>
    </w:p>
    <w:p>
      <w:pPr>
        <w:spacing w:after="0" w:line="9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is currently no market for any of the securities included in this prospectus, other than the shares of Class A Non-Voting Common Stock listed on The NASDAQ Global Select Market. If the securities are traded after their initial issuance, they may trade at a discount from their initial offering price, depending on prevailing interest rates, the market for similar securities and other factors. While it is possible that an underwriter could inform us that it intends to make a market in the securities, such underwriter would not be obligated to do so, and any such market</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83"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making could be discontinued at any time without notice. Therefore, we cannot assure you as to whether an active trading market will develop for these other securities. We have no current plans for listing any such other securities on any securities exchange; any such listing with respect to any particular of such other securities will be described in the applicable prospectus supplement.</w:t>
      </w:r>
    </w:p>
    <w:p>
      <w:pPr>
        <w:spacing w:after="0" w:line="10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spacing w:after="0" w:line="10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the time that any particular offering of securities is made, to the extent required by the Securities Act, a prospectus supplement will be distributed setting forth the terms of the offering, including the aggregate number of securities being offered, the purchase price of the securities, the initial offering price of the securities, the names of any underwriters, dealers or agents, any discounts, commissions and other items constituting compensation from us and any discounts, commissions or concessions allowed or reallowed or paid to dealers.</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underwriters are used in the sale, the underwriters will acquire the securities for their own account for resale to the public, either on a firm commitment basis or a best efforts basis. The underwriters may resell the securities from time-to-time in one or more transactions, including negotiated transactions, at a fixed public offering price or at varying prices determined at the time of sale. Underwriters may offer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The underwriters may change from time-to-time any initial public offering price and any discounts or concessions allowed or reallowed or paid to dealers.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We may also sell the securities through agents designated from time-to-time.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w:t>
      </w:r>
    </w:p>
    <w:p>
      <w:pPr>
        <w:spacing w:after="0" w:line="109"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If dealers are used in the sale of securities, we will sell the securities to them as principals. The dealers may then resell those securities to the public at varying prices determined by the dealers at the time of resale. We will include in the prospectus supplement the names of the dealers and the terms of the transaction.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Securities may also be sold directly by us. In this case, no underwriters or agents would be involved.</w:t>
      </w:r>
    </w:p>
    <w:p>
      <w:pPr>
        <w:spacing w:after="0" w:line="171" w:lineRule="exact"/>
        <w:rPr>
          <w:sz w:val="20"/>
          <w:szCs w:val="20"/>
          <w:color w:val="auto"/>
        </w:rPr>
      </w:pPr>
    </w:p>
    <w:p>
      <w:pPr>
        <w:jc w:val="both"/>
        <w:ind w:right="200"/>
        <w:spacing w:after="0" w:line="323" w:lineRule="auto"/>
        <w:rPr>
          <w:sz w:val="20"/>
          <w:szCs w:val="20"/>
          <w:color w:val="auto"/>
        </w:rPr>
      </w:pPr>
      <w:r>
        <w:rPr>
          <w:rFonts w:ascii="Arial" w:cs="Arial" w:eastAsia="Arial" w:hAnsi="Arial"/>
          <w:sz w:val="17"/>
          <w:szCs w:val="17"/>
          <w:color w:val="auto"/>
        </w:rPr>
        <w:t>If a prospectus supplement so indicates, underwriters, brokers or dealers, in compliance with applicable law, may engage in transactions that stabilize, maintain or otherwise affect the market price of the securities at levels above those that might otherwise prevail in the open market.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We will bear costs relating to all of the securities being registered under this registration statement of which this prospectus forms a part.</w:t>
      </w:r>
    </w:p>
    <w:p>
      <w:pPr>
        <w:spacing w:after="0" w:line="17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Any broker-dealers or other persons acting on our behalf that participate with us in the distribution of the securities may be deemed to be underwriters and any commissions received or profit realized by them on the resale of the securities may be deemed to be underwriting discounts and commissions under the Securities Act. As of the date of this prospectus, we are not a party to any agreement, arrangement or understanding between any broker or dealer and us with respect to the offer or sale of the securities pursuant to this prospectus.</w:t>
      </w:r>
    </w:p>
    <w:p>
      <w:pPr>
        <w:spacing w:after="0" w:line="11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Pursuant to a requirement by the Financial Industry Regulatory Authority (the “FINRA”), the maximum commission or discount to be received by any FINRA member or independent broker/dealer may not be greater than 8% of the gross proceeds received by us for the sale of any securities being registered pursuant to SEC Rule 415 under the Securities Act.</w:t>
      </w:r>
    </w:p>
    <w:p>
      <w:pPr>
        <w:spacing w:after="0" w:line="109" w:lineRule="exact"/>
        <w:rPr>
          <w:sz w:val="20"/>
          <w:szCs w:val="20"/>
          <w:color w:val="auto"/>
        </w:rPr>
      </w:pPr>
    </w:p>
    <w:p>
      <w:pPr>
        <w:jc w:val="both"/>
        <w:ind w:right="60"/>
        <w:spacing w:after="0" w:line="271" w:lineRule="auto"/>
        <w:rPr>
          <w:sz w:val="20"/>
          <w:szCs w:val="20"/>
          <w:color w:val="auto"/>
        </w:rPr>
      </w:pPr>
      <w:r>
        <w:rPr>
          <w:rFonts w:ascii="Arial" w:cs="Arial" w:eastAsia="Arial" w:hAnsi="Arial"/>
          <w:sz w:val="18"/>
          <w:szCs w:val="18"/>
          <w:color w:val="auto"/>
        </w:rPr>
        <w:t>If more than 5% of the net proceeds of any offering of securities made under this prospectus will be received by a FINRA member participating in the offering or its affiliates or associated persons of such FINRA member, the offering will be conducted in accordance with FINRA Conduct Rule 5110(h).</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283" w:right="259" w:bottom="1440" w:gutter="0" w:footer="0" w:header="0"/>
        </w:sectPr>
      </w:pPr>
    </w:p>
    <w:bookmarkStart w:id="21" w:name="page22"/>
    <w:bookmarkEnd w:id="21"/>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173"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Except as set forth in the applicable prospectus supplement, Vinson &amp; Elkins L.L.P., Dallas, Texas, will pass upon the validity of the securities offered hereby.</w:t>
      </w: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17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consolidated financial statements as of September 30, 2014 and 2013, and for each of the two years in the period ended September 30, 2014, incorporated in this Prospectus by reference from the Company's Annual Report on Form 10-K, and the effectiveness of EZCORP, Inc.'s internal control over financial reporting, have been audited by Deloitte &amp; Touche, LLP, an independent registered public accounting firm, as stated in their reports, which are incorporated herein by reference. Such financial statements have been so incorporated in reliance upon the reports of such firm given upon their authority as experts in accounting and auditing.</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consolidated statements of operations and comprehensive income, stockholders' equity, and cash flows of EZCORP, Inc. for the year ended September 30, 2012, incorporated by reference in this Prospectus, have been so incorporated in reliance on the report of BDO USA, LLP, an independent registered public accounting firm, incorporated hereby by reference, given on the authority of said firm as experts in auditing and accounting.</w:t>
      </w: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20"/>
          </w:cols>
          <w:pgMar w:left="240" w:top="898"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 Other Expenses of Issuance and Distribution</w:t>
      </w:r>
    </w:p>
    <w:p>
      <w:pPr>
        <w:spacing w:after="0" w:line="173" w:lineRule="exact"/>
        <w:rPr>
          <w:sz w:val="20"/>
          <w:szCs w:val="20"/>
          <w:color w:val="auto"/>
        </w:rPr>
      </w:pPr>
    </w:p>
    <w:p>
      <w:pPr>
        <w:ind w:right="200"/>
        <w:spacing w:after="0" w:line="292" w:lineRule="auto"/>
        <w:rPr>
          <w:sz w:val="20"/>
          <w:szCs w:val="20"/>
          <w:color w:val="auto"/>
        </w:rPr>
      </w:pPr>
      <w:r>
        <w:rPr>
          <w:rFonts w:ascii="Arial" w:cs="Arial" w:eastAsia="Arial" w:hAnsi="Arial"/>
          <w:sz w:val="18"/>
          <w:szCs w:val="18"/>
          <w:color w:val="auto"/>
        </w:rPr>
        <w:t>The following are the estimated expenses of the issuance and distribution of the securities being registered, other than selling or underwriting discounts and commissions, all of which are payable by EZCORP, Inc. (“EZCORP”).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Registration fee</w:t>
            </w:r>
          </w:p>
        </w:tc>
        <w:tc>
          <w:tcPr>
            <w:tcW w:w="1480" w:type="dxa"/>
            <w:vAlign w:val="bottom"/>
          </w:tcPr>
          <w:p>
            <w:pPr>
              <w:jc w:val="center"/>
              <w:spacing w:after="0"/>
              <w:rPr>
                <w:sz w:val="20"/>
                <w:szCs w:val="20"/>
                <w:color w:val="auto"/>
              </w:rPr>
            </w:pPr>
            <w:r>
              <w:rPr>
                <w:rFonts w:ascii="Arial" w:cs="Arial" w:eastAsia="Arial" w:hAnsi="Arial"/>
                <w:sz w:val="18"/>
                <w:szCs w:val="18"/>
                <w:color w:val="auto"/>
                <w:w w:val="98"/>
              </w:rPr>
              <w:t>$29,050</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Accountant’s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Printing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1"/>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Legal fees and expenses</w:t>
            </w:r>
          </w:p>
        </w:tc>
        <w:tc>
          <w:tcPr>
            <w:tcW w:w="1480" w:type="dxa"/>
            <w:vAlign w:val="bottom"/>
          </w:tcPr>
          <w:p>
            <w:pPr>
              <w:jc w:val="center"/>
              <w:spacing w:after="0"/>
              <w:rPr>
                <w:sz w:val="20"/>
                <w:szCs w:val="20"/>
                <w:color w:val="auto"/>
              </w:rPr>
            </w:pPr>
            <w:r>
              <w:rPr>
                <w:rFonts w:ascii="Arial" w:cs="Arial" w:eastAsia="Arial" w:hAnsi="Arial"/>
                <w:sz w:val="25"/>
                <w:szCs w:val="25"/>
                <w:color w:val="auto"/>
              </w:rPr>
              <w:t>*</w:t>
            </w:r>
          </w:p>
        </w:tc>
      </w:tr>
      <w:tr>
        <w:trPr>
          <w:trHeight w:val="356"/>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Miscellaneous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349"/>
        </w:trPr>
        <w:tc>
          <w:tcPr>
            <w:tcW w:w="9940" w:type="dxa"/>
            <w:vAlign w:val="bottom"/>
            <w:gridSpan w:val="2"/>
          </w:tcPr>
          <w:p>
            <w:pPr>
              <w:ind w:left="54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25"/>
                <w:szCs w:val="25"/>
                <w:color w:val="auto"/>
              </w:rPr>
              <w:t>*</w:t>
            </w:r>
          </w:p>
        </w:tc>
      </w:tr>
      <w:tr>
        <w:trPr>
          <w:trHeight w:val="20"/>
        </w:trPr>
        <w:tc>
          <w:tcPr>
            <w:tcW w:w="334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7"/>
        </w:trPr>
        <w:tc>
          <w:tcPr>
            <w:tcW w:w="3340" w:type="dxa"/>
            <w:vAlign w:val="bottom"/>
            <w:tcBorders>
              <w:bottom w:val="single" w:sz="8" w:color="auto"/>
            </w:tcBorders>
          </w:tcPr>
          <w:p>
            <w:pPr>
              <w:spacing w:after="0"/>
              <w:rPr>
                <w:sz w:val="17"/>
                <w:szCs w:val="17"/>
                <w:color w:val="auto"/>
              </w:rPr>
            </w:pPr>
          </w:p>
        </w:tc>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180" w:lineRule="exact"/>
        <w:rPr>
          <w:sz w:val="20"/>
          <w:szCs w:val="20"/>
          <w:color w:val="auto"/>
        </w:rPr>
      </w:pPr>
    </w:p>
    <w:p>
      <w:pPr>
        <w:ind w:left="500" w:hanging="478"/>
        <w:spacing w:after="0" w:line="292" w:lineRule="auto"/>
        <w:tabs>
          <w:tab w:leader="none" w:pos="500" w:val="left"/>
        </w:tabs>
        <w:numPr>
          <w:ilvl w:val="0"/>
          <w:numId w:val="25"/>
        </w:numPr>
        <w:rPr>
          <w:rFonts w:ascii="Arial" w:cs="Arial" w:eastAsia="Arial" w:hAnsi="Arial"/>
          <w:sz w:val="25"/>
          <w:szCs w:val="25"/>
          <w:color w:val="auto"/>
        </w:rPr>
      </w:pPr>
      <w:r>
        <w:rPr>
          <w:rFonts w:ascii="Arial" w:cs="Arial" w:eastAsia="Arial" w:hAnsi="Arial"/>
          <w:sz w:val="18"/>
          <w:szCs w:val="18"/>
          <w:color w:val="auto"/>
        </w:rPr>
        <w:t>These fees are calculated based on the number of issuances or amount of securities offered, and accordingly, these fees cannot be estimated at this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Indemnification of Directors and Officers</w:t>
      </w:r>
    </w:p>
    <w:p>
      <w:pPr>
        <w:spacing w:after="0" w:line="17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Article Eighth of the Company’s Amended Certificate of Incorporation provides that the Company shall indemnify its present or former directors and officers, and may indemnify any employee or agent of the Company, to the fullest extent permitted under the Delaware General Corporation Law (the “DGCL”). Pursuant to Section 145 of the DGCL, the Company generally has the power to indemnify each of its present and former directors, officers, employees and agents against expenses (including attorneys’ fees), judgments, fines and amounts paid in settlement actually and reasonably incurred by such person in connection with any threatened, pending or completed action, suit or proceeding, whether civil, criminal, administrative or investigative (other than an action by or in the right of the Company) to which such person is a party or is threatened to be made a party by reason of the fact that such person is or was a director, officer, employee or agent of the Company or is or was serving at the request of the Company as a director, officer, employee or agent of another corporation or entity, so long as (a) such person acted in good faith and in a manner they reasonably believed to be in or not opposed to the best interests of the Company and, with respect to any criminal action or proceeding, had no reasonable cause to believe their conduct was unlawful, or (b) such person has been successful on the merits or otherwise in defense of any such action, suit or proceeding or in defense of any claim, issue or matter therein; provided, however, that in the case of any threatened, pending or completed action or suit by or in the right of the Company to procure a judgment in its favor, indemnification is generally limited to expenses (including attorneys’ fees) actually and reasonably incurred in connection with the defense or settlement of such action or suit and is not available with respect to any claim, issue or matter as to which such person has been adjudged to be liable to the Company unless and only to the extent that the court determines that such person is fairly and reasonably entitled to indemnity for such expenses that the court shall deem proper. Section 145 of the DGCL expressly provides that the indemnification authorized thereunder shall not be deemed exclusive of any rights to which a person may be entitled under any bylaw, agreement, vote of stockholders or disinterested directors or otherwise.</w:t>
      </w:r>
    </w:p>
    <w:p>
      <w:pPr>
        <w:spacing w:after="0" w:line="12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Section 145 of the DGCL also gives the Company the power to purchase and maintain insurance on behalf of any of its present or former directors, officers, employees or agents, or any person who is or was serving at the request of the Company as a director, officer, employee or agent of another corporation or entity, and the Company maintains directors and officers insurance policies for the benefit of its directors, officers and employees.</w:t>
      </w:r>
    </w:p>
    <w:p>
      <w:pPr>
        <w:spacing w:after="0" w:line="116" w:lineRule="exact"/>
        <w:rPr>
          <w:sz w:val="20"/>
          <w:szCs w:val="20"/>
          <w:color w:val="auto"/>
        </w:rPr>
      </w:pPr>
    </w:p>
    <w:p>
      <w:pPr>
        <w:ind w:right="300"/>
        <w:spacing w:after="0" w:line="292" w:lineRule="auto"/>
        <w:rPr>
          <w:sz w:val="20"/>
          <w:szCs w:val="20"/>
          <w:color w:val="auto"/>
        </w:rPr>
      </w:pPr>
      <w:r>
        <w:rPr>
          <w:rFonts w:ascii="Arial" w:cs="Arial" w:eastAsia="Arial" w:hAnsi="Arial"/>
          <w:sz w:val="18"/>
          <w:szCs w:val="18"/>
          <w:color w:val="auto"/>
        </w:rPr>
        <w:t>The preceding discussion of the Company’s Amended Certificate of Incorporation and Section 145 of the DGCL is not intended to be exhaustive and is qualified in its entirety by reference to the Company’s Amended Certificate of Incorporation and Section 145 of the DGCL.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420"/>
          </w:cols>
          <w:pgMar w:left="240" w:top="283"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 Exhibits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17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400"/>
        <w:spacing w:after="0"/>
        <w:tabs>
          <w:tab w:leader="none" w:pos="186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372"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1000" w:type="dxa"/>
            <w:vAlign w:val="bottom"/>
          </w:tcPr>
          <w:p>
            <w:pPr>
              <w:jc w:val="center"/>
              <w:ind w:right="350"/>
              <w:spacing w:after="0"/>
              <w:rPr>
                <w:sz w:val="20"/>
                <w:szCs w:val="20"/>
                <w:color w:val="auto"/>
              </w:rPr>
            </w:pPr>
            <w:r>
              <w:rPr>
                <w:rFonts w:ascii="Arial" w:cs="Arial" w:eastAsia="Arial" w:hAnsi="Arial"/>
                <w:sz w:val="18"/>
                <w:szCs w:val="18"/>
                <w:color w:val="auto"/>
              </w:rPr>
              <w:t>1.1**</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000" w:type="dxa"/>
            <w:vAlign w:val="bottom"/>
          </w:tcPr>
          <w:p>
            <w:pPr>
              <w:jc w:val="center"/>
              <w:ind w:right="350"/>
              <w:spacing w:after="0"/>
              <w:rPr>
                <w:sz w:val="20"/>
                <w:szCs w:val="20"/>
                <w:color w:val="auto"/>
              </w:rPr>
            </w:pPr>
            <w:r>
              <w:rPr>
                <w:rFonts w:ascii="Arial" w:cs="Arial" w:eastAsia="Arial" w:hAnsi="Arial"/>
                <w:sz w:val="18"/>
                <w:szCs w:val="18"/>
                <w:color w:val="auto"/>
                <w:w w:val="95"/>
              </w:rPr>
              <w:t>4.1</w:t>
            </w:r>
          </w:p>
        </w:tc>
        <w:tc>
          <w:tcPr>
            <w:tcW w:w="9980" w:type="dxa"/>
            <w:vAlign w:val="bottom"/>
          </w:tcPr>
          <w:p>
            <w:pPr>
              <w:ind w:left="46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 the Company’s</w:t>
            </w:r>
          </w:p>
        </w:tc>
      </w:tr>
      <w:tr>
        <w:trPr>
          <w:trHeight w:val="243"/>
        </w:trPr>
        <w:tc>
          <w:tcPr>
            <w:tcW w:w="1000" w:type="dxa"/>
            <w:vAlign w:val="bottom"/>
          </w:tcPr>
          <w:p>
            <w:pPr>
              <w:spacing w:after="0"/>
              <w:rPr>
                <w:sz w:val="21"/>
                <w:szCs w:val="21"/>
                <w:color w:val="auto"/>
              </w:rPr>
            </w:pPr>
          </w:p>
        </w:tc>
        <w:tc>
          <w:tcPr>
            <w:tcW w:w="9980" w:type="dxa"/>
            <w:vAlign w:val="bottom"/>
          </w:tcPr>
          <w:p>
            <w:pPr>
              <w:ind w:left="460"/>
              <w:spacing w:after="0"/>
              <w:rPr>
                <w:sz w:val="20"/>
                <w:szCs w:val="20"/>
                <w:color w:val="auto"/>
              </w:rPr>
            </w:pPr>
            <w:r>
              <w:rPr>
                <w:rFonts w:ascii="Arial" w:cs="Arial" w:eastAsia="Arial" w:hAnsi="Arial"/>
                <w:sz w:val="18"/>
                <w:szCs w:val="18"/>
                <w:color w:val="auto"/>
              </w:rPr>
              <w:t>Registration Statement on Form S-1 effective August 23, 1991, Commission File No. 33-41317)</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w w:val="99"/>
              </w:rPr>
              <w:t>4.2*</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Indenture between EZCORP, Inc. and Trustee to be named</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rPr>
              <w:t>4.3**</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Warrant Agreement</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rPr>
              <w:t>4.4**</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Warrant Certificate</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rPr>
              <w:t>4.5**</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Stock Purchase Contract</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rPr>
              <w:t>4.6**</w:t>
            </w:r>
          </w:p>
        </w:tc>
        <w:tc>
          <w:tcPr>
            <w:tcW w:w="9980" w:type="dxa"/>
            <w:vAlign w:val="bottom"/>
          </w:tcPr>
          <w:p>
            <w:pPr>
              <w:ind w:left="460"/>
              <w:spacing w:after="0"/>
              <w:rPr>
                <w:sz w:val="20"/>
                <w:szCs w:val="20"/>
                <w:color w:val="auto"/>
              </w:rPr>
            </w:pPr>
            <w:r>
              <w:rPr>
                <w:rFonts w:ascii="Arial" w:cs="Arial" w:eastAsia="Arial" w:hAnsi="Arial"/>
                <w:sz w:val="18"/>
                <w:szCs w:val="18"/>
                <w:color w:val="auto"/>
              </w:rPr>
              <w:t>Form of Stock Purchase Unit</w:t>
            </w:r>
          </w:p>
        </w:tc>
      </w:tr>
      <w:tr>
        <w:trPr>
          <w:trHeight w:val="270"/>
        </w:trPr>
        <w:tc>
          <w:tcPr>
            <w:tcW w:w="1000" w:type="dxa"/>
            <w:vAlign w:val="bottom"/>
          </w:tcPr>
          <w:p>
            <w:pPr>
              <w:jc w:val="center"/>
              <w:ind w:right="350"/>
              <w:spacing w:after="0"/>
              <w:rPr>
                <w:sz w:val="20"/>
                <w:szCs w:val="20"/>
                <w:color w:val="auto"/>
              </w:rPr>
            </w:pPr>
            <w:r>
              <w:rPr>
                <w:rFonts w:ascii="Arial" w:cs="Arial" w:eastAsia="Arial" w:hAnsi="Arial"/>
                <w:sz w:val="18"/>
                <w:szCs w:val="18"/>
                <w:color w:val="auto"/>
                <w:w w:val="99"/>
              </w:rPr>
              <w:t>5.1*</w:t>
            </w:r>
          </w:p>
        </w:tc>
        <w:tc>
          <w:tcPr>
            <w:tcW w:w="9980" w:type="dxa"/>
            <w:vAlign w:val="bottom"/>
          </w:tcPr>
          <w:p>
            <w:pPr>
              <w:ind w:left="46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1000" w:type="dxa"/>
            <w:vAlign w:val="bottom"/>
          </w:tcPr>
          <w:p>
            <w:pPr>
              <w:jc w:val="center"/>
              <w:ind w:right="370"/>
              <w:spacing w:after="0"/>
              <w:rPr>
                <w:sz w:val="20"/>
                <w:szCs w:val="20"/>
                <w:color w:val="auto"/>
              </w:rPr>
            </w:pPr>
            <w:r>
              <w:rPr>
                <w:rFonts w:ascii="Arial" w:cs="Arial" w:eastAsia="Arial" w:hAnsi="Arial"/>
                <w:sz w:val="18"/>
                <w:szCs w:val="18"/>
                <w:color w:val="auto"/>
                <w:w w:val="99"/>
              </w:rPr>
              <w:t>12.1*</w:t>
            </w:r>
          </w:p>
        </w:tc>
        <w:tc>
          <w:tcPr>
            <w:tcW w:w="9980" w:type="dxa"/>
            <w:vAlign w:val="bottom"/>
          </w:tcPr>
          <w:p>
            <w:pPr>
              <w:ind w:left="46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000" w:type="dxa"/>
            <w:vAlign w:val="bottom"/>
          </w:tcPr>
          <w:p>
            <w:pPr>
              <w:jc w:val="center"/>
              <w:ind w:right="370"/>
              <w:spacing w:after="0"/>
              <w:rPr>
                <w:sz w:val="20"/>
                <w:szCs w:val="20"/>
                <w:color w:val="auto"/>
              </w:rPr>
            </w:pPr>
            <w:r>
              <w:rPr>
                <w:rFonts w:ascii="Arial" w:cs="Arial" w:eastAsia="Arial" w:hAnsi="Arial"/>
                <w:sz w:val="18"/>
                <w:szCs w:val="18"/>
                <w:color w:val="auto"/>
                <w:w w:val="99"/>
              </w:rPr>
              <w:t>23.1*</w:t>
            </w:r>
          </w:p>
        </w:tc>
        <w:tc>
          <w:tcPr>
            <w:tcW w:w="9980" w:type="dxa"/>
            <w:vAlign w:val="bottom"/>
          </w:tcPr>
          <w:p>
            <w:pPr>
              <w:ind w:left="46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000" w:type="dxa"/>
            <w:vAlign w:val="bottom"/>
          </w:tcPr>
          <w:p>
            <w:pPr>
              <w:jc w:val="center"/>
              <w:ind w:right="370"/>
              <w:spacing w:after="0"/>
              <w:rPr>
                <w:sz w:val="20"/>
                <w:szCs w:val="20"/>
                <w:color w:val="auto"/>
              </w:rPr>
            </w:pPr>
            <w:r>
              <w:rPr>
                <w:rFonts w:ascii="Arial" w:cs="Arial" w:eastAsia="Arial" w:hAnsi="Arial"/>
                <w:sz w:val="18"/>
                <w:szCs w:val="18"/>
                <w:color w:val="auto"/>
                <w:w w:val="99"/>
              </w:rPr>
              <w:t>23.2*</w:t>
            </w:r>
          </w:p>
        </w:tc>
        <w:tc>
          <w:tcPr>
            <w:tcW w:w="9980" w:type="dxa"/>
            <w:vAlign w:val="bottom"/>
          </w:tcPr>
          <w:p>
            <w:pPr>
              <w:ind w:left="460"/>
              <w:spacing w:after="0"/>
              <w:rPr>
                <w:sz w:val="20"/>
                <w:szCs w:val="20"/>
                <w:color w:val="auto"/>
              </w:rPr>
            </w:pPr>
            <w:r>
              <w:rPr>
                <w:rFonts w:ascii="Arial" w:cs="Arial" w:eastAsia="Arial" w:hAnsi="Arial"/>
                <w:sz w:val="18"/>
                <w:szCs w:val="18"/>
                <w:color w:val="auto"/>
              </w:rPr>
              <w:t>Consent of BDO USA, LLP</w:t>
            </w:r>
          </w:p>
        </w:tc>
      </w:tr>
      <w:tr>
        <w:trPr>
          <w:trHeight w:val="270"/>
        </w:trPr>
        <w:tc>
          <w:tcPr>
            <w:tcW w:w="1000" w:type="dxa"/>
            <w:vAlign w:val="bottom"/>
          </w:tcPr>
          <w:p>
            <w:pPr>
              <w:jc w:val="center"/>
              <w:ind w:right="370"/>
              <w:spacing w:after="0"/>
              <w:rPr>
                <w:sz w:val="20"/>
                <w:szCs w:val="20"/>
                <w:color w:val="auto"/>
              </w:rPr>
            </w:pPr>
            <w:r>
              <w:rPr>
                <w:rFonts w:ascii="Arial" w:cs="Arial" w:eastAsia="Arial" w:hAnsi="Arial"/>
                <w:sz w:val="18"/>
                <w:szCs w:val="18"/>
                <w:color w:val="auto"/>
                <w:w w:val="99"/>
              </w:rPr>
              <w:t>23.3*</w:t>
            </w:r>
          </w:p>
        </w:tc>
        <w:tc>
          <w:tcPr>
            <w:tcW w:w="9980" w:type="dxa"/>
            <w:vAlign w:val="bottom"/>
          </w:tcPr>
          <w:p>
            <w:pPr>
              <w:ind w:left="46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1000" w:type="dxa"/>
            <w:vAlign w:val="bottom"/>
          </w:tcPr>
          <w:p>
            <w:pPr>
              <w:jc w:val="center"/>
              <w:ind w:right="370"/>
              <w:spacing w:after="0"/>
              <w:rPr>
                <w:sz w:val="20"/>
                <w:szCs w:val="20"/>
                <w:color w:val="auto"/>
              </w:rPr>
            </w:pPr>
            <w:r>
              <w:rPr>
                <w:rFonts w:ascii="Arial" w:cs="Arial" w:eastAsia="Arial" w:hAnsi="Arial"/>
                <w:sz w:val="18"/>
                <w:szCs w:val="18"/>
                <w:color w:val="auto"/>
                <w:w w:val="99"/>
              </w:rPr>
              <w:t>24.1*</w:t>
            </w:r>
          </w:p>
        </w:tc>
        <w:tc>
          <w:tcPr>
            <w:tcW w:w="9980" w:type="dxa"/>
            <w:vAlign w:val="bottom"/>
          </w:tcPr>
          <w:p>
            <w:pPr>
              <w:ind w:left="460"/>
              <w:spacing w:after="0"/>
              <w:rPr>
                <w:sz w:val="20"/>
                <w:szCs w:val="20"/>
                <w:color w:val="auto"/>
              </w:rPr>
            </w:pPr>
            <w:r>
              <w:rPr>
                <w:rFonts w:ascii="Arial" w:cs="Arial" w:eastAsia="Arial" w:hAnsi="Arial"/>
                <w:sz w:val="18"/>
                <w:szCs w:val="18"/>
                <w:color w:val="auto"/>
              </w:rPr>
              <w:t>Power of attorney (set forth on signature page)</w:t>
            </w:r>
          </w:p>
        </w:tc>
      </w:tr>
      <w:tr>
        <w:trPr>
          <w:trHeight w:val="216"/>
        </w:trPr>
        <w:tc>
          <w:tcPr>
            <w:tcW w:w="1000" w:type="dxa"/>
            <w:vAlign w:val="bottom"/>
          </w:tcPr>
          <w:p>
            <w:pPr>
              <w:jc w:val="center"/>
              <w:ind w:right="350"/>
              <w:spacing w:after="0"/>
              <w:rPr>
                <w:sz w:val="20"/>
                <w:szCs w:val="20"/>
                <w:color w:val="auto"/>
              </w:rPr>
            </w:pPr>
            <w:r>
              <w:rPr>
                <w:rFonts w:ascii="Arial" w:cs="Arial" w:eastAsia="Arial" w:hAnsi="Arial"/>
                <w:sz w:val="18"/>
                <w:szCs w:val="18"/>
                <w:color w:val="auto"/>
                <w:w w:val="99"/>
              </w:rPr>
              <w:t>25.1***</w:t>
            </w:r>
          </w:p>
        </w:tc>
        <w:tc>
          <w:tcPr>
            <w:tcW w:w="9980" w:type="dxa"/>
            <w:vAlign w:val="bottom"/>
          </w:tcPr>
          <w:p>
            <w:pPr>
              <w:ind w:left="460"/>
              <w:spacing w:after="0"/>
              <w:rPr>
                <w:sz w:val="20"/>
                <w:szCs w:val="20"/>
                <w:color w:val="auto"/>
              </w:rPr>
            </w:pPr>
            <w:r>
              <w:rPr>
                <w:rFonts w:ascii="Arial" w:cs="Arial" w:eastAsia="Arial" w:hAnsi="Arial"/>
                <w:sz w:val="18"/>
                <w:szCs w:val="18"/>
                <w:color w:val="auto"/>
              </w:rPr>
              <w:t>Form T-1 Statement of Eligibility and Qualification under the Trust Indenture Act of 1939 of the Trustee under the</w:t>
            </w:r>
          </w:p>
        </w:tc>
      </w:tr>
      <w:tr>
        <w:trPr>
          <w:trHeight w:val="243"/>
        </w:trPr>
        <w:tc>
          <w:tcPr>
            <w:tcW w:w="1000" w:type="dxa"/>
            <w:vAlign w:val="bottom"/>
          </w:tcPr>
          <w:p>
            <w:pPr>
              <w:spacing w:after="0"/>
              <w:rPr>
                <w:sz w:val="21"/>
                <w:szCs w:val="21"/>
                <w:color w:val="auto"/>
              </w:rPr>
            </w:pPr>
          </w:p>
        </w:tc>
        <w:tc>
          <w:tcPr>
            <w:tcW w:w="9980" w:type="dxa"/>
            <w:vAlign w:val="bottom"/>
          </w:tcPr>
          <w:p>
            <w:pPr>
              <w:ind w:left="460"/>
              <w:spacing w:after="0"/>
              <w:rPr>
                <w:sz w:val="20"/>
                <w:szCs w:val="20"/>
                <w:color w:val="auto"/>
              </w:rPr>
            </w:pPr>
            <w:r>
              <w:rPr>
                <w:rFonts w:ascii="Arial" w:cs="Arial" w:eastAsia="Arial" w:hAnsi="Arial"/>
                <w:sz w:val="18"/>
                <w:szCs w:val="18"/>
                <w:color w:val="auto"/>
              </w:rPr>
              <w:t>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1664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78"/>
        <w:spacing w:after="0"/>
        <w:tabs>
          <w:tab w:leader="none" w:pos="5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 Undertakings</w:t>
      </w:r>
    </w:p>
    <w:p>
      <w:pPr>
        <w:spacing w:after="0" w:line="173"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71" w:lineRule="exact"/>
        <w:rPr>
          <w:rFonts w:ascii="Arial" w:cs="Arial" w:eastAsia="Arial" w:hAnsi="Arial"/>
          <w:sz w:val="18"/>
          <w:szCs w:val="18"/>
          <w:color w:val="auto"/>
        </w:rPr>
      </w:pPr>
    </w:p>
    <w:p>
      <w:pPr>
        <w:ind w:left="1960" w:hanging="655"/>
        <w:spacing w:after="0"/>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(the “Securities Act”);</w:t>
      </w:r>
    </w:p>
    <w:p>
      <w:pPr>
        <w:spacing w:after="0" w:line="171" w:lineRule="exact"/>
        <w:rPr>
          <w:rFonts w:ascii="Arial" w:cs="Arial" w:eastAsia="Arial" w:hAnsi="Arial"/>
          <w:sz w:val="18"/>
          <w:szCs w:val="18"/>
          <w:color w:val="auto"/>
        </w:rPr>
      </w:pPr>
    </w:p>
    <w:p>
      <w:pPr>
        <w:ind w:left="1960" w:hanging="655"/>
        <w:spacing w:after="0" w:line="256"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24" w:lineRule="exact"/>
        <w:rPr>
          <w:rFonts w:ascii="Arial" w:cs="Arial" w:eastAsia="Arial" w:hAnsi="Arial"/>
          <w:sz w:val="18"/>
          <w:szCs w:val="18"/>
          <w:color w:val="auto"/>
        </w:rPr>
      </w:pPr>
    </w:p>
    <w:p>
      <w:pPr>
        <w:ind w:left="1960" w:right="220" w:hanging="655"/>
        <w:spacing w:after="0" w:line="292" w:lineRule="auto"/>
        <w:tabs>
          <w:tab w:leader="none" w:pos="196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400"/>
          </w:cols>
          <w:pgMar w:left="240" w:top="283" w:right="25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1300" w:right="40"/>
        <w:spacing w:after="0" w:line="264" w:lineRule="auto"/>
        <w:rPr>
          <w:sz w:val="20"/>
          <w:szCs w:val="20"/>
          <w:color w:val="auto"/>
        </w:rPr>
      </w:pPr>
      <w:r>
        <w:rPr>
          <w:rFonts w:ascii="Arial" w:cs="Arial" w:eastAsia="Arial" w:hAnsi="Arial"/>
          <w:sz w:val="18"/>
          <w:szCs w:val="18"/>
          <w:color w:val="auto"/>
        </w:rPr>
        <w:t>provided, however, that paragraphs (i), (ii) and (iii)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16" w:lineRule="exact"/>
        <w:rPr>
          <w:sz w:val="20"/>
          <w:szCs w:val="20"/>
          <w:color w:val="auto"/>
        </w:rPr>
      </w:pPr>
    </w:p>
    <w:p>
      <w:pPr>
        <w:ind w:left="1300" w:right="160" w:hanging="644"/>
        <w:spacing w:after="0" w:line="271"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09" w:lineRule="exact"/>
        <w:rPr>
          <w:rFonts w:ascii="Arial" w:cs="Arial" w:eastAsia="Arial" w:hAnsi="Arial"/>
          <w:sz w:val="18"/>
          <w:szCs w:val="18"/>
          <w:color w:val="auto"/>
        </w:rPr>
      </w:pPr>
    </w:p>
    <w:p>
      <w:pPr>
        <w:ind w:left="1300" w:right="480" w:hanging="644"/>
        <w:spacing w:after="0" w:line="29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9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purposes of determining liability under the Securities Act of 1933 to any purchaser:</w:t>
      </w:r>
    </w:p>
    <w:p>
      <w:pPr>
        <w:spacing w:after="0" w:line="171" w:lineRule="exact"/>
        <w:rPr>
          <w:rFonts w:ascii="Arial" w:cs="Arial" w:eastAsia="Arial" w:hAnsi="Arial"/>
          <w:sz w:val="18"/>
          <w:szCs w:val="18"/>
          <w:color w:val="auto"/>
        </w:rPr>
      </w:pPr>
    </w:p>
    <w:p>
      <w:pPr>
        <w:ind w:left="1960" w:right="380" w:hanging="655"/>
        <w:spacing w:after="0" w:line="323"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8" w:lineRule="exact"/>
        <w:rPr>
          <w:rFonts w:ascii="Arial" w:cs="Arial" w:eastAsia="Arial" w:hAnsi="Arial"/>
          <w:sz w:val="17"/>
          <w:szCs w:val="17"/>
          <w:color w:val="auto"/>
        </w:rPr>
      </w:pPr>
    </w:p>
    <w:p>
      <w:pPr>
        <w:ind w:left="1960" w:hanging="605"/>
        <w:spacing w:after="0" w:line="253" w:lineRule="auto"/>
        <w:tabs>
          <w:tab w:leader="none" w:pos="19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32" w:lineRule="exact"/>
        <w:rPr>
          <w:rFonts w:ascii="Arial" w:cs="Arial" w:eastAsia="Arial" w:hAnsi="Arial"/>
          <w:sz w:val="18"/>
          <w:szCs w:val="18"/>
          <w:color w:val="auto"/>
        </w:rPr>
      </w:pPr>
    </w:p>
    <w:p>
      <w:pPr>
        <w:ind w:left="1300" w:right="300" w:hanging="644"/>
        <w:spacing w:after="0" w:line="258"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4" w:lineRule="exact"/>
        <w:rPr>
          <w:sz w:val="20"/>
          <w:szCs w:val="20"/>
          <w:color w:val="auto"/>
        </w:rPr>
      </w:pPr>
    </w:p>
    <w:p>
      <w:pPr>
        <w:ind w:left="1960" w:right="380" w:hanging="655"/>
        <w:spacing w:after="0" w:line="29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90" w:lineRule="exact"/>
        <w:rPr>
          <w:rFonts w:ascii="Arial" w:cs="Arial" w:eastAsia="Arial" w:hAnsi="Arial"/>
          <w:sz w:val="18"/>
          <w:szCs w:val="18"/>
          <w:color w:val="auto"/>
        </w:rPr>
      </w:pPr>
    </w:p>
    <w:p>
      <w:pPr>
        <w:ind w:left="1960" w:right="180" w:hanging="655"/>
        <w:spacing w:after="0" w:line="29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90" w:lineRule="exact"/>
        <w:rPr>
          <w:rFonts w:ascii="Arial" w:cs="Arial" w:eastAsia="Arial" w:hAnsi="Arial"/>
          <w:sz w:val="18"/>
          <w:szCs w:val="18"/>
          <w:color w:val="auto"/>
        </w:rPr>
      </w:pPr>
    </w:p>
    <w:p>
      <w:pPr>
        <w:ind w:left="1960" w:right="560" w:hanging="655"/>
        <w:spacing w:after="0" w:line="292" w:lineRule="auto"/>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90" w:lineRule="exact"/>
        <w:rPr>
          <w:rFonts w:ascii="Arial" w:cs="Arial" w:eastAsia="Arial" w:hAnsi="Arial"/>
          <w:sz w:val="18"/>
          <w:szCs w:val="18"/>
          <w:color w:val="auto"/>
        </w:rPr>
      </w:pPr>
    </w:p>
    <w:p>
      <w:pPr>
        <w:ind w:left="1960" w:hanging="655"/>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380"/>
          </w:cols>
          <w:pgMar w:left="240" w:top="283" w:right="27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right="160" w:hanging="652"/>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 of 1933,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15" w:lineRule="exact"/>
        <w:rPr>
          <w:rFonts w:ascii="Arial" w:cs="Arial" w:eastAsia="Arial" w:hAnsi="Arial"/>
          <w:sz w:val="18"/>
          <w:szCs w:val="18"/>
          <w:color w:val="auto"/>
        </w:rPr>
      </w:pPr>
    </w:p>
    <w:p>
      <w:pPr>
        <w:ind w:left="660" w:right="40" w:hanging="652"/>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to the extent that the securities are offered to existing security holders pursuant to warrants or rights and any securities not taken by security 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123" w:lineRule="exact"/>
        <w:rPr>
          <w:rFonts w:ascii="Arial" w:cs="Arial" w:eastAsia="Arial" w:hAnsi="Arial"/>
          <w:sz w:val="18"/>
          <w:szCs w:val="18"/>
          <w:color w:val="auto"/>
        </w:rPr>
      </w:pPr>
    </w:p>
    <w:p>
      <w:pPr>
        <w:jc w:val="both"/>
        <w:ind w:left="660" w:right="320" w:hanging="652"/>
        <w:spacing w:after="0" w:line="27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09" w:lineRule="exact"/>
        <w:rPr>
          <w:rFonts w:ascii="Arial" w:cs="Arial" w:eastAsia="Arial" w:hAnsi="Arial"/>
          <w:sz w:val="18"/>
          <w:szCs w:val="18"/>
          <w:color w:val="auto"/>
        </w:rPr>
      </w:pPr>
    </w:p>
    <w:p>
      <w:pPr>
        <w:ind w:left="660" w:hanging="652"/>
        <w:spacing w:after="0" w:line="25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registrants pursuant to the provisions described under Item 15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registrants is against public policy as expressed in the Securities Act and will be governed by the final adjudication of such issue.</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400"/>
          </w:cols>
          <w:pgMar w:left="240" w:top="283" w:right="25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Act of 1933, the undersigned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March 9, 2015.</w:t>
      </w:r>
    </w:p>
    <w:p>
      <w:pPr>
        <w:spacing w:after="0" w:line="123"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EZCORP, INC.</w:t>
      </w:r>
    </w:p>
    <w:p>
      <w:pPr>
        <w:spacing w:after="0" w:line="32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By: /s/ 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37465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57"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Mark E. Kuchenrither, President and Chief</w:t>
      </w:r>
    </w:p>
    <w:p>
      <w:pPr>
        <w:spacing w:after="0" w:line="18"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Operating Officer, Chief Financial Officer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Each person whose signature appears below hereby authorizes and appoints Thomas H. Welch, Jr. as his true and lawful attorney-in-fact and agent, with full power of substitution and resubstitution, for him and in his name, place and stead, in any and all capacities, to sign on his behalf individually and in the capacity stated below any and all amendments (including post-effective amendments) to this Registration Statement and any Registration Statement (including any amendment thereto) for this offering that is to be effective upon filing pursuant to Rule 462(b) under the Securities Act of 1933, and to file the same, with all exhibits thereto, and all other documents in connection therewith, with the Securities and Exchange Commission, granting unto said attorney-in-fact and agent full power and authority to do and perform each and every act and thing requisite and necessary to be done, as fully to all intents and purposes as he might or would do in person, hereby ratifying and confirming all that said attorney-in-fact and agent or his substitute or substitutes, may lawfully do or cause to be done by virtue hereof.</w:t>
      </w:r>
    </w:p>
    <w:p>
      <w:pPr>
        <w:spacing w:after="0" w:line="124" w:lineRule="exact"/>
        <w:rPr>
          <w:sz w:val="20"/>
          <w:szCs w:val="20"/>
          <w:color w:val="auto"/>
        </w:rPr>
      </w:pPr>
    </w:p>
    <w:p>
      <w:pPr>
        <w:ind w:right="760"/>
        <w:spacing w:after="0" w:line="29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400"/>
          </w:cols>
          <w:pgMar w:left="240" w:top="283" w:right="259" w:bottom="1440" w:gutter="0" w:footer="0" w:header="0"/>
        </w:sectPr>
      </w:pPr>
    </w:p>
    <w:p>
      <w:pPr>
        <w:spacing w:after="0" w:line="28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33020</wp:posOffset>
            </wp:positionV>
            <wp:extent cx="2383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8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Stuart I. Grimshaw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Stuart I. Grimshaw</w:t>
      </w:r>
    </w:p>
    <w:p>
      <w:pPr>
        <w:spacing w:after="0" w:line="39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Mark E. Kuchenrither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Mark E. Kuchenrither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Stephen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Stephen A. Brown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Lachlan P. Given</w:t>
      </w:r>
    </w:p>
    <w:p>
      <w:pPr>
        <w:spacing w:after="0" w:line="39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Matthew W. Appel</w:t>
      </w:r>
    </w:p>
    <w:p>
      <w:pPr>
        <w:spacing w:after="0" w:line="392"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Santiago Creel Miranda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28575</wp:posOffset>
            </wp:positionV>
            <wp:extent cx="2383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61" w:lineRule="exact"/>
        <w:rPr>
          <w:sz w:val="20"/>
          <w:szCs w:val="20"/>
          <w:color w:val="auto"/>
        </w:rPr>
      </w:pPr>
    </w:p>
    <w:p>
      <w:pPr>
        <w:jc w:val="center"/>
        <w:ind w:left="520"/>
        <w:spacing w:after="0"/>
        <w:rPr>
          <w:sz w:val="20"/>
          <w:szCs w:val="20"/>
          <w:color w:val="auto"/>
        </w:rPr>
      </w:pPr>
      <w:r>
        <w:rPr>
          <w:rFonts w:ascii="Arial" w:cs="Arial" w:eastAsia="Arial" w:hAnsi="Arial"/>
          <w:sz w:val="16"/>
          <w:szCs w:val="16"/>
          <w:color w:val="auto"/>
        </w:rPr>
        <w:t>Santiago Creel Miranda</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364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Title</w:t>
            </w:r>
          </w:p>
        </w:tc>
        <w:tc>
          <w:tcPr>
            <w:tcW w:w="22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Date</w:t>
            </w:r>
          </w:p>
        </w:tc>
      </w:tr>
      <w:tr>
        <w:trPr>
          <w:trHeight w:val="57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(principal executive officer)</w:t>
            </w:r>
          </w:p>
        </w:tc>
        <w:tc>
          <w:tcPr>
            <w:tcW w:w="3520" w:type="dxa"/>
            <w:vAlign w:val="bottom"/>
          </w:tcPr>
          <w:p>
            <w:pPr>
              <w:spacing w:after="0"/>
              <w:rPr>
                <w:sz w:val="23"/>
                <w:szCs w:val="23"/>
                <w:color w:val="auto"/>
              </w:rPr>
            </w:pPr>
          </w:p>
        </w:tc>
      </w:tr>
      <w:tr>
        <w:trPr>
          <w:trHeight w:val="594"/>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President and Chief Operating</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Officer and Chief Financial Officer</w:t>
            </w:r>
          </w:p>
        </w:tc>
        <w:tc>
          <w:tcPr>
            <w:tcW w:w="3520" w:type="dxa"/>
            <w:vAlign w:val="bottom"/>
          </w:tcPr>
          <w:p>
            <w:pPr>
              <w:spacing w:after="0"/>
              <w:rPr>
                <w:sz w:val="23"/>
                <w:szCs w:val="23"/>
                <w:color w:val="auto"/>
              </w:rPr>
            </w:pP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(principal financial officer)</w:t>
            </w:r>
          </w:p>
        </w:tc>
        <w:tc>
          <w:tcPr>
            <w:tcW w:w="3520" w:type="dxa"/>
            <w:vAlign w:val="bottom"/>
          </w:tcPr>
          <w:p>
            <w:pPr>
              <w:spacing w:after="0"/>
              <w:rPr>
                <w:sz w:val="23"/>
                <w:szCs w:val="23"/>
                <w:color w:val="auto"/>
              </w:rPr>
            </w:pPr>
          </w:p>
        </w:tc>
      </w:tr>
      <w:tr>
        <w:trPr>
          <w:trHeight w:val="594"/>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Vice President, Finance and</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Chief Accounting Officer</w:t>
            </w:r>
          </w:p>
        </w:tc>
        <w:tc>
          <w:tcPr>
            <w:tcW w:w="3520" w:type="dxa"/>
            <w:vAlign w:val="bottom"/>
          </w:tcPr>
          <w:p>
            <w:pPr>
              <w:spacing w:after="0"/>
              <w:rPr>
                <w:sz w:val="23"/>
                <w:szCs w:val="23"/>
                <w:color w:val="auto"/>
              </w:rPr>
            </w:pPr>
          </w:p>
        </w:tc>
      </w:tr>
      <w:tr>
        <w:trPr>
          <w:trHeight w:val="270"/>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(principal accounting officer)</w:t>
            </w:r>
          </w:p>
        </w:tc>
        <w:tc>
          <w:tcPr>
            <w:tcW w:w="3520" w:type="dxa"/>
            <w:vAlign w:val="bottom"/>
          </w:tcPr>
          <w:p>
            <w:pPr>
              <w:spacing w:after="0"/>
              <w:rPr>
                <w:sz w:val="23"/>
                <w:szCs w:val="23"/>
                <w:color w:val="auto"/>
              </w:rPr>
            </w:pPr>
          </w:p>
        </w:tc>
      </w:tr>
      <w:tr>
        <w:trPr>
          <w:trHeight w:val="594"/>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Executive Chairman of the Board</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r>
        <w:trPr>
          <w:trHeight w:val="864"/>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r>
        <w:trPr>
          <w:trHeight w:val="864"/>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3520" w:type="dxa"/>
            <w:vAlign w:val="bottom"/>
          </w:tcPr>
          <w:p>
            <w:pPr>
              <w:jc w:val="center"/>
              <w:spacing w:after="0"/>
              <w:rPr>
                <w:sz w:val="20"/>
                <w:szCs w:val="20"/>
                <w:color w:val="auto"/>
              </w:rPr>
            </w:pPr>
            <w:r>
              <w:rPr>
                <w:rFonts w:ascii="Arial" w:cs="Arial" w:eastAsia="Arial" w:hAnsi="Arial"/>
                <w:sz w:val="16"/>
                <w:szCs w:val="16"/>
                <w:color w:val="auto"/>
              </w:rPr>
              <w:t>March 9, 2015</w:t>
            </w:r>
          </w:p>
        </w:tc>
      </w:tr>
    </w:tbl>
    <w:p>
      <w:pPr>
        <w:spacing w:after="0" w:line="435" w:lineRule="exact"/>
        <w:rPr>
          <w:sz w:val="20"/>
          <w:szCs w:val="20"/>
          <w:color w:val="auto"/>
        </w:rPr>
      </w:pPr>
    </w:p>
    <w:p>
      <w:pPr>
        <w:sectPr>
          <w:pgSz w:w="11900" w:h="16838" w:orient="portrait"/>
          <w:cols w:equalWidth="0" w:num="2">
            <w:col w:w="3300" w:space="720"/>
            <w:col w:w="7380"/>
          </w:cols>
          <w:pgMar w:left="240" w:top="283" w:right="2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1400"/>
          </w:cols>
          <w:pgMar w:left="240" w:top="283" w:right="25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48"/>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Peter Cumins</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00" w:type="dxa"/>
            <w:vAlign w:val="bottom"/>
          </w:tcPr>
          <w:p>
            <w:pPr>
              <w:ind w:left="2260"/>
              <w:spacing w:after="0"/>
              <w:rPr>
                <w:sz w:val="20"/>
                <w:szCs w:val="20"/>
                <w:color w:val="auto"/>
              </w:rPr>
            </w:pPr>
            <w:r>
              <w:rPr>
                <w:rFonts w:ascii="Arial" w:cs="Arial" w:eastAsia="Arial" w:hAnsi="Arial"/>
                <w:sz w:val="16"/>
                <w:szCs w:val="16"/>
                <w:color w:val="auto"/>
                <w:w w:val="99"/>
              </w:rPr>
              <w:t>March 9, 2015</w:t>
            </w:r>
          </w:p>
        </w:tc>
      </w:tr>
      <w:tr>
        <w:trPr>
          <w:trHeight w:val="239"/>
        </w:trPr>
        <w:tc>
          <w:tcPr>
            <w:tcW w:w="3740" w:type="dxa"/>
            <w:vAlign w:val="bottom"/>
          </w:tcPr>
          <w:p>
            <w:pPr>
              <w:jc w:val="center"/>
              <w:spacing w:after="0"/>
              <w:rPr>
                <w:sz w:val="20"/>
                <w:szCs w:val="20"/>
                <w:color w:val="auto"/>
              </w:rPr>
            </w:pPr>
            <w:r>
              <w:rPr>
                <w:rFonts w:ascii="Arial" w:cs="Arial" w:eastAsia="Arial" w:hAnsi="Arial"/>
                <w:sz w:val="16"/>
                <w:szCs w:val="16"/>
                <w:color w:val="auto"/>
              </w:rPr>
              <w:t>Peter Cumins</w:t>
            </w:r>
          </w:p>
        </w:tc>
        <w:tc>
          <w:tcPr>
            <w:tcW w:w="308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60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Pablo Lagos Espinosa</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00" w:type="dxa"/>
            <w:vAlign w:val="bottom"/>
          </w:tcPr>
          <w:p>
            <w:pPr>
              <w:ind w:left="2260"/>
              <w:spacing w:after="0"/>
              <w:rPr>
                <w:sz w:val="20"/>
                <w:szCs w:val="20"/>
                <w:color w:val="auto"/>
              </w:rPr>
            </w:pPr>
            <w:r>
              <w:rPr>
                <w:rFonts w:ascii="Arial" w:cs="Arial" w:eastAsia="Arial" w:hAnsi="Arial"/>
                <w:sz w:val="16"/>
                <w:szCs w:val="16"/>
                <w:color w:val="auto"/>
                <w:w w:val="99"/>
              </w:rPr>
              <w:t>March 9, 2015</w:t>
            </w:r>
          </w:p>
        </w:tc>
      </w:tr>
      <w:tr>
        <w:trPr>
          <w:trHeight w:val="239"/>
        </w:trPr>
        <w:tc>
          <w:tcPr>
            <w:tcW w:w="3740" w:type="dxa"/>
            <w:vAlign w:val="bottom"/>
          </w:tcPr>
          <w:p>
            <w:pPr>
              <w:jc w:val="center"/>
              <w:spacing w:after="0"/>
              <w:rPr>
                <w:sz w:val="20"/>
                <w:szCs w:val="20"/>
                <w:color w:val="auto"/>
              </w:rPr>
            </w:pPr>
            <w:r>
              <w:rPr>
                <w:rFonts w:ascii="Arial" w:cs="Arial" w:eastAsia="Arial" w:hAnsi="Arial"/>
                <w:sz w:val="16"/>
                <w:szCs w:val="16"/>
                <w:color w:val="auto"/>
              </w:rPr>
              <w:t>Pablo Lagos Espinosa</w:t>
            </w:r>
          </w:p>
        </w:tc>
        <w:tc>
          <w:tcPr>
            <w:tcW w:w="308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60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Thomas C. Roberts</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00" w:type="dxa"/>
            <w:vAlign w:val="bottom"/>
          </w:tcPr>
          <w:p>
            <w:pPr>
              <w:ind w:left="2260"/>
              <w:spacing w:after="0"/>
              <w:rPr>
                <w:sz w:val="20"/>
                <w:szCs w:val="20"/>
                <w:color w:val="auto"/>
              </w:rPr>
            </w:pPr>
            <w:r>
              <w:rPr>
                <w:rFonts w:ascii="Arial" w:cs="Arial" w:eastAsia="Arial" w:hAnsi="Arial"/>
                <w:sz w:val="16"/>
                <w:szCs w:val="16"/>
                <w:color w:val="auto"/>
                <w:w w:val="99"/>
              </w:rPr>
              <w:t>March 9, 2015</w:t>
            </w:r>
          </w:p>
        </w:tc>
      </w:tr>
      <w:tr>
        <w:trPr>
          <w:trHeight w:val="239"/>
        </w:trPr>
        <w:tc>
          <w:tcPr>
            <w:tcW w:w="3740" w:type="dxa"/>
            <w:vAlign w:val="bottom"/>
          </w:tcPr>
          <w:p>
            <w:pPr>
              <w:jc w:val="center"/>
              <w:spacing w:after="0"/>
              <w:rPr>
                <w:sz w:val="20"/>
                <w:szCs w:val="20"/>
                <w:color w:val="auto"/>
              </w:rPr>
            </w:pPr>
            <w:r>
              <w:rPr>
                <w:rFonts w:ascii="Arial" w:cs="Arial" w:eastAsia="Arial" w:hAnsi="Arial"/>
                <w:sz w:val="16"/>
                <w:szCs w:val="16"/>
                <w:color w:val="auto"/>
              </w:rPr>
              <w:t>Thomas C. Roberts</w:t>
            </w:r>
          </w:p>
        </w:tc>
        <w:tc>
          <w:tcPr>
            <w:tcW w:w="308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605"/>
        </w:trPr>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6"/>
                <w:szCs w:val="16"/>
                <w:color w:val="auto"/>
              </w:rPr>
              <w:t>Joseph L. Rotunda</w:t>
            </w:r>
          </w:p>
        </w:tc>
        <w:tc>
          <w:tcPr>
            <w:tcW w:w="3080" w:type="dxa"/>
            <w:vAlign w:val="bottom"/>
          </w:tcPr>
          <w:p>
            <w:pPr>
              <w:ind w:left="260"/>
              <w:spacing w:after="0"/>
              <w:rPr>
                <w:sz w:val="20"/>
                <w:szCs w:val="20"/>
                <w:color w:val="auto"/>
              </w:rPr>
            </w:pPr>
            <w:r>
              <w:rPr>
                <w:rFonts w:ascii="Arial" w:cs="Arial" w:eastAsia="Arial" w:hAnsi="Arial"/>
                <w:sz w:val="16"/>
                <w:szCs w:val="16"/>
                <w:color w:val="auto"/>
              </w:rPr>
              <w:t>Director</w:t>
            </w:r>
          </w:p>
        </w:tc>
        <w:tc>
          <w:tcPr>
            <w:tcW w:w="3300" w:type="dxa"/>
            <w:vAlign w:val="bottom"/>
          </w:tcPr>
          <w:p>
            <w:pPr>
              <w:ind w:left="2260"/>
              <w:spacing w:after="0"/>
              <w:rPr>
                <w:sz w:val="20"/>
                <w:szCs w:val="20"/>
                <w:color w:val="auto"/>
              </w:rPr>
            </w:pPr>
            <w:r>
              <w:rPr>
                <w:rFonts w:ascii="Arial" w:cs="Arial" w:eastAsia="Arial" w:hAnsi="Arial"/>
                <w:sz w:val="16"/>
                <w:szCs w:val="16"/>
                <w:color w:val="auto"/>
                <w:w w:val="99"/>
              </w:rPr>
              <w:t>March 9, 2015</w:t>
            </w:r>
          </w:p>
        </w:tc>
      </w:tr>
      <w:tr>
        <w:trPr>
          <w:trHeight w:val="239"/>
        </w:trPr>
        <w:tc>
          <w:tcPr>
            <w:tcW w:w="3740" w:type="dxa"/>
            <w:vAlign w:val="bottom"/>
          </w:tcPr>
          <w:p>
            <w:pPr>
              <w:jc w:val="center"/>
              <w:spacing w:after="0"/>
              <w:rPr>
                <w:sz w:val="20"/>
                <w:szCs w:val="20"/>
                <w:color w:val="auto"/>
              </w:rPr>
            </w:pPr>
            <w:r>
              <w:rPr>
                <w:rFonts w:ascii="Arial" w:cs="Arial" w:eastAsia="Arial" w:hAnsi="Arial"/>
                <w:sz w:val="16"/>
                <w:szCs w:val="16"/>
                <w:color w:val="auto"/>
              </w:rPr>
              <w:t>Joseph L. Rotunda</w:t>
            </w:r>
          </w:p>
        </w:tc>
        <w:tc>
          <w:tcPr>
            <w:tcW w:w="308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pacing w:after="0" w:line="200" w:lineRule="exact"/>
        <w:rPr>
          <w:sz w:val="20"/>
          <w:szCs w:val="20"/>
          <w:color w:val="auto"/>
        </w:rPr>
      </w:pPr>
    </w:p>
    <w:p>
      <w:pPr>
        <w:spacing w:after="0" w:line="20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0219"/>
          </w:cols>
          <w:pgMar w:left="240" w:top="283" w:right="1440"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8"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40" w:type="dxa"/>
            <w:vAlign w:val="bottom"/>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319"/>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Exhibit</w:t>
            </w:r>
          </w:p>
        </w:tc>
        <w:tc>
          <w:tcPr>
            <w:tcW w:w="8440" w:type="dxa"/>
            <w:vAlign w:val="bottom"/>
          </w:tcPr>
          <w:p>
            <w:pPr>
              <w:spacing w:after="0"/>
              <w:rPr>
                <w:sz w:val="24"/>
                <w:szCs w:val="24"/>
                <w:color w:val="auto"/>
              </w:rPr>
            </w:pPr>
          </w:p>
        </w:tc>
      </w:tr>
      <w:tr>
        <w:trPr>
          <w:trHeight w:val="232"/>
        </w:trPr>
        <w:tc>
          <w:tcPr>
            <w:tcW w:w="20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Number</w:t>
            </w:r>
          </w:p>
        </w:tc>
        <w:tc>
          <w:tcPr>
            <w:tcW w:w="8440" w:type="dxa"/>
            <w:vAlign w:val="bottom"/>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555"/>
        </w:trPr>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8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Form of Underwriting Agreement</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Specimen of Class A Non-Voting Common Stock certificate (incorporated by reference to Exhibit 4.1 to</w:t>
            </w:r>
          </w:p>
        </w:tc>
      </w:tr>
      <w:tr>
        <w:trPr>
          <w:trHeight w:val="203"/>
        </w:trPr>
        <w:tc>
          <w:tcPr>
            <w:tcW w:w="1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40" w:type="dxa"/>
            <w:vAlign w:val="bottom"/>
          </w:tcPr>
          <w:p>
            <w:pPr>
              <w:ind w:left="20"/>
              <w:spacing w:after="0" w:line="202" w:lineRule="exact"/>
              <w:rPr>
                <w:sz w:val="20"/>
                <w:szCs w:val="20"/>
                <w:color w:val="auto"/>
              </w:rPr>
            </w:pPr>
            <w:r>
              <w:rPr>
                <w:rFonts w:ascii="Arial" w:cs="Arial" w:eastAsia="Arial" w:hAnsi="Arial"/>
                <w:sz w:val="18"/>
                <w:szCs w:val="18"/>
                <w:color w:val="auto"/>
              </w:rPr>
              <w:t>the Company’s Registration Statement on Form S-1 effective August 23, 1991, Commission File No. 33-</w:t>
            </w:r>
          </w:p>
        </w:tc>
      </w:tr>
      <w:tr>
        <w:trPr>
          <w:trHeight w:val="243"/>
        </w:trPr>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41317)</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of Indenture between EZCORP, Inc. and Trustee to be named</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rPr>
              <w:t>4.8**</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of Warrant Agreement</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of Warrant Certificate</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7"/>
              </w:rPr>
              <w:t>4.10**</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of Stock Purchase Contract</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7"/>
              </w:rPr>
              <w:t>4.11**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of Stock Purchase Unit</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Opinion of Vinson &amp; Elkins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12.1*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Computation of ratio of earnings to fixed charges</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Deloitte &amp; Touche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BDO USA, LLP</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23.3*</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Consent of Vinson &amp; Elkins L.L.P. (included in Exhibit 5.1)</w:t>
            </w:r>
          </w:p>
        </w:tc>
      </w:tr>
      <w:tr>
        <w:trPr>
          <w:trHeight w:val="270"/>
        </w:trPr>
        <w:tc>
          <w:tcPr>
            <w:tcW w:w="158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420" w:type="dxa"/>
            <w:vAlign w:val="bottom"/>
          </w:tcPr>
          <w:p>
            <w:pPr>
              <w:spacing w:after="0"/>
              <w:rPr>
                <w:sz w:val="23"/>
                <w:szCs w:val="23"/>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Power of attorney (set forth on signature page)</w:t>
            </w:r>
          </w:p>
        </w:tc>
      </w:tr>
      <w:tr>
        <w:trPr>
          <w:trHeight w:val="216"/>
        </w:trPr>
        <w:tc>
          <w:tcPr>
            <w:tcW w:w="1580" w:type="dxa"/>
            <w:vAlign w:val="bottom"/>
          </w:tcPr>
          <w:p>
            <w:pPr>
              <w:jc w:val="center"/>
              <w:spacing w:after="0"/>
              <w:rPr>
                <w:sz w:val="20"/>
                <w:szCs w:val="20"/>
                <w:color w:val="auto"/>
              </w:rPr>
            </w:pPr>
            <w:r>
              <w:rPr>
                <w:rFonts w:ascii="Arial" w:cs="Arial" w:eastAsia="Arial" w:hAnsi="Arial"/>
                <w:sz w:val="18"/>
                <w:szCs w:val="18"/>
                <w:color w:val="auto"/>
                <w:w w:val="99"/>
              </w:rPr>
              <w:t>25.1***</w:t>
            </w:r>
          </w:p>
        </w:tc>
        <w:tc>
          <w:tcPr>
            <w:tcW w:w="420" w:type="dxa"/>
            <w:vAlign w:val="bottom"/>
          </w:tcPr>
          <w:p>
            <w:pPr>
              <w:spacing w:after="0"/>
              <w:rPr>
                <w:sz w:val="18"/>
                <w:szCs w:val="18"/>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Form T-1 Statement of Eligibility and Qualification under the Trust Indenture Act of 1939 of the Trustee</w:t>
            </w:r>
          </w:p>
        </w:tc>
      </w:tr>
      <w:tr>
        <w:trPr>
          <w:trHeight w:val="243"/>
        </w:trPr>
        <w:tc>
          <w:tcPr>
            <w:tcW w:w="1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40" w:type="dxa"/>
            <w:vAlign w:val="bottom"/>
          </w:tcPr>
          <w:p>
            <w:pPr>
              <w:ind w:left="20"/>
              <w:spacing w:after="0"/>
              <w:rPr>
                <w:sz w:val="20"/>
                <w:szCs w:val="20"/>
                <w:color w:val="auto"/>
              </w:rPr>
            </w:pPr>
            <w:r>
              <w:rPr>
                <w:rFonts w:ascii="Arial" w:cs="Arial" w:eastAsia="Arial" w:hAnsi="Arial"/>
                <w:sz w:val="18"/>
                <w:szCs w:val="18"/>
                <w:color w:val="auto"/>
              </w:rPr>
              <w:t>under the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212090</wp:posOffset>
            </wp:positionV>
            <wp:extent cx="1260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either by amendment or as an exhibit to a document incorporated by reference in this Registration Statement.</w:t>
      </w:r>
    </w:p>
    <w:p>
      <w:pPr>
        <w:spacing w:after="0" w:line="171" w:lineRule="exact"/>
        <w:rPr>
          <w:rFonts w:ascii="Arial" w:cs="Arial" w:eastAsia="Arial" w:hAnsi="Arial"/>
          <w:sz w:val="18"/>
          <w:szCs w:val="18"/>
          <w:color w:val="auto"/>
        </w:rPr>
      </w:pPr>
    </w:p>
    <w:p>
      <w:pPr>
        <w:ind w:left="500" w:hanging="478"/>
        <w:spacing w:after="0"/>
        <w:tabs>
          <w:tab w:leader="none" w:pos="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200" w:lineRule="exact"/>
        <w:rPr>
          <w:sz w:val="20"/>
          <w:szCs w:val="20"/>
          <w:color w:val="auto"/>
        </w:rPr>
      </w:pPr>
    </w:p>
    <w:p>
      <w:pPr>
        <w:spacing w:after="0" w:line="21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II-7</w:t>
      </w:r>
    </w:p>
    <w:p>
      <w:pPr>
        <w:sectPr>
          <w:pgSz w:w="11900" w:h="16838" w:orient="portrait"/>
          <w:cols w:equalWidth="0" w:num="1">
            <w:col w:w="10940"/>
          </w:cols>
          <w:pgMar w:left="240" w:top="283" w:right="719" w:bottom="1440" w:gutter="0" w:footer="0" w:header="0"/>
        </w:sectPr>
      </w:pPr>
    </w:p>
    <w:bookmarkStart w:id="29" w:name="page30"/>
    <w:bookmarkEnd w:id="29"/>
    <w:p>
      <w:pPr>
        <w:jc w:val="right"/>
        <w:spacing w:after="0"/>
        <w:rPr>
          <w:sz w:val="20"/>
          <w:szCs w:val="20"/>
          <w:color w:val="auto"/>
        </w:rPr>
      </w:pPr>
      <w:r>
        <w:rPr>
          <w:rFonts w:ascii="Arial" w:cs="Arial" w:eastAsia="Arial" w:hAnsi="Arial"/>
          <w:sz w:val="22"/>
          <w:szCs w:val="22"/>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1560830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1577975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EZCORP,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as Issuer</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to</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b w:val="1"/>
          <w:bCs w:val="1"/>
          <w:color w:val="auto"/>
        </w:rPr>
        <w:t>[______________________],</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b w:val="1"/>
          <w:bCs w:val="1"/>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FORM OF</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INDENTURE</w:t>
      </w:r>
    </w:p>
    <w:p>
      <w:pPr>
        <w:spacing w:after="0" w:line="220" w:lineRule="exact"/>
        <w:rPr>
          <w:sz w:val="20"/>
          <w:szCs w:val="20"/>
          <w:color w:val="auto"/>
        </w:rPr>
      </w:pPr>
    </w:p>
    <w:p>
      <w:pPr>
        <w:ind w:left="3060"/>
        <w:spacing w:after="0"/>
        <w:rPr>
          <w:sz w:val="20"/>
          <w:szCs w:val="20"/>
          <w:color w:val="auto"/>
        </w:rPr>
      </w:pPr>
      <w:r>
        <w:rPr>
          <w:rFonts w:ascii="Arial" w:cs="Arial" w:eastAsia="Arial" w:hAnsi="Arial"/>
          <w:sz w:val="22"/>
          <w:szCs w:val="22"/>
          <w:b w:val="1"/>
          <w:bCs w:val="1"/>
          <w:color w:val="auto"/>
        </w:rPr>
        <w:t>Dated as of _________,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1320165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1337310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7" w:right="23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9320" w:type="dxa"/>
            <w:vAlign w:val="bottom"/>
          </w:tcPr>
          <w:p>
            <w:pPr>
              <w:spacing w:after="0"/>
              <w:rPr>
                <w:sz w:val="17"/>
                <w:szCs w:val="17"/>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Page</w:t>
            </w:r>
          </w:p>
        </w:tc>
      </w:tr>
      <w:tr>
        <w:trPr>
          <w:trHeight w:val="574"/>
        </w:trPr>
        <w:tc>
          <w:tcPr>
            <w:tcW w:w="10940" w:type="dxa"/>
            <w:vAlign w:val="bottom"/>
            <w:gridSpan w:val="2"/>
          </w:tcPr>
          <w:p>
            <w:pPr>
              <w:spacing w:after="0"/>
              <w:rPr>
                <w:sz w:val="20"/>
                <w:szCs w:val="20"/>
                <w:color w:val="auto"/>
              </w:rPr>
            </w:pPr>
            <w:r>
              <w:rPr>
                <w:rFonts w:ascii="Arial" w:cs="Arial" w:eastAsia="Arial" w:hAnsi="Arial"/>
                <w:sz w:val="18"/>
                <w:szCs w:val="18"/>
                <w:color w:val="auto"/>
              </w:rPr>
              <w:t>ARTICLE ONE DEFINITIONS AND OTHER PROVISIONS OF GENERAL APPLICATION</w:t>
            </w:r>
          </w:p>
        </w:tc>
        <w:tc>
          <w:tcPr>
            <w:tcW w:w="4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1</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101.</w:t>
            </w:r>
          </w:p>
        </w:tc>
        <w:tc>
          <w:tcPr>
            <w:tcW w:w="9320" w:type="dxa"/>
            <w:vAlign w:val="bottom"/>
          </w:tcPr>
          <w:p>
            <w:pPr>
              <w:ind w:left="440"/>
              <w:spacing w:after="0"/>
              <w:rPr>
                <w:sz w:val="20"/>
                <w:szCs w:val="20"/>
                <w:color w:val="auto"/>
              </w:rPr>
            </w:pPr>
            <w:r>
              <w:rPr>
                <w:rFonts w:ascii="Arial" w:cs="Arial" w:eastAsia="Arial" w:hAnsi="Arial"/>
                <w:sz w:val="18"/>
                <w:szCs w:val="18"/>
                <w:color w:val="auto"/>
              </w:rPr>
              <w:t>Definitions</w:t>
            </w:r>
          </w:p>
        </w:tc>
        <w:tc>
          <w:tcPr>
            <w:tcW w:w="42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1</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102.</w:t>
            </w:r>
          </w:p>
        </w:tc>
        <w:tc>
          <w:tcPr>
            <w:tcW w:w="9320" w:type="dxa"/>
            <w:vAlign w:val="bottom"/>
          </w:tcPr>
          <w:p>
            <w:pPr>
              <w:ind w:left="440"/>
              <w:spacing w:after="0"/>
              <w:rPr>
                <w:sz w:val="20"/>
                <w:szCs w:val="20"/>
                <w:color w:val="auto"/>
              </w:rPr>
            </w:pPr>
            <w:r>
              <w:rPr>
                <w:rFonts w:ascii="Arial" w:cs="Arial" w:eastAsia="Arial" w:hAnsi="Arial"/>
                <w:sz w:val="18"/>
                <w:szCs w:val="18"/>
                <w:color w:val="auto"/>
              </w:rPr>
              <w:t>Compliance Certificates and Opinions</w:t>
            </w:r>
          </w:p>
        </w:tc>
        <w:tc>
          <w:tcPr>
            <w:tcW w:w="42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5</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SECITON 103.</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Documents Delivered to Trustee</w:t>
            </w:r>
          </w:p>
        </w:tc>
        <w:tc>
          <w:tcPr>
            <w:tcW w:w="42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5</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104.</w:t>
            </w:r>
          </w:p>
        </w:tc>
        <w:tc>
          <w:tcPr>
            <w:tcW w:w="9320" w:type="dxa"/>
            <w:vAlign w:val="bottom"/>
          </w:tcPr>
          <w:p>
            <w:pPr>
              <w:ind w:left="440"/>
              <w:spacing w:after="0"/>
              <w:rPr>
                <w:sz w:val="20"/>
                <w:szCs w:val="20"/>
                <w:color w:val="auto"/>
              </w:rPr>
            </w:pPr>
            <w:r>
              <w:rPr>
                <w:rFonts w:ascii="Arial" w:cs="Arial" w:eastAsia="Arial" w:hAnsi="Arial"/>
                <w:sz w:val="18"/>
                <w:szCs w:val="18"/>
                <w:color w:val="auto"/>
              </w:rPr>
              <w:t>Acts of Holders; Record Dates</w:t>
            </w:r>
          </w:p>
        </w:tc>
        <w:tc>
          <w:tcPr>
            <w:tcW w:w="42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6</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105.</w:t>
            </w:r>
          </w:p>
        </w:tc>
        <w:tc>
          <w:tcPr>
            <w:tcW w:w="9320" w:type="dxa"/>
            <w:vAlign w:val="bottom"/>
          </w:tcPr>
          <w:p>
            <w:pPr>
              <w:ind w:left="440"/>
              <w:spacing w:after="0"/>
              <w:rPr>
                <w:sz w:val="20"/>
                <w:szCs w:val="20"/>
                <w:color w:val="auto"/>
              </w:rPr>
            </w:pPr>
            <w:r>
              <w:rPr>
                <w:rFonts w:ascii="Arial" w:cs="Arial" w:eastAsia="Arial" w:hAnsi="Arial"/>
                <w:sz w:val="18"/>
                <w:szCs w:val="18"/>
                <w:color w:val="auto"/>
              </w:rPr>
              <w:t>Notices, Etc., to Trustee and Company</w:t>
            </w:r>
          </w:p>
        </w:tc>
        <w:tc>
          <w:tcPr>
            <w:tcW w:w="4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7</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106</w:t>
            </w:r>
          </w:p>
        </w:tc>
        <w:tc>
          <w:tcPr>
            <w:tcW w:w="9320" w:type="dxa"/>
            <w:vAlign w:val="bottom"/>
          </w:tcPr>
          <w:p>
            <w:pPr>
              <w:ind w:left="440"/>
              <w:spacing w:after="0"/>
              <w:rPr>
                <w:sz w:val="20"/>
                <w:szCs w:val="20"/>
                <w:color w:val="auto"/>
              </w:rPr>
            </w:pPr>
            <w:r>
              <w:rPr>
                <w:rFonts w:ascii="Arial" w:cs="Arial" w:eastAsia="Arial" w:hAnsi="Arial"/>
                <w:sz w:val="18"/>
                <w:szCs w:val="18"/>
                <w:color w:val="auto"/>
              </w:rPr>
              <w:t>Notice to Holders; Waiver</w:t>
            </w:r>
          </w:p>
        </w:tc>
        <w:tc>
          <w:tcPr>
            <w:tcW w:w="42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7</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107.</w:t>
            </w:r>
          </w:p>
        </w:tc>
        <w:tc>
          <w:tcPr>
            <w:tcW w:w="9320" w:type="dxa"/>
            <w:vAlign w:val="bottom"/>
          </w:tcPr>
          <w:p>
            <w:pPr>
              <w:ind w:left="440"/>
              <w:spacing w:after="0"/>
              <w:rPr>
                <w:sz w:val="20"/>
                <w:szCs w:val="20"/>
                <w:color w:val="auto"/>
              </w:rPr>
            </w:pPr>
            <w:r>
              <w:rPr>
                <w:rFonts w:ascii="Arial" w:cs="Arial" w:eastAsia="Arial" w:hAnsi="Arial"/>
                <w:sz w:val="18"/>
                <w:szCs w:val="18"/>
                <w:color w:val="auto"/>
              </w:rPr>
              <w:t>Conflict with Trust Indenture Act</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108</w:t>
            </w:r>
          </w:p>
        </w:tc>
        <w:tc>
          <w:tcPr>
            <w:tcW w:w="9320" w:type="dxa"/>
            <w:vAlign w:val="bottom"/>
          </w:tcPr>
          <w:p>
            <w:pPr>
              <w:ind w:left="440"/>
              <w:spacing w:after="0"/>
              <w:rPr>
                <w:sz w:val="20"/>
                <w:szCs w:val="20"/>
                <w:color w:val="auto"/>
              </w:rPr>
            </w:pPr>
            <w:r>
              <w:rPr>
                <w:rFonts w:ascii="Arial" w:cs="Arial" w:eastAsia="Arial" w:hAnsi="Arial"/>
                <w:sz w:val="18"/>
                <w:szCs w:val="18"/>
                <w:color w:val="auto"/>
              </w:rPr>
              <w:t>Effect of Headings and Table of Contents</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109.</w:t>
            </w:r>
          </w:p>
        </w:tc>
        <w:tc>
          <w:tcPr>
            <w:tcW w:w="9320" w:type="dxa"/>
            <w:vAlign w:val="bottom"/>
          </w:tcPr>
          <w:p>
            <w:pPr>
              <w:ind w:left="440"/>
              <w:spacing w:after="0"/>
              <w:rPr>
                <w:sz w:val="20"/>
                <w:szCs w:val="20"/>
                <w:color w:val="auto"/>
              </w:rPr>
            </w:pPr>
            <w:r>
              <w:rPr>
                <w:rFonts w:ascii="Arial" w:cs="Arial" w:eastAsia="Arial" w:hAnsi="Arial"/>
                <w:sz w:val="18"/>
                <w:szCs w:val="18"/>
                <w:color w:val="auto"/>
              </w:rPr>
              <w:t>Successors and Assigns</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110.</w:t>
            </w:r>
          </w:p>
        </w:tc>
        <w:tc>
          <w:tcPr>
            <w:tcW w:w="9320" w:type="dxa"/>
            <w:vAlign w:val="bottom"/>
          </w:tcPr>
          <w:p>
            <w:pPr>
              <w:ind w:left="440"/>
              <w:spacing w:after="0"/>
              <w:rPr>
                <w:sz w:val="20"/>
                <w:szCs w:val="20"/>
                <w:color w:val="auto"/>
              </w:rPr>
            </w:pPr>
            <w:r>
              <w:rPr>
                <w:rFonts w:ascii="Arial" w:cs="Arial" w:eastAsia="Arial" w:hAnsi="Arial"/>
                <w:sz w:val="18"/>
                <w:szCs w:val="18"/>
                <w:color w:val="auto"/>
              </w:rPr>
              <w:t>Separability Clause</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111.</w:t>
            </w:r>
          </w:p>
        </w:tc>
        <w:tc>
          <w:tcPr>
            <w:tcW w:w="9320" w:type="dxa"/>
            <w:vAlign w:val="bottom"/>
          </w:tcPr>
          <w:p>
            <w:pPr>
              <w:ind w:left="440"/>
              <w:spacing w:after="0"/>
              <w:rPr>
                <w:sz w:val="20"/>
                <w:szCs w:val="20"/>
                <w:color w:val="auto"/>
              </w:rPr>
            </w:pPr>
            <w:r>
              <w:rPr>
                <w:rFonts w:ascii="Arial" w:cs="Arial" w:eastAsia="Arial" w:hAnsi="Arial"/>
                <w:sz w:val="18"/>
                <w:szCs w:val="18"/>
                <w:color w:val="auto"/>
              </w:rPr>
              <w:t>Benefits and Indenture</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112.</w:t>
            </w:r>
          </w:p>
        </w:tc>
        <w:tc>
          <w:tcPr>
            <w:tcW w:w="9320" w:type="dxa"/>
            <w:vAlign w:val="bottom"/>
          </w:tcPr>
          <w:p>
            <w:pPr>
              <w:ind w:left="440"/>
              <w:spacing w:after="0"/>
              <w:rPr>
                <w:sz w:val="20"/>
                <w:szCs w:val="20"/>
                <w:color w:val="auto"/>
              </w:rPr>
            </w:pPr>
            <w:r>
              <w:rPr>
                <w:rFonts w:ascii="Arial" w:cs="Arial" w:eastAsia="Arial" w:hAnsi="Arial"/>
                <w:sz w:val="18"/>
                <w:szCs w:val="18"/>
                <w:color w:val="auto"/>
              </w:rPr>
              <w:t>Governing Law</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113.</w:t>
            </w:r>
          </w:p>
        </w:tc>
        <w:tc>
          <w:tcPr>
            <w:tcW w:w="9320" w:type="dxa"/>
            <w:vAlign w:val="bottom"/>
          </w:tcPr>
          <w:p>
            <w:pPr>
              <w:ind w:left="440"/>
              <w:spacing w:after="0"/>
              <w:rPr>
                <w:sz w:val="20"/>
                <w:szCs w:val="20"/>
                <w:color w:val="auto"/>
              </w:rPr>
            </w:pPr>
            <w:r>
              <w:rPr>
                <w:rFonts w:ascii="Arial" w:cs="Arial" w:eastAsia="Arial" w:hAnsi="Arial"/>
                <w:sz w:val="18"/>
                <w:szCs w:val="18"/>
                <w:color w:val="auto"/>
              </w:rPr>
              <w:t>Legal Holidays</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114.</w:t>
            </w:r>
          </w:p>
        </w:tc>
        <w:tc>
          <w:tcPr>
            <w:tcW w:w="9320" w:type="dxa"/>
            <w:vAlign w:val="bottom"/>
          </w:tcPr>
          <w:p>
            <w:pPr>
              <w:ind w:left="440"/>
              <w:spacing w:after="0"/>
              <w:rPr>
                <w:sz w:val="20"/>
                <w:szCs w:val="20"/>
                <w:color w:val="auto"/>
              </w:rPr>
            </w:pPr>
            <w:r>
              <w:rPr>
                <w:rFonts w:ascii="Arial" w:cs="Arial" w:eastAsia="Arial" w:hAnsi="Arial"/>
                <w:sz w:val="18"/>
                <w:szCs w:val="18"/>
                <w:color w:val="auto"/>
              </w:rPr>
              <w:t>No Recourse Against Others</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0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10940" w:type="dxa"/>
            <w:vAlign w:val="bottom"/>
            <w:gridSpan w:val="2"/>
          </w:tcPr>
          <w:p>
            <w:pPr>
              <w:spacing w:after="0"/>
              <w:rPr>
                <w:sz w:val="20"/>
                <w:szCs w:val="20"/>
                <w:color w:val="auto"/>
              </w:rPr>
            </w:pPr>
            <w:r>
              <w:rPr>
                <w:rFonts w:ascii="Arial" w:cs="Arial" w:eastAsia="Arial" w:hAnsi="Arial"/>
                <w:sz w:val="18"/>
                <w:szCs w:val="18"/>
                <w:color w:val="auto"/>
              </w:rPr>
              <w:t>ARTICLE TWO SECURITY FORMS</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9</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201.</w:t>
            </w:r>
          </w:p>
        </w:tc>
        <w:tc>
          <w:tcPr>
            <w:tcW w:w="9320" w:type="dxa"/>
            <w:vAlign w:val="bottom"/>
          </w:tcPr>
          <w:p>
            <w:pPr>
              <w:ind w:left="440"/>
              <w:spacing w:after="0"/>
              <w:rPr>
                <w:sz w:val="20"/>
                <w:szCs w:val="20"/>
                <w:color w:val="auto"/>
              </w:rPr>
            </w:pPr>
            <w:r>
              <w:rPr>
                <w:rFonts w:ascii="Arial" w:cs="Arial" w:eastAsia="Arial" w:hAnsi="Arial"/>
                <w:sz w:val="18"/>
                <w:szCs w:val="18"/>
                <w:color w:val="auto"/>
              </w:rPr>
              <w:t>Forms Generally</w:t>
            </w:r>
          </w:p>
        </w:tc>
        <w:tc>
          <w:tcPr>
            <w:tcW w:w="42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9</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202.</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Face of Security</w:t>
            </w:r>
          </w:p>
        </w:tc>
        <w:tc>
          <w:tcPr>
            <w:tcW w:w="42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9</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203.</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Reverse of Security</w:t>
            </w:r>
          </w:p>
        </w:tc>
        <w:tc>
          <w:tcPr>
            <w:tcW w:w="420" w:type="dxa"/>
            <w:vAlign w:val="bottom"/>
            <w:gridSpan w:val="3"/>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10</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204.</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Legend for Global Securities</w:t>
            </w:r>
          </w:p>
        </w:tc>
        <w:tc>
          <w:tcPr>
            <w:tcW w:w="420" w:type="dxa"/>
            <w:vAlign w:val="bottom"/>
            <w:gridSpan w:val="3"/>
          </w:tcPr>
          <w:p>
            <w:pPr>
              <w:jc w:val="right"/>
              <w:spacing w:after="0"/>
              <w:rPr>
                <w:rFonts w:ascii="Arial" w:cs="Arial" w:eastAsia="Arial" w:hAnsi="Arial"/>
                <w:sz w:val="18"/>
                <w:szCs w:val="18"/>
                <w:color w:val="0000EE"/>
              </w:rPr>
            </w:pPr>
            <w:hyperlink w:anchor="page48">
              <w:r>
                <w:rPr>
                  <w:rFonts w:ascii="Arial" w:cs="Arial" w:eastAsia="Arial" w:hAnsi="Arial"/>
                  <w:sz w:val="18"/>
                  <w:szCs w:val="18"/>
                  <w:color w:val="0000EE"/>
                </w:rPr>
                <w:t>13</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205.</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Trustee's Certificate of Authentication</w:t>
            </w:r>
          </w:p>
        </w:tc>
        <w:tc>
          <w:tcPr>
            <w:tcW w:w="42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13</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SECTION 206.</w:t>
            </w:r>
          </w:p>
        </w:tc>
        <w:tc>
          <w:tcPr>
            <w:tcW w:w="9320" w:type="dxa"/>
            <w:vAlign w:val="bottom"/>
          </w:tcPr>
          <w:p>
            <w:pPr>
              <w:ind w:left="440"/>
              <w:spacing w:after="0"/>
              <w:rPr>
                <w:sz w:val="20"/>
                <w:szCs w:val="20"/>
                <w:color w:val="auto"/>
              </w:rPr>
            </w:pPr>
            <w:r>
              <w:rPr>
                <w:rFonts w:ascii="Arial" w:cs="Arial" w:eastAsia="Arial" w:hAnsi="Arial"/>
                <w:sz w:val="18"/>
                <w:szCs w:val="18"/>
                <w:color w:val="auto"/>
              </w:rPr>
              <w:t>Form of Conversion Notice</w:t>
            </w:r>
          </w:p>
        </w:tc>
        <w:tc>
          <w:tcPr>
            <w:tcW w:w="420" w:type="dxa"/>
            <w:vAlign w:val="bottom"/>
            <w:gridSpan w:val="3"/>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13</w:t>
              </w:r>
            </w:hyperlink>
          </w:p>
        </w:tc>
      </w:tr>
      <w:tr>
        <w:trPr>
          <w:trHeight w:val="20"/>
        </w:trPr>
        <w:tc>
          <w:tcPr>
            <w:tcW w:w="109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561"/>
        </w:trPr>
        <w:tc>
          <w:tcPr>
            <w:tcW w:w="10940" w:type="dxa"/>
            <w:vAlign w:val="bottom"/>
            <w:gridSpan w:val="2"/>
          </w:tcPr>
          <w:p>
            <w:pPr>
              <w:spacing w:after="0"/>
              <w:rPr>
                <w:sz w:val="20"/>
                <w:szCs w:val="20"/>
                <w:color w:val="auto"/>
              </w:rPr>
            </w:pPr>
            <w:r>
              <w:rPr>
                <w:rFonts w:ascii="Arial" w:cs="Arial" w:eastAsia="Arial" w:hAnsi="Arial"/>
                <w:sz w:val="18"/>
                <w:szCs w:val="18"/>
                <w:color w:val="auto"/>
              </w:rPr>
              <w:t>ARTICLE THREE THE SECURITITES</w:t>
            </w:r>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14</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301.</w:t>
            </w:r>
          </w:p>
        </w:tc>
        <w:tc>
          <w:tcPr>
            <w:tcW w:w="9320" w:type="dxa"/>
            <w:vAlign w:val="bottom"/>
          </w:tcPr>
          <w:p>
            <w:pPr>
              <w:ind w:left="440"/>
              <w:spacing w:after="0"/>
              <w:rPr>
                <w:sz w:val="20"/>
                <w:szCs w:val="20"/>
                <w:color w:val="auto"/>
              </w:rPr>
            </w:pPr>
            <w:r>
              <w:rPr>
                <w:rFonts w:ascii="Arial" w:cs="Arial" w:eastAsia="Arial" w:hAnsi="Arial"/>
                <w:sz w:val="18"/>
                <w:szCs w:val="18"/>
                <w:color w:val="auto"/>
              </w:rPr>
              <w:t>Amount Unlimited; Issuable in Series</w:t>
            </w:r>
          </w:p>
        </w:tc>
        <w:tc>
          <w:tcPr>
            <w:tcW w:w="42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14</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302.</w:t>
            </w:r>
          </w:p>
        </w:tc>
        <w:tc>
          <w:tcPr>
            <w:tcW w:w="9320" w:type="dxa"/>
            <w:vAlign w:val="bottom"/>
          </w:tcPr>
          <w:p>
            <w:pPr>
              <w:ind w:left="440"/>
              <w:spacing w:after="0"/>
              <w:rPr>
                <w:sz w:val="20"/>
                <w:szCs w:val="20"/>
                <w:color w:val="auto"/>
              </w:rPr>
            </w:pPr>
            <w:r>
              <w:rPr>
                <w:rFonts w:ascii="Arial" w:cs="Arial" w:eastAsia="Arial" w:hAnsi="Arial"/>
                <w:sz w:val="18"/>
                <w:szCs w:val="18"/>
                <w:color w:val="auto"/>
              </w:rPr>
              <w:t>Denominations</w:t>
            </w:r>
          </w:p>
        </w:tc>
        <w:tc>
          <w:tcPr>
            <w:tcW w:w="4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16</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303.</w:t>
            </w:r>
          </w:p>
        </w:tc>
        <w:tc>
          <w:tcPr>
            <w:tcW w:w="9320" w:type="dxa"/>
            <w:vAlign w:val="bottom"/>
          </w:tcPr>
          <w:p>
            <w:pPr>
              <w:ind w:left="440"/>
              <w:spacing w:after="0"/>
              <w:rPr>
                <w:sz w:val="20"/>
                <w:szCs w:val="20"/>
                <w:color w:val="auto"/>
              </w:rPr>
            </w:pPr>
            <w:r>
              <w:rPr>
                <w:rFonts w:ascii="Arial" w:cs="Arial" w:eastAsia="Arial" w:hAnsi="Arial"/>
                <w:sz w:val="18"/>
                <w:szCs w:val="18"/>
                <w:color w:val="auto"/>
              </w:rPr>
              <w:t>Execution, Authentication, Delivery and Dating</w:t>
            </w:r>
          </w:p>
        </w:tc>
        <w:tc>
          <w:tcPr>
            <w:tcW w:w="42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16</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304.</w:t>
            </w:r>
          </w:p>
        </w:tc>
        <w:tc>
          <w:tcPr>
            <w:tcW w:w="9320" w:type="dxa"/>
            <w:vAlign w:val="bottom"/>
          </w:tcPr>
          <w:p>
            <w:pPr>
              <w:ind w:left="440"/>
              <w:spacing w:after="0"/>
              <w:rPr>
                <w:sz w:val="20"/>
                <w:szCs w:val="20"/>
                <w:color w:val="auto"/>
              </w:rPr>
            </w:pPr>
            <w:r>
              <w:rPr>
                <w:rFonts w:ascii="Arial" w:cs="Arial" w:eastAsia="Arial" w:hAnsi="Arial"/>
                <w:sz w:val="18"/>
                <w:szCs w:val="18"/>
                <w:color w:val="auto"/>
              </w:rPr>
              <w:t>Temporary Securities</w:t>
            </w:r>
          </w:p>
        </w:tc>
        <w:tc>
          <w:tcPr>
            <w:tcW w:w="42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17</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305.</w:t>
            </w:r>
          </w:p>
        </w:tc>
        <w:tc>
          <w:tcPr>
            <w:tcW w:w="9320" w:type="dxa"/>
            <w:vAlign w:val="bottom"/>
          </w:tcPr>
          <w:p>
            <w:pPr>
              <w:ind w:left="440"/>
              <w:spacing w:after="0"/>
              <w:rPr>
                <w:sz w:val="20"/>
                <w:szCs w:val="20"/>
                <w:color w:val="auto"/>
              </w:rPr>
            </w:pPr>
            <w:r>
              <w:rPr>
                <w:rFonts w:ascii="Arial" w:cs="Arial" w:eastAsia="Arial" w:hAnsi="Arial"/>
                <w:sz w:val="18"/>
                <w:szCs w:val="18"/>
                <w:color w:val="auto"/>
              </w:rPr>
              <w:t>Registration, Registration of Transfer and Exchange</w:t>
            </w:r>
          </w:p>
        </w:tc>
        <w:tc>
          <w:tcPr>
            <w:tcW w:w="42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17</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306.</w:t>
            </w:r>
          </w:p>
        </w:tc>
        <w:tc>
          <w:tcPr>
            <w:tcW w:w="9320" w:type="dxa"/>
            <w:vAlign w:val="bottom"/>
          </w:tcPr>
          <w:p>
            <w:pPr>
              <w:ind w:left="440"/>
              <w:spacing w:after="0"/>
              <w:rPr>
                <w:sz w:val="20"/>
                <w:szCs w:val="20"/>
                <w:color w:val="auto"/>
              </w:rPr>
            </w:pPr>
            <w:r>
              <w:rPr>
                <w:rFonts w:ascii="Arial" w:cs="Arial" w:eastAsia="Arial" w:hAnsi="Arial"/>
                <w:sz w:val="18"/>
                <w:szCs w:val="18"/>
                <w:color w:val="auto"/>
              </w:rPr>
              <w:t>Mutilated, Destroyed, Lost and Stolen Securities</w:t>
            </w:r>
          </w:p>
        </w:tc>
        <w:tc>
          <w:tcPr>
            <w:tcW w:w="4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18</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307.</w:t>
            </w:r>
          </w:p>
        </w:tc>
        <w:tc>
          <w:tcPr>
            <w:tcW w:w="9320" w:type="dxa"/>
            <w:vAlign w:val="bottom"/>
          </w:tcPr>
          <w:p>
            <w:pPr>
              <w:ind w:left="440"/>
              <w:spacing w:after="0"/>
              <w:rPr>
                <w:sz w:val="20"/>
                <w:szCs w:val="20"/>
                <w:color w:val="auto"/>
              </w:rPr>
            </w:pPr>
            <w:r>
              <w:rPr>
                <w:rFonts w:ascii="Arial" w:cs="Arial" w:eastAsia="Arial" w:hAnsi="Arial"/>
                <w:sz w:val="18"/>
                <w:szCs w:val="18"/>
                <w:color w:val="auto"/>
              </w:rPr>
              <w:t>Payment of Interest; Interest Rights Preserved</w:t>
            </w:r>
          </w:p>
        </w:tc>
        <w:tc>
          <w:tcPr>
            <w:tcW w:w="42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19</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308.</w:t>
            </w:r>
          </w:p>
        </w:tc>
        <w:tc>
          <w:tcPr>
            <w:tcW w:w="9320" w:type="dxa"/>
            <w:vAlign w:val="bottom"/>
          </w:tcPr>
          <w:p>
            <w:pPr>
              <w:ind w:left="440"/>
              <w:spacing w:after="0"/>
              <w:rPr>
                <w:sz w:val="20"/>
                <w:szCs w:val="20"/>
                <w:color w:val="auto"/>
              </w:rPr>
            </w:pPr>
            <w:r>
              <w:rPr>
                <w:rFonts w:ascii="Arial" w:cs="Arial" w:eastAsia="Arial" w:hAnsi="Arial"/>
                <w:sz w:val="18"/>
                <w:szCs w:val="18"/>
                <w:color w:val="auto"/>
              </w:rPr>
              <w:t>Persons Deemed Owners</w:t>
            </w:r>
          </w:p>
        </w:tc>
        <w:tc>
          <w:tcPr>
            <w:tcW w:w="420" w:type="dxa"/>
            <w:vAlign w:val="bottom"/>
            <w:gridSpan w:val="3"/>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19</w:t>
              </w:r>
            </w:hyperlink>
          </w:p>
        </w:tc>
      </w:tr>
      <w:tr>
        <w:trPr>
          <w:trHeight w:val="20"/>
        </w:trPr>
        <w:tc>
          <w:tcPr>
            <w:tcW w:w="16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360"/>
          </w:cols>
          <w:pgMar w:left="280" w:top="832" w:right="25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SECTION 309.</w:t>
            </w:r>
          </w:p>
        </w:tc>
        <w:tc>
          <w:tcPr>
            <w:tcW w:w="9540" w:type="dxa"/>
            <w:vAlign w:val="bottom"/>
          </w:tcPr>
          <w:p>
            <w:pPr>
              <w:ind w:left="440"/>
              <w:spacing w:after="0"/>
              <w:rPr>
                <w:sz w:val="20"/>
                <w:szCs w:val="20"/>
                <w:color w:val="auto"/>
              </w:rPr>
            </w:pPr>
            <w:r>
              <w:rPr>
                <w:rFonts w:ascii="Arial" w:cs="Arial" w:eastAsia="Arial" w:hAnsi="Arial"/>
                <w:sz w:val="18"/>
                <w:szCs w:val="18"/>
                <w:color w:val="auto"/>
              </w:rPr>
              <w:t>Cancellation</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19</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310.</w:t>
            </w:r>
          </w:p>
        </w:tc>
        <w:tc>
          <w:tcPr>
            <w:tcW w:w="9540" w:type="dxa"/>
            <w:vAlign w:val="bottom"/>
          </w:tcPr>
          <w:p>
            <w:pPr>
              <w:ind w:left="440"/>
              <w:spacing w:after="0"/>
              <w:rPr>
                <w:sz w:val="20"/>
                <w:szCs w:val="20"/>
                <w:color w:val="auto"/>
              </w:rPr>
            </w:pPr>
            <w:r>
              <w:rPr>
                <w:rFonts w:ascii="Arial" w:cs="Arial" w:eastAsia="Arial" w:hAnsi="Arial"/>
                <w:sz w:val="18"/>
                <w:szCs w:val="18"/>
                <w:color w:val="auto"/>
              </w:rPr>
              <w:t>Computation of Interest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20</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FOUR SATISFACTION AND DISCHARGE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20</w:t>
              </w:r>
            </w:hyperlink>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401.</w:t>
            </w:r>
          </w:p>
        </w:tc>
        <w:tc>
          <w:tcPr>
            <w:tcW w:w="9540" w:type="dxa"/>
            <w:vAlign w:val="bottom"/>
          </w:tcPr>
          <w:p>
            <w:pPr>
              <w:ind w:left="440"/>
              <w:spacing w:after="0"/>
              <w:rPr>
                <w:sz w:val="20"/>
                <w:szCs w:val="20"/>
                <w:color w:val="auto"/>
              </w:rPr>
            </w:pPr>
            <w:r>
              <w:rPr>
                <w:rFonts w:ascii="Arial" w:cs="Arial" w:eastAsia="Arial" w:hAnsi="Arial"/>
                <w:sz w:val="18"/>
                <w:szCs w:val="18"/>
                <w:color w:val="auto"/>
              </w:rPr>
              <w:t>Satisfaction and Discharge of Indenture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20</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402.</w:t>
            </w:r>
          </w:p>
        </w:tc>
        <w:tc>
          <w:tcPr>
            <w:tcW w:w="9540" w:type="dxa"/>
            <w:vAlign w:val="bottom"/>
          </w:tcPr>
          <w:p>
            <w:pPr>
              <w:ind w:left="440"/>
              <w:spacing w:after="0"/>
              <w:rPr>
                <w:sz w:val="20"/>
                <w:szCs w:val="20"/>
                <w:color w:val="auto"/>
              </w:rPr>
            </w:pPr>
            <w:r>
              <w:rPr>
                <w:rFonts w:ascii="Arial" w:cs="Arial" w:eastAsia="Arial" w:hAnsi="Arial"/>
                <w:sz w:val="18"/>
                <w:szCs w:val="18"/>
                <w:color w:val="auto"/>
              </w:rPr>
              <w:t>Application of Trust Money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20</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FIVE REMEDIES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501.</w:t>
            </w:r>
          </w:p>
        </w:tc>
        <w:tc>
          <w:tcPr>
            <w:tcW w:w="9540" w:type="dxa"/>
            <w:vAlign w:val="bottom"/>
          </w:tcPr>
          <w:p>
            <w:pPr>
              <w:ind w:left="440"/>
              <w:spacing w:after="0"/>
              <w:rPr>
                <w:sz w:val="20"/>
                <w:szCs w:val="20"/>
                <w:color w:val="auto"/>
              </w:rPr>
            </w:pPr>
            <w:r>
              <w:rPr>
                <w:rFonts w:ascii="Arial" w:cs="Arial" w:eastAsia="Arial" w:hAnsi="Arial"/>
                <w:sz w:val="18"/>
                <w:szCs w:val="18"/>
                <w:color w:val="auto"/>
              </w:rPr>
              <w:t>Events of Default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502.</w:t>
            </w:r>
          </w:p>
        </w:tc>
        <w:tc>
          <w:tcPr>
            <w:tcW w:w="9540" w:type="dxa"/>
            <w:vAlign w:val="bottom"/>
          </w:tcPr>
          <w:p>
            <w:pPr>
              <w:ind w:left="440"/>
              <w:spacing w:after="0"/>
              <w:rPr>
                <w:sz w:val="20"/>
                <w:szCs w:val="20"/>
                <w:color w:val="auto"/>
              </w:rPr>
            </w:pPr>
            <w:r>
              <w:rPr>
                <w:rFonts w:ascii="Arial" w:cs="Arial" w:eastAsia="Arial" w:hAnsi="Arial"/>
                <w:sz w:val="18"/>
                <w:szCs w:val="18"/>
                <w:color w:val="auto"/>
              </w:rPr>
              <w:t>Acceleration of Maturity; Rescission and Annulment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22</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503.</w:t>
            </w:r>
          </w:p>
        </w:tc>
        <w:tc>
          <w:tcPr>
            <w:tcW w:w="9540" w:type="dxa"/>
            <w:vAlign w:val="bottom"/>
          </w:tcPr>
          <w:p>
            <w:pPr>
              <w:ind w:left="440"/>
              <w:spacing w:after="0"/>
              <w:rPr>
                <w:sz w:val="20"/>
                <w:szCs w:val="20"/>
                <w:color w:val="auto"/>
              </w:rPr>
            </w:pPr>
            <w:r>
              <w:rPr>
                <w:rFonts w:ascii="Arial" w:cs="Arial" w:eastAsia="Arial" w:hAnsi="Arial"/>
                <w:sz w:val="18"/>
                <w:szCs w:val="18"/>
                <w:color w:val="auto"/>
              </w:rPr>
              <w:t>Collection of Indebtedness and Suits for Enforcement by Trustee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22</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504.</w:t>
            </w:r>
          </w:p>
        </w:tc>
        <w:tc>
          <w:tcPr>
            <w:tcW w:w="9540" w:type="dxa"/>
            <w:vAlign w:val="bottom"/>
          </w:tcPr>
          <w:p>
            <w:pPr>
              <w:ind w:left="440"/>
              <w:spacing w:after="0"/>
              <w:rPr>
                <w:sz w:val="20"/>
                <w:szCs w:val="20"/>
                <w:color w:val="auto"/>
              </w:rPr>
            </w:pPr>
            <w:r>
              <w:rPr>
                <w:rFonts w:ascii="Arial" w:cs="Arial" w:eastAsia="Arial" w:hAnsi="Arial"/>
                <w:sz w:val="18"/>
                <w:szCs w:val="18"/>
                <w:color w:val="auto"/>
              </w:rPr>
              <w:t>Trustee May File Proofs of Claim</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23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505.</w:t>
            </w:r>
          </w:p>
        </w:tc>
        <w:tc>
          <w:tcPr>
            <w:tcW w:w="9540" w:type="dxa"/>
            <w:vAlign w:val="bottom"/>
          </w:tcPr>
          <w:p>
            <w:pPr>
              <w:ind w:left="440"/>
              <w:spacing w:after="0"/>
              <w:rPr>
                <w:sz w:val="20"/>
                <w:szCs w:val="20"/>
                <w:color w:val="auto"/>
              </w:rPr>
            </w:pPr>
            <w:r>
              <w:rPr>
                <w:rFonts w:ascii="Arial" w:cs="Arial" w:eastAsia="Arial" w:hAnsi="Arial"/>
                <w:sz w:val="18"/>
                <w:szCs w:val="18"/>
                <w:color w:val="auto"/>
              </w:rPr>
              <w:t>Trustee May Enforce Claims Without Possession of Securities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23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506.</w:t>
            </w:r>
          </w:p>
        </w:tc>
        <w:tc>
          <w:tcPr>
            <w:tcW w:w="9540" w:type="dxa"/>
            <w:vAlign w:val="bottom"/>
          </w:tcPr>
          <w:p>
            <w:pPr>
              <w:ind w:left="440"/>
              <w:spacing w:after="0"/>
              <w:rPr>
                <w:sz w:val="20"/>
                <w:szCs w:val="20"/>
                <w:color w:val="auto"/>
              </w:rPr>
            </w:pPr>
            <w:r>
              <w:rPr>
                <w:rFonts w:ascii="Arial" w:cs="Arial" w:eastAsia="Arial" w:hAnsi="Arial"/>
                <w:sz w:val="18"/>
                <w:szCs w:val="18"/>
                <w:color w:val="auto"/>
              </w:rPr>
              <w:t>Application of Money Collected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23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507.</w:t>
            </w:r>
          </w:p>
        </w:tc>
        <w:tc>
          <w:tcPr>
            <w:tcW w:w="9540" w:type="dxa"/>
            <w:vAlign w:val="bottom"/>
          </w:tcPr>
          <w:p>
            <w:pPr>
              <w:ind w:left="440"/>
              <w:spacing w:after="0"/>
              <w:rPr>
                <w:sz w:val="20"/>
                <w:szCs w:val="20"/>
                <w:color w:val="auto"/>
              </w:rPr>
            </w:pPr>
            <w:r>
              <w:rPr>
                <w:rFonts w:ascii="Arial" w:cs="Arial" w:eastAsia="Arial" w:hAnsi="Arial"/>
                <w:sz w:val="18"/>
                <w:szCs w:val="18"/>
                <w:color w:val="auto"/>
              </w:rPr>
              <w:t>Limitation on Suits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23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508.</w:t>
            </w:r>
          </w:p>
        </w:tc>
        <w:tc>
          <w:tcPr>
            <w:tcW w:w="9540" w:type="dxa"/>
            <w:vAlign w:val="bottom"/>
          </w:tcPr>
          <w:p>
            <w:pPr>
              <w:ind w:left="440"/>
              <w:spacing w:after="0"/>
              <w:rPr>
                <w:sz w:val="20"/>
                <w:szCs w:val="20"/>
                <w:color w:val="auto"/>
              </w:rPr>
            </w:pPr>
            <w:r>
              <w:rPr>
                <w:rFonts w:ascii="Arial" w:cs="Arial" w:eastAsia="Arial" w:hAnsi="Arial"/>
                <w:sz w:val="18"/>
                <w:szCs w:val="18"/>
                <w:color w:val="auto"/>
              </w:rPr>
              <w:t>Unconditional Right of Holders to Receive Principal, Premium and Interest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509.</w:t>
            </w:r>
          </w:p>
        </w:tc>
        <w:tc>
          <w:tcPr>
            <w:tcW w:w="9540" w:type="dxa"/>
            <w:vAlign w:val="bottom"/>
          </w:tcPr>
          <w:p>
            <w:pPr>
              <w:ind w:left="440"/>
              <w:spacing w:after="0"/>
              <w:rPr>
                <w:sz w:val="20"/>
                <w:szCs w:val="20"/>
                <w:color w:val="auto"/>
              </w:rPr>
            </w:pPr>
            <w:r>
              <w:rPr>
                <w:rFonts w:ascii="Arial" w:cs="Arial" w:eastAsia="Arial" w:hAnsi="Arial"/>
                <w:sz w:val="18"/>
                <w:szCs w:val="18"/>
                <w:color w:val="auto"/>
              </w:rPr>
              <w:t>Restoration of Rights and Remedies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510.</w:t>
            </w:r>
          </w:p>
        </w:tc>
        <w:tc>
          <w:tcPr>
            <w:tcW w:w="9540" w:type="dxa"/>
            <w:vAlign w:val="bottom"/>
          </w:tcPr>
          <w:p>
            <w:pPr>
              <w:ind w:left="440"/>
              <w:spacing w:after="0"/>
              <w:rPr>
                <w:sz w:val="20"/>
                <w:szCs w:val="20"/>
                <w:color w:val="auto"/>
              </w:rPr>
            </w:pPr>
            <w:r>
              <w:rPr>
                <w:rFonts w:ascii="Arial" w:cs="Arial" w:eastAsia="Arial" w:hAnsi="Arial"/>
                <w:sz w:val="18"/>
                <w:szCs w:val="18"/>
                <w:color w:val="auto"/>
              </w:rPr>
              <w:t>Rights and Remedies Cumulative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511.</w:t>
            </w:r>
          </w:p>
        </w:tc>
        <w:tc>
          <w:tcPr>
            <w:tcW w:w="9540" w:type="dxa"/>
            <w:vAlign w:val="bottom"/>
          </w:tcPr>
          <w:p>
            <w:pPr>
              <w:ind w:left="440"/>
              <w:spacing w:after="0"/>
              <w:rPr>
                <w:sz w:val="20"/>
                <w:szCs w:val="20"/>
                <w:color w:val="auto"/>
              </w:rPr>
            </w:pPr>
            <w:r>
              <w:rPr>
                <w:rFonts w:ascii="Arial" w:cs="Arial" w:eastAsia="Arial" w:hAnsi="Arial"/>
                <w:sz w:val="18"/>
                <w:szCs w:val="18"/>
                <w:color w:val="auto"/>
              </w:rPr>
              <w:t>Delay or Omission Not Waiver</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512.</w:t>
            </w:r>
          </w:p>
        </w:tc>
        <w:tc>
          <w:tcPr>
            <w:tcW w:w="9540" w:type="dxa"/>
            <w:vAlign w:val="bottom"/>
          </w:tcPr>
          <w:p>
            <w:pPr>
              <w:ind w:left="440"/>
              <w:spacing w:after="0"/>
              <w:rPr>
                <w:sz w:val="20"/>
                <w:szCs w:val="20"/>
                <w:color w:val="auto"/>
              </w:rPr>
            </w:pPr>
            <w:r>
              <w:rPr>
                <w:rFonts w:ascii="Arial" w:cs="Arial" w:eastAsia="Arial" w:hAnsi="Arial"/>
                <w:sz w:val="18"/>
                <w:szCs w:val="18"/>
                <w:color w:val="auto"/>
              </w:rPr>
              <w:t>Control by Holders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24</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513.</w:t>
            </w:r>
          </w:p>
        </w:tc>
        <w:tc>
          <w:tcPr>
            <w:tcW w:w="9540" w:type="dxa"/>
            <w:vAlign w:val="bottom"/>
          </w:tcPr>
          <w:p>
            <w:pPr>
              <w:ind w:left="440"/>
              <w:spacing w:after="0"/>
              <w:rPr>
                <w:sz w:val="20"/>
                <w:szCs w:val="20"/>
                <w:color w:val="auto"/>
              </w:rPr>
            </w:pPr>
            <w:r>
              <w:rPr>
                <w:rFonts w:ascii="Arial" w:cs="Arial" w:eastAsia="Arial" w:hAnsi="Arial"/>
                <w:sz w:val="18"/>
                <w:szCs w:val="18"/>
                <w:color w:val="auto"/>
              </w:rPr>
              <w:t>Waiver of Past Defaults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514.</w:t>
            </w:r>
          </w:p>
        </w:tc>
        <w:tc>
          <w:tcPr>
            <w:tcW w:w="9540" w:type="dxa"/>
            <w:vAlign w:val="bottom"/>
          </w:tcPr>
          <w:p>
            <w:pPr>
              <w:ind w:left="440"/>
              <w:spacing w:after="0"/>
              <w:rPr>
                <w:sz w:val="20"/>
                <w:szCs w:val="20"/>
                <w:color w:val="auto"/>
              </w:rPr>
            </w:pPr>
            <w:r>
              <w:rPr>
                <w:rFonts w:ascii="Arial" w:cs="Arial" w:eastAsia="Arial" w:hAnsi="Arial"/>
                <w:sz w:val="18"/>
                <w:szCs w:val="18"/>
                <w:color w:val="auto"/>
              </w:rPr>
              <w:t>Undertaking for Costs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515.</w:t>
            </w:r>
          </w:p>
        </w:tc>
        <w:tc>
          <w:tcPr>
            <w:tcW w:w="9540" w:type="dxa"/>
            <w:vAlign w:val="bottom"/>
          </w:tcPr>
          <w:p>
            <w:pPr>
              <w:ind w:left="440"/>
              <w:spacing w:after="0"/>
              <w:rPr>
                <w:sz w:val="20"/>
                <w:szCs w:val="20"/>
                <w:color w:val="auto"/>
              </w:rPr>
            </w:pPr>
            <w:r>
              <w:rPr>
                <w:rFonts w:ascii="Arial" w:cs="Arial" w:eastAsia="Arial" w:hAnsi="Arial"/>
                <w:sz w:val="18"/>
                <w:szCs w:val="18"/>
                <w:color w:val="auto"/>
              </w:rPr>
              <w:t>Waiver of Usury, Stay or Extension Laws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SIX THE TRUSTEE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601.</w:t>
            </w:r>
          </w:p>
        </w:tc>
        <w:tc>
          <w:tcPr>
            <w:tcW w:w="9540" w:type="dxa"/>
            <w:vAlign w:val="bottom"/>
          </w:tcPr>
          <w:p>
            <w:pPr>
              <w:ind w:left="440"/>
              <w:spacing w:after="0"/>
              <w:rPr>
                <w:sz w:val="20"/>
                <w:szCs w:val="20"/>
                <w:color w:val="auto"/>
              </w:rPr>
            </w:pPr>
            <w:r>
              <w:rPr>
                <w:rFonts w:ascii="Arial" w:cs="Arial" w:eastAsia="Arial" w:hAnsi="Arial"/>
                <w:sz w:val="18"/>
                <w:szCs w:val="18"/>
                <w:color w:val="auto"/>
              </w:rPr>
              <w:t>Certain Duties and Responsibilities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602.</w:t>
            </w:r>
          </w:p>
        </w:tc>
        <w:tc>
          <w:tcPr>
            <w:tcW w:w="9540" w:type="dxa"/>
            <w:vAlign w:val="bottom"/>
          </w:tcPr>
          <w:p>
            <w:pPr>
              <w:ind w:left="440"/>
              <w:spacing w:after="0"/>
              <w:rPr>
                <w:sz w:val="20"/>
                <w:szCs w:val="20"/>
                <w:color w:val="auto"/>
              </w:rPr>
            </w:pPr>
            <w:r>
              <w:rPr>
                <w:rFonts w:ascii="Arial" w:cs="Arial" w:eastAsia="Arial" w:hAnsi="Arial"/>
                <w:sz w:val="18"/>
                <w:szCs w:val="18"/>
                <w:color w:val="auto"/>
              </w:rPr>
              <w:t>Notice of Defaults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25</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603.</w:t>
            </w:r>
          </w:p>
        </w:tc>
        <w:tc>
          <w:tcPr>
            <w:tcW w:w="9540" w:type="dxa"/>
            <w:vAlign w:val="bottom"/>
          </w:tcPr>
          <w:p>
            <w:pPr>
              <w:ind w:left="440"/>
              <w:spacing w:after="0"/>
              <w:rPr>
                <w:sz w:val="20"/>
                <w:szCs w:val="20"/>
                <w:color w:val="auto"/>
              </w:rPr>
            </w:pPr>
            <w:r>
              <w:rPr>
                <w:rFonts w:ascii="Arial" w:cs="Arial" w:eastAsia="Arial" w:hAnsi="Arial"/>
                <w:sz w:val="18"/>
                <w:szCs w:val="18"/>
                <w:color w:val="auto"/>
              </w:rPr>
              <w:t>Certain Rights of Trustee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26</w:t>
              </w:r>
            </w:hyperlink>
          </w:p>
        </w:tc>
      </w:tr>
    </w:tbl>
    <w:p>
      <w:pPr>
        <w:spacing w:after="0" w:line="200" w:lineRule="exact"/>
        <w:rPr>
          <w:sz w:val="20"/>
          <w:szCs w:val="20"/>
          <w:color w:val="auto"/>
        </w:rPr>
      </w:pPr>
    </w:p>
    <w:p>
      <w:pPr>
        <w:sectPr>
          <w:pgSz w:w="11900" w:h="16838" w:orient="portrait"/>
          <w:cols w:equalWidth="0" w:num="1">
            <w:col w:w="11360"/>
          </w:cols>
          <w:pgMar w:left="280" w:top="729" w:right="259" w:bottom="1440"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1360"/>
          </w:cols>
          <w:pgMar w:left="280" w:top="729" w:right="25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20"/>
                <w:szCs w:val="20"/>
                <w:color w:val="auto"/>
              </w:rPr>
            </w:pPr>
            <w:r>
              <w:rPr>
                <w:rFonts w:ascii="Arial" w:cs="Arial" w:eastAsia="Arial" w:hAnsi="Arial"/>
                <w:sz w:val="18"/>
                <w:szCs w:val="18"/>
                <w:color w:val="auto"/>
              </w:rPr>
              <w:t>SECTION 604.</w:t>
            </w:r>
          </w:p>
        </w:tc>
        <w:tc>
          <w:tcPr>
            <w:tcW w:w="9540" w:type="dxa"/>
            <w:vAlign w:val="bottom"/>
          </w:tcPr>
          <w:p>
            <w:pPr>
              <w:ind w:left="440"/>
              <w:spacing w:after="0"/>
              <w:rPr>
                <w:sz w:val="20"/>
                <w:szCs w:val="20"/>
                <w:color w:val="auto"/>
              </w:rPr>
            </w:pPr>
            <w:r>
              <w:rPr>
                <w:rFonts w:ascii="Arial" w:cs="Arial" w:eastAsia="Arial" w:hAnsi="Arial"/>
                <w:sz w:val="18"/>
                <w:szCs w:val="18"/>
                <w:color w:val="auto"/>
              </w:rPr>
              <w:t>Not Responsible for Recitals or Issuance of Securities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26</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605.</w:t>
            </w:r>
          </w:p>
        </w:tc>
        <w:tc>
          <w:tcPr>
            <w:tcW w:w="9540" w:type="dxa"/>
            <w:vAlign w:val="bottom"/>
          </w:tcPr>
          <w:p>
            <w:pPr>
              <w:ind w:left="440"/>
              <w:spacing w:after="0"/>
              <w:rPr>
                <w:sz w:val="20"/>
                <w:szCs w:val="20"/>
                <w:color w:val="auto"/>
              </w:rPr>
            </w:pPr>
            <w:r>
              <w:rPr>
                <w:rFonts w:ascii="Arial" w:cs="Arial" w:eastAsia="Arial" w:hAnsi="Arial"/>
                <w:sz w:val="18"/>
                <w:szCs w:val="18"/>
                <w:color w:val="auto"/>
              </w:rPr>
              <w:t>May Hold Securities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26</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606.</w:t>
            </w:r>
          </w:p>
        </w:tc>
        <w:tc>
          <w:tcPr>
            <w:tcW w:w="9540" w:type="dxa"/>
            <w:vAlign w:val="bottom"/>
          </w:tcPr>
          <w:p>
            <w:pPr>
              <w:ind w:left="440"/>
              <w:spacing w:after="0"/>
              <w:rPr>
                <w:sz w:val="20"/>
                <w:szCs w:val="20"/>
                <w:color w:val="auto"/>
              </w:rPr>
            </w:pPr>
            <w:r>
              <w:rPr>
                <w:rFonts w:ascii="Arial" w:cs="Arial" w:eastAsia="Arial" w:hAnsi="Arial"/>
                <w:sz w:val="18"/>
                <w:szCs w:val="18"/>
                <w:color w:val="auto"/>
              </w:rPr>
              <w:t>Money Held in Trust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27</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607.</w:t>
            </w:r>
          </w:p>
        </w:tc>
        <w:tc>
          <w:tcPr>
            <w:tcW w:w="9540" w:type="dxa"/>
            <w:vAlign w:val="bottom"/>
          </w:tcPr>
          <w:p>
            <w:pPr>
              <w:ind w:left="440"/>
              <w:spacing w:after="0"/>
              <w:rPr>
                <w:sz w:val="20"/>
                <w:szCs w:val="20"/>
                <w:color w:val="auto"/>
              </w:rPr>
            </w:pPr>
            <w:r>
              <w:rPr>
                <w:rFonts w:ascii="Arial" w:cs="Arial" w:eastAsia="Arial" w:hAnsi="Arial"/>
                <w:sz w:val="18"/>
                <w:szCs w:val="18"/>
                <w:color w:val="auto"/>
              </w:rPr>
              <w:t>Compensation and Reimbursement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27</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608.</w:t>
            </w:r>
          </w:p>
        </w:tc>
        <w:tc>
          <w:tcPr>
            <w:tcW w:w="9540" w:type="dxa"/>
            <w:vAlign w:val="bottom"/>
          </w:tcPr>
          <w:p>
            <w:pPr>
              <w:ind w:left="440"/>
              <w:spacing w:after="0"/>
              <w:rPr>
                <w:sz w:val="20"/>
                <w:szCs w:val="20"/>
                <w:color w:val="auto"/>
              </w:rPr>
            </w:pPr>
            <w:r>
              <w:rPr>
                <w:rFonts w:ascii="Arial" w:cs="Arial" w:eastAsia="Arial" w:hAnsi="Arial"/>
                <w:sz w:val="18"/>
                <w:szCs w:val="18"/>
                <w:color w:val="auto"/>
              </w:rPr>
              <w:t>Conflicting Interests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27</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609.</w:t>
            </w:r>
          </w:p>
        </w:tc>
        <w:tc>
          <w:tcPr>
            <w:tcW w:w="9540" w:type="dxa"/>
            <w:vAlign w:val="bottom"/>
          </w:tcPr>
          <w:p>
            <w:pPr>
              <w:ind w:left="440"/>
              <w:spacing w:after="0"/>
              <w:rPr>
                <w:sz w:val="20"/>
                <w:szCs w:val="20"/>
                <w:color w:val="auto"/>
              </w:rPr>
            </w:pPr>
            <w:r>
              <w:rPr>
                <w:rFonts w:ascii="Arial" w:cs="Arial" w:eastAsia="Arial" w:hAnsi="Arial"/>
                <w:sz w:val="18"/>
                <w:szCs w:val="18"/>
                <w:color w:val="auto"/>
              </w:rPr>
              <w:t>Corporate Trustee Required; Eligibility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27</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610.</w:t>
            </w:r>
          </w:p>
        </w:tc>
        <w:tc>
          <w:tcPr>
            <w:tcW w:w="9540" w:type="dxa"/>
            <w:vAlign w:val="bottom"/>
          </w:tcPr>
          <w:p>
            <w:pPr>
              <w:ind w:left="440"/>
              <w:spacing w:after="0"/>
              <w:rPr>
                <w:sz w:val="20"/>
                <w:szCs w:val="20"/>
                <w:color w:val="auto"/>
              </w:rPr>
            </w:pPr>
            <w:r>
              <w:rPr>
                <w:rFonts w:ascii="Arial" w:cs="Arial" w:eastAsia="Arial" w:hAnsi="Arial"/>
                <w:sz w:val="18"/>
                <w:szCs w:val="18"/>
                <w:color w:val="auto"/>
              </w:rPr>
              <w:t>Resignation and Removal; Appointment of Successor</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27</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611.</w:t>
            </w:r>
          </w:p>
        </w:tc>
        <w:tc>
          <w:tcPr>
            <w:tcW w:w="9540" w:type="dxa"/>
            <w:vAlign w:val="bottom"/>
          </w:tcPr>
          <w:p>
            <w:pPr>
              <w:ind w:left="440"/>
              <w:spacing w:after="0"/>
              <w:rPr>
                <w:sz w:val="20"/>
                <w:szCs w:val="20"/>
                <w:color w:val="auto"/>
              </w:rPr>
            </w:pPr>
            <w:r>
              <w:rPr>
                <w:rFonts w:ascii="Arial" w:cs="Arial" w:eastAsia="Arial" w:hAnsi="Arial"/>
                <w:sz w:val="18"/>
                <w:szCs w:val="18"/>
                <w:color w:val="auto"/>
              </w:rPr>
              <w:t>Acceptance of Appointment by Successor</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28</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612.</w:t>
            </w:r>
          </w:p>
        </w:tc>
        <w:tc>
          <w:tcPr>
            <w:tcW w:w="9540" w:type="dxa"/>
            <w:vAlign w:val="bottom"/>
          </w:tcPr>
          <w:p>
            <w:pPr>
              <w:ind w:left="440"/>
              <w:spacing w:after="0"/>
              <w:rPr>
                <w:sz w:val="20"/>
                <w:szCs w:val="20"/>
                <w:color w:val="auto"/>
              </w:rPr>
            </w:pPr>
            <w:r>
              <w:rPr>
                <w:rFonts w:ascii="Arial" w:cs="Arial" w:eastAsia="Arial" w:hAnsi="Arial"/>
                <w:sz w:val="18"/>
                <w:szCs w:val="18"/>
                <w:color w:val="auto"/>
              </w:rPr>
              <w:t>Merger, Conversion, Consolidation or Succession to Business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29</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613.</w:t>
            </w:r>
          </w:p>
        </w:tc>
        <w:tc>
          <w:tcPr>
            <w:tcW w:w="9540" w:type="dxa"/>
            <w:vAlign w:val="bottom"/>
          </w:tcPr>
          <w:p>
            <w:pPr>
              <w:ind w:left="440"/>
              <w:spacing w:after="0"/>
              <w:rPr>
                <w:sz w:val="20"/>
                <w:szCs w:val="20"/>
                <w:color w:val="auto"/>
              </w:rPr>
            </w:pPr>
            <w:r>
              <w:rPr>
                <w:rFonts w:ascii="Arial" w:cs="Arial" w:eastAsia="Arial" w:hAnsi="Arial"/>
                <w:sz w:val="18"/>
                <w:szCs w:val="18"/>
                <w:color w:val="auto"/>
              </w:rPr>
              <w:t>Preferential Collection of Claims Against Company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29</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614.</w:t>
            </w:r>
          </w:p>
        </w:tc>
        <w:tc>
          <w:tcPr>
            <w:tcW w:w="9540" w:type="dxa"/>
            <w:vAlign w:val="bottom"/>
          </w:tcPr>
          <w:p>
            <w:pPr>
              <w:ind w:left="440"/>
              <w:spacing w:after="0"/>
              <w:rPr>
                <w:sz w:val="20"/>
                <w:szCs w:val="20"/>
                <w:color w:val="auto"/>
              </w:rPr>
            </w:pPr>
            <w:r>
              <w:rPr>
                <w:rFonts w:ascii="Arial" w:cs="Arial" w:eastAsia="Arial" w:hAnsi="Arial"/>
                <w:sz w:val="18"/>
                <w:szCs w:val="18"/>
                <w:color w:val="auto"/>
              </w:rPr>
              <w:t>Appointment of Authenticating Agent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29</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SEVEN HOLDERS’ LISTS AND REPORTS BY TRUSTEE AND COMPANY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30</w:t>
              </w:r>
            </w:hyperlink>
          </w:p>
        </w:tc>
      </w:tr>
      <w:tr>
        <w:trPr>
          <w:trHeight w:val="763"/>
        </w:trPr>
        <w:tc>
          <w:tcPr>
            <w:tcW w:w="1620" w:type="dxa"/>
            <w:vAlign w:val="bottom"/>
          </w:tcPr>
          <w:p>
            <w:pPr>
              <w:spacing w:after="0"/>
              <w:rPr>
                <w:sz w:val="20"/>
                <w:szCs w:val="20"/>
                <w:color w:val="auto"/>
              </w:rPr>
            </w:pPr>
            <w:r>
              <w:rPr>
                <w:rFonts w:ascii="Arial" w:cs="Arial" w:eastAsia="Arial" w:hAnsi="Arial"/>
                <w:sz w:val="18"/>
                <w:szCs w:val="18"/>
                <w:color w:val="auto"/>
              </w:rPr>
              <w:t>SECTION 701.</w:t>
            </w:r>
          </w:p>
        </w:tc>
        <w:tc>
          <w:tcPr>
            <w:tcW w:w="9540" w:type="dxa"/>
            <w:vAlign w:val="bottom"/>
          </w:tcPr>
          <w:p>
            <w:pPr>
              <w:ind w:left="440"/>
              <w:spacing w:after="0"/>
              <w:rPr>
                <w:sz w:val="20"/>
                <w:szCs w:val="20"/>
                <w:color w:val="auto"/>
              </w:rPr>
            </w:pPr>
            <w:r>
              <w:rPr>
                <w:rFonts w:ascii="Arial" w:cs="Arial" w:eastAsia="Arial" w:hAnsi="Arial"/>
                <w:sz w:val="18"/>
                <w:szCs w:val="18"/>
                <w:color w:val="auto"/>
              </w:rPr>
              <w:t>Company to Furnish Trustee Names and Addresses of Holders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30</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702.</w:t>
            </w:r>
          </w:p>
        </w:tc>
        <w:tc>
          <w:tcPr>
            <w:tcW w:w="9540" w:type="dxa"/>
            <w:vAlign w:val="bottom"/>
          </w:tcPr>
          <w:p>
            <w:pPr>
              <w:ind w:left="440"/>
              <w:spacing w:after="0"/>
              <w:rPr>
                <w:sz w:val="20"/>
                <w:szCs w:val="20"/>
                <w:color w:val="auto"/>
              </w:rPr>
            </w:pPr>
            <w:r>
              <w:rPr>
                <w:rFonts w:ascii="Arial" w:cs="Arial" w:eastAsia="Arial" w:hAnsi="Arial"/>
                <w:sz w:val="18"/>
                <w:szCs w:val="18"/>
                <w:color w:val="auto"/>
              </w:rPr>
              <w:t>Preservation of Information; Communications to Holders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31</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703.</w:t>
            </w:r>
          </w:p>
        </w:tc>
        <w:tc>
          <w:tcPr>
            <w:tcW w:w="9540" w:type="dxa"/>
            <w:vAlign w:val="bottom"/>
          </w:tcPr>
          <w:p>
            <w:pPr>
              <w:ind w:left="440"/>
              <w:spacing w:after="0"/>
              <w:rPr>
                <w:sz w:val="20"/>
                <w:szCs w:val="20"/>
                <w:color w:val="auto"/>
              </w:rPr>
            </w:pPr>
            <w:r>
              <w:rPr>
                <w:rFonts w:ascii="Arial" w:cs="Arial" w:eastAsia="Arial" w:hAnsi="Arial"/>
                <w:sz w:val="18"/>
                <w:szCs w:val="18"/>
                <w:color w:val="auto"/>
              </w:rPr>
              <w:t>Reports by Trustee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704.</w:t>
            </w:r>
          </w:p>
        </w:tc>
        <w:tc>
          <w:tcPr>
            <w:tcW w:w="9540" w:type="dxa"/>
            <w:vAlign w:val="bottom"/>
          </w:tcPr>
          <w:p>
            <w:pPr>
              <w:ind w:left="440"/>
              <w:spacing w:after="0"/>
              <w:rPr>
                <w:sz w:val="20"/>
                <w:szCs w:val="20"/>
                <w:color w:val="auto"/>
              </w:rPr>
            </w:pPr>
            <w:r>
              <w:rPr>
                <w:rFonts w:ascii="Arial" w:cs="Arial" w:eastAsia="Arial" w:hAnsi="Arial"/>
                <w:sz w:val="18"/>
                <w:szCs w:val="18"/>
                <w:color w:val="auto"/>
              </w:rPr>
              <w:t>Reports by Company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EIGHT CONSOLIDATION, MERGER, CONVEYANCE, TRANSFER OR LEASE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r>
      <w:tr>
        <w:trPr>
          <w:trHeight w:val="763"/>
        </w:trPr>
        <w:tc>
          <w:tcPr>
            <w:tcW w:w="1620" w:type="dxa"/>
            <w:vAlign w:val="bottom"/>
          </w:tcPr>
          <w:p>
            <w:pPr>
              <w:spacing w:after="0"/>
              <w:rPr>
                <w:sz w:val="20"/>
                <w:szCs w:val="20"/>
                <w:color w:val="auto"/>
              </w:rPr>
            </w:pPr>
            <w:r>
              <w:rPr>
                <w:rFonts w:ascii="Arial" w:cs="Arial" w:eastAsia="Arial" w:hAnsi="Arial"/>
                <w:sz w:val="18"/>
                <w:szCs w:val="18"/>
                <w:color w:val="auto"/>
              </w:rPr>
              <w:t>SECTION 801.</w:t>
            </w:r>
          </w:p>
        </w:tc>
        <w:tc>
          <w:tcPr>
            <w:tcW w:w="9540" w:type="dxa"/>
            <w:vAlign w:val="bottom"/>
          </w:tcPr>
          <w:p>
            <w:pPr>
              <w:ind w:left="440"/>
              <w:spacing w:after="0"/>
              <w:rPr>
                <w:sz w:val="20"/>
                <w:szCs w:val="20"/>
                <w:color w:val="auto"/>
              </w:rPr>
            </w:pPr>
            <w:r>
              <w:rPr>
                <w:rFonts w:ascii="Arial" w:cs="Arial" w:eastAsia="Arial" w:hAnsi="Arial"/>
                <w:sz w:val="18"/>
                <w:szCs w:val="18"/>
                <w:color w:val="auto"/>
              </w:rPr>
              <w:t>Company May Consolidate, Etc., Only on Certain Terms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802.</w:t>
            </w:r>
          </w:p>
        </w:tc>
        <w:tc>
          <w:tcPr>
            <w:tcW w:w="9540" w:type="dxa"/>
            <w:vAlign w:val="bottom"/>
          </w:tcPr>
          <w:p>
            <w:pPr>
              <w:ind w:left="440"/>
              <w:spacing w:after="0"/>
              <w:rPr>
                <w:sz w:val="20"/>
                <w:szCs w:val="20"/>
                <w:color w:val="auto"/>
              </w:rPr>
            </w:pPr>
            <w:r>
              <w:rPr>
                <w:rFonts w:ascii="Arial" w:cs="Arial" w:eastAsia="Arial" w:hAnsi="Arial"/>
                <w:sz w:val="18"/>
                <w:szCs w:val="18"/>
                <w:color w:val="auto"/>
              </w:rPr>
              <w:t>Successor Substituted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32</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NINE SUPPLEMENTAL INDENTURES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32</w:t>
              </w:r>
            </w:hyperlink>
          </w:p>
        </w:tc>
      </w:tr>
      <w:tr>
        <w:trPr>
          <w:trHeight w:val="561"/>
        </w:trPr>
        <w:tc>
          <w:tcPr>
            <w:tcW w:w="1620" w:type="dxa"/>
            <w:vAlign w:val="bottom"/>
          </w:tcPr>
          <w:p>
            <w:pPr>
              <w:spacing w:after="0"/>
              <w:rPr>
                <w:sz w:val="20"/>
                <w:szCs w:val="20"/>
                <w:color w:val="auto"/>
              </w:rPr>
            </w:pPr>
            <w:r>
              <w:rPr>
                <w:rFonts w:ascii="Arial" w:cs="Arial" w:eastAsia="Arial" w:hAnsi="Arial"/>
                <w:sz w:val="18"/>
                <w:szCs w:val="18"/>
                <w:color w:val="auto"/>
              </w:rPr>
              <w:t>SECTION 901.</w:t>
            </w:r>
          </w:p>
        </w:tc>
        <w:tc>
          <w:tcPr>
            <w:tcW w:w="9540" w:type="dxa"/>
            <w:vAlign w:val="bottom"/>
          </w:tcPr>
          <w:p>
            <w:pPr>
              <w:ind w:left="440"/>
              <w:spacing w:after="0"/>
              <w:rPr>
                <w:sz w:val="20"/>
                <w:szCs w:val="20"/>
                <w:color w:val="auto"/>
              </w:rPr>
            </w:pPr>
            <w:r>
              <w:rPr>
                <w:rFonts w:ascii="Arial" w:cs="Arial" w:eastAsia="Arial" w:hAnsi="Arial"/>
                <w:sz w:val="18"/>
                <w:szCs w:val="18"/>
                <w:color w:val="auto"/>
              </w:rPr>
              <w:t>Supplemental Indentures Without Consent of Holders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32</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902.</w:t>
            </w:r>
          </w:p>
        </w:tc>
        <w:tc>
          <w:tcPr>
            <w:tcW w:w="9540" w:type="dxa"/>
            <w:vAlign w:val="bottom"/>
          </w:tcPr>
          <w:p>
            <w:pPr>
              <w:ind w:left="440"/>
              <w:spacing w:after="0"/>
              <w:rPr>
                <w:sz w:val="20"/>
                <w:szCs w:val="20"/>
                <w:color w:val="auto"/>
              </w:rPr>
            </w:pPr>
            <w:r>
              <w:rPr>
                <w:rFonts w:ascii="Arial" w:cs="Arial" w:eastAsia="Arial" w:hAnsi="Arial"/>
                <w:sz w:val="18"/>
                <w:szCs w:val="18"/>
                <w:color w:val="auto"/>
              </w:rPr>
              <w:t>Supplemental Indentures With Consent of Holders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33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903.</w:t>
            </w:r>
          </w:p>
        </w:tc>
        <w:tc>
          <w:tcPr>
            <w:tcW w:w="9540" w:type="dxa"/>
            <w:vAlign w:val="bottom"/>
          </w:tcPr>
          <w:p>
            <w:pPr>
              <w:ind w:left="440"/>
              <w:spacing w:after="0"/>
              <w:rPr>
                <w:sz w:val="20"/>
                <w:szCs w:val="20"/>
                <w:color w:val="auto"/>
              </w:rPr>
            </w:pPr>
            <w:r>
              <w:rPr>
                <w:rFonts w:ascii="Arial" w:cs="Arial" w:eastAsia="Arial" w:hAnsi="Arial"/>
                <w:sz w:val="18"/>
                <w:szCs w:val="18"/>
                <w:color w:val="auto"/>
              </w:rPr>
              <w:t>Execution of Supplemental Indentures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33</w:t>
              </w:r>
            </w:hyperlink>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SECTION 904.</w:t>
            </w:r>
          </w:p>
        </w:tc>
        <w:tc>
          <w:tcPr>
            <w:tcW w:w="9540" w:type="dxa"/>
            <w:vAlign w:val="bottom"/>
          </w:tcPr>
          <w:p>
            <w:pPr>
              <w:ind w:left="440"/>
              <w:spacing w:after="0"/>
              <w:rPr>
                <w:sz w:val="20"/>
                <w:szCs w:val="20"/>
                <w:color w:val="auto"/>
              </w:rPr>
            </w:pPr>
            <w:r>
              <w:rPr>
                <w:rFonts w:ascii="Arial" w:cs="Arial" w:eastAsia="Arial" w:hAnsi="Arial"/>
                <w:sz w:val="18"/>
                <w:szCs w:val="18"/>
                <w:color w:val="auto"/>
              </w:rPr>
              <w:t>Effect of Supplemental Indentures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bl>
    <w:p>
      <w:pPr>
        <w:spacing w:after="0" w:line="200" w:lineRule="exact"/>
        <w:rPr>
          <w:sz w:val="20"/>
          <w:szCs w:val="20"/>
          <w:color w:val="auto"/>
        </w:rPr>
      </w:pPr>
    </w:p>
    <w:p>
      <w:pPr>
        <w:sectPr>
          <w:pgSz w:w="11900" w:h="16838" w:orient="portrait"/>
          <w:cols w:equalWidth="0" w:num="1">
            <w:col w:w="11360"/>
          </w:cols>
          <w:pgMar w:left="280" w:top="729" w:right="259" w:bottom="1440"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iii</w:t>
      </w:r>
    </w:p>
    <w:p>
      <w:pPr>
        <w:sectPr>
          <w:pgSz w:w="11900" w:h="16838" w:orient="portrait"/>
          <w:cols w:equalWidth="0" w:num="1">
            <w:col w:w="11360"/>
          </w:cols>
          <w:pgMar w:left="280" w:top="729" w:right="25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SECTION 905.</w:t>
            </w:r>
          </w:p>
        </w:tc>
        <w:tc>
          <w:tcPr>
            <w:tcW w:w="9480" w:type="dxa"/>
            <w:vAlign w:val="bottom"/>
          </w:tcPr>
          <w:p>
            <w:pPr>
              <w:ind w:left="380"/>
              <w:spacing w:after="0"/>
              <w:rPr>
                <w:sz w:val="20"/>
                <w:szCs w:val="20"/>
                <w:color w:val="auto"/>
              </w:rPr>
            </w:pPr>
            <w:r>
              <w:rPr>
                <w:rFonts w:ascii="Arial" w:cs="Arial" w:eastAsia="Arial" w:hAnsi="Arial"/>
                <w:sz w:val="18"/>
                <w:szCs w:val="18"/>
                <w:color w:val="auto"/>
              </w:rPr>
              <w:t>Conformity with Trust Indenture Act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906.</w:t>
            </w:r>
          </w:p>
        </w:tc>
        <w:tc>
          <w:tcPr>
            <w:tcW w:w="9480" w:type="dxa"/>
            <w:vAlign w:val="bottom"/>
          </w:tcPr>
          <w:p>
            <w:pPr>
              <w:ind w:left="380"/>
              <w:spacing w:after="0"/>
              <w:rPr>
                <w:sz w:val="20"/>
                <w:szCs w:val="20"/>
                <w:color w:val="auto"/>
              </w:rPr>
            </w:pPr>
            <w:r>
              <w:rPr>
                <w:rFonts w:ascii="Arial" w:cs="Arial" w:eastAsia="Arial" w:hAnsi="Arial"/>
                <w:sz w:val="18"/>
                <w:szCs w:val="18"/>
                <w:color w:val="auto"/>
              </w:rPr>
              <w:t>Reference in Securities to Supplemental Indentures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TEN COVENANTS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r>
        <w:trPr>
          <w:trHeight w:val="561"/>
        </w:trPr>
        <w:tc>
          <w:tcPr>
            <w:tcW w:w="1680" w:type="dxa"/>
            <w:vAlign w:val="bottom"/>
          </w:tcPr>
          <w:p>
            <w:pPr>
              <w:spacing w:after="0"/>
              <w:rPr>
                <w:sz w:val="20"/>
                <w:szCs w:val="20"/>
                <w:color w:val="auto"/>
              </w:rPr>
            </w:pPr>
            <w:r>
              <w:rPr>
                <w:rFonts w:ascii="Arial" w:cs="Arial" w:eastAsia="Arial" w:hAnsi="Arial"/>
                <w:sz w:val="18"/>
                <w:szCs w:val="18"/>
                <w:color w:val="auto"/>
              </w:rPr>
              <w:t>SECTION 1001.</w:t>
            </w:r>
          </w:p>
        </w:tc>
        <w:tc>
          <w:tcPr>
            <w:tcW w:w="9480" w:type="dxa"/>
            <w:vAlign w:val="bottom"/>
          </w:tcPr>
          <w:p>
            <w:pPr>
              <w:ind w:left="380"/>
              <w:spacing w:after="0"/>
              <w:rPr>
                <w:sz w:val="20"/>
                <w:szCs w:val="20"/>
                <w:color w:val="auto"/>
              </w:rPr>
            </w:pPr>
            <w:r>
              <w:rPr>
                <w:rFonts w:ascii="Arial" w:cs="Arial" w:eastAsia="Arial" w:hAnsi="Arial"/>
                <w:sz w:val="18"/>
                <w:szCs w:val="18"/>
                <w:color w:val="auto"/>
              </w:rPr>
              <w:t>Payment of Principal, Premium and Interest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r>
        <w:trPr>
          <w:trHeight w:val="237"/>
        </w:trPr>
        <w:tc>
          <w:tcPr>
            <w:tcW w:w="1680" w:type="dxa"/>
            <w:vAlign w:val="bottom"/>
          </w:tcPr>
          <w:p>
            <w:pPr>
              <w:spacing w:after="0"/>
              <w:rPr>
                <w:sz w:val="20"/>
                <w:szCs w:val="20"/>
                <w:color w:val="auto"/>
              </w:rPr>
            </w:pPr>
            <w:r>
              <w:rPr>
                <w:rFonts w:ascii="Arial" w:cs="Arial" w:eastAsia="Arial" w:hAnsi="Arial"/>
                <w:sz w:val="18"/>
                <w:szCs w:val="18"/>
                <w:color w:val="auto"/>
              </w:rPr>
              <w:t>SECTION 1002.</w:t>
            </w:r>
          </w:p>
        </w:tc>
        <w:tc>
          <w:tcPr>
            <w:tcW w:w="9480" w:type="dxa"/>
            <w:vAlign w:val="bottom"/>
          </w:tcPr>
          <w:p>
            <w:pPr>
              <w:ind w:left="380"/>
              <w:spacing w:after="0"/>
              <w:rPr>
                <w:sz w:val="20"/>
                <w:szCs w:val="20"/>
                <w:color w:val="auto"/>
              </w:rPr>
            </w:pPr>
            <w:r>
              <w:rPr>
                <w:rFonts w:ascii="Arial" w:cs="Arial" w:eastAsia="Arial" w:hAnsi="Arial"/>
                <w:sz w:val="18"/>
                <w:szCs w:val="18"/>
                <w:color w:val="auto"/>
              </w:rPr>
              <w:t>Maintenance of Office or Agency</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34</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1003.</w:t>
            </w:r>
          </w:p>
        </w:tc>
        <w:tc>
          <w:tcPr>
            <w:tcW w:w="9480" w:type="dxa"/>
            <w:vAlign w:val="bottom"/>
          </w:tcPr>
          <w:p>
            <w:pPr>
              <w:ind w:left="380"/>
              <w:spacing w:after="0"/>
              <w:rPr>
                <w:sz w:val="20"/>
                <w:szCs w:val="20"/>
                <w:color w:val="auto"/>
              </w:rPr>
            </w:pPr>
            <w:r>
              <w:rPr>
                <w:rFonts w:ascii="Arial" w:cs="Arial" w:eastAsia="Arial" w:hAnsi="Arial"/>
                <w:sz w:val="18"/>
                <w:szCs w:val="18"/>
                <w:color w:val="auto"/>
              </w:rPr>
              <w:t>Money for Securities Payments to Be Held in Trust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37</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1004.</w:t>
            </w:r>
          </w:p>
        </w:tc>
        <w:tc>
          <w:tcPr>
            <w:tcW w:w="9480" w:type="dxa"/>
            <w:vAlign w:val="bottom"/>
          </w:tcPr>
          <w:p>
            <w:pPr>
              <w:ind w:left="380"/>
              <w:spacing w:after="0"/>
              <w:rPr>
                <w:sz w:val="20"/>
                <w:szCs w:val="20"/>
                <w:color w:val="auto"/>
              </w:rPr>
            </w:pPr>
            <w:r>
              <w:rPr>
                <w:rFonts w:ascii="Arial" w:cs="Arial" w:eastAsia="Arial" w:hAnsi="Arial"/>
                <w:sz w:val="18"/>
                <w:szCs w:val="18"/>
                <w:color w:val="auto"/>
              </w:rPr>
              <w:t>Statement by Officers as to Default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35</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1005.</w:t>
            </w:r>
          </w:p>
        </w:tc>
        <w:tc>
          <w:tcPr>
            <w:tcW w:w="9480" w:type="dxa"/>
            <w:vAlign w:val="bottom"/>
          </w:tcPr>
          <w:p>
            <w:pPr>
              <w:ind w:left="380"/>
              <w:spacing w:after="0"/>
              <w:rPr>
                <w:sz w:val="20"/>
                <w:szCs w:val="20"/>
                <w:color w:val="auto"/>
              </w:rPr>
            </w:pPr>
            <w:r>
              <w:rPr>
                <w:rFonts w:ascii="Arial" w:cs="Arial" w:eastAsia="Arial" w:hAnsi="Arial"/>
                <w:sz w:val="18"/>
                <w:szCs w:val="18"/>
                <w:color w:val="auto"/>
              </w:rPr>
              <w:t>Existence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36</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1006.</w:t>
            </w:r>
          </w:p>
        </w:tc>
        <w:tc>
          <w:tcPr>
            <w:tcW w:w="9480" w:type="dxa"/>
            <w:vAlign w:val="bottom"/>
          </w:tcPr>
          <w:p>
            <w:pPr>
              <w:ind w:left="380"/>
              <w:spacing w:after="0"/>
              <w:rPr>
                <w:sz w:val="20"/>
                <w:szCs w:val="20"/>
                <w:color w:val="auto"/>
              </w:rPr>
            </w:pPr>
            <w:r>
              <w:rPr>
                <w:rFonts w:ascii="Arial" w:cs="Arial" w:eastAsia="Arial" w:hAnsi="Arial"/>
                <w:sz w:val="18"/>
                <w:szCs w:val="18"/>
                <w:color w:val="auto"/>
              </w:rPr>
              <w:t>Maintenance of Properties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1007.</w:t>
            </w:r>
          </w:p>
        </w:tc>
        <w:tc>
          <w:tcPr>
            <w:tcW w:w="9480" w:type="dxa"/>
            <w:vAlign w:val="bottom"/>
          </w:tcPr>
          <w:p>
            <w:pPr>
              <w:ind w:left="380"/>
              <w:spacing w:after="0"/>
              <w:rPr>
                <w:sz w:val="20"/>
                <w:szCs w:val="20"/>
                <w:color w:val="auto"/>
              </w:rPr>
            </w:pPr>
            <w:r>
              <w:rPr>
                <w:rFonts w:ascii="Arial" w:cs="Arial" w:eastAsia="Arial" w:hAnsi="Arial"/>
                <w:sz w:val="18"/>
                <w:szCs w:val="18"/>
                <w:color w:val="auto"/>
              </w:rPr>
              <w:t>Payment of Taxes and Other Claims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1008.</w:t>
            </w:r>
          </w:p>
        </w:tc>
        <w:tc>
          <w:tcPr>
            <w:tcW w:w="9480" w:type="dxa"/>
            <w:vAlign w:val="bottom"/>
          </w:tcPr>
          <w:p>
            <w:pPr>
              <w:ind w:left="380"/>
              <w:spacing w:after="0"/>
              <w:rPr>
                <w:sz w:val="20"/>
                <w:szCs w:val="20"/>
                <w:color w:val="auto"/>
              </w:rPr>
            </w:pPr>
            <w:r>
              <w:rPr>
                <w:rFonts w:ascii="Arial" w:cs="Arial" w:eastAsia="Arial" w:hAnsi="Arial"/>
                <w:sz w:val="18"/>
                <w:szCs w:val="18"/>
                <w:color w:val="auto"/>
              </w:rPr>
              <w:t>Maintenance of Insurance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1009.</w:t>
            </w:r>
          </w:p>
        </w:tc>
        <w:tc>
          <w:tcPr>
            <w:tcW w:w="9480" w:type="dxa"/>
            <w:vAlign w:val="bottom"/>
          </w:tcPr>
          <w:p>
            <w:pPr>
              <w:ind w:left="380"/>
              <w:spacing w:after="0"/>
              <w:rPr>
                <w:sz w:val="20"/>
                <w:szCs w:val="20"/>
                <w:color w:val="auto"/>
              </w:rPr>
            </w:pPr>
            <w:r>
              <w:rPr>
                <w:rFonts w:ascii="Arial" w:cs="Arial" w:eastAsia="Arial" w:hAnsi="Arial"/>
                <w:sz w:val="18"/>
                <w:szCs w:val="18"/>
                <w:color w:val="auto"/>
              </w:rPr>
              <w:t>Waiver of Certain Covenants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ELEVEN REDEMPTION OF SECURITIES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561"/>
        </w:trPr>
        <w:tc>
          <w:tcPr>
            <w:tcW w:w="1680" w:type="dxa"/>
            <w:vAlign w:val="bottom"/>
          </w:tcPr>
          <w:p>
            <w:pPr>
              <w:spacing w:after="0"/>
              <w:rPr>
                <w:sz w:val="20"/>
                <w:szCs w:val="20"/>
                <w:color w:val="auto"/>
              </w:rPr>
            </w:pPr>
            <w:r>
              <w:rPr>
                <w:rFonts w:ascii="Arial" w:cs="Arial" w:eastAsia="Arial" w:hAnsi="Arial"/>
                <w:sz w:val="18"/>
                <w:szCs w:val="18"/>
                <w:color w:val="auto"/>
              </w:rPr>
              <w:t>SECTION 1101.</w:t>
            </w:r>
          </w:p>
        </w:tc>
        <w:tc>
          <w:tcPr>
            <w:tcW w:w="9480" w:type="dxa"/>
            <w:vAlign w:val="bottom"/>
          </w:tcPr>
          <w:p>
            <w:pPr>
              <w:ind w:left="380"/>
              <w:spacing w:after="0"/>
              <w:rPr>
                <w:sz w:val="20"/>
                <w:szCs w:val="20"/>
                <w:color w:val="auto"/>
              </w:rPr>
            </w:pPr>
            <w:r>
              <w:rPr>
                <w:rFonts w:ascii="Arial" w:cs="Arial" w:eastAsia="Arial" w:hAnsi="Arial"/>
                <w:sz w:val="18"/>
                <w:szCs w:val="18"/>
                <w:color w:val="auto"/>
              </w:rPr>
              <w:t>Applicability of Article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1102.</w:t>
            </w:r>
          </w:p>
        </w:tc>
        <w:tc>
          <w:tcPr>
            <w:tcW w:w="9480" w:type="dxa"/>
            <w:vAlign w:val="bottom"/>
          </w:tcPr>
          <w:p>
            <w:pPr>
              <w:ind w:left="380"/>
              <w:spacing w:after="0"/>
              <w:rPr>
                <w:sz w:val="20"/>
                <w:szCs w:val="20"/>
                <w:color w:val="auto"/>
              </w:rPr>
            </w:pPr>
            <w:r>
              <w:rPr>
                <w:rFonts w:ascii="Arial" w:cs="Arial" w:eastAsia="Arial" w:hAnsi="Arial"/>
                <w:sz w:val="18"/>
                <w:szCs w:val="18"/>
                <w:color w:val="auto"/>
              </w:rPr>
              <w:t>Election to Redeem; Notice to Trustee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37</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1103.</w:t>
            </w:r>
          </w:p>
        </w:tc>
        <w:tc>
          <w:tcPr>
            <w:tcW w:w="9480" w:type="dxa"/>
            <w:vAlign w:val="bottom"/>
          </w:tcPr>
          <w:p>
            <w:pPr>
              <w:ind w:left="380"/>
              <w:spacing w:after="0"/>
              <w:rPr>
                <w:sz w:val="20"/>
                <w:szCs w:val="20"/>
                <w:color w:val="auto"/>
              </w:rPr>
            </w:pPr>
            <w:r>
              <w:rPr>
                <w:rFonts w:ascii="Arial" w:cs="Arial" w:eastAsia="Arial" w:hAnsi="Arial"/>
                <w:sz w:val="18"/>
                <w:szCs w:val="18"/>
                <w:color w:val="auto"/>
              </w:rPr>
              <w:t>Selection by Trustee of Securities to Be Redeemed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37</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1104.</w:t>
            </w:r>
          </w:p>
        </w:tc>
        <w:tc>
          <w:tcPr>
            <w:tcW w:w="9480" w:type="dxa"/>
            <w:vAlign w:val="bottom"/>
          </w:tcPr>
          <w:p>
            <w:pPr>
              <w:ind w:left="380"/>
              <w:spacing w:after="0"/>
              <w:rPr>
                <w:sz w:val="20"/>
                <w:szCs w:val="20"/>
                <w:color w:val="auto"/>
              </w:rPr>
            </w:pPr>
            <w:r>
              <w:rPr>
                <w:rFonts w:ascii="Arial" w:cs="Arial" w:eastAsia="Arial" w:hAnsi="Arial"/>
                <w:sz w:val="18"/>
                <w:szCs w:val="18"/>
                <w:color w:val="auto"/>
              </w:rPr>
              <w:t>Notice of Redemption</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37</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1105.</w:t>
            </w:r>
          </w:p>
        </w:tc>
        <w:tc>
          <w:tcPr>
            <w:tcW w:w="9480" w:type="dxa"/>
            <w:vAlign w:val="bottom"/>
          </w:tcPr>
          <w:p>
            <w:pPr>
              <w:ind w:left="380"/>
              <w:spacing w:after="0"/>
              <w:rPr>
                <w:sz w:val="20"/>
                <w:szCs w:val="20"/>
                <w:color w:val="auto"/>
              </w:rPr>
            </w:pPr>
            <w:r>
              <w:rPr>
                <w:rFonts w:ascii="Arial" w:cs="Arial" w:eastAsia="Arial" w:hAnsi="Arial"/>
                <w:sz w:val="18"/>
                <w:szCs w:val="18"/>
                <w:color w:val="auto"/>
              </w:rPr>
              <w:t>Deposit of Redemption Price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38</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1106.</w:t>
            </w:r>
          </w:p>
        </w:tc>
        <w:tc>
          <w:tcPr>
            <w:tcW w:w="9480" w:type="dxa"/>
            <w:vAlign w:val="bottom"/>
          </w:tcPr>
          <w:p>
            <w:pPr>
              <w:ind w:left="380"/>
              <w:spacing w:after="0"/>
              <w:rPr>
                <w:sz w:val="20"/>
                <w:szCs w:val="20"/>
                <w:color w:val="auto"/>
              </w:rPr>
            </w:pPr>
            <w:r>
              <w:rPr>
                <w:rFonts w:ascii="Arial" w:cs="Arial" w:eastAsia="Arial" w:hAnsi="Arial"/>
                <w:sz w:val="18"/>
                <w:szCs w:val="18"/>
                <w:color w:val="auto"/>
              </w:rPr>
              <w:t>Securities Payable on Redemption Date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38</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1107.</w:t>
            </w:r>
          </w:p>
        </w:tc>
        <w:tc>
          <w:tcPr>
            <w:tcW w:w="9480" w:type="dxa"/>
            <w:vAlign w:val="bottom"/>
          </w:tcPr>
          <w:p>
            <w:pPr>
              <w:ind w:left="380"/>
              <w:spacing w:after="0"/>
              <w:rPr>
                <w:sz w:val="20"/>
                <w:szCs w:val="20"/>
                <w:color w:val="auto"/>
              </w:rPr>
            </w:pPr>
            <w:r>
              <w:rPr>
                <w:rFonts w:ascii="Arial" w:cs="Arial" w:eastAsia="Arial" w:hAnsi="Arial"/>
                <w:sz w:val="18"/>
                <w:szCs w:val="18"/>
                <w:color w:val="auto"/>
              </w:rPr>
              <w:t>Securities Redeemed in Part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38</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TWELVE [INTENTIONALLY OMITTED]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38</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THIRTEEN [INTENTIONALLY OMITTED]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39</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FOURTEEN [INTENTIONALLY OMITTED]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FIFTEEN DEFEASANCE AND COVENANT DEFEASANCE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bl>
    <w:p>
      <w:pPr>
        <w:spacing w:after="0" w:line="200" w:lineRule="exact"/>
        <w:rPr>
          <w:sz w:val="20"/>
          <w:szCs w:val="20"/>
          <w:color w:val="auto"/>
        </w:rPr>
      </w:pPr>
    </w:p>
    <w:p>
      <w:pPr>
        <w:sectPr>
          <w:pgSz w:w="11900" w:h="16838" w:orient="portrait"/>
          <w:cols w:equalWidth="0" w:num="1">
            <w:col w:w="11360"/>
          </w:cols>
          <w:pgMar w:left="280" w:top="729" w:right="259" w:bottom="1440" w:gutter="0" w:footer="0" w:header="0"/>
        </w:sect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1360"/>
          </w:cols>
          <w:pgMar w:left="280" w:top="729" w:right="25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auto"/>
              </w:rPr>
              <w:t>SECTION 1501.</w:t>
            </w:r>
          </w:p>
        </w:tc>
        <w:tc>
          <w:tcPr>
            <w:tcW w:w="9480" w:type="dxa"/>
            <w:vAlign w:val="bottom"/>
          </w:tcPr>
          <w:p>
            <w:pPr>
              <w:ind w:left="380"/>
              <w:spacing w:after="0"/>
              <w:rPr>
                <w:sz w:val="20"/>
                <w:szCs w:val="20"/>
                <w:color w:val="auto"/>
              </w:rPr>
            </w:pPr>
            <w:r>
              <w:rPr>
                <w:rFonts w:ascii="Arial" w:cs="Arial" w:eastAsia="Arial" w:hAnsi="Arial"/>
                <w:sz w:val="18"/>
                <w:szCs w:val="18"/>
                <w:color w:val="auto"/>
              </w:rPr>
              <w:t>Company’s Option to Effect Defeasance or Covenant Defeasance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1502.</w:t>
            </w:r>
          </w:p>
        </w:tc>
        <w:tc>
          <w:tcPr>
            <w:tcW w:w="9480" w:type="dxa"/>
            <w:vAlign w:val="bottom"/>
          </w:tcPr>
          <w:p>
            <w:pPr>
              <w:ind w:left="380"/>
              <w:spacing w:after="0"/>
              <w:rPr>
                <w:sz w:val="20"/>
                <w:szCs w:val="20"/>
                <w:color w:val="auto"/>
              </w:rPr>
            </w:pPr>
            <w:r>
              <w:rPr>
                <w:rFonts w:ascii="Arial" w:cs="Arial" w:eastAsia="Arial" w:hAnsi="Arial"/>
                <w:sz w:val="18"/>
                <w:szCs w:val="18"/>
                <w:color w:val="auto"/>
              </w:rPr>
              <w:t>Defeasance and Discharge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1503.</w:t>
            </w:r>
          </w:p>
        </w:tc>
        <w:tc>
          <w:tcPr>
            <w:tcW w:w="9480" w:type="dxa"/>
            <w:vAlign w:val="bottom"/>
          </w:tcPr>
          <w:p>
            <w:pPr>
              <w:ind w:left="380"/>
              <w:spacing w:after="0"/>
              <w:rPr>
                <w:sz w:val="20"/>
                <w:szCs w:val="20"/>
                <w:color w:val="auto"/>
              </w:rPr>
            </w:pPr>
            <w:r>
              <w:rPr>
                <w:rFonts w:ascii="Arial" w:cs="Arial" w:eastAsia="Arial" w:hAnsi="Arial"/>
                <w:sz w:val="18"/>
                <w:szCs w:val="18"/>
                <w:color w:val="auto"/>
              </w:rPr>
              <w:t>Covenant Defeasance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1504.</w:t>
            </w:r>
          </w:p>
        </w:tc>
        <w:tc>
          <w:tcPr>
            <w:tcW w:w="9480" w:type="dxa"/>
            <w:vAlign w:val="bottom"/>
          </w:tcPr>
          <w:p>
            <w:pPr>
              <w:ind w:left="380"/>
              <w:spacing w:after="0"/>
              <w:rPr>
                <w:sz w:val="20"/>
                <w:szCs w:val="20"/>
                <w:color w:val="auto"/>
              </w:rPr>
            </w:pPr>
            <w:r>
              <w:rPr>
                <w:rFonts w:ascii="Arial" w:cs="Arial" w:eastAsia="Arial" w:hAnsi="Arial"/>
                <w:sz w:val="18"/>
                <w:szCs w:val="18"/>
                <w:color w:val="auto"/>
              </w:rPr>
              <w:t>Conditions to Defeasance or Covenant Defeasance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39</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1505.</w:t>
            </w:r>
          </w:p>
        </w:tc>
        <w:tc>
          <w:tcPr>
            <w:tcW w:w="9480" w:type="dxa"/>
            <w:vAlign w:val="bottom"/>
          </w:tcPr>
          <w:p>
            <w:pPr>
              <w:ind w:left="380"/>
              <w:spacing w:after="0"/>
              <w:rPr>
                <w:sz w:val="20"/>
                <w:szCs w:val="20"/>
                <w:color w:val="auto"/>
              </w:rPr>
            </w:pPr>
            <w:r>
              <w:rPr>
                <w:rFonts w:ascii="Arial" w:cs="Arial" w:eastAsia="Arial" w:hAnsi="Arial"/>
                <w:sz w:val="18"/>
                <w:szCs w:val="18"/>
                <w:color w:val="auto"/>
              </w:rPr>
              <w:t>Deposited Money and U.S. Government Obligations to Be Held in Trust;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41</w:t>
              </w:r>
            </w:hyperlink>
          </w:p>
        </w:tc>
      </w:tr>
      <w:tr>
        <w:trPr>
          <w:trHeight w:val="227"/>
        </w:trPr>
        <w:tc>
          <w:tcPr>
            <w:tcW w:w="1680" w:type="dxa"/>
            <w:vAlign w:val="bottom"/>
          </w:tcPr>
          <w:p>
            <w:pPr>
              <w:spacing w:after="0"/>
              <w:rPr>
                <w:sz w:val="19"/>
                <w:szCs w:val="19"/>
                <w:color w:val="auto"/>
              </w:rPr>
            </w:pPr>
          </w:p>
        </w:tc>
        <w:tc>
          <w:tcPr>
            <w:tcW w:w="9480" w:type="dxa"/>
            <w:vAlign w:val="bottom"/>
          </w:tcPr>
          <w:p>
            <w:pPr>
              <w:ind w:left="380"/>
              <w:spacing w:after="0"/>
              <w:rPr>
                <w:sz w:val="20"/>
                <w:szCs w:val="20"/>
                <w:color w:val="auto"/>
              </w:rPr>
            </w:pPr>
            <w:r>
              <w:rPr>
                <w:rFonts w:ascii="Arial" w:cs="Arial" w:eastAsia="Arial" w:hAnsi="Arial"/>
                <w:sz w:val="18"/>
                <w:szCs w:val="18"/>
                <w:color w:val="auto"/>
              </w:rPr>
              <w:t>Miscellaneous Provisions</w:t>
            </w:r>
          </w:p>
        </w:tc>
        <w:tc>
          <w:tcPr>
            <w:tcW w:w="200" w:type="dxa"/>
            <w:vAlign w:val="bottom"/>
          </w:tcPr>
          <w:p>
            <w:pPr>
              <w:spacing w:after="0"/>
              <w:rPr>
                <w:sz w:val="19"/>
                <w:szCs w:val="19"/>
                <w:color w:val="auto"/>
              </w:rPr>
            </w:pPr>
          </w:p>
        </w:tc>
      </w:tr>
      <w:tr>
        <w:trPr>
          <w:trHeight w:val="415"/>
        </w:trPr>
        <w:tc>
          <w:tcPr>
            <w:tcW w:w="1680" w:type="dxa"/>
            <w:vAlign w:val="bottom"/>
          </w:tcPr>
          <w:p>
            <w:pPr>
              <w:spacing w:after="0"/>
              <w:rPr>
                <w:sz w:val="20"/>
                <w:szCs w:val="20"/>
                <w:color w:val="auto"/>
              </w:rPr>
            </w:pPr>
            <w:r>
              <w:rPr>
                <w:rFonts w:ascii="Arial" w:cs="Arial" w:eastAsia="Arial" w:hAnsi="Arial"/>
                <w:sz w:val="18"/>
                <w:szCs w:val="18"/>
                <w:color w:val="auto"/>
              </w:rPr>
              <w:t>SECTION 1506.</w:t>
            </w:r>
          </w:p>
        </w:tc>
        <w:tc>
          <w:tcPr>
            <w:tcW w:w="9480" w:type="dxa"/>
            <w:vAlign w:val="bottom"/>
          </w:tcPr>
          <w:p>
            <w:pPr>
              <w:ind w:left="380"/>
              <w:spacing w:after="0"/>
              <w:rPr>
                <w:sz w:val="20"/>
                <w:szCs w:val="20"/>
                <w:color w:val="auto"/>
              </w:rPr>
            </w:pPr>
            <w:r>
              <w:rPr>
                <w:rFonts w:ascii="Arial" w:cs="Arial" w:eastAsia="Arial" w:hAnsi="Arial"/>
                <w:sz w:val="18"/>
                <w:szCs w:val="18"/>
                <w:color w:val="auto"/>
              </w:rPr>
              <w:t>Reinstatement</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r>
      <w:tr>
        <w:trPr>
          <w:trHeight w:val="763"/>
        </w:trPr>
        <w:tc>
          <w:tcPr>
            <w:tcW w:w="11160" w:type="dxa"/>
            <w:vAlign w:val="bottom"/>
            <w:gridSpan w:val="2"/>
          </w:tcPr>
          <w:p>
            <w:pPr>
              <w:spacing w:after="0"/>
              <w:rPr>
                <w:sz w:val="20"/>
                <w:szCs w:val="20"/>
                <w:color w:val="auto"/>
              </w:rPr>
            </w:pPr>
            <w:r>
              <w:rPr>
                <w:rFonts w:ascii="Arial" w:cs="Arial" w:eastAsia="Arial" w:hAnsi="Arial"/>
                <w:sz w:val="18"/>
                <w:szCs w:val="18"/>
                <w:color w:val="auto"/>
              </w:rPr>
              <w:t>ARTICLE SIXTEEN SINKING FUNDS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r>
      <w:tr>
        <w:trPr>
          <w:trHeight w:val="561"/>
        </w:trPr>
        <w:tc>
          <w:tcPr>
            <w:tcW w:w="1680" w:type="dxa"/>
            <w:vAlign w:val="bottom"/>
          </w:tcPr>
          <w:p>
            <w:pPr>
              <w:spacing w:after="0"/>
              <w:rPr>
                <w:sz w:val="20"/>
                <w:szCs w:val="20"/>
                <w:color w:val="auto"/>
              </w:rPr>
            </w:pPr>
            <w:r>
              <w:rPr>
                <w:rFonts w:ascii="Arial" w:cs="Arial" w:eastAsia="Arial" w:hAnsi="Arial"/>
                <w:sz w:val="18"/>
                <w:szCs w:val="18"/>
                <w:color w:val="auto"/>
              </w:rPr>
              <w:t>SECTION 1601.</w:t>
            </w:r>
          </w:p>
        </w:tc>
        <w:tc>
          <w:tcPr>
            <w:tcW w:w="9480" w:type="dxa"/>
            <w:vAlign w:val="bottom"/>
          </w:tcPr>
          <w:p>
            <w:pPr>
              <w:ind w:left="380"/>
              <w:spacing w:after="0"/>
              <w:rPr>
                <w:sz w:val="20"/>
                <w:szCs w:val="20"/>
                <w:color w:val="auto"/>
              </w:rPr>
            </w:pPr>
            <w:r>
              <w:rPr>
                <w:rFonts w:ascii="Arial" w:cs="Arial" w:eastAsia="Arial" w:hAnsi="Arial"/>
                <w:sz w:val="18"/>
                <w:szCs w:val="18"/>
                <w:color w:val="auto"/>
              </w:rPr>
              <w:t>Applicability of Article</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1602.</w:t>
            </w:r>
          </w:p>
        </w:tc>
        <w:tc>
          <w:tcPr>
            <w:tcW w:w="9480" w:type="dxa"/>
            <w:vAlign w:val="bottom"/>
          </w:tcPr>
          <w:p>
            <w:pPr>
              <w:ind w:left="380"/>
              <w:spacing w:after="0"/>
              <w:rPr>
                <w:sz w:val="20"/>
                <w:szCs w:val="20"/>
                <w:color w:val="auto"/>
              </w:rPr>
            </w:pPr>
            <w:r>
              <w:rPr>
                <w:rFonts w:ascii="Arial" w:cs="Arial" w:eastAsia="Arial" w:hAnsi="Arial"/>
                <w:sz w:val="18"/>
                <w:szCs w:val="18"/>
                <w:color w:val="auto"/>
              </w:rPr>
              <w:t>Satisfaction of Sinking Fund Payments with Securities</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42</w:t>
              </w:r>
            </w:hyperlink>
          </w:p>
        </w:tc>
      </w:tr>
      <w:tr>
        <w:trPr>
          <w:trHeight w:val="439"/>
        </w:trPr>
        <w:tc>
          <w:tcPr>
            <w:tcW w:w="1680" w:type="dxa"/>
            <w:vAlign w:val="bottom"/>
          </w:tcPr>
          <w:p>
            <w:pPr>
              <w:spacing w:after="0"/>
              <w:rPr>
                <w:sz w:val="20"/>
                <w:szCs w:val="20"/>
                <w:color w:val="auto"/>
              </w:rPr>
            </w:pPr>
            <w:r>
              <w:rPr>
                <w:rFonts w:ascii="Arial" w:cs="Arial" w:eastAsia="Arial" w:hAnsi="Arial"/>
                <w:sz w:val="18"/>
                <w:szCs w:val="18"/>
                <w:color w:val="auto"/>
              </w:rPr>
              <w:t>SECTION 1603.</w:t>
            </w:r>
          </w:p>
        </w:tc>
        <w:tc>
          <w:tcPr>
            <w:tcW w:w="9480" w:type="dxa"/>
            <w:vAlign w:val="bottom"/>
          </w:tcPr>
          <w:p>
            <w:pPr>
              <w:ind w:left="380"/>
              <w:spacing w:after="0"/>
              <w:rPr>
                <w:sz w:val="20"/>
                <w:szCs w:val="20"/>
                <w:color w:val="auto"/>
              </w:rPr>
            </w:pPr>
            <w:r>
              <w:rPr>
                <w:rFonts w:ascii="Arial" w:cs="Arial" w:eastAsia="Arial" w:hAnsi="Arial"/>
                <w:sz w:val="18"/>
                <w:szCs w:val="18"/>
                <w:color w:val="auto"/>
              </w:rPr>
              <w:t>Redemption of Securities for Sinking Fund</w:t>
            </w: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42</w:t>
              </w:r>
            </w:hyperlink>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360"/>
          </w:cols>
          <w:pgMar w:left="280" w:top="1053" w:right="2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EZCORP, INC.</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RECONCILIATION AND TIE OF CERTAIN SECTIONS OF THIS INDENTURE RELATING TO SECTIONS 310 THROUGH 318, INCLUSIVE, OF THE TRUST INDENTURE ACT OF 1939:</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rPr>
              <w:t>INDENTURE</w:t>
            </w:r>
          </w:p>
        </w:tc>
      </w:tr>
      <w:tr>
        <w:trPr>
          <w:trHeight w:val="248"/>
        </w:trPr>
        <w:tc>
          <w:tcPr>
            <w:tcW w:w="936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TRUST INDENTURE ACT SECTION</w:t>
            </w:r>
          </w:p>
        </w:tc>
        <w:tc>
          <w:tcPr>
            <w:tcW w:w="120" w:type="dxa"/>
            <w:vAlign w:val="bottom"/>
          </w:tcPr>
          <w:p>
            <w:pPr>
              <w:spacing w:after="0"/>
              <w:rPr>
                <w:sz w:val="21"/>
                <w:szCs w:val="21"/>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SECTION</w:t>
            </w:r>
          </w:p>
        </w:tc>
      </w:tr>
      <w:tr>
        <w:trPr>
          <w:trHeight w:val="245"/>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310(a)(1)</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609</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609</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(a)(3)</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(a)(4)</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608, 610</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311(a)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613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613</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312(a)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701, 702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702</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313(a)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703</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314(a)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704</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(a)(4)</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101, 1004</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(c)(1)</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(c)(2)</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(c)(3)</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(e)</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102</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315(a)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601</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601</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(d)</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601</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(e)</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514</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316(a)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101</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(a)(1)(A)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502, 512</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(a)(1)(B)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513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Not Applicable</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508</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104</w:t>
            </w:r>
          </w:p>
        </w:tc>
      </w:tr>
      <w:tr>
        <w:trPr>
          <w:trHeight w:val="270"/>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317(a)(1)</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503</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(a)(2)</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504</w:t>
            </w:r>
          </w:p>
        </w:tc>
      </w:tr>
      <w:tr>
        <w:trPr>
          <w:trHeight w:val="270"/>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(b)</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1003</w:t>
            </w:r>
          </w:p>
        </w:tc>
      </w:tr>
      <w:tr>
        <w:trPr>
          <w:trHeight w:val="257"/>
        </w:trPr>
        <w:tc>
          <w:tcPr>
            <w:tcW w:w="9480" w:type="dxa"/>
            <w:vAlign w:val="bottom"/>
            <w:gridSpan w:val="2"/>
          </w:tcPr>
          <w:p>
            <w:pPr>
              <w:ind w:left="40"/>
              <w:spacing w:after="0"/>
              <w:rPr>
                <w:sz w:val="20"/>
                <w:szCs w:val="20"/>
                <w:color w:val="auto"/>
              </w:rPr>
            </w:pPr>
            <w:r>
              <w:rPr>
                <w:rFonts w:ascii="Arial" w:cs="Arial" w:eastAsia="Arial" w:hAnsi="Arial"/>
                <w:sz w:val="18"/>
                <w:szCs w:val="18"/>
                <w:color w:val="auto"/>
              </w:rPr>
              <w:t>Section 318(a)</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107</w:t>
            </w:r>
          </w:p>
        </w:tc>
      </w:tr>
      <w:tr>
        <w:trPr>
          <w:trHeight w:val="243"/>
        </w:trPr>
        <w:tc>
          <w:tcPr>
            <w:tcW w:w="9480" w:type="dxa"/>
            <w:vAlign w:val="bottom"/>
            <w:gridSpan w:val="2"/>
          </w:tcPr>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tc>
        <w:tc>
          <w:tcPr>
            <w:tcW w:w="19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420"/>
          </w:cols>
          <w:pgMar w:left="240" w:top="574"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__________, 20__, among EZCORP, Inc., a corporation duly organized and existing under the laws of the</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State of Delaware (herein called the “</w:t>
      </w:r>
      <w:r>
        <w:rPr>
          <w:rFonts w:ascii="Arial" w:cs="Arial" w:eastAsia="Arial" w:hAnsi="Arial"/>
          <w:sz w:val="18"/>
          <w:szCs w:val="18"/>
          <w:b w:val="1"/>
          <w:bCs w:val="1"/>
          <w:color w:val="auto"/>
        </w:rPr>
        <w:t>Company</w:t>
      </w:r>
      <w:r>
        <w:rPr>
          <w:rFonts w:ascii="Arial" w:cs="Arial" w:eastAsia="Arial" w:hAnsi="Arial"/>
          <w:sz w:val="18"/>
          <w:szCs w:val="18"/>
          <w:color w:val="auto"/>
        </w:rPr>
        <w:t>”), having its principal office at 1901 Capital Parkway, Austin, Texas 78746, and [_______________], as Trustee (herein called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one or more series of its unsecured debentures, notes or other evidences of indebtedness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to be issued in one or more series as in this Indenture provided.</w:t>
      </w:r>
    </w:p>
    <w:p>
      <w:pPr>
        <w:spacing w:after="0" w:line="16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agreed, for the equal and proportionate benefit of all Holders of the Securities or of series thereof, as follows:</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ARTICLE ONE</w:t>
      </w:r>
    </w:p>
    <w:p>
      <w:pPr>
        <w:spacing w:after="0" w:line="3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DEFINITIONS AND OTHER PROVISIONS</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OF GENERAL APPLICATION</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52" w:lineRule="exact"/>
        <w:rPr>
          <w:sz w:val="20"/>
          <w:szCs w:val="20"/>
          <w:color w:val="auto"/>
        </w:rPr>
      </w:pPr>
    </w:p>
    <w:p>
      <w:pPr>
        <w:ind w:left="1520" w:hanging="864"/>
        <w:spacing w:after="0"/>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defined in this Article have the meanings assigned to them in this Article and include the plural as well as the</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singular;</w:t>
      </w:r>
    </w:p>
    <w:p>
      <w:pPr>
        <w:spacing w:after="0" w:line="265" w:lineRule="exact"/>
        <w:rPr>
          <w:rFonts w:ascii="Arial" w:cs="Arial" w:eastAsia="Arial" w:hAnsi="Arial"/>
          <w:sz w:val="18"/>
          <w:szCs w:val="18"/>
          <w:color w:val="auto"/>
        </w:rPr>
      </w:pPr>
    </w:p>
    <w:p>
      <w:pPr>
        <w:ind w:right="20" w:firstLine="656"/>
        <w:spacing w:after="0" w:line="339" w:lineRule="auto"/>
        <w:tabs>
          <w:tab w:leader="none" w:pos="15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44"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in the United States at the date of this instrument;</w:t>
      </w:r>
    </w:p>
    <w:p>
      <w:pPr>
        <w:spacing w:after="0" w:line="169" w:lineRule="exact"/>
        <w:rPr>
          <w:rFonts w:ascii="Arial" w:cs="Arial" w:eastAsia="Arial" w:hAnsi="Arial"/>
          <w:sz w:val="18"/>
          <w:szCs w:val="18"/>
          <w:color w:val="auto"/>
        </w:rPr>
      </w:pPr>
    </w:p>
    <w:p>
      <w:pPr>
        <w:ind w:firstLine="656"/>
        <w:spacing w:after="0" w:line="339" w:lineRule="auto"/>
        <w:tabs>
          <w:tab w:leader="none" w:pos="15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words “herein”, “hereof”, “hereunder” and other words of similar import refer to this Indenture as a whole and not to any particular Article, Section or other subdivision.</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when used with respect to any Holder, has the meaning specified in Section 104.</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provided that direct or indirect beneficial ownership of 10% or more of the Voting Stock of a Person shall be deemed to be control.</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any Person authorized by the Trustee pursuant to Section 614 to act on behalf of the Trustee to authenticate Securities of one or more series.</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with respect to the Company, either the board of directors of the Company or any committee of that board duly authorized to act for it in respect hereof.</w:t>
      </w:r>
    </w:p>
    <w:p>
      <w:pPr>
        <w:sectPr>
          <w:pgSz w:w="11900" w:h="16838" w:orient="portrait"/>
          <w:cols w:equalWidth="0" w:num="1">
            <w:col w:w="11420"/>
          </w:cols>
          <w:pgMar w:left="240" w:top="574"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4" w:right="239" w:bottom="1440" w:gutter="0" w:footer="0" w:header="0"/>
          <w:type w:val="continuous"/>
        </w:sectPr>
      </w:pPr>
    </w:p>
    <w:bookmarkStart w:id="37" w:name="page38"/>
    <w:bookmarkEnd w:id="37"/>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its Board of Directors and to be in full force and effect on the date of such certification, and delivered to the Trustee.</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of any Person means any and all shares, interests, participations or other equivalents (however designated) of corporate stock or other equity participations, including partnership interests, whether general or limited, of such Person.</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the Class A Non-Voting Common Stock, par value $0.01 per share, of the Company as the same exists at the date of execution and delivery of this Indenture or other Capital Stock of the Company into which such Common Stock is converted, reclassified or changed from time to time.</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Person named as the “Company” in the first paragraph of this instrument until a successor Person shall have become such pursuant to the applicable provisions of this Indenture, and thereafter “Company” shall mean such successor Person.</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its Chairman of the Board of Directors, its Vice Chairman of the Board of Directors, its President or a Vice President, and by its Treasurer, an Assistant Treasurer, its Secretary or an Assistant Secretary, and delivered to the Trustee.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means any Person authorized by the Company to convert any Securities on behalf of the Company.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xml:space="preserve">” means the office of the Trustee at which at any particular time its corporate trust business in relation to this Indenture shall be administered, such office being located on the date hereof at </w:t>
      </w:r>
      <w:r>
        <w:rPr>
          <w:rFonts w:ascii="Arial" w:cs="Arial" w:eastAsia="Arial" w:hAnsi="Arial"/>
          <w:sz w:val="18"/>
          <w:szCs w:val="18"/>
          <w:b w:val="1"/>
          <w:bCs w:val="1"/>
          <w:color w:val="auto"/>
        </w:rPr>
        <w:t>[_________________________________________]</w:t>
      </w:r>
      <w:r>
        <w:rPr>
          <w:rFonts w:ascii="Arial" w:cs="Arial" w:eastAsia="Arial" w:hAnsi="Arial"/>
          <w:sz w:val="18"/>
          <w:szCs w:val="18"/>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Attention: </w:t>
      </w:r>
      <w:r>
        <w:rPr>
          <w:rFonts w:ascii="Arial" w:cs="Arial" w:eastAsia="Arial" w:hAnsi="Arial"/>
          <w:sz w:val="18"/>
          <w:szCs w:val="18"/>
          <w:b w:val="1"/>
          <w:bCs w:val="1"/>
          <w:color w:val="auto"/>
        </w:rPr>
        <w:t>[______________________]</w:t>
      </w:r>
      <w:r>
        <w:rPr>
          <w:rFonts w:ascii="Arial" w:cs="Arial" w:eastAsia="Arial" w:hAnsi="Arial"/>
          <w:sz w:val="18"/>
          <w:szCs w:val="18"/>
          <w:color w:val="auto"/>
        </w:rPr>
        <w:t>.</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a corporation, association, limited liability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has the meaning specified in Section 1503.</w:t>
      </w:r>
    </w:p>
    <w:p>
      <w:pPr>
        <w:spacing w:after="0" w:line="225"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b w:val="1"/>
          <w:bCs w:val="1"/>
          <w:color w:val="auto"/>
        </w:rPr>
        <w:t xml:space="preserve">“Debt” </w:t>
      </w:r>
      <w:r>
        <w:rPr>
          <w:rFonts w:ascii="Arial" w:cs="Arial" w:eastAsia="Arial" w:hAnsi="Arial"/>
          <w:sz w:val="18"/>
          <w:szCs w:val="18"/>
          <w:color w:val="auto"/>
        </w:rPr>
        <w:t>of any Person at any date means any obligation created, assumed or guaranteed by such Person for the repayment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borrowed money.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has the meaning specified in Section 307.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w:t>
      </w:r>
      <w:r>
        <w:rPr>
          <w:rFonts w:ascii="Arial" w:cs="Arial" w:eastAsia="Arial" w:hAnsi="Arial"/>
          <w:sz w:val="18"/>
          <w:szCs w:val="18"/>
          <w:color w:val="auto"/>
        </w:rPr>
        <w:t>” has the meaning specified in Section 1502.</w:t>
      </w:r>
    </w:p>
    <w:p>
      <w:pPr>
        <w:spacing w:after="0" w:line="225"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Securities of any series issuable in whole or in part in the form of one or more Global Securities, a clearing agency registered under the Exchange Act that is designated to act as Depositary for such Securities as contemplated by Section 301.</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and any statute successor thereto, in each case as amended from time to</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has the meaning specified in Section 104.</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4" w:right="239" w:bottom="1440" w:gutter="0" w:footer="0" w:header="0"/>
        </w:sectPr>
      </w:pPr>
    </w:p>
    <w:bookmarkStart w:id="38" w:name="page39"/>
    <w:bookmarkEnd w:id="38"/>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that evidences all or part of the Securities of any series and bears the legend set forth in Section 204 (or such legend as may be specified as contemplated by Section 301 for such Securities).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a Person in whose name a Security is registered in the Security Register.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301.</w:t>
      </w:r>
    </w:p>
    <w:p>
      <w:pPr>
        <w:spacing w:after="0" w:line="17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Security, means the Stated Maturity of an installment of interest on such Security.</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Company Act</w:t>
      </w:r>
      <w:r>
        <w:rPr>
          <w:rFonts w:ascii="Arial" w:cs="Arial" w:eastAsia="Arial" w:hAnsi="Arial"/>
          <w:sz w:val="18"/>
          <w:szCs w:val="18"/>
          <w:color w:val="auto"/>
        </w:rPr>
        <w:t>” means the Investment Company Act of 1940 and any statute successor thereto, in each case as amended from time to time.</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call for redemption or otherwise.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means a written notice of the kind specified in Section 501(5).</w:t>
      </w:r>
    </w:p>
    <w:p>
      <w:pPr>
        <w:spacing w:after="0" w:line="2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Chairman of the Board of Directors, a Vice Chairman of the Board of Directors, the President or a Vice President, and by the Treasurer, an Assistant Treasurer, the Secretary or an Assistant Secretary, of the Company and delivered to the Trustee. One of the officers signing an Officers’ Certificate given pursuant to Section 1004 shall be the principal executive, financial or accounting officer of the Company.</w:t>
      </w:r>
    </w:p>
    <w:p>
      <w:pPr>
        <w:spacing w:after="0" w:line="1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as to the Company, a written opinion of counsel, who may be counsel for the Company, and who shall be acceptable to the Trustee.</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43"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theretofore cancelled by the Trustee or delivered to the Trustee for cancellation;</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69"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1502; and</w:t>
      </w:r>
    </w:p>
    <w:p>
      <w:pPr>
        <w:spacing w:after="0" w:line="225" w:lineRule="exact"/>
        <w:rPr>
          <w:rFonts w:ascii="Arial" w:cs="Arial" w:eastAsia="Arial" w:hAnsi="Arial"/>
          <w:sz w:val="18"/>
          <w:szCs w:val="18"/>
          <w:color w:val="auto"/>
        </w:rPr>
      </w:pPr>
    </w:p>
    <w:p>
      <w:pPr>
        <w:jc w:val="both"/>
        <w:ind w:firstLine="656"/>
        <w:spacing w:after="0" w:line="258" w:lineRule="auto"/>
        <w:tabs>
          <w:tab w:leader="none" w:pos="1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 provided, however,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4" w:right="239" w:bottom="1440" w:gutter="0" w:footer="0" w:header="0"/>
        </w:sectPr>
      </w:pPr>
    </w:p>
    <w:bookmarkStart w:id="39" w:name="page40"/>
    <w:bookmarkEnd w:id="39"/>
    <w:p>
      <w:pPr>
        <w:jc w:val="both"/>
        <w:spacing w:after="0" w:line="254" w:lineRule="auto"/>
        <w:rPr>
          <w:sz w:val="20"/>
          <w:szCs w:val="20"/>
          <w:color w:val="auto"/>
        </w:rPr>
      </w:pPr>
      <w:r>
        <w:rPr>
          <w:rFonts w:ascii="Arial" w:cs="Arial" w:eastAsia="Arial" w:hAnsi="Arial"/>
          <w:sz w:val="18"/>
          <w:szCs w:val="18"/>
          <w:color w:val="auto"/>
        </w:rPr>
        <w:t>amount of the principal thereof which would be due and payable as of such date upon acceleration of the Maturity thereof to such date pursuant to Section 502, (B) if, as of such date, the principal amount payable at the Stated Maturity of a Security is not determinable, the principal amount of such Security which shall be deemed to be Outstanding shall be the amount as specified or determined as contemplated by Section 301, (C) the principal amount of a Security denominated in one or more foreign currencies or currency units which shall be deemed to be Outstanding shall be the U.S. dollar equivalent, determined as of such date in the manner provided as contemplated by Section 301,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7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means any Person authorized by the Company to pay the principal of or any premium or interest on any Securities on behalf of the Company.</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joint venture, trust, unincorporated organization or government or any agency or political subdivision thereof.</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when used with respect to the Securities of any series, means the place or places where the principal of and any premium and interest on the Securities of that series are payable as specified as contemplated by Section 301.</w:t>
      </w:r>
    </w:p>
    <w:p>
      <w:pPr>
        <w:spacing w:after="0" w:line="14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Predecessor Security</w:t>
      </w:r>
      <w:r>
        <w:rPr>
          <w:rFonts w:ascii="Arial" w:cs="Arial" w:eastAsia="Arial" w:hAnsi="Arial"/>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when used with respect to any Security to be redeemed, means the date fixed for such redemption by or pursuant to this Indenture.</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when used with respect to any Security to be redeemed, means the price at which it is to be redeemed pursuant to this Indenture.</w:t>
      </w:r>
    </w:p>
    <w:p>
      <w:pPr>
        <w:spacing w:after="0" w:line="141"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on the Securities of any series means the date specified for that purpose as contemplated by Section 301.</w:t>
      </w:r>
    </w:p>
    <w:p>
      <w:pPr>
        <w:spacing w:after="0" w:line="14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and any statute successor thereto, in each case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have the respective meanings specified in Section 305.</w:t>
      </w:r>
    </w:p>
    <w:p>
      <w:pPr>
        <w:spacing w:after="0" w:line="2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at any date of determination, any Subsidiary that represents 10% or more of the Company’s consolidated total assets at the end of the most recent fiscal quarter for which financial information is available or 10% or more of the Company’s consolidated net revenues or consolidated operating income for the most recent four quarters for which financial information is available.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Record Date</w:t>
      </w:r>
      <w:r>
        <w:rPr>
          <w:rFonts w:ascii="Arial" w:cs="Arial" w:eastAsia="Arial" w:hAnsi="Arial"/>
          <w:sz w:val="18"/>
          <w:szCs w:val="18"/>
          <w:color w:val="auto"/>
        </w:rPr>
        <w:t>” for the payment of any Defaulted Interest means a date fixed by the Trustee pursuant to Section 307.</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0" w:name="page41"/>
    <w:bookmarkEnd w:id="40"/>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(1) a corporation more than 50% of the combined voting power of the outstanding Voting Stock of which is owned, directly or indirectly, by such Person or by one or more other Subsidiaries of such Person or by such Person and one or more Subsidiaries thereof or (2) any other Person (other than a corporation) in which such Person, or one or more other Subsidiaries of such Person or such Person and one or more other Subsidiaries thereof, directly or indirectly, has at least a majority ownership and power to direct the policies, management and affairs thereof.</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in force at the date as of which this instrument was executed; provided, however, that in the event the Trust Indenture Act of 1939 is amended after such date, “Trust Indenture Act” means, to the extent required by any such amendment, the Trust Indenture Act of 1939 as so amended.</w:t>
      </w:r>
    </w:p>
    <w:p>
      <w:pPr>
        <w:spacing w:after="0" w:line="16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Government Obligation</w:t>
      </w:r>
      <w:r>
        <w:rPr>
          <w:rFonts w:ascii="Arial" w:cs="Arial" w:eastAsia="Arial" w:hAnsi="Arial"/>
          <w:sz w:val="18"/>
          <w:szCs w:val="18"/>
          <w:color w:val="auto"/>
        </w:rPr>
        <w:t>” has the meaning specified in Section 1504.</w:t>
      </w:r>
    </w:p>
    <w:p>
      <w:pPr>
        <w:spacing w:after="0" w:line="225"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Company or the Trustee, means any vice president, whether or not designated by a number or a word or words added before or after the title “vice president”.</w:t>
      </w:r>
    </w:p>
    <w:p>
      <w:pPr>
        <w:spacing w:after="0" w:line="14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of any Person means Capital Stock of such Person which ordinarily has voting power for the election of directors (or persons performing similar functions) of such Person, whether at all times or only so long as no senior class of securities has such voting power by reason of any contingency.</w:t>
      </w:r>
    </w:p>
    <w:p>
      <w:pPr>
        <w:spacing w:after="0" w:line="16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of any Person means a Subsidiary of such Person all of the outstanding Capital Stock of which (other than directors’ qualifying shares) shall at the time be owned by such Person or by one or more Wholly Owned Subsidiaries of such Person or by such Person and one or more Wholly Owned Subsidiaries of such Person.</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7"/>
          <w:szCs w:val="17"/>
          <w:b w:val="1"/>
          <w:bCs w:val="1"/>
          <w:u w:val="single" w:color="auto"/>
          <w:color w:val="auto"/>
        </w:rPr>
        <w:t>Compliance Certificates and Opinions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52" w:lineRule="exact"/>
        <w:rPr>
          <w:sz w:val="20"/>
          <w:szCs w:val="20"/>
          <w:color w:val="auto"/>
        </w:rPr>
      </w:pPr>
    </w:p>
    <w:p>
      <w:pPr>
        <w:ind w:right="20" w:firstLine="656"/>
        <w:spacing w:after="0" w:line="339" w:lineRule="auto"/>
        <w:tabs>
          <w:tab w:leader="none" w:pos="15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44" w:lineRule="exact"/>
        <w:rPr>
          <w:rFonts w:ascii="Arial" w:cs="Arial" w:eastAsia="Arial" w:hAnsi="Arial"/>
          <w:sz w:val="18"/>
          <w:szCs w:val="18"/>
          <w:color w:val="auto"/>
        </w:rPr>
      </w:pPr>
    </w:p>
    <w:p>
      <w:pPr>
        <w:ind w:right="20" w:firstLine="656"/>
        <w:spacing w:after="0" w:line="339" w:lineRule="auto"/>
        <w:tabs>
          <w:tab w:leader="none" w:pos="15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103.</w:t>
      </w:r>
      <w:r>
        <w:rPr>
          <w:rFonts w:ascii="Arial" w:cs="Arial" w:eastAsia="Arial" w:hAnsi="Arial"/>
          <w:sz w:val="17"/>
          <w:szCs w:val="17"/>
          <w:b w:val="1"/>
          <w:bCs w:val="1"/>
          <w:u w:val="single" w:color="auto"/>
          <w:color w:val="auto"/>
        </w:rPr>
        <w:t>Form of Documents Delivered to Trustee</w:t>
      </w:r>
      <w:r>
        <w:rPr>
          <w:rFonts w:ascii="Arial" w:cs="Arial" w:eastAsia="Arial" w:hAnsi="Arial"/>
          <w:sz w:val="17"/>
          <w:szCs w:val="17"/>
          <w:color w:val="auto"/>
        </w:rPr>
        <w:t>.</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74" w:right="239" w:bottom="1440" w:gutter="0" w:footer="0" w:header="0"/>
        </w:sectPr>
      </w:pPr>
    </w:p>
    <w:bookmarkStart w:id="41" w:name="page42"/>
    <w:bookmarkEnd w:id="41"/>
    <w:p>
      <w:pPr>
        <w:jc w:val="both"/>
        <w:spacing w:after="0" w:line="271" w:lineRule="auto"/>
        <w:rPr>
          <w:sz w:val="20"/>
          <w:szCs w:val="20"/>
          <w:color w:val="auto"/>
        </w:rPr>
      </w:pPr>
      <w:r>
        <w:rPr>
          <w:rFonts w:ascii="Arial" w:cs="Arial" w:eastAsia="Arial" w:hAnsi="Arial"/>
          <w:sz w:val="18"/>
          <w:szCs w:val="18"/>
          <w:color w:val="auto"/>
        </w:rPr>
        <w:t>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7"/>
          <w:szCs w:val="17"/>
          <w:b w:val="1"/>
          <w:bCs w:val="1"/>
          <w:u w:val="single" w:color="auto"/>
          <w:color w:val="auto"/>
        </w:rPr>
        <w:t>Acts of Holders; Record Dates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Whenever in this Indenture it is provided that the Holders of a specified percentage in aggregate principal amount of the Securities of any or all series may take action (including the making of any demand or request, the giving of any direction,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(b) by the record of the Holders voting in favor thereof at any meeting of Holders duly called and held in accordance with procedures approved by the Trustee, (c) by a combination of such instrument or instruments and any such record of such a meeting of Holders or (d) in the case of Securities evidenced by a Global Security, by any electronic transmission or other message, whether or not in written format, that complies with the Depositary’s applicable procedures. Such evidence (and the action embodied therein and evidenced thereby) are herein sometimes referred to as the “</w:t>
      </w:r>
      <w:r>
        <w:rPr>
          <w:rFonts w:ascii="Arial" w:cs="Arial" w:eastAsia="Arial" w:hAnsi="Arial"/>
          <w:sz w:val="18"/>
          <w:szCs w:val="18"/>
          <w:b w:val="1"/>
          <w:bCs w:val="1"/>
          <w:color w:val="auto"/>
        </w:rPr>
        <w:t>Act</w:t>
      </w:r>
      <w:r>
        <w:rPr>
          <w:rFonts w:ascii="Arial" w:cs="Arial" w:eastAsia="Arial" w:hAnsi="Arial"/>
          <w:sz w:val="18"/>
          <w:szCs w:val="18"/>
          <w:color w:val="auto"/>
        </w:rPr>
        <w:t>” of the relevant Holders. Proof of execution of any such instrument or of a writing appointing any such agent or proxy shall be sufficient for any purpose of this Indenture and (subject to Section 601) conclusive in favor of the Trustee and the Company, if made in the manner provided in this Section.</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sufficient. The ownership of Securities shall be proved by the Security Register.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may set any day as a record date for the purpose of determining the Holders of Outstanding Securities of any series entitled to give, make or take any request, demand, authorization, direction, notice, consent, waiver or other action provided or permitted by this Indenture to be given, made or taken by Holders of Securities of such series, provided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6" w:right="239" w:bottom="1440" w:gutter="0" w:footer="0" w:header="0"/>
        </w:sectPr>
      </w:pPr>
    </w:p>
    <w:bookmarkStart w:id="42" w:name="page43"/>
    <w:bookmarkEnd w:id="42"/>
    <w:p>
      <w:pPr>
        <w:jc w:val="both"/>
        <w:spacing w:after="0" w:line="264" w:lineRule="auto"/>
        <w:rPr>
          <w:sz w:val="20"/>
          <w:szCs w:val="20"/>
          <w:color w:val="auto"/>
        </w:rPr>
      </w:pPr>
      <w:r>
        <w:rPr>
          <w:rFonts w:ascii="Arial" w:cs="Arial" w:eastAsia="Arial" w:hAnsi="Arial"/>
          <w:sz w:val="18"/>
          <w:szCs w:val="18"/>
          <w:color w:val="auto"/>
        </w:rPr>
        <w:t>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106.</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Trustee may set any day as a record date for the purpose of determining the Holders of Outstanding Securities of any series entitled to join in the giving or making of (i) any Notice of Default, (ii) any declaration of acceleration referred to in Section 502, (iii) any request to institute proceedings referred to in Section 507(2)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provided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106.</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any record date set pursuant to this Section, the party hereto which sets such record dates may designate any day as the “</w:t>
      </w:r>
      <w:r>
        <w:rPr>
          <w:rFonts w:ascii="Arial" w:cs="Arial" w:eastAsia="Arial" w:hAnsi="Arial"/>
          <w:sz w:val="18"/>
          <w:szCs w:val="18"/>
          <w:b w:val="1"/>
          <w:bCs w:val="1"/>
          <w:color w:val="auto"/>
        </w:rPr>
        <w:t>Expiration Date</w:t>
      </w:r>
      <w:r>
        <w:rPr>
          <w:rFonts w:ascii="Arial" w:cs="Arial" w:eastAsia="Arial" w:hAnsi="Arial"/>
          <w:sz w:val="18"/>
          <w:szCs w:val="18"/>
          <w:color w:val="auto"/>
        </w:rPr>
        <w:t>” and from time to time may change the Expiration Date to any earlier or later day; provided that no such change shall be effective unless notice of the proposed new Expiration Date is given to the other party hereto in writing, and to each Holder of Securities of the relevant series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7"/>
          <w:szCs w:val="17"/>
          <w:b w:val="1"/>
          <w:bCs w:val="1"/>
          <w:u w:val="single" w:color="auto"/>
          <w:color w:val="auto"/>
        </w:rPr>
        <w:t>Notices, Etc., to Trustee and Company</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2" w:lineRule="exact"/>
        <w:rPr>
          <w:sz w:val="20"/>
          <w:szCs w:val="20"/>
          <w:color w:val="auto"/>
        </w:rPr>
      </w:pPr>
    </w:p>
    <w:p>
      <w:pPr>
        <w:ind w:firstLine="656"/>
        <w:spacing w:after="0" w:line="339" w:lineRule="auto"/>
        <w:tabs>
          <w:tab w:leader="none" w:pos="15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in the English language to or with the Trustee at its Corporate Trust Office, Attention: Corporate Trust Department; or</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in the English language and mailed, first-class postage prepaid addressed to it at the address of its principal office specified in the first paragraph of this instrument or at any other address previously furnished in writing to the Trustee by the Company.</w:t>
      </w:r>
    </w:p>
    <w:p>
      <w:pPr>
        <w:spacing w:after="0" w:line="13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7"/>
          <w:szCs w:val="17"/>
          <w:b w:val="1"/>
          <w:bCs w:val="1"/>
          <w:u w:val="single" w:color="auto"/>
          <w:color w:val="auto"/>
        </w:rPr>
        <w:t>Notice to Holders; Waiver</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in the English language and mailed, first-class postage prepaid, to each Holder affected by such event, at his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76" w:right="2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8"/>
          <w:szCs w:val="18"/>
          <w:color w:val="auto"/>
        </w:rPr>
        <w:t>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7"/>
          <w:szCs w:val="17"/>
          <w:b w:val="1"/>
          <w:bCs w:val="1"/>
          <w:u w:val="single" w:color="auto"/>
          <w:color w:val="auto"/>
        </w:rPr>
        <w:t>Conflict with Trust Indenture Act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hereof limits, qualifies or conflicts with a provision of the Trust Indenture Act which is required under such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7"/>
          <w:szCs w:val="17"/>
          <w:b w:val="1"/>
          <w:bCs w:val="1"/>
          <w:u w:val="single" w:color="auto"/>
          <w:color w:val="auto"/>
        </w:rPr>
        <w:t>Effect of Headings and Table of Contents</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7"/>
          <w:szCs w:val="17"/>
          <w:b w:val="1"/>
          <w:bCs w:val="1"/>
          <w:u w:val="single" w:color="auto"/>
          <w:color w:val="auto"/>
        </w:rPr>
        <w:t>Successors and Assigns</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7"/>
          <w:szCs w:val="17"/>
          <w:b w:val="1"/>
          <w:bCs w:val="1"/>
          <w:u w:val="single" w:color="auto"/>
          <w:color w:val="auto"/>
        </w:rPr>
        <w:t>Separability Clause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case any provision in this Indenture or the Securities shall be invalid, illegal or unenforceable, the validity, legality and enforce ability of the remaining provisions shall not in any way be affected or impaired thereby.</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b w:val="1"/>
          <w:bCs w:val="1"/>
          <w:u w:val="single" w:color="auto"/>
          <w:color w:val="auto"/>
        </w:rPr>
        <w:t>Benefits of Indenture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Nothing in this Indenture or the Securities, express or implied, shall give to any Person, other than the parties hereto and their successors hereunder and the Holders, any benefit or any legal or equitable right, remedy or claim under this Indenture.</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7"/>
          <w:szCs w:val="17"/>
          <w:b w:val="1"/>
          <w:bCs w:val="1"/>
          <w:u w:val="single" w:color="auto"/>
          <w:color w:val="auto"/>
        </w:rPr>
        <w:t>Governing Law</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Indenture and the Securities shall be governed by and construed in accordance with the law of the State of New York.</w:t>
      </w: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7"/>
          <w:szCs w:val="17"/>
          <w:b w:val="1"/>
          <w:bCs w:val="1"/>
          <w:u w:val="single" w:color="auto"/>
          <w:color w:val="auto"/>
        </w:rPr>
        <w:t>Legal Holidays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any case where any Interest Payment Date, Redemption Date, purchase date or Stated Maturity of any Security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need not be made at such Place of Payment on such date, but may be made on the next succeeding Business Day at such Place of Payment with the same force and effect as if made on the Interest Payment Date, Redemption Date or purchase date, or at the Stated Maturity.</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114.</w:t>
      </w:r>
      <w:r>
        <w:rPr>
          <w:sz w:val="20"/>
          <w:szCs w:val="20"/>
          <w:color w:val="auto"/>
        </w:rPr>
        <w:tab/>
      </w:r>
      <w:r>
        <w:rPr>
          <w:rFonts w:ascii="Arial" w:cs="Arial" w:eastAsia="Arial" w:hAnsi="Arial"/>
          <w:sz w:val="17"/>
          <w:szCs w:val="17"/>
          <w:b w:val="1"/>
          <w:bCs w:val="1"/>
          <w:u w:val="single" w:color="auto"/>
          <w:color w:val="auto"/>
        </w:rPr>
        <w:t>No Recourse Against Others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director, officer, employee, incorporator, stockholder, member, partner or trustee of the Company, as such, shall have any liability for any obligations of the Company under the Securities, this Indenture or for any claim based on, in respect of, or by reason of, such obligations or their creation. By accepting a Security, each Holder shall be deemed to have waived and released all such liability. The waiver and release shall be a part of the consideration for the issue of the Securities.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44" w:name="page45"/>
    <w:bookmarkEnd w:id="44"/>
    <w:p>
      <w:pPr>
        <w:jc w:val="center"/>
        <w:ind w:left="660"/>
        <w:spacing w:after="0"/>
        <w:rPr>
          <w:sz w:val="20"/>
          <w:szCs w:val="20"/>
          <w:color w:val="auto"/>
        </w:rPr>
      </w:pPr>
      <w:r>
        <w:rPr>
          <w:rFonts w:ascii="Arial" w:cs="Arial" w:eastAsia="Arial" w:hAnsi="Arial"/>
          <w:sz w:val="18"/>
          <w:szCs w:val="18"/>
          <w:b w:val="1"/>
          <w:bCs w:val="1"/>
          <w:color w:val="auto"/>
        </w:rPr>
        <w:t>ARTICLE TWO</w: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SECURITY FORMS</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b w:val="1"/>
          <w:bCs w:val="1"/>
          <w:u w:val="single" w:color="auto"/>
          <w:color w:val="auto"/>
        </w:rPr>
        <w:t>Forms Generally</w:t>
      </w:r>
      <w:r>
        <w:rPr>
          <w:rFonts w:ascii="Arial" w:cs="Arial" w:eastAsia="Arial" w:hAnsi="Arial"/>
          <w:sz w:val="17"/>
          <w:szCs w:val="17"/>
          <w:color w:val="auto"/>
        </w:rPr>
        <w:t>.</w:t>
      </w:r>
    </w:p>
    <w:p>
      <w:pPr>
        <w:spacing w:after="0" w:line="20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303 for the authentication and delivery of such Securities.</w:t>
      </w:r>
    </w:p>
    <w:p>
      <w:pPr>
        <w:spacing w:after="0" w:line="178"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b w:val="1"/>
          <w:bCs w:val="1"/>
          <w:u w:val="single" w:color="auto"/>
          <w:color w:val="auto"/>
        </w:rPr>
        <w:t>Form of Face of Security</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[Insert any legend required by the Internal Revenue Code and the regulations thereunder.]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EZCORP, Inc.</w:t>
      </w:r>
    </w:p>
    <w:p>
      <w:pPr>
        <w:spacing w:after="0" w:line="225"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No.__________</w:t>
        <w:tab/>
        <w:t>$ ________</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EZCORP, Inc., a corporation duly organized and existing under the laws of Delaware (herein called the “Company,” which term includes any successor Person under the Indenture hereinafter referred to), for value received, hereby promises to pay to</w:t>
      </w:r>
    </w:p>
    <w:p>
      <w:pPr>
        <w:spacing w:after="0" w:line="1" w:lineRule="exact"/>
        <w:rPr>
          <w:sz w:val="20"/>
          <w:szCs w:val="20"/>
          <w:color w:val="auto"/>
        </w:rPr>
      </w:pPr>
    </w:p>
    <w:p>
      <w:pPr>
        <w:spacing w:after="0"/>
        <w:tabs>
          <w:tab w:leader="none" w:pos="3020" w:val="left"/>
          <w:tab w:leader="none" w:pos="3380" w:val="left"/>
          <w:tab w:leader="none" w:pos="4360" w:val="left"/>
          <w:tab w:leader="none" w:pos="5200" w:val="left"/>
          <w:tab w:leader="none" w:pos="5640" w:val="left"/>
          <w:tab w:leader="none" w:pos="6500" w:val="left"/>
          <w:tab w:leader="none" w:pos="7020" w:val="left"/>
          <w:tab w:leader="none" w:pos="7360" w:val="left"/>
          <w:tab w:leader="none" w:pos="10460" w:val="left"/>
          <w:tab w:leader="none" w:pos="11200" w:val="left"/>
        </w:tabs>
        <w:rPr>
          <w:sz w:val="20"/>
          <w:szCs w:val="20"/>
          <w:color w:val="auto"/>
        </w:rPr>
      </w:pPr>
      <w:r>
        <w:rPr>
          <w:rFonts w:ascii="Arial" w:cs="Arial" w:eastAsia="Arial" w:hAnsi="Arial"/>
          <w:sz w:val="18"/>
          <w:szCs w:val="18"/>
          <w:color w:val="auto"/>
        </w:rPr>
        <w:t>____________________________,</w:t>
        <w:tab/>
        <w:t>or</w:t>
        <w:tab/>
        <w:t>registered</w:t>
        <w:tab/>
        <w:t>assigns,</w:t>
        <w:tab/>
        <w:t>the</w:t>
        <w:tab/>
        <w:t>principal</w:t>
        <w:tab/>
        <w:t>sum</w:t>
        <w:tab/>
        <w:t>of</w:t>
        <w:tab/>
        <w:t>_____________________________</w:t>
        <w:tab/>
        <w:t>Dollars</w:t>
      </w:r>
      <w:r>
        <w:rPr>
          <w:sz w:val="20"/>
          <w:szCs w:val="20"/>
          <w:color w:val="auto"/>
        </w:rPr>
        <w:tab/>
      </w:r>
      <w:r>
        <w:rPr>
          <w:rFonts w:ascii="Arial" w:cs="Arial" w:eastAsia="Arial" w:hAnsi="Arial"/>
          <w:sz w:val="17"/>
          <w:szCs w:val="17"/>
          <w:color w:val="auto"/>
        </w:rPr>
        <w: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 [if the Security is to bear interest prior to Maturity, insert -- , and to pay interest thereon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 or from the most recent Interest Payment Date to which interest has been paid or duly provided for, semi-annually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 and ____________ in each year, commencing _________, at the rate of ____% per annum, until the principal hereof is paid or</w:t>
      </w:r>
    </w:p>
    <w:p>
      <w:pPr>
        <w:spacing w:after="0" w:line="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made available for payment, provided that any principal and premium, and any such installment of interest, which is overdue shall bear interest at the rate of ____% per annum (to the extent that the payment of such interest shall be legally enforceable), from the dates such amounts are</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_______ or _______ (whether or not a Business Day), as the case may be, next preceding such Interest Payment Date. Any such interest not</w:t>
      </w:r>
    </w:p>
    <w:p>
      <w:pPr>
        <w:spacing w:after="0" w:line="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Security is not to bear interest prior to Maturity, insert -- The principal of this Security shall not bear interest except in the case of a default in payment of principal upon acceleration, upon redemption or at Stated Maturity and in such case the overdue principal and any overdue premium shall bear interest at the rate of ____% per annum (to the extent that the payment of such interest shall be legally</w:t>
      </w:r>
    </w:p>
    <w:p>
      <w:pPr>
        <w:jc w:val="both"/>
        <w:spacing w:after="0" w:line="255" w:lineRule="auto"/>
        <w:rPr>
          <w:sz w:val="20"/>
          <w:szCs w:val="20"/>
          <w:color w:val="auto"/>
        </w:rPr>
      </w:pPr>
      <w:r>
        <w:rPr>
          <w:rFonts w:ascii="Arial" w:cs="Arial" w:eastAsia="Arial" w:hAnsi="Arial"/>
          <w:sz w:val="18"/>
          <w:szCs w:val="18"/>
          <w:color w:val="auto"/>
        </w:rPr>
        <w:t>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______%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74" w:right="239" w:bottom="1440" w:gutter="0" w:footer="0" w:header="0"/>
        </w:sectPr>
      </w:pPr>
    </w:p>
    <w:bookmarkStart w:id="45" w:name="page46"/>
    <w:bookmarkEnd w:id="45"/>
    <w:p>
      <w:pPr>
        <w:jc w:val="both"/>
        <w:ind w:firstLine="648"/>
        <w:spacing w:after="0" w:line="263" w:lineRule="auto"/>
        <w:rPr>
          <w:sz w:val="20"/>
          <w:szCs w:val="20"/>
          <w:color w:val="auto"/>
        </w:rPr>
      </w:pPr>
      <w:r>
        <w:rPr>
          <w:rFonts w:ascii="Arial" w:cs="Arial" w:eastAsia="Arial" w:hAnsi="Arial"/>
          <w:sz w:val="18"/>
          <w:szCs w:val="18"/>
          <w:color w:val="auto"/>
        </w:rPr>
        <w:t>Payment of the principal of (and premium, if any) and [if applicable, insert -- any such] interest on this Security will be made at the office or agency of the Company maintained for that purpose in ____________, in such coin or currency of the United States of America as at the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1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4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WITNESS WHEREOF, the Company has caused this instrument to be duly executed </w:t>
      </w:r>
      <w:r>
        <w:rPr>
          <w:rFonts w:ascii="Arial" w:cs="Arial" w:eastAsia="Arial" w:hAnsi="Arial"/>
          <w:sz w:val="18"/>
          <w:szCs w:val="18"/>
          <w:b w:val="1"/>
          <w:bCs w:val="1"/>
          <w:color w:val="auto"/>
        </w:rPr>
        <w:t>[</w:t>
      </w:r>
      <w:r>
        <w:rPr>
          <w:rFonts w:ascii="Arial" w:cs="Arial" w:eastAsia="Arial" w:hAnsi="Arial"/>
          <w:sz w:val="18"/>
          <w:szCs w:val="18"/>
          <w:color w:val="auto"/>
        </w:rPr>
        <w:t>under its corporate seal</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w:t>
            </w:r>
          </w:p>
        </w:tc>
        <w:tc>
          <w:tcPr>
            <w:tcW w:w="1380" w:type="dxa"/>
            <w:vAlign w:val="bottom"/>
          </w:tcPr>
          <w:p>
            <w:pPr>
              <w:spacing w:after="0"/>
              <w:rPr>
                <w:sz w:val="20"/>
                <w:szCs w:val="20"/>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EZCORP, Inc.</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237"/>
        </w:trPr>
        <w:tc>
          <w:tcPr>
            <w:tcW w:w="19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[Attest: ]</w:t>
            </w:r>
          </w:p>
        </w:tc>
        <w:tc>
          <w:tcPr>
            <w:tcW w:w="1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19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1960" w:type="dxa"/>
            <w:vAlign w:val="bottom"/>
          </w:tcPr>
          <w:p>
            <w:pPr>
              <w:spacing w:after="0"/>
              <w:rPr>
                <w:sz w:val="20"/>
                <w:szCs w:val="20"/>
                <w:color w:val="auto"/>
              </w:rPr>
            </w:pPr>
            <w:r>
              <w:rPr>
                <w:rFonts w:ascii="Arial" w:cs="Arial" w:eastAsia="Arial" w:hAnsi="Arial"/>
                <w:sz w:val="18"/>
                <w:szCs w:val="18"/>
                <w:color w:val="auto"/>
              </w:rPr>
              <w:t>SECTION 203.</w:t>
            </w:r>
          </w:p>
        </w:tc>
        <w:tc>
          <w:tcPr>
            <w:tcW w:w="6860" w:type="dxa"/>
            <w:vAlign w:val="bottom"/>
            <w:gridSpan w:val="3"/>
          </w:tcPr>
          <w:p>
            <w:pPr>
              <w:spacing w:after="0"/>
              <w:rPr>
                <w:sz w:val="20"/>
                <w:szCs w:val="20"/>
                <w:color w:val="auto"/>
              </w:rPr>
            </w:pPr>
            <w:r>
              <w:rPr>
                <w:rFonts w:ascii="Arial" w:cs="Arial" w:eastAsia="Arial" w:hAnsi="Arial"/>
                <w:sz w:val="18"/>
                <w:szCs w:val="18"/>
                <w:b w:val="1"/>
                <w:bCs w:val="1"/>
                <w:color w:val="auto"/>
              </w:rPr>
              <w:t>Form of Reverse of Security</w:t>
            </w: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Security is one of a duly authorized issue of securities of the Company (herein called the “Securities”), issued and to be issued in one or more series under an Indenture, dated as of _________, 20__ (herein called the “Indenture”, which term shall have the meaning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assigned to it in such instrument), among the Company and [_____________________], as Trustee (herein called the “Trustee”, which term</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includes any successor trustee under the Indenture), and reference is hereby made to the Indenture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[if applicable, insert -- , limited in aggregate principal amount to $_______].</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applicable, insert -- The Securities of this series are subject to redemption upon not less than 30 nor more than 60 days’ notice by mail, [if applicable, insert -- (1) on ___________ in any year commencing with the year ______ and ending with the year ______ through</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operation of the sinking fund for this series at a Redemption Price equal to 100% of the principal amount, and (2)] at any time [if applicable, insert -- on or after __________, 20__], as a whole or in part, at the election of the Company, at the following Redemption Prices (expressed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percentages of the principal amount): If redeemed [if applicable, insert -- on or before _______________, ___%, and if redeemed] during the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00" w:type="dxa"/>
            <w:vAlign w:val="bottom"/>
            <w:gridSpan w:val="6"/>
          </w:tcPr>
          <w:p>
            <w:pPr>
              <w:spacing w:after="0"/>
              <w:rPr>
                <w:sz w:val="20"/>
                <w:szCs w:val="20"/>
                <w:color w:val="auto"/>
              </w:rPr>
            </w:pPr>
            <w:r>
              <w:rPr>
                <w:rFonts w:ascii="Arial" w:cs="Arial" w:eastAsia="Arial" w:hAnsi="Arial"/>
                <w:sz w:val="18"/>
                <w:szCs w:val="18"/>
                <w:color w:val="auto"/>
              </w:rPr>
              <w:t>12-month period beginning _____________ of the years indicated,</w:t>
            </w:r>
          </w:p>
        </w:tc>
        <w:tc>
          <w:tcPr>
            <w:tcW w:w="1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spacing w:after="0"/>
              <w:rPr>
                <w:sz w:val="21"/>
                <w:szCs w:val="21"/>
                <w:color w:val="auto"/>
              </w:rPr>
            </w:pPr>
          </w:p>
        </w:tc>
      </w:tr>
      <w:tr>
        <w:trPr>
          <w:trHeight w:val="594"/>
        </w:trPr>
        <w:tc>
          <w:tcPr>
            <w:tcW w:w="180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Redemption</w:t>
            </w:r>
          </w:p>
        </w:tc>
        <w:tc>
          <w:tcPr>
            <w:tcW w:w="10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Redemption</w:t>
            </w:r>
          </w:p>
        </w:tc>
      </w:tr>
      <w:tr>
        <w:trPr>
          <w:trHeight w:val="264"/>
        </w:trPr>
        <w:tc>
          <w:tcPr>
            <w:tcW w:w="1800" w:type="dxa"/>
            <w:vAlign w:val="bottom"/>
          </w:tcPr>
          <w:p>
            <w:pPr>
              <w:spacing w:after="0"/>
              <w:rPr>
                <w:sz w:val="22"/>
                <w:szCs w:val="22"/>
                <w:color w:val="auto"/>
              </w:rPr>
            </w:pPr>
          </w:p>
        </w:tc>
        <w:tc>
          <w:tcPr>
            <w:tcW w:w="12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Year</w:t>
            </w:r>
          </w:p>
        </w:tc>
        <w:tc>
          <w:tcPr>
            <w:tcW w:w="6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Price</w:t>
            </w:r>
          </w:p>
        </w:tc>
        <w:tc>
          <w:tcPr>
            <w:tcW w:w="100" w:type="dxa"/>
            <w:vAlign w:val="bottom"/>
          </w:tcPr>
          <w:p>
            <w:pPr>
              <w:spacing w:after="0"/>
              <w:rPr>
                <w:sz w:val="22"/>
                <w:szCs w:val="22"/>
                <w:color w:val="auto"/>
              </w:rPr>
            </w:pPr>
          </w:p>
        </w:tc>
        <w:tc>
          <w:tcPr>
            <w:tcW w:w="126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Year</w:t>
            </w:r>
          </w:p>
        </w:tc>
        <w:tc>
          <w:tcPr>
            <w:tcW w:w="6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Price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a Redemption Price equal to _____% of the principal amount, together in the case of any such redemption [if applicable,</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insert --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5"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[If applicable, insert -- The Securities of this series are subject to redemption upon not less than 30 nor more than 60 days’ notice by mail, (1) on ____________ in any year commencing with the year ____ and ending with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7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year ____ through operation of the sinking fund for this series at the Redemption Prices for redemption through operation of the sinking fund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(expressed as percentages of the principal amount) set forth in the table below, and (2) at any time [if applicable, insert -- on or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 as a whole or in part, at the election of the Company, at the Redemption Prices for redemption otherwise than through</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operation of the sinking fund (expressed as percentages of the principal amount) set forth in the table below: If redeemed during the 12-month period beginning ____________ of the years indicated,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Redemption Price For Redemption Through</w:t>
            </w:r>
          </w:p>
        </w:tc>
        <w:tc>
          <w:tcPr>
            <w:tcW w:w="4340" w:type="dxa"/>
            <w:vAlign w:val="bottom"/>
          </w:tcPr>
          <w:p>
            <w:pPr>
              <w:ind w:left="240"/>
              <w:spacing w:after="0"/>
              <w:rPr>
                <w:sz w:val="20"/>
                <w:szCs w:val="20"/>
                <w:color w:val="auto"/>
              </w:rPr>
            </w:pPr>
            <w:r>
              <w:rPr>
                <w:rFonts w:ascii="Arial" w:cs="Arial" w:eastAsia="Arial" w:hAnsi="Arial"/>
                <w:sz w:val="18"/>
                <w:szCs w:val="18"/>
                <w:b w:val="1"/>
                <w:bCs w:val="1"/>
                <w:color w:val="auto"/>
              </w:rPr>
              <w:t>Redemption Price For Redemption Otherwise</w:t>
            </w:r>
          </w:p>
        </w:tc>
      </w:tr>
      <w:tr>
        <w:trPr>
          <w:trHeight w:val="254"/>
        </w:trPr>
        <w:tc>
          <w:tcPr>
            <w:tcW w:w="218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Year</w:t>
            </w:r>
          </w:p>
        </w:tc>
        <w:tc>
          <w:tcPr>
            <w:tcW w:w="1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Operation of the Sinking Fund</w:t>
            </w:r>
          </w:p>
        </w:tc>
        <w:tc>
          <w:tcPr>
            <w:tcW w:w="100" w:type="dxa"/>
            <w:vAlign w:val="bottom"/>
          </w:tcPr>
          <w:p>
            <w:pPr>
              <w:spacing w:after="0"/>
              <w:rPr>
                <w:sz w:val="22"/>
                <w:szCs w:val="22"/>
                <w:color w:val="auto"/>
              </w:rPr>
            </w:pPr>
          </w:p>
        </w:tc>
        <w:tc>
          <w:tcPr>
            <w:tcW w:w="43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Than Through Operation of the Sinking Fund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and thereafter at a Redemption Price equal to _____% of the principal amount, together in the case of any such redemption (whether through</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applicable, insert -- Notwithstanding the foregoing, the Company may not, prior to _____________, redeem any Securities of this</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series as contemplated by [if applicable, insert -- clause (2) of] the preceding paragraph as a part of, or in anticipation of, any refunding operation by the application, directly or indirectly, of moneys borrowed having an interest cost to the Company (calculated in accordance with generally accepted financial practice) of less than _____% per annum.]</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applicable, insert -- The sinking fund for this series provides for the redemption on ____________ in each year beginning with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year _______ and ending with the year ______ of [if applicable, insert -- not less than $_________ (“mandatory sinking fund”) and not more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than] $ ________ aggregate principal amount of Securities of this series. Securities of this series acquired or redeemed by the Company</w:t>
      </w:r>
    </w:p>
    <w:p>
      <w:pPr>
        <w:spacing w:after="0" w:line="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otherwise than through [if applicable, insert -- mandatory] sinking fund payments may be credited against subsequent [if applicable, insert -- mandatory] sinking fund payments otherwise required to be made [if applicable, insert -- , in the inverse order in which they become due].]</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the Security is subject to redemption of any kind, insert -- In the event of redemption of this Security in part only, a new Security or Securities of this series and of like tenor for the unredeemed portion hereof will be issued in the name of the Holder hereof upon the cancellation hereof.]</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Security is subject to conversion, insert -- Subject to the provisions of the Indenture, the Holder has the right to convert the principal amount of this Security into fully paid and nonassessable shares of Common Stock of the Company at the initial conversion price per share of Common Stock of $_____ (or $_____ in principal amount of Securities for each such share of Common Stock), or at the adjusted</w:t>
      </w:r>
    </w:p>
    <w:p>
      <w:pPr>
        <w:jc w:val="both"/>
        <w:spacing w:after="0" w:line="258" w:lineRule="auto"/>
        <w:rPr>
          <w:sz w:val="20"/>
          <w:szCs w:val="20"/>
          <w:color w:val="auto"/>
        </w:rPr>
      </w:pPr>
      <w:r>
        <w:rPr>
          <w:rFonts w:ascii="Arial" w:cs="Arial" w:eastAsia="Arial" w:hAnsi="Arial"/>
          <w:sz w:val="18"/>
          <w:szCs w:val="18"/>
          <w:color w:val="auto"/>
        </w:rPr>
        <w:t>conversion price then in effect, if adjustment has been made as provided in the Indenture, upon surrender of the Security to the Conversion Agent, together with a fully executed notice in substantially the form attached hereto and, if required by the Indenture, an amount equal to accrued interest payable on this Security.]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applicable, insert --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the Security is not an Original Issue Discount Security, insert -- If an Event of Default with respect to Securities of this series shall occur and be continuing, the principal of the Securities of this series may be declared due and payable in the manner and with the effect provided in the Indenture.]</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the Security is an Original Issue Discount Security, insert -- If an Event of Default with respect to Securities of this series shall occur and be continuing, an amount of principal of the Securities of this series may be declared due and payable in the manner and with the effect provided in the Indenture. Such amount shall be equal to -- insert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76"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formula for determining the amount.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reasonable security or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 [if applicable, insert -- or the right to convert this Security in accordance with its terms].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[insert if applicable -- and to convert such Security in accordance with its terms].</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of this series are issuable only in registered form without coupons in denominations of $ ______ and any integral</w:t>
      </w:r>
    </w:p>
    <w:p>
      <w:pPr>
        <w:spacing w:after="0" w:line="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which are defined in the Indenture shall have the meanings assigned to them in the Indenture.</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48" w:name="page49"/>
    <w:bookmarkEnd w:id="48"/>
    <w:p>
      <w:pPr>
        <w:spacing w:after="0"/>
        <w:tabs>
          <w:tab w:leader="none" w:pos="194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b w:val="1"/>
          <w:bCs w:val="1"/>
          <w:u w:val="single" w:color="auto"/>
          <w:color w:val="auto"/>
        </w:rPr>
        <w:t>Form of Legend for Global Securities</w:t>
      </w:r>
      <w:r>
        <w:rPr>
          <w:rFonts w:ascii="Arial" w:cs="Arial" w:eastAsia="Arial" w:hAnsi="Arial"/>
          <w:sz w:val="17"/>
          <w:szCs w:val="17"/>
          <w:color w:val="auto"/>
        </w:rPr>
        <w:t>.</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Unless otherwise specified as contemplated by Section 301 for the Securities evidenced thereby, every Global Security authenticated and delivered hereunder shall bear a legend in substantially the following form:</w:t>
      </w:r>
    </w:p>
    <w:p>
      <w:pPr>
        <w:spacing w:after="0" w:line="145"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b w:val="1"/>
          <w:bCs w:val="1"/>
          <w:u w:val="single" w:color="auto"/>
          <w:color w:val="auto"/>
        </w:rPr>
        <w:t>Form of Trustee’s Certificate of Authentication</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Trustee’s certificates of authentication shall be in substantially the following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By:________________________________</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Authorized Officer</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7"/>
          <w:szCs w:val="17"/>
          <w:b w:val="1"/>
          <w:bCs w:val="1"/>
          <w:u w:val="single" w:color="auto"/>
          <w:color w:val="auto"/>
        </w:rPr>
        <w:t>Form of Conversion Notice</w:t>
      </w:r>
      <w:r>
        <w:rPr>
          <w:rFonts w:ascii="Arial" w:cs="Arial" w:eastAsia="Arial" w:hAnsi="Arial"/>
          <w:sz w:val="17"/>
          <w:szCs w:val="17"/>
          <w:color w:val="auto"/>
        </w:rPr>
        <w:t>.</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Each convertible Security shall have attached thereto, or set forth on the reverse of the Security, a notice of conversion in substantially the following form:</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Conversion Notice</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To:</w:t>
        <w:tab/>
        <w:t>EZCORP, Inc.</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undersigned owner of this Security hereby: (i) irrevocably exercises the option to convert this Security, or the portion hereof below designated, for shares of Common Stock of EZCORP, Inc. in accordance with the terms of the Indenture referred to in this Security and (ii) directs that such shares of Common Stock deliverable upon the conversion, together with any check in payment for fractional shares and any Security(ies) representing any unconverted principal amount hereof, be issued and delivered to the registered holder hereof unless a different name has been indicated below. If shares are to be delivered registered in the name of a Person other than the undersigned, the undersigned will pay all transfer taxes payable with respect thereto. Any amount required to be paid by the undersigned on account of interest accompanies this Security.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3820" w:val="left"/>
        </w:tabs>
        <w:rPr>
          <w:sz w:val="20"/>
          <w:szCs w:val="20"/>
          <w:color w:val="auto"/>
        </w:rPr>
      </w:pPr>
      <w:r>
        <w:rPr>
          <w:rFonts w:ascii="Arial" w:cs="Arial" w:eastAsia="Arial" w:hAnsi="Arial"/>
          <w:sz w:val="18"/>
          <w:szCs w:val="18"/>
          <w:color w:val="auto"/>
        </w:rPr>
        <w:t>Dated:_______________________________</w:t>
        <w:tab/>
        <w:t>Signature__________________________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Fill in for registration of shares if to be delivered, and of Securities if to be issued, otherwise than to and in the name of the registered holder.</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_________________________________</w:t>
      </w:r>
    </w:p>
    <w:p>
      <w:pPr>
        <w:spacing w:after="0" w:line="31"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Social Security or other Taxpayer</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Identification Number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________________________________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to be converted: (if less than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*Participant in a recognized Signature Guarantee Medallion Program (or other signature acceptable to the Trustee).</w:t>
      </w:r>
    </w:p>
    <w:p>
      <w:pPr>
        <w:spacing w:after="0" w:line="200" w:lineRule="exact"/>
        <w:rPr>
          <w:sz w:val="20"/>
          <w:szCs w:val="20"/>
          <w:color w:val="auto"/>
        </w:rPr>
      </w:pP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THREE</w:t>
      </w:r>
    </w:p>
    <w:p>
      <w:pPr>
        <w:spacing w:after="0" w:line="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THE SECURITIES</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b w:val="1"/>
          <w:bCs w:val="1"/>
          <w:u w:val="single" w:color="auto"/>
          <w:color w:val="auto"/>
        </w:rPr>
        <w:t>Amount Unlimited; Issuable in Series</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303, set forth, or determined in the manner provided, in an Officers’ Certificate, or established in one or more indentures supplemental hereto, prior to the issuance of Securities of any series,</w:t>
      </w:r>
    </w:p>
    <w:p>
      <w:pPr>
        <w:spacing w:after="0" w:line="19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the title of the Securities of the series (which shall distinguish the Securities of the series from Securities of any 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266" w:lineRule="exact"/>
        <w:rPr>
          <w:sz w:val="20"/>
          <w:szCs w:val="20"/>
          <w:color w:val="auto"/>
        </w:rPr>
      </w:pPr>
    </w:p>
    <w:p>
      <w:pPr>
        <w:jc w:val="both"/>
        <w:ind w:firstLine="656"/>
        <w:spacing w:after="0" w:line="311"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304, 305, 306, 906 or 1107 and except for any Securities which, pursuant to Section 303, are deemed never to have been authenticated and delivered hereunder);</w:t>
      </w:r>
    </w:p>
    <w:p>
      <w:pPr>
        <w:spacing w:after="0" w:line="169" w:lineRule="exact"/>
        <w:rPr>
          <w:rFonts w:ascii="Arial" w:cs="Arial" w:eastAsia="Arial" w:hAnsi="Arial"/>
          <w:sz w:val="18"/>
          <w:szCs w:val="18"/>
          <w:color w:val="auto"/>
        </w:rPr>
      </w:pPr>
    </w:p>
    <w:p>
      <w:pPr>
        <w:ind w:firstLine="656"/>
        <w:spacing w:after="0" w:line="339"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65"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or rates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w:t>
      </w:r>
    </w:p>
    <w:p>
      <w:pPr>
        <w:spacing w:after="0" w:line="163"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place or places where the principal of and any premium and interest on any Securities of the series shall be payable;</w:t>
      </w:r>
    </w:p>
    <w:p>
      <w:pPr>
        <w:spacing w:after="0" w:line="265"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63"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792" w:right="239" w:bottom="1440" w:gutter="0" w:footer="0" w:header="0"/>
        </w:sectPr>
      </w:pPr>
    </w:p>
    <w:bookmarkStart w:id="50" w:name="page51"/>
    <w:bookmarkEnd w:id="50"/>
    <w:p>
      <w:pPr>
        <w:ind w:firstLine="656"/>
        <w:spacing w:after="0" w:line="339" w:lineRule="auto"/>
        <w:tabs>
          <w:tab w:leader="none" w:pos="15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denominations in which any Securities of the series shall be issuable;</w:t>
      </w:r>
    </w:p>
    <w:p>
      <w:pPr>
        <w:spacing w:after="0" w:line="144" w:lineRule="exact"/>
        <w:rPr>
          <w:rFonts w:ascii="Arial" w:cs="Arial" w:eastAsia="Arial" w:hAnsi="Arial"/>
          <w:sz w:val="18"/>
          <w:szCs w:val="18"/>
          <w:color w:val="auto"/>
        </w:rPr>
      </w:pPr>
    </w:p>
    <w:p>
      <w:pPr>
        <w:ind w:right="20" w:firstLine="656"/>
        <w:spacing w:after="0" w:line="339"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603"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101;</w:t>
      </w:r>
    </w:p>
    <w:p>
      <w:pPr>
        <w:spacing w:after="0" w:line="163" w:lineRule="exact"/>
        <w:rPr>
          <w:rFonts w:ascii="Arial" w:cs="Arial" w:eastAsia="Arial" w:hAnsi="Arial"/>
          <w:sz w:val="18"/>
          <w:szCs w:val="18"/>
          <w:color w:val="auto"/>
        </w:rPr>
      </w:pPr>
    </w:p>
    <w:p>
      <w:pPr>
        <w:jc w:val="both"/>
        <w:ind w:firstLine="656"/>
        <w:spacing w:after="0" w:line="307"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75" w:lineRule="exact"/>
        <w:rPr>
          <w:rFonts w:ascii="Arial" w:cs="Arial" w:eastAsia="Arial" w:hAnsi="Arial"/>
          <w:sz w:val="18"/>
          <w:szCs w:val="18"/>
          <w:color w:val="auto"/>
        </w:rPr>
      </w:pPr>
    </w:p>
    <w:p>
      <w:pPr>
        <w:ind w:firstLine="656"/>
        <w:spacing w:after="0" w:line="339"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502;</w:t>
      </w:r>
    </w:p>
    <w:p>
      <w:pPr>
        <w:spacing w:after="0" w:line="144" w:lineRule="exact"/>
        <w:rPr>
          <w:rFonts w:ascii="Arial" w:cs="Arial" w:eastAsia="Arial" w:hAnsi="Arial"/>
          <w:sz w:val="18"/>
          <w:szCs w:val="18"/>
          <w:color w:val="auto"/>
        </w:rPr>
      </w:pPr>
    </w:p>
    <w:p>
      <w:pPr>
        <w:jc w:val="both"/>
        <w:ind w:firstLine="656"/>
        <w:spacing w:after="0" w:line="307"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75" w:lineRule="exact"/>
        <w:rPr>
          <w:rFonts w:ascii="Arial" w:cs="Arial" w:eastAsia="Arial" w:hAnsi="Arial"/>
          <w:sz w:val="18"/>
          <w:szCs w:val="18"/>
          <w:color w:val="auto"/>
        </w:rPr>
      </w:pPr>
    </w:p>
    <w:p>
      <w:pPr>
        <w:jc w:val="both"/>
        <w:ind w:right="20" w:firstLine="656"/>
        <w:spacing w:after="0" w:line="318"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that the Securities of the series, in whole or any specified part, shall be defeasible pursuant to Section 1502 or Section 1503 or both such Sections and, if other than by a Board Resolution, the manner in which any election by the Company to defease such Securities shall be evidenced;</w:t>
      </w:r>
    </w:p>
    <w:p>
      <w:pPr>
        <w:spacing w:after="0" w:line="163" w:lineRule="exact"/>
        <w:rPr>
          <w:rFonts w:ascii="Arial" w:cs="Arial" w:eastAsia="Arial" w:hAnsi="Arial"/>
          <w:sz w:val="18"/>
          <w:szCs w:val="18"/>
          <w:color w:val="auto"/>
        </w:rPr>
      </w:pPr>
    </w:p>
    <w:p>
      <w:pPr>
        <w:jc w:val="both"/>
        <w:ind w:firstLine="656"/>
        <w:spacing w:after="0" w:line="305"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Depositories for such Global Securities, the form of any legend or legends which shall be borne by any such Global Security in addition to or in lieu of that set forth in Section 204 and any circumstances in addition to or in lieu of those set forth in clause (2) of the last paragraph of Section 305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77" w:lineRule="exact"/>
        <w:rPr>
          <w:rFonts w:ascii="Arial" w:cs="Arial" w:eastAsia="Arial" w:hAnsi="Arial"/>
          <w:sz w:val="18"/>
          <w:szCs w:val="18"/>
          <w:color w:val="auto"/>
        </w:rPr>
      </w:pPr>
    </w:p>
    <w:p>
      <w:pPr>
        <w:ind w:firstLine="656"/>
        <w:spacing w:after="0" w:line="339"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502;</w:t>
      </w:r>
    </w:p>
    <w:p>
      <w:pPr>
        <w:spacing w:after="0" w:line="144" w:lineRule="exact"/>
        <w:rPr>
          <w:rFonts w:ascii="Arial" w:cs="Arial" w:eastAsia="Arial" w:hAnsi="Arial"/>
          <w:sz w:val="18"/>
          <w:szCs w:val="18"/>
          <w:color w:val="auto"/>
        </w:rPr>
      </w:pPr>
    </w:p>
    <w:p>
      <w:pPr>
        <w:ind w:left="1620" w:hanging="964"/>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Ten which applies to Securities of the series;</w:t>
      </w:r>
    </w:p>
    <w:p>
      <w:pPr>
        <w:spacing w:after="0" w:line="265" w:lineRule="exact"/>
        <w:rPr>
          <w:rFonts w:ascii="Arial" w:cs="Arial" w:eastAsia="Arial" w:hAnsi="Arial"/>
          <w:sz w:val="18"/>
          <w:szCs w:val="18"/>
          <w:color w:val="auto"/>
        </w:rPr>
      </w:pPr>
    </w:p>
    <w:p>
      <w:pPr>
        <w:ind w:firstLine="656"/>
        <w:spacing w:after="0" w:line="339"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Securities of the series will be convertible into Common Stock (or cash in lieu thereof) and, if so, the terms and conditions upon which such conversion will be effected; and</w:t>
      </w:r>
    </w:p>
    <w:p>
      <w:pPr>
        <w:spacing w:after="0" w:line="144" w:lineRule="exact"/>
        <w:rPr>
          <w:rFonts w:ascii="Arial" w:cs="Arial" w:eastAsia="Arial" w:hAnsi="Arial"/>
          <w:sz w:val="18"/>
          <w:szCs w:val="18"/>
          <w:color w:val="auto"/>
        </w:rPr>
      </w:pPr>
    </w:p>
    <w:p>
      <w:pPr>
        <w:ind w:firstLine="656"/>
        <w:spacing w:after="0" w:line="339" w:lineRule="auto"/>
        <w:tabs>
          <w:tab w:leader="none" w:pos="161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except as permitted by Section 901(5)).</w:t>
      </w:r>
    </w:p>
    <w:p>
      <w:pPr>
        <w:spacing w:after="0" w:line="1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303) set forth, or determined in the manner provided, in the Officers’ Certificate referred to above or in any such indenture supplemental hereto.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03" w:right="239" w:bottom="1440" w:gutter="0" w:footer="0" w:header="0"/>
        </w:sectPr>
      </w:pPr>
    </w:p>
    <w:bookmarkStart w:id="51" w:name="page52"/>
    <w:bookmarkEnd w:id="51"/>
    <w:p>
      <w:pPr>
        <w:jc w:val="both"/>
        <w:ind w:firstLine="648"/>
        <w:spacing w:after="0" w:line="271"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b w:val="1"/>
          <w:bCs w:val="1"/>
          <w:u w:val="single" w:color="auto"/>
          <w:color w:val="auto"/>
        </w:rPr>
        <w:t>Denominations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301. In the absence of any such specified denomination with respect to the Securities of any series, the Securities of such series shall be issuable in denominations of $1,000 and any integral multiple thereof.</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7"/>
          <w:szCs w:val="17"/>
          <w:b w:val="1"/>
          <w:bCs w:val="1"/>
          <w:u w:val="single" w:color="auto"/>
          <w:color w:val="auto"/>
        </w:rPr>
        <w:t>Execution, Authentication, Delivery and Dating</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Securities shall be executed on behalf of the Company by its Chairman of the Board of Directors, its Vice Chairman of the Board of Directors, its President or one of its Vice Presidents. If its corporate seal is reproduced thereon, then it shall be attested by its Secretary or one of its Assistant Secretaries. The signature of any of these officers on the Securities may be manual or facsimile.</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6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201 and 301, in authenticating such Securities, and accepting the additional responsibilities under this Indenture in relation to such Securities, the Trustee shall be entitled to receive, and (subject to Section 601) shall be fully protected in relying upon, an Opinion of Counsel stating,</w:t>
      </w:r>
    </w:p>
    <w:p>
      <w:pPr>
        <w:spacing w:after="0" w:line="205" w:lineRule="exact"/>
        <w:rPr>
          <w:sz w:val="20"/>
          <w:szCs w:val="20"/>
          <w:color w:val="auto"/>
        </w:rPr>
      </w:pPr>
    </w:p>
    <w:p>
      <w:pPr>
        <w:ind w:firstLine="656"/>
        <w:spacing w:after="0" w:line="339"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201, that such form has been established in conformity with the provisions of this Indenture;</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301, that such terms have been established in conformity with the provisions of this Indenture; and</w:t>
      </w:r>
    </w:p>
    <w:p>
      <w:pPr>
        <w:spacing w:after="0" w:line="144"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43"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Notwithstanding the provisions of Section 301 and of the preceding paragraph, if all Securities of a series are not to be originally issued at one time, it shall not be necessary to deliver the Officers’ Certificate otherwise required pursuant to Section 301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576" w:right="2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8"/>
          <w:szCs w:val="18"/>
          <w:color w:val="auto"/>
        </w:rPr>
        <w:t>any Security shall have been authenticated and delivered hereunder but never issued and sold by the Company, and the Company shall deliver such Security to the Trustee for cancellation as provided in Section 309, for all purposes of this Indenture such Security shall be deemed never to have been authenticated and delivered hereunder and shall never be entitled to the benefits of this Indenture.</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7"/>
          <w:szCs w:val="17"/>
          <w:b w:val="1"/>
          <w:bCs w:val="1"/>
          <w:u w:val="single" w:color="auto"/>
          <w:color w:val="auto"/>
        </w:rPr>
        <w:t>Temporary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7"/>
          <w:szCs w:val="17"/>
          <w:b w:val="1"/>
          <w:bCs w:val="1"/>
          <w:u w:val="single" w:color="auto"/>
          <w:color w:val="auto"/>
        </w:rPr>
        <w:t>Registration, Registration of Transfer and Exchange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w:t>
      </w:r>
      <w:r>
        <w:rPr>
          <w:rFonts w:ascii="Arial" w:cs="Arial" w:eastAsia="Arial" w:hAnsi="Arial"/>
          <w:sz w:val="18"/>
          <w:szCs w:val="18"/>
          <w:b w:val="1"/>
          <w:bCs w:val="1"/>
          <w:color w:val="auto"/>
        </w:rPr>
        <w:t>Security Register</w:t>
      </w:r>
      <w:r>
        <w:rPr>
          <w:rFonts w:ascii="Arial" w:cs="Arial" w:eastAsia="Arial" w:hAnsi="Arial"/>
          <w:sz w:val="18"/>
          <w:szCs w:val="18"/>
          <w:color w:val="auto"/>
        </w:rPr>
        <w:t>”) in which, subject to such reasonable regulations as it may prescribe, the Company shall provide for the registration of Securities and of transfers of Securities. The Trustee is hereby appointed “</w:t>
      </w:r>
      <w:r>
        <w:rPr>
          <w:rFonts w:ascii="Arial" w:cs="Arial" w:eastAsia="Arial" w:hAnsi="Arial"/>
          <w:sz w:val="18"/>
          <w:szCs w:val="18"/>
          <w:b w:val="1"/>
          <w:bCs w:val="1"/>
          <w:color w:val="auto"/>
        </w:rPr>
        <w:t>Security Registrar</w:t>
      </w:r>
      <w:r>
        <w:rPr>
          <w:rFonts w:ascii="Arial" w:cs="Arial" w:eastAsia="Arial" w:hAnsi="Arial"/>
          <w:sz w:val="18"/>
          <w:szCs w:val="18"/>
          <w:color w:val="auto"/>
        </w:rPr>
        <w:t>” for the purpose of registering Securities and transfers of Securities as herein provided.</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304, 906, 1107 or otherwise not involving any transfer.</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53" w:name="page54"/>
    <w:bookmarkEnd w:id="53"/>
    <w:p>
      <w:pPr>
        <w:jc w:val="both"/>
        <w:ind w:right="20"/>
        <w:spacing w:after="0" w:line="264" w:lineRule="auto"/>
        <w:rPr>
          <w:sz w:val="20"/>
          <w:szCs w:val="20"/>
          <w:color w:val="auto"/>
        </w:rPr>
      </w:pPr>
      <w:r>
        <w:rPr>
          <w:rFonts w:ascii="Arial" w:cs="Arial" w:eastAsia="Arial" w:hAnsi="Arial"/>
          <w:sz w:val="18"/>
          <w:szCs w:val="18"/>
          <w:color w:val="auto"/>
        </w:rPr>
        <w:t>and specified tenor, as the case may be) during a period beginning at the opening of business 15 days before the day of the mailing of a notice of redemption of any such Securities selected for redemption under Section 1103 and ending at the close of business on the day of such mailing, or (B) to register the transfer of or exchange any Security so selected for redemption in whole or in part, except the unredeemed portion of any Security being redeemed in part.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52" w:lineRule="exact"/>
        <w:rPr>
          <w:sz w:val="20"/>
          <w:szCs w:val="20"/>
          <w:color w:val="auto"/>
        </w:rPr>
      </w:pPr>
    </w:p>
    <w:p>
      <w:pPr>
        <w:jc w:val="both"/>
        <w:ind w:firstLine="656"/>
        <w:spacing w:after="0" w:line="318"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63" w:lineRule="exact"/>
        <w:rPr>
          <w:rFonts w:ascii="Arial" w:cs="Arial" w:eastAsia="Arial" w:hAnsi="Arial"/>
          <w:sz w:val="18"/>
          <w:szCs w:val="18"/>
          <w:color w:val="auto"/>
        </w:rPr>
      </w:pPr>
    </w:p>
    <w:p>
      <w:pPr>
        <w:jc w:val="both"/>
        <w:ind w:firstLine="656"/>
        <w:spacing w:after="0" w:line="302"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and in either case the Company fails to appoint a successor Depositary within 90 days, (B) there shall have occurred and be continuing an Event of Default with respect to such Global Security and the Depositary shall have notified the Trustee of its decision to exchange such Global Security for Securities in certificated form, (C) subject to the rules of the Depositary, the Company shall have elected to terminate the book-entry system through the Depositary, or (D) there shall exist such circumstances, if any, in addition to or in lieu of the foregoing as have been specified for this purpose as contemplated by Section 301.</w:t>
      </w:r>
    </w:p>
    <w:p>
      <w:pPr>
        <w:spacing w:after="0" w:line="181"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63"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304, 306, 906 or 1107 or otherwise, shall be authenticated and delivered in the form of, and shall be, a Global Security, unless such Security is registered in the name of a Person other than the Depositary for such Global Security or a nominee thereof.</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7"/>
          <w:szCs w:val="17"/>
          <w:b w:val="1"/>
          <w:bCs w:val="1"/>
          <w:u w:val="single" w:color="auto"/>
          <w:color w:val="auto"/>
        </w:rPr>
        <w:t>Mutilated, Destroyed, Lost and Stolen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from any loss that any of them may suffer if a Security is replaced, then, in the absence of notice to the Company or the Trustee that such Security has been acquired by a protected purchaser, the Company shall execute, and the Trustee shall authenticate and deliver, in lieu of any such destroyed, lost or stolen Security, a new Security of the same series and of like tenor and principal amount and bearing a number not contemporaneously outstanding. In case any such mutilated, destroyed, lost or stolen Security has become or is about to become due and payable or is to be converted, the Company in its discretion may, instead of issuing a new Security, pay or authorize the conversion of such Security (without surrender thereof save in the case of a mutilated Security).</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6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payment or conversion of mutilated, destroyed, lost or stolen Securities.</w:t>
      </w:r>
    </w:p>
    <w:p>
      <w:pPr>
        <w:sectPr>
          <w:pgSz w:w="11900" w:h="16838" w:orient="portrait"/>
          <w:cols w:equalWidth="0" w:num="1">
            <w:col w:w="11420"/>
          </w:cols>
          <w:pgMar w:left="240" w:top="576"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type w:val="continuous"/>
        </w:sectPr>
      </w:pPr>
    </w:p>
    <w:bookmarkStart w:id="54" w:name="page55"/>
    <w:bookmarkEnd w:id="54"/>
    <w:p>
      <w:pPr>
        <w:spacing w:after="0"/>
        <w:tabs>
          <w:tab w:leader="none" w:pos="194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7"/>
          <w:szCs w:val="17"/>
          <w:b w:val="1"/>
          <w:bCs w:val="1"/>
          <w:u w:val="single" w:color="auto"/>
          <w:color w:val="auto"/>
        </w:rPr>
        <w:t>Payment of Interest; Interest Rights Preserved</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Except as otherwise provided as contemplated by Section 301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interest on any Security of any series which is payable, but is not punctually paid or duly provided for, on any Interest Payment Date (herein called “</w:t>
      </w:r>
      <w:r>
        <w:rPr>
          <w:rFonts w:ascii="Arial" w:cs="Arial" w:eastAsia="Arial" w:hAnsi="Arial"/>
          <w:sz w:val="18"/>
          <w:szCs w:val="18"/>
          <w:b w:val="1"/>
          <w:bCs w:val="1"/>
          <w:color w:val="auto"/>
        </w:rPr>
        <w:t>Defaulted Interest</w:t>
      </w:r>
      <w:r>
        <w:rPr>
          <w:rFonts w:ascii="Arial" w:cs="Arial" w:eastAsia="Arial" w:hAnsi="Arial"/>
          <w:sz w:val="18"/>
          <w:szCs w:val="18"/>
          <w:color w:val="auto"/>
        </w:rPr>
        <w:t>”) shall forthwith cease to be payable to the Holder on the relevant Regular Record Date by virtue of having been such Holder, and such Defaulted Interest may be paid by the Company, at its election in each case, as provided in clause (1) or</w:t>
      </w: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below:</w:t>
      </w:r>
    </w:p>
    <w:p>
      <w:pPr>
        <w:spacing w:after="0" w:line="230" w:lineRule="exact"/>
        <w:rPr>
          <w:rFonts w:ascii="Arial" w:cs="Arial" w:eastAsia="Arial" w:hAnsi="Arial"/>
          <w:sz w:val="18"/>
          <w:szCs w:val="18"/>
          <w:color w:val="auto"/>
        </w:rPr>
      </w:pPr>
    </w:p>
    <w:p>
      <w:pPr>
        <w:jc w:val="both"/>
        <w:ind w:firstLine="656"/>
        <w:spacing w:after="0" w:line="300" w:lineRule="auto"/>
        <w:tabs>
          <w:tab w:leader="none" w:pos="151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106, not less than 10 days prior to such Special Record Date. Notice of the proposed payment of such Defaulted Interest and the Special Record Date therefor having been so mailed,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84" w:lineRule="exact"/>
        <w:rPr>
          <w:rFonts w:ascii="Arial" w:cs="Arial" w:eastAsia="Arial" w:hAnsi="Arial"/>
          <w:sz w:val="18"/>
          <w:szCs w:val="18"/>
          <w:color w:val="auto"/>
        </w:rPr>
      </w:pPr>
    </w:p>
    <w:p>
      <w:pPr>
        <w:jc w:val="both"/>
        <w:ind w:firstLine="656"/>
        <w:spacing w:after="0" w:line="311" w:lineRule="auto"/>
        <w:tabs>
          <w:tab w:leader="none" w:pos="1516"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7"/>
          <w:szCs w:val="17"/>
          <w:b w:val="1"/>
          <w:bCs w:val="1"/>
          <w:u w:val="single" w:color="auto"/>
          <w:color w:val="auto"/>
        </w:rPr>
        <w:t>Persons Deemed Owners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307) any interest on such Security and for all other purposes whatsoever, whether or not such Security be overdue, and neither the Company, the Trustee nor any agent of the Company or the Trustee shall be affected by notice to the contrary.</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309.</w:t>
      </w:r>
      <w:r>
        <w:rPr>
          <w:sz w:val="20"/>
          <w:szCs w:val="20"/>
          <w:color w:val="auto"/>
        </w:rPr>
        <w:tab/>
      </w:r>
      <w:r>
        <w:rPr>
          <w:rFonts w:ascii="Arial" w:cs="Arial" w:eastAsia="Arial" w:hAnsi="Arial"/>
          <w:sz w:val="17"/>
          <w:szCs w:val="17"/>
          <w:b w:val="1"/>
          <w:bCs w:val="1"/>
          <w:u w:val="single" w:color="auto"/>
          <w:color w:val="auto"/>
        </w:rPr>
        <w:t>Cancellation</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Securities surrendered for payment, redemption, purchase, registration of transfer or exchange or for credit against any sinking fund payment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No Securities shall be authenticated in lieu of or in exchange for any Securities cancelled as provided in this Section, except as expressly permitted by this Indenture. All cancelled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74" w:right="239" w:bottom="1440" w:gutter="0" w:footer="0" w:header="0"/>
        </w:sectPr>
      </w:pPr>
    </w:p>
    <w:bookmarkStart w:id="55" w:name="page56"/>
    <w:bookmarkEnd w:id="55"/>
    <w:p>
      <w:pPr>
        <w:spacing w:after="0" w:line="292" w:lineRule="auto"/>
        <w:rPr>
          <w:sz w:val="20"/>
          <w:szCs w:val="20"/>
          <w:color w:val="auto"/>
        </w:rPr>
      </w:pPr>
      <w:r>
        <w:rPr>
          <w:rFonts w:ascii="Arial" w:cs="Arial" w:eastAsia="Arial" w:hAnsi="Arial"/>
          <w:sz w:val="18"/>
          <w:szCs w:val="18"/>
          <w:color w:val="auto"/>
        </w:rPr>
        <w:t>Securities held by the Trustee shall be disposed of in accordance with its standard procedures, unless as otherwise directed by a Company Order.</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7"/>
          <w:szCs w:val="17"/>
          <w:b w:val="1"/>
          <w:bCs w:val="1"/>
          <w:u w:val="single" w:color="auto"/>
          <w:color w:val="auto"/>
        </w:rPr>
        <w:t>Computation of Interest</w:t>
      </w:r>
      <w:r>
        <w:rPr>
          <w:rFonts w:ascii="Arial" w:cs="Arial" w:eastAsia="Arial" w:hAnsi="Arial"/>
          <w:sz w:val="17"/>
          <w:szCs w:val="17"/>
          <w:color w:val="auto"/>
        </w:rPr>
        <w:t>.</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Except as otherwise specified as contemplated by Section 301 for Securities of any series, interest on the Securities of each series shall be computed on the basis of a 360-day year of twelve 30-day months.</w:t>
      </w:r>
    </w:p>
    <w:p>
      <w:pPr>
        <w:spacing w:after="0" w:line="14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ARTICLE FOUR</w: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SATISFACTION AND DISCHARGE</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7"/>
          <w:szCs w:val="17"/>
          <w:b w:val="1"/>
          <w:bCs w:val="1"/>
          <w:u w:val="single" w:color="auto"/>
          <w:color w:val="auto"/>
        </w:rPr>
        <w:t>Satisfaction and Discharge of Indenture</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This Indenture shall upon Company Request cease to be of further effect with respect to the Securities of any series, and the Trustee, at the expense of the Company, shall execute proper instruments acknowledging satisfaction and discharge of this Indenture, when</w:t>
      </w:r>
    </w:p>
    <w:p>
      <w:pPr>
        <w:spacing w:after="0" w:line="172" w:lineRule="exact"/>
        <w:rPr>
          <w:sz w:val="20"/>
          <w:szCs w:val="20"/>
          <w:color w:val="auto"/>
        </w:rPr>
      </w:pPr>
    </w:p>
    <w:p>
      <w:pPr>
        <w:ind w:left="1520" w:hanging="864"/>
        <w:spacing w:after="0"/>
        <w:tabs>
          <w:tab w:leader="none" w:pos="1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w:t>
      </w:r>
    </w:p>
    <w:p>
      <w:pPr>
        <w:spacing w:after="0" w:line="49" w:lineRule="exact"/>
        <w:rPr>
          <w:rFonts w:ascii="Arial" w:cs="Arial" w:eastAsia="Arial" w:hAnsi="Arial"/>
          <w:sz w:val="18"/>
          <w:szCs w:val="18"/>
          <w:color w:val="auto"/>
        </w:rPr>
      </w:pPr>
    </w:p>
    <w:p>
      <w:pPr>
        <w:jc w:val="both"/>
        <w:ind w:firstLine="1305"/>
        <w:spacing w:after="0" w:line="311" w:lineRule="auto"/>
        <w:tabs>
          <w:tab w:leader="none" w:pos="21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(i) Securities of such series which have been destroyed, lost or stolen and which have been replaced or paid as provided in Section 306 and (ii) Securities of such series for whose payment money has theretofore been deposited in trust or segregated and held in trust by the Company and thereafter repaid to the Company or discharged from such trust, as provided in Section 1003) have been delivered to the Trustee for cancellation; or</w:t>
      </w:r>
    </w:p>
    <w:p>
      <w:pPr>
        <w:spacing w:after="0" w:line="169" w:lineRule="exact"/>
        <w:rPr>
          <w:rFonts w:ascii="Arial" w:cs="Arial" w:eastAsia="Arial" w:hAnsi="Arial"/>
          <w:sz w:val="18"/>
          <w:szCs w:val="18"/>
          <w:color w:val="auto"/>
        </w:rPr>
      </w:pPr>
    </w:p>
    <w:p>
      <w:pPr>
        <w:ind w:left="2200" w:hanging="895"/>
        <w:spacing w:after="0"/>
        <w:tabs>
          <w:tab w:leader="none" w:pos="22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49" w:lineRule="exact"/>
        <w:rPr>
          <w:rFonts w:ascii="Arial" w:cs="Arial" w:eastAsia="Arial" w:hAnsi="Arial"/>
          <w:sz w:val="18"/>
          <w:szCs w:val="18"/>
          <w:color w:val="auto"/>
        </w:rPr>
      </w:pPr>
    </w:p>
    <w:p>
      <w:pPr>
        <w:ind w:left="2760" w:hanging="807"/>
        <w:spacing w:after="0"/>
        <w:tabs>
          <w:tab w:leader="none" w:pos="27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49" w:lineRule="exact"/>
        <w:rPr>
          <w:rFonts w:ascii="Arial" w:cs="Arial" w:eastAsia="Arial" w:hAnsi="Arial"/>
          <w:sz w:val="18"/>
          <w:szCs w:val="18"/>
          <w:color w:val="auto"/>
        </w:rPr>
      </w:pPr>
    </w:p>
    <w:p>
      <w:pPr>
        <w:ind w:left="2800" w:hanging="847"/>
        <w:spacing w:after="0"/>
        <w:tabs>
          <w:tab w:leader="none" w:pos="28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49" w:lineRule="exact"/>
        <w:rPr>
          <w:rFonts w:ascii="Arial" w:cs="Arial" w:eastAsia="Arial" w:hAnsi="Arial"/>
          <w:sz w:val="18"/>
          <w:szCs w:val="18"/>
          <w:color w:val="auto"/>
        </w:rPr>
      </w:pPr>
    </w:p>
    <w:p>
      <w:pPr>
        <w:ind w:right="20" w:firstLine="1953"/>
        <w:spacing w:after="0" w:line="289" w:lineRule="auto"/>
        <w:tabs>
          <w:tab w:leader="none" w:pos="2833" w:val="left"/>
        </w:tabs>
        <w:numPr>
          <w:ilvl w:val="2"/>
          <w:numId w:val="43"/>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 w:lineRule="exact"/>
        <w:rPr>
          <w:rFonts w:ascii="Arial" w:cs="Arial" w:eastAsia="Arial" w:hAnsi="Arial"/>
          <w:sz w:val="18"/>
          <w:szCs w:val="18"/>
          <w:color w:val="auto"/>
        </w:rPr>
      </w:pPr>
    </w:p>
    <w:p>
      <w:pPr>
        <w:jc w:val="both"/>
        <w:spacing w:after="0" w:line="257" w:lineRule="auto"/>
        <w:rPr>
          <w:rFonts w:ascii="Arial" w:cs="Arial" w:eastAsia="Arial" w:hAnsi="Arial"/>
          <w:sz w:val="18"/>
          <w:szCs w:val="18"/>
          <w:color w:val="auto"/>
        </w:rPr>
      </w:pPr>
      <w:r>
        <w:rPr>
          <w:rFonts w:ascii="Arial" w:cs="Arial" w:eastAsia="Arial" w:hAnsi="Arial"/>
          <w:sz w:val="18"/>
          <w:szCs w:val="18"/>
          <w:color w:val="auto"/>
        </w:rPr>
        <w:t>and the Company, in the case of (i), (ii) or (iii) above, has irrevocably deposited or caused to be deposited with the Trustee as trust funds in trust for the purpose money in an amount sufficient, without consideration of any reinvestment of interest,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201" w:lineRule="exact"/>
        <w:rPr>
          <w:rFonts w:ascii="Arial" w:cs="Arial" w:eastAsia="Arial" w:hAnsi="Arial"/>
          <w:sz w:val="18"/>
          <w:szCs w:val="18"/>
          <w:color w:val="auto"/>
        </w:rPr>
      </w:pPr>
    </w:p>
    <w:p>
      <w:pPr>
        <w:ind w:firstLine="656"/>
        <w:spacing w:after="0" w:line="339"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with respect to the Securities of such series; and</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with respect to the Securities of such series have been complied with.</w:t>
      </w:r>
    </w:p>
    <w:p>
      <w:pPr>
        <w:spacing w:after="0" w:line="13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607, the obligations of the Company with respect to the Securities of such series under Sections 304, 305, 306, 1002 and 1003, any surviving rights of conversion, the obligations of the Trustee to any Authenticating Agent under Section 614 and, if money shall have been deposited with the Trustee pursuant to subclause (B) of clause (1) of this Section, the obligations of the Trustee under Section 402 and the last paragraph of Section 1003 shall survive.</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7"/>
          <w:szCs w:val="17"/>
          <w:b w:val="1"/>
          <w:bCs w:val="1"/>
          <w:u w:val="single" w:color="auto"/>
          <w:color w:val="auto"/>
        </w:rPr>
        <w:t>Application of Trust Money</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56" w:name="page57"/>
    <w:bookmarkEnd w:id="56"/>
    <w:p>
      <w:pPr>
        <w:jc w:val="center"/>
        <w:ind w:left="660"/>
        <w:spacing w:after="0"/>
        <w:rPr>
          <w:sz w:val="20"/>
          <w:szCs w:val="20"/>
          <w:color w:val="auto"/>
        </w:rPr>
      </w:pPr>
      <w:r>
        <w:rPr>
          <w:rFonts w:ascii="Arial" w:cs="Arial" w:eastAsia="Arial" w:hAnsi="Arial"/>
          <w:sz w:val="18"/>
          <w:szCs w:val="18"/>
          <w:b w:val="1"/>
          <w:bCs w:val="1"/>
          <w:color w:val="auto"/>
        </w:rPr>
        <w:t>ARTICLE FIVE</w:t>
      </w:r>
    </w:p>
    <w:p>
      <w:pPr>
        <w:spacing w:after="0" w:line="3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REMEDIES</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b w:val="1"/>
          <w:bCs w:val="1"/>
          <w:u w:val="single" w:color="auto"/>
          <w:color w:val="auto"/>
        </w:rPr>
        <w:t>Events of Default</w:t>
      </w:r>
      <w:r>
        <w:rPr>
          <w:rFonts w:ascii="Arial" w:cs="Arial" w:eastAsia="Arial" w:hAnsi="Arial"/>
          <w:sz w:val="17"/>
          <w:szCs w:val="17"/>
          <w:color w:val="auto"/>
        </w:rPr>
        <w: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90" w:lineRule="exact"/>
        <w:rPr>
          <w:sz w:val="20"/>
          <w:szCs w:val="20"/>
          <w:color w:val="auto"/>
        </w:rPr>
      </w:pPr>
    </w:p>
    <w:p>
      <w:pPr>
        <w:ind w:firstLine="656"/>
        <w:spacing w:after="0" w:line="339"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30 days; or</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of the Company in Article Eight of this Indenture; or</w:t>
      </w:r>
    </w:p>
    <w:p>
      <w:pPr>
        <w:spacing w:after="0" w:line="265"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w:t>
      </w:r>
      <w:r>
        <w:rPr>
          <w:rFonts w:ascii="Arial" w:cs="Arial" w:eastAsia="Arial" w:hAnsi="Arial"/>
          <w:sz w:val="18"/>
          <w:szCs w:val="18"/>
          <w:b w:val="1"/>
          <w:bCs w:val="1"/>
          <w:color w:val="auto"/>
        </w:rPr>
        <w:t>Notice of Default</w:t>
      </w:r>
      <w:r>
        <w:rPr>
          <w:rFonts w:ascii="Arial" w:cs="Arial" w:eastAsia="Arial" w:hAnsi="Arial"/>
          <w:sz w:val="18"/>
          <w:szCs w:val="18"/>
          <w:color w:val="auto"/>
        </w:rPr>
        <w:t>” hereunder; or</w:t>
      </w:r>
    </w:p>
    <w:p>
      <w:pPr>
        <w:spacing w:after="0" w:line="167"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of the Company or any Significant Subsidiary is not paid within any applicable grace period after final maturity or is accelerated by the holders thereof because of a default and the total amount of such Debt unpaid or accelerated exceeds $20.0 million, or its foreign currency equivalent at the time; or</w:t>
      </w:r>
    </w:p>
    <w:p>
      <w:pPr>
        <w:spacing w:after="0" w:line="163"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judgment or decree for the payment of money in excess of $20.0 million or its foreign currency equivalent at the time it is entered against the Company or any Significant Subsidiary remains outstanding for a period of 60 consecutive days following the entry of such judgment or decree and is not discharged, waived or the execution thereof stayed; or</w:t>
      </w:r>
    </w:p>
    <w:p>
      <w:pPr>
        <w:spacing w:after="0" w:line="163" w:lineRule="exact"/>
        <w:rPr>
          <w:rFonts w:ascii="Arial" w:cs="Arial" w:eastAsia="Arial" w:hAnsi="Arial"/>
          <w:sz w:val="18"/>
          <w:szCs w:val="18"/>
          <w:color w:val="auto"/>
        </w:rPr>
      </w:pPr>
    </w:p>
    <w:p>
      <w:pPr>
        <w:jc w:val="both"/>
        <w:ind w:firstLine="656"/>
        <w:spacing w:after="0" w:line="303"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or any Significant Subsidiary in an involuntary case or proceeding under any applicable Federal or State bankruptcy, insolvency, reorganization or other similar law or (B) a decree or order adjudging the Company or any Significant Subsidiary a bankrupt or insolvent, or approving as properly filed a petition seeking reorganization, arrangement, adjustment or composition of or in respect of the Company or any Significant Subsidiary under any applicable Federal or State law, or appointing a custodian, receiver, liquidator, assignee, trustee, sequestrator or other similar official of the Company or any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 or</w:t>
      </w:r>
    </w:p>
    <w:p>
      <w:pPr>
        <w:spacing w:after="0" w:line="178" w:lineRule="exact"/>
        <w:rPr>
          <w:rFonts w:ascii="Arial" w:cs="Arial" w:eastAsia="Arial" w:hAnsi="Arial"/>
          <w:sz w:val="18"/>
          <w:szCs w:val="18"/>
          <w:color w:val="auto"/>
        </w:rPr>
      </w:pPr>
    </w:p>
    <w:p>
      <w:pPr>
        <w:jc w:val="both"/>
        <w:ind w:firstLine="656"/>
        <w:spacing w:after="0" w:line="302" w:lineRule="auto"/>
        <w:tabs>
          <w:tab w:leader="none" w:pos="15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commencement by the Company or any Significant Subsidiary of a voluntary case or proceeding under any applicable Federal or State bankruptcy, insolvency, reorganization or other similar law or of any other case or proceeding to be adjudicated a bankrupt or insolvent, or the consent by it or them to the entry of a decree or order for relief in respect of the Company or any Significant Subsidiary in an involuntary case or proceeding under any applicable Federal or State bankruptcy, insolvency, reorganization or other similar law or to the commencement of any bankruptcy or insolvency case or proceeding against it or them, or the filing by it or them of a petition or answer or consent seeking reorganization or relief under any applicable Federal or State law, or the consent by it or them to the filing of such petition or to the appointment of or taking possession by a custodian, receiver, liquidator, assignee, trustee, sequestrator or other similar official of the Company or any Significant Subsidiary or of any substantial part of its or their property, or the making by it or them of an assignment for the benefit of creditors, or the admission by it or them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574" w:right="239" w:bottom="1440" w:gutter="0" w:footer="0" w:header="0"/>
        </w:sectPr>
      </w:pPr>
    </w:p>
    <w:bookmarkStart w:id="57" w:name="page58"/>
    <w:bookmarkEnd w:id="57"/>
    <w:p>
      <w:pPr>
        <w:ind w:right="20"/>
        <w:spacing w:after="0" w:line="339" w:lineRule="auto"/>
        <w:rPr>
          <w:sz w:val="20"/>
          <w:szCs w:val="20"/>
          <w:color w:val="auto"/>
        </w:rPr>
      </w:pPr>
      <w:r>
        <w:rPr>
          <w:rFonts w:ascii="Arial" w:cs="Arial" w:eastAsia="Arial" w:hAnsi="Arial"/>
          <w:sz w:val="18"/>
          <w:szCs w:val="18"/>
          <w:color w:val="auto"/>
        </w:rPr>
        <w:t>in writing of its or their inability to pay its or their debts generally as they become due, or the taking of corporate action by the Company or any Significant Subsidiary in furtherance of any such action; or</w:t>
      </w:r>
    </w:p>
    <w:p>
      <w:pPr>
        <w:spacing w:after="0" w:line="145" w:lineRule="exact"/>
        <w:rPr>
          <w:sz w:val="20"/>
          <w:szCs w:val="20"/>
          <w:color w:val="auto"/>
        </w:rPr>
      </w:pPr>
    </w:p>
    <w:p>
      <w:pPr>
        <w:ind w:left="1620" w:hanging="964"/>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502.</w:t>
      </w:r>
      <w:r>
        <w:rPr>
          <w:rFonts w:ascii="Arial" w:cs="Arial" w:eastAsia="Arial" w:hAnsi="Arial"/>
          <w:sz w:val="17"/>
          <w:szCs w:val="17"/>
          <w:b w:val="1"/>
          <w:bCs w:val="1"/>
          <w:u w:val="single" w:color="auto"/>
          <w:color w:val="auto"/>
        </w:rPr>
        <w:t>Acceleration of Maturity; Rescission and Annulment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an Event of Default (other than an Event of Default with respect to the Company specified in Section 501(8) or 501(9))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to be due and payable immediately, by a notice in writing to the Company (and to the Trustee if given by Holders), and upon any such declaration such principal amount (or specified amount), together with any accrued and unpaid interest thereon, shall become immediately due and payable. If an Event of Default with respect to the Company specified in Section 501(8) or 501(9)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together with any accrued and unpaid interest thereon, shall automatically, and without any declaration or other action on the part of the Trustee or any Holder, become immediately due and payable.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97" w:lineRule="exact"/>
        <w:rPr>
          <w:sz w:val="20"/>
          <w:szCs w:val="20"/>
          <w:color w:val="auto"/>
        </w:rPr>
      </w:pPr>
    </w:p>
    <w:p>
      <w:pPr>
        <w:ind w:left="1520" w:hanging="864"/>
        <w:spacing w:after="0"/>
        <w:tabs>
          <w:tab w:leader="none" w:pos="1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49" w:lineRule="exact"/>
        <w:rPr>
          <w:rFonts w:ascii="Arial" w:cs="Arial" w:eastAsia="Arial" w:hAnsi="Arial"/>
          <w:sz w:val="18"/>
          <w:szCs w:val="18"/>
          <w:color w:val="auto"/>
        </w:rPr>
      </w:pPr>
    </w:p>
    <w:p>
      <w:pPr>
        <w:ind w:left="2200" w:hanging="895"/>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35" w:lineRule="exact"/>
        <w:rPr>
          <w:rFonts w:ascii="Arial" w:cs="Arial" w:eastAsia="Arial" w:hAnsi="Arial"/>
          <w:sz w:val="18"/>
          <w:szCs w:val="18"/>
          <w:color w:val="auto"/>
        </w:rPr>
      </w:pPr>
    </w:p>
    <w:p>
      <w:pPr>
        <w:ind w:left="1960" w:hanging="655"/>
        <w:spacing w:after="0" w:line="255"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ind w:left="2600" w:hanging="1295"/>
        <w:spacing w:after="0" w:line="250" w:lineRule="auto"/>
        <w:tabs>
          <w:tab w:leader="none" w:pos="195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ind w:left="1960" w:hanging="655"/>
        <w:spacing w:after="0" w:line="266" w:lineRule="auto"/>
        <w:tabs>
          <w:tab w:leader="none" w:pos="1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94" w:lineRule="exact"/>
        <w:rPr>
          <w:rFonts w:ascii="Arial" w:cs="Arial" w:eastAsia="Arial" w:hAnsi="Arial"/>
          <w:sz w:val="18"/>
          <w:szCs w:val="18"/>
          <w:color w:val="auto"/>
        </w:rPr>
      </w:pPr>
    </w:p>
    <w:p>
      <w:pPr>
        <w:ind w:right="20" w:firstLine="656"/>
        <w:spacing w:after="0" w:line="339" w:lineRule="auto"/>
        <w:tabs>
          <w:tab w:leader="none" w:pos="1516"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other than the non-payment of the principal of Securities of that series which has become due solely by such declaration of acceleration, have been cured or waived as provided in Section 513.</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7"/>
          <w:szCs w:val="17"/>
          <w:b w:val="1"/>
          <w:bCs w:val="1"/>
          <w:u w:val="single" w:color="auto"/>
          <w:color w:val="auto"/>
        </w:rPr>
        <w:t>Collection of Indebtedness and Suits for Enforcement by Trustee</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52" w:lineRule="exact"/>
        <w:rPr>
          <w:sz w:val="20"/>
          <w:szCs w:val="20"/>
          <w:color w:val="auto"/>
        </w:rPr>
      </w:pPr>
    </w:p>
    <w:p>
      <w:pPr>
        <w:ind w:firstLine="656"/>
        <w:spacing w:after="0" w:line="339" w:lineRule="auto"/>
        <w:tabs>
          <w:tab w:leader="none" w:pos="1516"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03" w:right="239" w:bottom="1440" w:gutter="0" w:footer="0" w:header="0"/>
        </w:sectPr>
      </w:pPr>
    </w:p>
    <w:bookmarkStart w:id="58" w:name="page59"/>
    <w:bookmarkEnd w:id="58"/>
    <w:p>
      <w:pPr>
        <w:jc w:val="both"/>
        <w:ind w:right="20" w:firstLine="648"/>
        <w:spacing w:after="0" w:line="264"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7"/>
          <w:szCs w:val="17"/>
          <w:b w:val="1"/>
          <w:bCs w:val="1"/>
          <w:u w:val="single" w:color="auto"/>
          <w:color w:val="auto"/>
        </w:rPr>
        <w:t>Trustee May File Proofs of Claim</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case of any judicial proceeding relative to the Company or any other obligor upon the Securities, or the property or creditors of the Company or any other obligor upon the Securities,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607.</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provided, however, that the Trustee may, on behalf of the Holders, vote for the election of a trustee in bankruptcy or similar official and be a member of a creditors’ or other similar committee.</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7"/>
          <w:szCs w:val="17"/>
          <w:b w:val="1"/>
          <w:bCs w:val="1"/>
          <w:u w:val="single" w:color="auto"/>
          <w:color w:val="auto"/>
        </w:rPr>
        <w:t>Trustee May Enforce Claims Without Possession of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506.</w:t>
      </w:r>
      <w:r>
        <w:rPr>
          <w:sz w:val="20"/>
          <w:szCs w:val="20"/>
          <w:color w:val="auto"/>
        </w:rPr>
        <w:tab/>
      </w:r>
      <w:r>
        <w:rPr>
          <w:rFonts w:ascii="Arial" w:cs="Arial" w:eastAsia="Arial" w:hAnsi="Arial"/>
          <w:sz w:val="17"/>
          <w:szCs w:val="17"/>
          <w:b w:val="1"/>
          <w:bCs w:val="1"/>
          <w:u w:val="single" w:color="auto"/>
          <w:color w:val="auto"/>
        </w:rPr>
        <w:t>Application of Money Collected</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607;</w:t>
      </w:r>
    </w:p>
    <w:p>
      <w:pPr>
        <w:spacing w:after="0" w:line="22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SECOND: To the payment of the amounts then due and unpaid for principal of and any premium and interest on the Securities in respect of which or for the benefit of which such money has been collected, ratably, without preference or priority of any kind, according to the amounts due and payable on such Securities for principal and any premium and interest, respectively; and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to such other Person as a court of competent jurisdiction shall direct.</w:t>
      </w: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507.</w:t>
      </w:r>
      <w:r>
        <w:rPr>
          <w:sz w:val="20"/>
          <w:szCs w:val="20"/>
          <w:color w:val="auto"/>
        </w:rPr>
        <w:tab/>
      </w:r>
      <w:r>
        <w:rPr>
          <w:rFonts w:ascii="Arial" w:cs="Arial" w:eastAsia="Arial" w:hAnsi="Arial"/>
          <w:sz w:val="17"/>
          <w:szCs w:val="17"/>
          <w:b w:val="1"/>
          <w:bCs w:val="1"/>
          <w:u w:val="single" w:color="auto"/>
          <w:color w:val="auto"/>
        </w:rPr>
        <w:t>Limitation on Suits</w:t>
      </w:r>
      <w:r>
        <w:rPr>
          <w:rFonts w:ascii="Arial" w:cs="Arial" w:eastAsia="Arial" w:hAnsi="Arial"/>
          <w:sz w:val="17"/>
          <w:szCs w:val="17"/>
          <w:color w:val="auto"/>
        </w:rPr>
        <w:t>.</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2" w:lineRule="exact"/>
        <w:rPr>
          <w:sz w:val="20"/>
          <w:szCs w:val="20"/>
          <w:color w:val="auto"/>
        </w:rPr>
      </w:pPr>
    </w:p>
    <w:p>
      <w:pPr>
        <w:ind w:left="1520" w:hanging="864"/>
        <w:spacing w:after="0"/>
        <w:tabs>
          <w:tab w:leader="none" w:pos="1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Securities</w:t>
      </w:r>
    </w:p>
    <w:p>
      <w:pPr>
        <w:spacing w:after="0" w:line="4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of that series;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76" w:right="239" w:bottom="1440" w:gutter="0" w:footer="0" w:header="0"/>
        </w:sectPr>
      </w:pPr>
    </w:p>
    <w:bookmarkStart w:id="59" w:name="page60"/>
    <w:bookmarkEnd w:id="59"/>
    <w:p>
      <w:pPr>
        <w:ind w:right="20" w:firstLine="656"/>
        <w:spacing w:after="0" w:line="339" w:lineRule="auto"/>
        <w:tabs>
          <w:tab w:leader="none" w:pos="15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security or indemnity against the costs, expenses and liabilities to be incurred in compliance with such request;</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508.</w:t>
      </w:r>
      <w:r>
        <w:rPr>
          <w:sz w:val="20"/>
          <w:szCs w:val="20"/>
          <w:color w:val="auto"/>
        </w:rPr>
        <w:tab/>
      </w:r>
      <w:r>
        <w:rPr>
          <w:rFonts w:ascii="Arial" w:cs="Arial" w:eastAsia="Arial" w:hAnsi="Arial"/>
          <w:sz w:val="17"/>
          <w:szCs w:val="17"/>
          <w:b w:val="1"/>
          <w:bCs w:val="1"/>
          <w:u w:val="single" w:color="auto"/>
          <w:color w:val="auto"/>
        </w:rPr>
        <w:t>Unconditional Right of Holders to Receive Principal, Premium and Interest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307) interest on such Security on the respective Stated Maturities expressed in such Security (or, in the case of redemption or offer by the Company to purchase the Securities pursuant to the terms of this Indenture, on the Redemption Date or purchase date, as applicable) and, if applicable, to convert such Security in accordance with its terms, and to institute suit for the enforcement of any such right, and such rights shall not be impaired without the consent of such Holder.</w:t>
      </w:r>
    </w:p>
    <w:p>
      <w:pPr>
        <w:spacing w:after="0" w:line="39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7"/>
          <w:szCs w:val="17"/>
          <w:b w:val="1"/>
          <w:bCs w:val="1"/>
          <w:u w:val="single" w:color="auto"/>
          <w:color w:val="auto"/>
        </w:rPr>
        <w:t>Restoration of Rights and Remedies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510.</w:t>
      </w:r>
      <w:r>
        <w:rPr>
          <w:sz w:val="20"/>
          <w:szCs w:val="20"/>
          <w:color w:val="auto"/>
        </w:rPr>
        <w:tab/>
      </w:r>
      <w:r>
        <w:rPr>
          <w:rFonts w:ascii="Arial" w:cs="Arial" w:eastAsia="Arial" w:hAnsi="Arial"/>
          <w:sz w:val="17"/>
          <w:szCs w:val="17"/>
          <w:b w:val="1"/>
          <w:bCs w:val="1"/>
          <w:u w:val="single" w:color="auto"/>
          <w:color w:val="auto"/>
        </w:rPr>
        <w:t>Rights and Remedies Cumulative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7"/>
          <w:szCs w:val="17"/>
          <w:b w:val="1"/>
          <w:bCs w:val="1"/>
          <w:u w:val="single" w:color="auto"/>
          <w:color w:val="auto"/>
        </w:rPr>
        <w:t>Delay or Omission Not Waiver</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512.</w:t>
      </w:r>
      <w:r>
        <w:rPr>
          <w:sz w:val="20"/>
          <w:szCs w:val="20"/>
          <w:color w:val="auto"/>
        </w:rPr>
        <w:tab/>
      </w:r>
      <w:r>
        <w:rPr>
          <w:rFonts w:ascii="Arial" w:cs="Arial" w:eastAsia="Arial" w:hAnsi="Arial"/>
          <w:sz w:val="17"/>
          <w:szCs w:val="17"/>
          <w:b w:val="1"/>
          <w:bCs w:val="1"/>
          <w:u w:val="single" w:color="auto"/>
          <w:color w:val="auto"/>
        </w:rPr>
        <w:t>Control by Holders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03" w:right="239" w:bottom="1440" w:gutter="0" w:footer="0" w:header="0"/>
        </w:sectPr>
      </w:pPr>
    </w:p>
    <w:bookmarkStart w:id="60" w:name="page61"/>
    <w:bookmarkEnd w:id="60"/>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SECTION 513.</w:t>
      </w:r>
      <w:r>
        <w:rPr>
          <w:rFonts w:ascii="Arial" w:cs="Arial" w:eastAsia="Arial" w:hAnsi="Arial"/>
          <w:sz w:val="17"/>
          <w:szCs w:val="17"/>
          <w:b w:val="1"/>
          <w:bCs w:val="1"/>
          <w:u w:val="single" w:color="auto"/>
          <w:color w:val="auto"/>
        </w:rPr>
        <w:t>Waiver of Past Defaults</w:t>
      </w:r>
      <w:r>
        <w:rPr>
          <w:rFonts w:ascii="Arial" w:cs="Arial" w:eastAsia="Arial" w:hAnsi="Arial"/>
          <w:sz w:val="17"/>
          <w:szCs w:val="17"/>
          <w:color w:val="auto"/>
        </w:rPr>
        <w:t>.</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The Holders of a majority in principal amount of the Outstanding Securities of any series may on behalf of the Holders of all the Securities of such series waive any past default hereunder with respect to such series and its consequences, except a default</w:t>
      </w:r>
    </w:p>
    <w:p>
      <w:pPr>
        <w:spacing w:after="0" w:line="172" w:lineRule="exact"/>
        <w:rPr>
          <w:sz w:val="20"/>
          <w:szCs w:val="20"/>
          <w:color w:val="auto"/>
        </w:rPr>
      </w:pPr>
    </w:p>
    <w:p>
      <w:pPr>
        <w:jc w:val="both"/>
        <w:ind w:firstLine="656"/>
        <w:spacing w:after="0" w:line="318" w:lineRule="auto"/>
        <w:tabs>
          <w:tab w:leader="none" w:pos="15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payment of the principal of or any premium or interest on any Security of such series (including any Security which is required to have been purchased by the Company pursuant to an offer to purchase by the Company made pursuant to the terms of this Indenture), or</w:t>
      </w:r>
    </w:p>
    <w:p>
      <w:pPr>
        <w:spacing w:after="0" w:line="163" w:lineRule="exact"/>
        <w:rPr>
          <w:rFonts w:ascii="Arial" w:cs="Arial" w:eastAsia="Arial" w:hAnsi="Arial"/>
          <w:sz w:val="18"/>
          <w:szCs w:val="18"/>
          <w:color w:val="auto"/>
        </w:rPr>
      </w:pPr>
    </w:p>
    <w:p>
      <w:pPr>
        <w:ind w:firstLine="656"/>
        <w:spacing w:after="0" w:line="339" w:lineRule="auto"/>
        <w:tabs>
          <w:tab w:leader="none" w:pos="1516"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Nine cannot be modified or amended without the consent of the Holder of each Outstanding Security of such series.</w:t>
      </w:r>
    </w:p>
    <w:p>
      <w:pPr>
        <w:spacing w:after="0" w:line="1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514.</w:t>
      </w:r>
      <w:r>
        <w:rPr>
          <w:sz w:val="20"/>
          <w:szCs w:val="20"/>
          <w:color w:val="auto"/>
        </w:rPr>
        <w:tab/>
      </w:r>
      <w:r>
        <w:rPr>
          <w:rFonts w:ascii="Arial" w:cs="Arial" w:eastAsia="Arial" w:hAnsi="Arial"/>
          <w:sz w:val="17"/>
          <w:szCs w:val="17"/>
          <w:b w:val="1"/>
          <w:bCs w:val="1"/>
          <w:u w:val="single" w:color="auto"/>
          <w:color w:val="auto"/>
        </w:rPr>
        <w:t>Undertaking for Costs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however, that neither this Section nor the Trust Indenture Act shall be deemed to authorize any court to require such an undertaking or to make such an assessment in any suit instituted by the Company.</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515.</w:t>
      </w:r>
      <w:r>
        <w:rPr>
          <w:sz w:val="20"/>
          <w:szCs w:val="20"/>
          <w:color w:val="auto"/>
        </w:rPr>
        <w:tab/>
      </w:r>
      <w:r>
        <w:rPr>
          <w:rFonts w:ascii="Arial" w:cs="Arial" w:eastAsia="Arial" w:hAnsi="Arial"/>
          <w:sz w:val="17"/>
          <w:szCs w:val="17"/>
          <w:b w:val="1"/>
          <w:bCs w:val="1"/>
          <w:u w:val="single" w:color="auto"/>
          <w:color w:val="auto"/>
        </w:rPr>
        <w:t>Waiver of Usury, Stay or Extension Laws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73"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ARTICLE SIX</w:t>
      </w:r>
    </w:p>
    <w:p>
      <w:pPr>
        <w:spacing w:after="0" w:line="3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THE TRUSTEE</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b w:val="1"/>
          <w:bCs w:val="1"/>
          <w:u w:val="single" w:color="auto"/>
          <w:color w:val="auto"/>
        </w:rPr>
        <w:t>Certain Duties and Responsibilities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duties and responsibilities of the Trustee shall be as expressly set forth in this Indenture and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7"/>
          <w:szCs w:val="17"/>
          <w:b w:val="1"/>
          <w:bCs w:val="1"/>
          <w:u w:val="single" w:color="auto"/>
          <w:color w:val="auto"/>
        </w:rPr>
        <w:t>Notice of Defaults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default occurs hereunder with respect to Securities of any series, the Trustee shall give the Holders of Securities of such series notice of such default as and to the extent provided by the Trust Indenture Act; provided, however, that in the case of any default of the character specified in Section 501(5) with respect to Securities of such series, no such notice to Holders shall be given until at least 30 days after the occurrence thereof. For the purpose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03" w:right="239" w:bottom="1440" w:gutter="0" w:footer="0" w:header="0"/>
        </w:sectPr>
      </w:pPr>
    </w:p>
    <w:bookmarkStart w:id="61" w:name="page62"/>
    <w:bookmarkEnd w:id="61"/>
    <w:p>
      <w:pPr>
        <w:spacing w:after="0" w:line="292" w:lineRule="auto"/>
        <w:rPr>
          <w:sz w:val="20"/>
          <w:szCs w:val="20"/>
          <w:color w:val="auto"/>
        </w:rPr>
      </w:pPr>
      <w:r>
        <w:rPr>
          <w:rFonts w:ascii="Arial" w:cs="Arial" w:eastAsia="Arial" w:hAnsi="Arial"/>
          <w:sz w:val="18"/>
          <w:szCs w:val="18"/>
          <w:color w:val="auto"/>
        </w:rPr>
        <w:t>of this Section, the term “default” means any event which is, or after notice or lapse of time or both would become, an Event of Default with respect to Securities of such series.</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b w:val="1"/>
          <w:bCs w:val="1"/>
          <w:u w:val="single" w:color="auto"/>
          <w:color w:val="auto"/>
        </w:rPr>
        <w:t>Certain Rights of Trustee</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601:</w:t>
      </w:r>
    </w:p>
    <w:p>
      <w:pPr>
        <w:spacing w:after="0" w:line="252" w:lineRule="exact"/>
        <w:rPr>
          <w:sz w:val="20"/>
          <w:szCs w:val="20"/>
          <w:color w:val="auto"/>
        </w:rPr>
      </w:pPr>
    </w:p>
    <w:p>
      <w:pPr>
        <w:jc w:val="both"/>
        <w:ind w:firstLine="656"/>
        <w:spacing w:after="0" w:line="318"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63" w:lineRule="exact"/>
        <w:rPr>
          <w:rFonts w:ascii="Arial" w:cs="Arial" w:eastAsia="Arial" w:hAnsi="Arial"/>
          <w:sz w:val="18"/>
          <w:szCs w:val="18"/>
          <w:color w:val="auto"/>
        </w:rPr>
      </w:pPr>
    </w:p>
    <w:p>
      <w:pPr>
        <w:ind w:firstLine="656"/>
        <w:spacing w:after="0" w:line="339"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163" w:lineRule="exact"/>
        <w:rPr>
          <w:rFonts w:ascii="Arial" w:cs="Arial" w:eastAsia="Arial" w:hAnsi="Arial"/>
          <w:sz w:val="18"/>
          <w:szCs w:val="18"/>
          <w:color w:val="auto"/>
        </w:rPr>
      </w:pPr>
    </w:p>
    <w:p>
      <w:pPr>
        <w:ind w:firstLine="656"/>
        <w:spacing w:after="0" w:line="339"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3"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and</w:t>
      </w:r>
    </w:p>
    <w:p>
      <w:pPr>
        <w:spacing w:after="0" w:line="175"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b w:val="1"/>
          <w:bCs w:val="1"/>
          <w:u w:val="single" w:color="auto"/>
          <w:color w:val="auto"/>
        </w:rPr>
        <w:t>Not Responsible for Recitals or Issuance of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or sufficiency of this Indenture or of the Securities. Neither the Trustee nor any Authenticating Agent shall be accountable for the use or application by the Company of Securities or the proceeds thereof.</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b w:val="1"/>
          <w:bCs w:val="1"/>
          <w:u w:val="single" w:color="auto"/>
          <w:color w:val="auto"/>
        </w:rPr>
        <w:t>May Hold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Trustee, any Authenticating Agent, any Paying Agent, any Security Registrar or any other agent of the Company, in its individual or any other capacity, may become the owner or pledgee of Securities and, subject to Sections 608 and 613, may otherwise deal with the Company with the same rights it would have if it were not Trustee, Authenticating Agent, Paying Agent, Security Registrar or such other agent.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62" w:name="page63"/>
    <w:bookmarkEnd w:id="62"/>
    <w:p>
      <w:pPr>
        <w:spacing w:after="0"/>
        <w:tabs>
          <w:tab w:leader="none" w:pos="194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b w:val="1"/>
          <w:bCs w:val="1"/>
          <w:u w:val="single" w:color="auto"/>
          <w:color w:val="auto"/>
        </w:rPr>
        <w:t>Money Held in Trust</w:t>
      </w:r>
      <w:r>
        <w:rPr>
          <w:rFonts w:ascii="Arial" w:cs="Arial" w:eastAsia="Arial" w:hAnsi="Arial"/>
          <w:sz w:val="17"/>
          <w:szCs w:val="17"/>
          <w:color w:val="auto"/>
        </w:rPr>
        <w:t>.</w:t>
      </w:r>
    </w:p>
    <w:p>
      <w:pPr>
        <w:spacing w:after="0" w:line="22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7"/>
          <w:szCs w:val="17"/>
          <w:b w:val="1"/>
          <w:bCs w:val="1"/>
          <w:u w:val="single" w:color="auto"/>
          <w:color w:val="auto"/>
        </w:rPr>
        <w:t>Compensation and Reimbursement</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52" w:lineRule="exact"/>
        <w:rPr>
          <w:sz w:val="20"/>
          <w:szCs w:val="20"/>
          <w:color w:val="auto"/>
        </w:rPr>
      </w:pPr>
    </w:p>
    <w:p>
      <w:pPr>
        <w:ind w:right="20" w:firstLine="656"/>
        <w:spacing w:after="0" w:line="339"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44"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69"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7"/>
          <w:szCs w:val="17"/>
          <w:b w:val="1"/>
          <w:bCs w:val="1"/>
          <w:u w:val="single" w:color="auto"/>
          <w:color w:val="auto"/>
        </w:rPr>
        <w:t>Conflicting Interests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the Trustee shall either eliminate such interest or resign, to the extent and in the manner provided by, and subject to the provisions of, the Trust Indenture Act and this Indenture. To the extent permitted by such Act, the Trustee shall not be deemed to have a conflicting interest by virtue of being a trustee under this Indenture with respect to Securities of more than one series.</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7"/>
          <w:szCs w:val="17"/>
          <w:b w:val="1"/>
          <w:bCs w:val="1"/>
          <w:u w:val="single" w:color="auto"/>
          <w:color w:val="auto"/>
        </w:rPr>
        <w:t>Corporate Trustee Required; Eligibility</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a combined capital and surplus of at least $50,000,000.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7"/>
          <w:szCs w:val="17"/>
          <w:b w:val="1"/>
          <w:bCs w:val="1"/>
          <w:u w:val="single" w:color="auto"/>
          <w:color w:val="auto"/>
        </w:rPr>
        <w:t>Resignation and Removal; Appointment of Successor</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74"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color w:val="auto"/>
        </w:rPr>
        <w:t>If at any time:</w:t>
      </w:r>
    </w:p>
    <w:p>
      <w:pPr>
        <w:spacing w:after="0" w:line="252" w:lineRule="exact"/>
        <w:rPr>
          <w:sz w:val="20"/>
          <w:szCs w:val="20"/>
          <w:color w:val="auto"/>
        </w:rPr>
      </w:pPr>
    </w:p>
    <w:p>
      <w:pPr>
        <w:ind w:firstLine="656"/>
        <w:spacing w:after="0" w:line="339" w:lineRule="auto"/>
        <w:tabs>
          <w:tab w:leader="none" w:pos="15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fail to comply with Section 608 after written request therefor by the Company or by any Holder who has been a bona fide Holder of a Security for at least six months, or</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609 and shall fail to resign after written request therefor by the Company or by any such Holder, or</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 Section 611,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17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106. Each notice shall include the name of the successor Trustee with respect to the Securities of such series and the address of its Corporate Trust Office.</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7"/>
          <w:szCs w:val="17"/>
          <w:b w:val="1"/>
          <w:bCs w:val="1"/>
          <w:u w:val="single" w:color="auto"/>
          <w:color w:val="auto"/>
        </w:rPr>
        <w:t>Acceptance of Appointment by Successor</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576" w:right="239" w:bottom="1440" w:gutter="0" w:footer="0" w:header="0"/>
        </w:sectPr>
      </w:pPr>
    </w:p>
    <w:bookmarkStart w:id="64" w:name="page65"/>
    <w:bookmarkEnd w:id="64"/>
    <w:p>
      <w:pPr>
        <w:jc w:val="both"/>
        <w:spacing w:after="0" w:line="255" w:lineRule="auto"/>
        <w:rPr>
          <w:sz w:val="20"/>
          <w:szCs w:val="20"/>
          <w:color w:val="auto"/>
        </w:rPr>
      </w:pPr>
      <w:r>
        <w:rPr>
          <w:rFonts w:ascii="Arial" w:cs="Arial" w:eastAsia="Arial" w:hAnsi="Arial"/>
          <w:sz w:val="18"/>
          <w:szCs w:val="18"/>
          <w:color w:val="auto"/>
        </w:rPr>
        <w:t>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8"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Upon request of any such successor Trustee and the Company shall execute any and all instruments for more fully and certainly vesting in and confirming to such successor Trustee all such rights, powers and trusts referred to in the first or second preceding paragraph, as the case may be.</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7"/>
          <w:szCs w:val="17"/>
          <w:b w:val="1"/>
          <w:bCs w:val="1"/>
          <w:u w:val="single" w:color="auto"/>
          <w:color w:val="auto"/>
        </w:rPr>
        <w:t>Merger, Conversion, Consolidation or Succession to Business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Any Person into which the Trustee may be merged or converted or with which it may be consolidated, or any Person resulting from any merger, conversion or consolidation to which the Trustee shall be a party, or any Person succeeding to all or substantially all the corporate trust business of the Trustee, shall be the successor of the Trustee hereunder, provided such Person shall be otherwise qualified and eligible under this Article, without the execution or filing of any paper or any further act on the part of any of the parties hereto. As soon as practicable, the successor Trustee shall mail a notice of its succession to the Company and the Holders of the Securities then Outstanding.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7"/>
          <w:szCs w:val="17"/>
          <w:b w:val="1"/>
          <w:bCs w:val="1"/>
          <w:u w:val="single" w:color="auto"/>
          <w:color w:val="auto"/>
        </w:rPr>
        <w:t>Preferential Collection of Claims Against Company</w:t>
      </w:r>
      <w:r>
        <w:rPr>
          <w:rFonts w:ascii="Arial" w:cs="Arial" w:eastAsia="Arial" w:hAnsi="Arial"/>
          <w:sz w:val="17"/>
          <w:szCs w:val="17"/>
          <w:color w:val="auto"/>
        </w:rPr>
        <w:t>.</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7"/>
          <w:szCs w:val="17"/>
          <w:b w:val="1"/>
          <w:bCs w:val="1"/>
          <w:u w:val="single" w:color="auto"/>
          <w:color w:val="auto"/>
        </w:rPr>
        <w:t>Appointment of Authenticating Agent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conversion or partial redemption thereof or pursuant to Section 306,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shall at all times be a Person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Any Person into which an Authenticating Agent may be merged or converted or with which it may be consolidated, or any Person resulting from any merger, conversion or consolidation to which such Authenticating Agent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576" w:right="239" w:bottom="1440" w:gutter="0" w:footer="0" w:header="0"/>
        </w:sectPr>
      </w:pPr>
    </w:p>
    <w:bookmarkStart w:id="65" w:name="page66"/>
    <w:bookmarkEnd w:id="65"/>
    <w:p>
      <w:pPr>
        <w:jc w:val="both"/>
        <w:spacing w:after="0" w:line="271" w:lineRule="auto"/>
        <w:rPr>
          <w:sz w:val="20"/>
          <w:szCs w:val="20"/>
          <w:color w:val="auto"/>
        </w:rPr>
      </w:pPr>
      <w:r>
        <w:rPr>
          <w:rFonts w:ascii="Arial" w:cs="Arial" w:eastAsia="Arial" w:hAnsi="Arial"/>
          <w:sz w:val="18"/>
          <w:szCs w:val="18"/>
          <w:color w:val="auto"/>
        </w:rPr>
        <w:t>shall be a party, or any Person succeeding to the corporate agency or corporate trust business of an Authenticating Agent, shall continue to be an Authenticating Agent, provided such Person shall be otherwise eligible under this Section, without the execution or filing of any paper or any further act on the part of the Trustee or the Authenticating Agent.</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106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78"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4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If an appointment with respect to one or more series is made pursuant to this Section, the Securities of such series may have endorsed thereon, in addition to the Trustee’s certificate of authentication, an alternative certificate of authentication in the following form:</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[__________________________]</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By:______________________________</w:t>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As Authenticating Agent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By:_______________________________</w:t>
      </w:r>
    </w:p>
    <w:p>
      <w:pPr>
        <w:spacing w:after="0" w:line="3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Authorized Officer</w:t>
      </w: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SEVEN</w:t>
      </w:r>
    </w:p>
    <w:p>
      <w:pPr>
        <w:spacing w:after="0" w:line="33"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7"/>
          <w:szCs w:val="17"/>
          <w:b w:val="1"/>
          <w:bCs w:val="1"/>
          <w:u w:val="single" w:color="auto"/>
          <w:color w:val="auto"/>
        </w:rPr>
        <w:t>Company to Furnish Trustee Names and Addresses of Holders</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 with respect to the Securities of each series:</w:t>
      </w:r>
    </w:p>
    <w:p>
      <w:pPr>
        <w:spacing w:after="0" w:line="252" w:lineRule="exact"/>
        <w:rPr>
          <w:sz w:val="20"/>
          <w:szCs w:val="20"/>
          <w:color w:val="auto"/>
        </w:rPr>
      </w:pPr>
    </w:p>
    <w:p>
      <w:pPr>
        <w:ind w:firstLine="656"/>
        <w:spacing w:after="0" w:line="339" w:lineRule="auto"/>
        <w:tabs>
          <w:tab w:leader="none" w:pos="15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more than 10 days after each record date with respect to the payment of interest, if any, a list, in such form as the Trustee may reasonably require, of the names and addresses of the Holders of Securities of such series as of such record date, and</w:t>
      </w:r>
    </w:p>
    <w:p>
      <w:pPr>
        <w:spacing w:after="0" w:line="144" w:lineRule="exact"/>
        <w:rPr>
          <w:rFonts w:ascii="Arial" w:cs="Arial" w:eastAsia="Arial" w:hAnsi="Arial"/>
          <w:sz w:val="18"/>
          <w:szCs w:val="18"/>
          <w:color w:val="auto"/>
        </w:rPr>
      </w:pPr>
    </w:p>
    <w:p>
      <w:pPr>
        <w:ind w:firstLine="656"/>
        <w:spacing w:after="0" w:line="289" w:lineRule="auto"/>
        <w:tabs>
          <w:tab w:leader="none" w:pos="15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excluding from any such list names and addresses received by the Trustee in its capacity as Security Registrar.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576" w:right="239" w:bottom="1440" w:gutter="0" w:footer="0" w:header="0"/>
        </w:sectPr>
      </w:pPr>
    </w:p>
    <w:bookmarkStart w:id="66" w:name="page67"/>
    <w:bookmarkEnd w:id="66"/>
    <w:p>
      <w:pPr>
        <w:spacing w:after="0"/>
        <w:tabs>
          <w:tab w:leader="none" w:pos="194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7"/>
          <w:szCs w:val="17"/>
          <w:b w:val="1"/>
          <w:bCs w:val="1"/>
          <w:u w:val="single" w:color="auto"/>
          <w:color w:val="auto"/>
        </w:rPr>
        <w:t>Preservation of Information; Communications to Holders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The rights of Holders to communicate with other Holders with respect to their rights under this Indenture or under the Securities, and the corresponding rights and privileges of the Trustee, shall be as provided by the Trust Indenture Act.</w:t>
      </w:r>
    </w:p>
    <w:p>
      <w:pPr>
        <w:spacing w:after="0" w:line="17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any of them shall be held accountable by reason of any disclosure of information as to names and addresses of Holders made pursuant to the Trust Indenture Act.</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b w:val="1"/>
          <w:bCs w:val="1"/>
          <w:u w:val="single" w:color="auto"/>
          <w:color w:val="auto"/>
        </w:rPr>
        <w:t>Reports by Trustee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b w:val="1"/>
          <w:bCs w:val="1"/>
          <w:u w:val="single" w:color="auto"/>
          <w:color w:val="auto"/>
        </w:rPr>
        <w:t>Reports by Company</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shall file with the Trustee and the Commission, and transmit to Holders, such information, documents and other reports, and such summaries thereof, as may be required pursuant to the Trust Indenture Act at the times and in the manner provided pursuant to such Act; provided that any such information, documents or reports required to be filed with the Commission pursuant to Section 13 or 15(d) of the Exchange Act shall be filed with the Trustee within 15 days after the same is filed with the Commission.</w:t>
      </w:r>
    </w:p>
    <w:p>
      <w:pPr>
        <w:spacing w:after="0" w:line="16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ARTICLE EIGHT</w:t>
      </w:r>
    </w:p>
    <w:p>
      <w:pPr>
        <w:spacing w:after="0" w:line="33"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b w:val="1"/>
          <w:bCs w:val="1"/>
          <w:u w:val="single" w:color="auto"/>
          <w:color w:val="auto"/>
        </w:rPr>
        <w:t>Company May Consolidate, Etc., Only on Certain Terms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shall not, in a single transaction or a series of related transactions, consolidate with or merge into any other Person or permit any other Person to consolidate with or merge into the Company or, directly or indirectly, transfer, convey, sell, lease or otherwise dispose of all or substantially all of its assets, unless:</w:t>
      </w:r>
    </w:p>
    <w:p>
      <w:pPr>
        <w:spacing w:after="0" w:line="190" w:lineRule="exact"/>
        <w:rPr>
          <w:sz w:val="20"/>
          <w:szCs w:val="20"/>
          <w:color w:val="auto"/>
        </w:rPr>
      </w:pPr>
    </w:p>
    <w:p>
      <w:pPr>
        <w:jc w:val="both"/>
        <w:ind w:firstLine="656"/>
        <w:spacing w:after="0" w:line="305" w:lineRule="auto"/>
        <w:tabs>
          <w:tab w:leader="none" w:pos="15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a transaction in which the Company does not survive or in which the Company transfers, conveys, sells, leases or otherwise disposes of all or substantially all of its assets, the successor entity (for purposes of this Article Eight, a “</w:t>
      </w:r>
      <w:r>
        <w:rPr>
          <w:rFonts w:ascii="Arial" w:cs="Arial" w:eastAsia="Arial" w:hAnsi="Arial"/>
          <w:sz w:val="18"/>
          <w:szCs w:val="18"/>
          <w:b w:val="1"/>
          <w:bCs w:val="1"/>
          <w:color w:val="auto"/>
        </w:rPr>
        <w:t>Successor Company</w:t>
      </w:r>
      <w:r>
        <w:rPr>
          <w:rFonts w:ascii="Arial" w:cs="Arial" w:eastAsia="Arial" w:hAnsi="Arial"/>
          <w:sz w:val="18"/>
          <w:szCs w:val="18"/>
          <w:color w:val="auto"/>
        </w:rPr>
        <w:t>”) shall be a corporation, partnership, trust or other entity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w:t>
      </w:r>
    </w:p>
    <w:p>
      <w:pPr>
        <w:spacing w:after="0" w:line="177"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immediately before and after giving pro forma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w:t>
      </w:r>
    </w:p>
    <w:p>
      <w:pPr>
        <w:spacing w:after="0" w:line="169"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as a result of any such consolidation or merger or such transfer, conveyance, sale, lease or other disposition, properties or assets of the Company would become subject to a mortgage, pledge, lien, security interest or other encumbrance which would not be permitted by this Indenture, the Company or the Successor Company, as the case may be, shall take such steps as shall be necessary effectively to secure the Securities equally and ratably with (or prior to) all indebtedness secured thereby;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574" w:right="239" w:bottom="1440" w:gutter="0" w:footer="0" w:header="0"/>
        </w:sectPr>
      </w:pPr>
    </w:p>
    <w:bookmarkStart w:id="67" w:name="page68"/>
    <w:bookmarkEnd w:id="67"/>
    <w:p>
      <w:pPr>
        <w:ind w:left="1520" w:hanging="864"/>
        <w:spacing w:after="0"/>
        <w:tabs>
          <w:tab w:leader="none" w:pos="1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other conditions provided pursuant to Section 301 with respect to the Securities of a series are satisfied; and</w:t>
      </w:r>
    </w:p>
    <w:p>
      <w:pPr>
        <w:spacing w:after="0" w:line="265"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such consolidation, merger, transfer, conveyance, sale, lease or other disposition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7"/>
          <w:szCs w:val="17"/>
          <w:b w:val="1"/>
          <w:bCs w:val="1"/>
          <w:u w:val="single" w:color="auto"/>
          <w:color w:val="auto"/>
        </w:rPr>
        <w:t>Successor Substituted</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Upon any consolidation of the Company with, or merger of the Company into, any other Person or any transfer, conveyance, sale, lease or other disposition of all or substantially all of the assets of the Company in accordance with Section 801, the Successor Company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7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ARTICLE NINE</w:t>
      </w:r>
    </w:p>
    <w:p>
      <w:pPr>
        <w:spacing w:after="0" w:line="3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SUPPLEMENTAL INDENTURES</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b w:val="1"/>
          <w:bCs w:val="1"/>
          <w:u w:val="single" w:color="auto"/>
          <w:color w:val="auto"/>
        </w:rPr>
        <w:t>Supplemental Indentures Without Consent of Holders</w:t>
      </w:r>
      <w:r>
        <w:rPr>
          <w:rFonts w:ascii="Arial" w:cs="Arial" w:eastAsia="Arial" w:hAnsi="Arial"/>
          <w:sz w:val="17"/>
          <w:szCs w:val="17"/>
          <w:color w:val="auto"/>
        </w:rPr>
        <w:t>.</w:t>
      </w:r>
    </w:p>
    <w:p>
      <w:pPr>
        <w:spacing w:after="0" w:line="22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2" w:lineRule="exact"/>
        <w:rPr>
          <w:sz w:val="20"/>
          <w:szCs w:val="20"/>
          <w:color w:val="auto"/>
        </w:rPr>
      </w:pPr>
    </w:p>
    <w:p>
      <w:pPr>
        <w:ind w:firstLine="656"/>
        <w:spacing w:after="0" w:line="339"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herein and in the Securities, as the case may be; or</w:t>
      </w:r>
    </w:p>
    <w:p>
      <w:pPr>
        <w:spacing w:after="0" w:line="144"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63"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63"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63"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 (B) shall become effective only when there is no such Security Outstanding; or</w:t>
      </w:r>
    </w:p>
    <w:p>
      <w:pPr>
        <w:spacing w:after="0" w:line="169" w:lineRule="exact"/>
        <w:rPr>
          <w:rFonts w:ascii="Arial" w:cs="Arial" w:eastAsia="Arial" w:hAnsi="Arial"/>
          <w:sz w:val="18"/>
          <w:szCs w:val="18"/>
          <w:color w:val="auto"/>
        </w:rPr>
      </w:pPr>
    </w:p>
    <w:p>
      <w:pPr>
        <w:ind w:left="1520" w:hanging="864"/>
        <w:spacing w:after="0"/>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secure the Securities; or</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265"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63" w:lineRule="exact"/>
        <w:rPr>
          <w:rFonts w:ascii="Arial" w:cs="Arial" w:eastAsia="Arial" w:hAnsi="Arial"/>
          <w:sz w:val="18"/>
          <w:szCs w:val="18"/>
          <w:color w:val="auto"/>
        </w:rPr>
      </w:pPr>
    </w:p>
    <w:p>
      <w:pPr>
        <w:ind w:firstLine="656"/>
        <w:spacing w:after="0" w:line="339" w:lineRule="auto"/>
        <w:tabs>
          <w:tab w:leader="none" w:pos="15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cure any ambiguity, to correct or supplement any provision herein which may be defective or inconsistent with any other provision herein; or</w:t>
      </w:r>
    </w:p>
    <w:p>
      <w:pPr>
        <w:sectPr>
          <w:pgSz w:w="11900" w:h="16838" w:orient="portrait"/>
          <w:cols w:equalWidth="0" w:num="1">
            <w:col w:w="11420"/>
          </w:cols>
          <w:pgMar w:left="240" w:top="603" w:right="23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603" w:right="239" w:bottom="1440" w:gutter="0" w:footer="0" w:header="0"/>
          <w:type w:val="continuous"/>
        </w:sectPr>
      </w:pPr>
    </w:p>
    <w:bookmarkStart w:id="68" w:name="page69"/>
    <w:bookmarkEnd w:id="68"/>
    <w:p>
      <w:pPr>
        <w:ind w:firstLine="656"/>
        <w:spacing w:after="0" w:line="339" w:lineRule="auto"/>
        <w:tabs>
          <w:tab w:leader="none" w:pos="16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this Indenture, provided that such action pursuant to this clause (10) shall not adversely affect the interests of the Holders of Securities of any series in any material respect.</w:t>
      </w:r>
    </w:p>
    <w:p>
      <w:pPr>
        <w:spacing w:after="0" w:line="11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7"/>
          <w:szCs w:val="17"/>
          <w:b w:val="1"/>
          <w:bCs w:val="1"/>
          <w:u w:val="single" w:color="auto"/>
          <w:color w:val="auto"/>
        </w:rPr>
        <w:t>Supplemental Indentures With Consent of Holders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provided, however, that no such supplemental indenture shall, without the consent of the Holder of each Outstanding Security affected thereby:</w:t>
      </w:r>
    </w:p>
    <w:p>
      <w:pPr>
        <w:spacing w:after="0" w:line="205" w:lineRule="exact"/>
        <w:rPr>
          <w:sz w:val="20"/>
          <w:szCs w:val="20"/>
          <w:color w:val="auto"/>
        </w:rPr>
      </w:pPr>
    </w:p>
    <w:p>
      <w:pPr>
        <w:jc w:val="both"/>
        <w:ind w:firstLine="656"/>
        <w:spacing w:after="0" w:line="302" w:lineRule="auto"/>
        <w:tabs>
          <w:tab w:leader="none" w:pos="15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502, or change any Place of Payment where, or the coin or currency in which, any Security or any premium or interest thereon is payable, or impair the right to institute suit for the enforcement of (a) any such payment on or after the Stated Maturity thereof (or, in the case of redemption, on or after the Redemption Date or in the case of an offer to purchase Securities which has been made pursuant to a covenant contained in this Indenture, on or after the applicable purchase date) or (b) any conversion right with respect to any Security, or modify the provisions of this Indenture with respect to the conversion of the Securities, in a manner adverse to the Holders, other than as provided in this Indenture; or</w:t>
      </w:r>
    </w:p>
    <w:p>
      <w:pPr>
        <w:spacing w:after="0" w:line="181" w:lineRule="exact"/>
        <w:rPr>
          <w:rFonts w:ascii="Arial" w:cs="Arial" w:eastAsia="Arial" w:hAnsi="Arial"/>
          <w:sz w:val="18"/>
          <w:szCs w:val="18"/>
          <w:color w:val="auto"/>
        </w:rPr>
      </w:pPr>
    </w:p>
    <w:p>
      <w:pPr>
        <w:jc w:val="both"/>
        <w:ind w:firstLine="656"/>
        <w:spacing w:after="0" w:line="318" w:lineRule="auto"/>
        <w:tabs>
          <w:tab w:leader="none" w:pos="15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63"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modify any of the provisions of this Section, Section 513 or Section 1009, except to increase any such percentage or to provide that certain other provisions of this Indenture cannot be modified or waived without the consent of the Holder of each Outstanding Security affected thereby; provided, however, that this clause shall not be deemed to require the consent of any Holder with respect to changes in the references to “the Trustee” and concomitant changes in this Section and Section 1009, or the deletion of this proviso, in accordance with the requirements of Sections 611 and 901(8); or</w:t>
      </w:r>
    </w:p>
    <w:p>
      <w:pPr>
        <w:spacing w:after="0" w:line="175" w:lineRule="exact"/>
        <w:rPr>
          <w:rFonts w:ascii="Arial" w:cs="Arial" w:eastAsia="Arial" w:hAnsi="Arial"/>
          <w:sz w:val="18"/>
          <w:szCs w:val="18"/>
          <w:color w:val="auto"/>
        </w:rPr>
      </w:pPr>
    </w:p>
    <w:p>
      <w:pPr>
        <w:ind w:firstLine="656"/>
        <w:spacing w:after="0" w:line="339" w:lineRule="auto"/>
        <w:tabs>
          <w:tab w:leader="none" w:pos="1516"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following the making of an offer to purchase Securities from any Holder which has been made pursuant to a covenant contained in this Indenture, modify the provisions of this Indenture with respect to such offer to purchase in a manner adverse to such Holder.</w:t>
      </w:r>
    </w:p>
    <w:p>
      <w:pPr>
        <w:spacing w:after="0" w:line="11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70"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a supplemental indenture under this Section 902 requiring the consent of the Holders of any series of Debt Securities is approved, the Company shall mail to Holders of that series of Debt Securities a notice briefly describing any amendment or supplement hereto effected by such supplemental indenture. The failure to give such notice to any such Holders, or any defect therein, shall not impair or affect the validity of any amendment or supplement hereto effected by such supplemental indenture with respect to other Holders.</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7"/>
          <w:szCs w:val="17"/>
          <w:b w:val="1"/>
          <w:bCs w:val="1"/>
          <w:u w:val="single" w:color="auto"/>
          <w:color w:val="auto"/>
        </w:rPr>
        <w:t>Execution of Supplemental Indentures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601) shall be fully protected in relying upon, an Opinion of Counsel stating that the execution of such</w:t>
      </w:r>
    </w:p>
    <w:p>
      <w:pPr>
        <w:sectPr>
          <w:pgSz w:w="11900" w:h="16838" w:orient="portrait"/>
          <w:cols w:equalWidth="0" w:num="1">
            <w:col w:w="11420"/>
          </w:cols>
          <w:pgMar w:left="240" w:top="603"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603" w:right="239" w:bottom="1440" w:gutter="0" w:footer="0" w:header="0"/>
          <w:type w:val="continuous"/>
        </w:sectPr>
      </w:pPr>
    </w:p>
    <w:bookmarkStart w:id="69" w:name="page70"/>
    <w:bookmarkEnd w:id="69"/>
    <w:p>
      <w:pPr>
        <w:jc w:val="both"/>
        <w:spacing w:after="0" w:line="292" w:lineRule="auto"/>
        <w:rPr>
          <w:sz w:val="20"/>
          <w:szCs w:val="20"/>
          <w:color w:val="auto"/>
        </w:rPr>
      </w:pPr>
      <w:r>
        <w:rPr>
          <w:rFonts w:ascii="Arial" w:cs="Arial" w:eastAsia="Arial" w:hAnsi="Arial"/>
          <w:sz w:val="18"/>
          <w:szCs w:val="18"/>
          <w:color w:val="auto"/>
        </w:rPr>
        <w:t>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b w:val="1"/>
          <w:bCs w:val="1"/>
          <w:u w:val="single" w:color="auto"/>
          <w:color w:val="auto"/>
        </w:rPr>
        <w:t>Effect of Supplemental Indentures</w:t>
      </w:r>
      <w:r>
        <w:rPr>
          <w:rFonts w:ascii="Arial" w:cs="Arial" w:eastAsia="Arial" w:hAnsi="Arial"/>
          <w:sz w:val="17"/>
          <w:szCs w:val="17"/>
          <w:color w:val="auto"/>
        </w:rPr>
        <w:t>.</w:t>
      </w:r>
    </w:p>
    <w:p>
      <w:pPr>
        <w:spacing w:after="0" w:line="227"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b w:val="1"/>
          <w:bCs w:val="1"/>
          <w:u w:val="single" w:color="auto"/>
          <w:color w:val="auto"/>
        </w:rPr>
        <w:t>Conformity with Trust Indenture Act</w:t>
      </w:r>
      <w:r>
        <w:rPr>
          <w:rFonts w:ascii="Arial" w:cs="Arial" w:eastAsia="Arial" w:hAnsi="Arial"/>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7"/>
          <w:szCs w:val="17"/>
          <w:b w:val="1"/>
          <w:bCs w:val="1"/>
          <w:u w:val="single" w:color="auto"/>
          <w:color w:val="auto"/>
        </w:rPr>
        <w:t>Reference in Securities to Supplemental Indentures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such new Securities may be authenticated and delivered by the Trustee in exchange for Outstanding Securities of such series.</w:t>
      </w:r>
    </w:p>
    <w:p>
      <w:pPr>
        <w:spacing w:after="0" w:line="17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TEN</w:t>
      </w:r>
    </w:p>
    <w:p>
      <w:pPr>
        <w:spacing w:after="0" w:line="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9"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7"/>
          <w:szCs w:val="17"/>
          <w:b w:val="1"/>
          <w:bCs w:val="1"/>
          <w:u w:val="single" w:color="auto"/>
          <w:color w:val="auto"/>
        </w:rPr>
        <w:t>Payment of Principal, Premium and Interest</w:t>
      </w:r>
      <w:r>
        <w:rPr>
          <w:rFonts w:ascii="Arial" w:cs="Arial" w:eastAsia="Arial" w:hAnsi="Arial"/>
          <w:sz w:val="17"/>
          <w:szCs w:val="17"/>
          <w:color w:val="auto"/>
        </w:rPr>
        <w:t>.</w:t>
      </w:r>
    </w:p>
    <w:p>
      <w:pPr>
        <w:spacing w:after="0" w:line="20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 Principal, premium, if any, and interest shall be considered paid on the date due if the Paying Agent, if other than the Company or a Subsidiary thereof, holds as of 11:00 A.M., New York City time, on the due date money deposited with it in immediately available funds and designated for and sufficient to pay all principal, premium, if any, and interest then due.</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b w:val="1"/>
          <w:bCs w:val="1"/>
          <w:u w:val="single" w:color="auto"/>
          <w:color w:val="auto"/>
        </w:rPr>
        <w:t>Maintenance of Office or Agency</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maintain in each Place of Payment for any series of Securities an office or agency where Securities of that series may be presented or surrendered for payment or, if applicable, for conversion, where Securities of that series may be surrendered for registration of transfer or exchange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may also from time to time designate one or more other offices or agencies where the Securities of one or more series may be presented or surrendered for any or all such purposes and may from time to time rescind such designations; provided, however,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576" w:right="239" w:bottom="1440" w:gutter="0" w:footer="0" w:header="0"/>
        </w:sectPr>
      </w:pPr>
    </w:p>
    <w:bookmarkStart w:id="70" w:name="page71"/>
    <w:bookmarkEnd w:id="70"/>
    <w:p>
      <w:pPr>
        <w:spacing w:after="0"/>
        <w:tabs>
          <w:tab w:leader="none" w:pos="194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7"/>
          <w:szCs w:val="17"/>
          <w:b w:val="1"/>
          <w:bCs w:val="1"/>
          <w:u w:val="single" w:color="auto"/>
          <w:color w:val="auto"/>
        </w:rPr>
        <w:t>Money for Securities Payments to Be Held in Trust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Whenever the Company shall have one or more Paying Agents for any series of Securities, it will, prior to 11:00 A.M., New York City time, on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money deposited with the Trustee or any Paying Agent, or then held by the Company, in trust for the payment of the principal of or any premium or interest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City of New York, New York, notice that such money remains unclaimed and that, after a date specified therein, which shall not be less than 30 days from the date of such publication, any unclaimed balance of such money then remaining will be repaid to the Company.</w:t>
      </w:r>
    </w:p>
    <w:p>
      <w:pPr>
        <w:spacing w:after="0" w:line="392"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7"/>
          <w:szCs w:val="17"/>
          <w:b w:val="1"/>
          <w:bCs w:val="1"/>
          <w:u w:val="single" w:color="auto"/>
          <w:color w:val="auto"/>
        </w:rPr>
        <w:t>Statement by Officers as to Default</w:t>
      </w:r>
      <w:r>
        <w:rPr>
          <w:rFonts w:ascii="Arial" w:cs="Arial" w:eastAsia="Arial" w:hAnsi="Arial"/>
          <w:sz w:val="17"/>
          <w:szCs w:val="17"/>
          <w:color w:val="auto"/>
        </w:rPr>
        <w:t>.</w:t>
      </w:r>
    </w:p>
    <w:p>
      <w:pPr>
        <w:spacing w:after="0" w:line="227" w:lineRule="exact"/>
        <w:rPr>
          <w:sz w:val="20"/>
          <w:szCs w:val="20"/>
          <w:color w:val="auto"/>
        </w:rPr>
      </w:pPr>
    </w:p>
    <w:p>
      <w:pPr>
        <w:jc w:val="both"/>
        <w:ind w:firstLine="656"/>
        <w:spacing w:after="0" w:line="260" w:lineRule="auto"/>
        <w:tabs>
          <w:tab w:leader="none" w:pos="111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will deliver to the Trustee, within 90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w:t>
      </w:r>
    </w:p>
    <w:p>
      <w:pPr>
        <w:spacing w:after="0" w:line="175" w:lineRule="exact"/>
        <w:rPr>
          <w:rFonts w:ascii="Arial" w:cs="Arial" w:eastAsia="Arial" w:hAnsi="Arial"/>
          <w:sz w:val="18"/>
          <w:szCs w:val="18"/>
          <w:color w:val="auto"/>
        </w:rPr>
      </w:pPr>
    </w:p>
    <w:p>
      <w:pPr>
        <w:jc w:val="both"/>
        <w:ind w:firstLine="656"/>
        <w:spacing w:after="0" w:line="264" w:lineRule="auto"/>
        <w:tabs>
          <w:tab w:leader="none" w:pos="11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 shall, so long as any series of Securities is Outstanding, deliver to the Trustee, as soon as possible and in any event within five days after the Company becomes aware of the occurrence of an Event of Default or an event which, with notice or the lapse of time or both, would constitute an Event of Default, an Officers’ Certificate setting forth the details of such Event of Default or default, and the action which the Company proposes to take with respect thereto.</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574" w:right="239" w:bottom="1440" w:gutter="0" w:footer="0" w:header="0"/>
        </w:sectPr>
      </w:pPr>
    </w:p>
    <w:bookmarkStart w:id="71" w:name="page72"/>
    <w:bookmarkEnd w:id="71"/>
    <w:p>
      <w:pPr>
        <w:spacing w:after="0"/>
        <w:tabs>
          <w:tab w:leader="none" w:pos="194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7"/>
          <w:szCs w:val="17"/>
          <w:b w:val="1"/>
          <w:bCs w:val="1"/>
          <w:u w:val="single" w:color="auto"/>
          <w:color w:val="auto"/>
        </w:rPr>
        <w:t>Existence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Article Eight, the Company will do or cause to be done all things necessary to preserve and keep in full force and effect the existence, rights (charter and statutory) and franchises of the Company; provided, however, that the Company shall not be required to preserve any such right or franchise if it shall determine that the preservation thereof is no longer desirable in the conduct of the business of the Company and that the loss thereof is not disadvantageous in any material respect to the Holders.</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7"/>
          <w:szCs w:val="17"/>
          <w:b w:val="1"/>
          <w:bCs w:val="1"/>
          <w:u w:val="single" w:color="auto"/>
          <w:color w:val="auto"/>
        </w:rPr>
        <w:t>Maintenance of Properties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will cause all properties used or useful in the conduct of its business or the business of any Subsidiary to be maintained and kept in good condition, repair and working order (reasonable wear and tear excepted)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7"/>
          <w:szCs w:val="17"/>
          <w:b w:val="1"/>
          <w:bCs w:val="1"/>
          <w:u w:val="single" w:color="auto"/>
          <w:color w:val="auto"/>
        </w:rPr>
        <w:t>Payment of Taxes and Other Claims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7"/>
          <w:szCs w:val="17"/>
          <w:b w:val="1"/>
          <w:bCs w:val="1"/>
          <w:u w:val="single" w:color="auto"/>
          <w:color w:val="auto"/>
        </w:rPr>
        <w:t>Maintenance of Insurance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shall, and shall cause its Subsidiaries to, keep at all times all of their properties which are of an insurable nature insured against loss or damage with insurers believed by the Company to be responsible to the extent that property of similar character is usually so insured by corporations similarly situated and owning like properties in accordance with good business practice.</w:t>
      </w:r>
    </w:p>
    <w:p>
      <w:pPr>
        <w:spacing w:after="0" w:line="16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7"/>
          <w:szCs w:val="17"/>
          <w:b w:val="1"/>
          <w:bCs w:val="1"/>
          <w:u w:val="single" w:color="auto"/>
          <w:color w:val="auto"/>
        </w:rPr>
        <w:t>Waiver of Certain Covenants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Except as otherwise specified as contemplated by Section 301 for Securities of such series, the Company may, with respect to the Securities of any series, omit in any particular instance to comply with any term, provision or condition set forth in any of Sections 1005 through 1008 or in any covenant provided pursuant to Section 301(21), 901(2) or 901(7)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b w:val="1"/>
          <w:bCs w:val="1"/>
          <w:u w:val="single" w:color="auto"/>
          <w:color w:val="auto"/>
        </w:rPr>
        <w:t>Applicability of Article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Securities of any series which are redeemable before their Stated Maturity shall be redeemable in accordance with their terms and (except as otherwise specified as contemplated by Section 301 for such Securities) in accordance with this Article.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74" w:right="239" w:bottom="1440" w:gutter="0" w:footer="0" w:header="0"/>
        </w:sectPr>
      </w:pPr>
    </w:p>
    <w:bookmarkStart w:id="72" w:name="page73"/>
    <w:bookmarkEnd w:id="72"/>
    <w:p>
      <w:pPr>
        <w:spacing w:after="0"/>
        <w:tabs>
          <w:tab w:leader="none" w:pos="194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b w:val="1"/>
          <w:bCs w:val="1"/>
          <w:u w:val="single" w:color="auto"/>
          <w:color w:val="auto"/>
        </w:rPr>
        <w:t>Election to Redeem; Notice to Trustee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301 for such Securities. In case of any redemption at the election of the Company of less than all the Securities of any series (including any such redemption affecting only a single Security), the Company shall, at least five Business Days prior to giving notice of such redemption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7"/>
          <w:szCs w:val="17"/>
          <w:b w:val="1"/>
          <w:bCs w:val="1"/>
          <w:u w:val="single" w:color="auto"/>
          <w:color w:val="auto"/>
        </w:rPr>
        <w:t>Selection by Trustee of Securities to Be Redeemed</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by the Trustee, from the Outstanding Securities of such series not previously called for redemption, (i) in compliance with the requirements of the principal national securities exchange on which such Securities are listed, if such Securities are listed on any national securities exchange, and</w:t>
      </w:r>
    </w:p>
    <w:p>
      <w:pPr>
        <w:spacing w:after="0" w:line="3" w:lineRule="exact"/>
        <w:rPr>
          <w:sz w:val="20"/>
          <w:szCs w:val="20"/>
          <w:color w:val="auto"/>
        </w:rPr>
      </w:pPr>
    </w:p>
    <w:p>
      <w:pPr>
        <w:jc w:val="both"/>
        <w:ind w:firstLine="8"/>
        <w:spacing w:after="0" w:line="253" w:lineRule="auto"/>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such Securities are not so listed, on a pro rata basis, by lot or by such other method as the Trustee shall deem fair and appropriate and which may provide for the selection for redemption of a portion of the principal amount of any Security of such series, provided that the unredeemed portion of the principal amount of any Security shall be in an authorized 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by the Trustee, from the Outstanding Securities of such series and specified tenor not previously called for redemption in accordance with the preceding sentence.</w:t>
      </w:r>
    </w:p>
    <w:p>
      <w:pPr>
        <w:spacing w:after="0" w:line="18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4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 If any Security selected for partial redemption is surrendered for conversion after such selection, the converted portion of such Security shall be deemed (so far as may be) to be the portion selected for redemption. Upon any redemption of less than all the Securities of a series, for purposes of selection for redemption the Company and the Trustee may treat as Outstanding Securities surrendered for conversion during the period of 15 days next preceding the mailing of a notice of redemption, and need not treat as Outstanding any Security authenticated and delivered during such period in exchange for the unconverted portion of any Security converted in part during such period.</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b w:val="1"/>
          <w:bCs w:val="1"/>
          <w:u w:val="single" w:color="auto"/>
          <w:color w:val="auto"/>
        </w:rPr>
        <w:t>Notice of Redemption</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by first-class mail, postage prepaid, mailed not less than 30 nor more than 60 days prior to the Redemption Date, to each Holder of Securities to be redeemed, at his address appearing in the Security Register; provided, however, notice of redemption may be given more than 60 days prior to the Redemption Date if the notice is issued in connection with a satisfaction and discharge pursuant to Article Four.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52" w:lineRule="exact"/>
        <w:rPr>
          <w:sz w:val="20"/>
          <w:szCs w:val="20"/>
          <w:color w:val="auto"/>
        </w:rPr>
      </w:pPr>
    </w:p>
    <w:p>
      <w:pPr>
        <w:ind w:left="1520" w:hanging="864"/>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Redemption Price, if then determinable and otherwise the method of its determination,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4" w:right="239" w:bottom="1440" w:gutter="0" w:footer="0" w:header="0"/>
        </w:sectPr>
      </w:pPr>
    </w:p>
    <w:bookmarkStart w:id="73" w:name="page74"/>
    <w:bookmarkEnd w:id="73"/>
    <w:p>
      <w:pPr>
        <w:jc w:val="both"/>
        <w:ind w:firstLine="656"/>
        <w:spacing w:after="0" w:line="311" w:lineRule="auto"/>
        <w:tabs>
          <w:tab w:leader="none" w:pos="15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69" w:lineRule="exact"/>
        <w:rPr>
          <w:rFonts w:ascii="Arial" w:cs="Arial" w:eastAsia="Arial" w:hAnsi="Arial"/>
          <w:sz w:val="18"/>
          <w:szCs w:val="18"/>
          <w:color w:val="auto"/>
        </w:rPr>
      </w:pPr>
    </w:p>
    <w:p>
      <w:pPr>
        <w:ind w:firstLine="656"/>
        <w:spacing w:after="0" w:line="339" w:lineRule="auto"/>
        <w:tabs>
          <w:tab w:leader="none" w:pos="151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44" w:lineRule="exact"/>
        <w:rPr>
          <w:rFonts w:ascii="Arial" w:cs="Arial" w:eastAsia="Arial" w:hAnsi="Arial"/>
          <w:sz w:val="18"/>
          <w:szCs w:val="18"/>
          <w:color w:val="auto"/>
        </w:rPr>
      </w:pPr>
    </w:p>
    <w:p>
      <w:pPr>
        <w:ind w:left="1520" w:hanging="864"/>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65" w:lineRule="exact"/>
        <w:rPr>
          <w:rFonts w:ascii="Arial" w:cs="Arial" w:eastAsia="Arial" w:hAnsi="Arial"/>
          <w:sz w:val="18"/>
          <w:szCs w:val="18"/>
          <w:color w:val="auto"/>
        </w:rPr>
      </w:pPr>
    </w:p>
    <w:p>
      <w:pPr>
        <w:ind w:left="1520" w:hanging="864"/>
        <w:spacing w:after="0"/>
        <w:tabs>
          <w:tab w:leader="none" w:pos="1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conversion price then in effect and the date on which the right to convert such Securities will expire.</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 If any Security called for redemption is converted pursuant hereto, any money deposited with the Trustee or any Paying Agent or so segregated and held in trust for the redemption of such Security shall be paid to the Company upon delivery of a Company Request to the Trustee or such Paying Agent, or, if then held by the Company, shall be discharged from such trust.</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7"/>
          <w:szCs w:val="17"/>
          <w:b w:val="1"/>
          <w:bCs w:val="1"/>
          <w:u w:val="single" w:color="auto"/>
          <w:color w:val="auto"/>
        </w:rPr>
        <w:t>Deposit of Redemption Price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Prior to 11:00 A.M., New York City time, on any Redemption Date, the Company shall deposit with the Trustee or with a Paying Agent (or, if the Company is acting as its own Paying Agent, segregate and hold in trust as provided in Section 1003) an amount of money sufficient to pay the Redemption Price of, and (except if the Redemption Date shall be an Interest Payment Date) accrued interest on, all the Securities which are to be redeemed on that date.</w:t>
      </w:r>
    </w:p>
    <w:p>
      <w:pPr>
        <w:spacing w:after="0" w:line="16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1106.</w:t>
      </w:r>
      <w:r>
        <w:rPr>
          <w:sz w:val="20"/>
          <w:szCs w:val="20"/>
          <w:color w:val="auto"/>
        </w:rPr>
        <w:tab/>
      </w:r>
      <w:r>
        <w:rPr>
          <w:rFonts w:ascii="Arial" w:cs="Arial" w:eastAsia="Arial" w:hAnsi="Arial"/>
          <w:sz w:val="17"/>
          <w:szCs w:val="17"/>
          <w:b w:val="1"/>
          <w:bCs w:val="1"/>
          <w:u w:val="single" w:color="auto"/>
          <w:color w:val="auto"/>
        </w:rPr>
        <w:t>Securities Payable on Redemption Date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unless otherwise specified as contemplated by Section 301,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307.</w:t>
      </w:r>
    </w:p>
    <w:p>
      <w:pPr>
        <w:spacing w:after="0" w:line="17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4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1107.</w:t>
      </w:r>
      <w:r>
        <w:rPr>
          <w:sz w:val="20"/>
          <w:szCs w:val="20"/>
          <w:color w:val="auto"/>
        </w:rPr>
        <w:tab/>
      </w:r>
      <w:r>
        <w:rPr>
          <w:rFonts w:ascii="Arial" w:cs="Arial" w:eastAsia="Arial" w:hAnsi="Arial"/>
          <w:sz w:val="17"/>
          <w:szCs w:val="17"/>
          <w:b w:val="1"/>
          <w:bCs w:val="1"/>
          <w:u w:val="single" w:color="auto"/>
          <w:color w:val="auto"/>
        </w:rPr>
        <w:t>Securities Redeemed in Part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8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ARTICLE TWELVE</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603" w:right="239" w:bottom="1440" w:gutter="0" w:footer="0" w:header="0"/>
        </w:sectPr>
      </w:pPr>
    </w:p>
    <w:bookmarkStart w:id="74" w:name="page75"/>
    <w:bookmarkEnd w:id="74"/>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ARTICLE THIRTEEN</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19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ARTICLE FOURTEEN</w:t>
      </w:r>
    </w:p>
    <w:p>
      <w:pPr>
        <w:spacing w:after="0" w:line="3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22"/>
          <w:szCs w:val="22"/>
          <w:b w:val="1"/>
          <w:bCs w:val="1"/>
          <w:color w:val="auto"/>
        </w:rPr>
        <w:t>[INTENTIONALLY OMITTED]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FIFTEEN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COVENANT DEFEASANCE</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7"/>
          <w:szCs w:val="17"/>
          <w:b w:val="1"/>
          <w:bCs w:val="1"/>
          <w:u w:val="single" w:color="auto"/>
          <w:color w:val="auto"/>
        </w:rPr>
        <w:t>Company’s Option to Effect Defeasance or Covenant Defeasance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may elect, at its option at any time, to have Section 1502 or Section 1503 applied to any Securities or any series of Securities, as the case may be, designated pursuant to Section 301 as being defeasible pursuant to such Section 1502 or 1503, in accordance with any applicable requirements provided pursuant to Section 301 and upon compliance with the conditions set forth below in this Article. Any such election shall be evidenced in or pursuant to a Board Resolution or in another manner specified as contemplated by Section 301 for such Securities.</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1502.</w:t>
      </w:r>
      <w:r>
        <w:rPr>
          <w:sz w:val="20"/>
          <w:szCs w:val="20"/>
          <w:color w:val="auto"/>
        </w:rPr>
        <w:tab/>
      </w:r>
      <w:r>
        <w:rPr>
          <w:rFonts w:ascii="Arial" w:cs="Arial" w:eastAsia="Arial" w:hAnsi="Arial"/>
          <w:sz w:val="17"/>
          <w:szCs w:val="17"/>
          <w:b w:val="1"/>
          <w:bCs w:val="1"/>
          <w:u w:val="single" w:color="auto"/>
          <w:color w:val="auto"/>
        </w:rPr>
        <w:t>Defeasance and Discharge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the Company shall be deemed to have been discharged from its obligations as provided in this Section on and after the date the conditions set forth in Section 1504 are satisfied (herein called “</w:t>
      </w:r>
      <w:r>
        <w:rPr>
          <w:rFonts w:ascii="Arial" w:cs="Arial" w:eastAsia="Arial" w:hAnsi="Arial"/>
          <w:sz w:val="18"/>
          <w:szCs w:val="18"/>
          <w:b w:val="1"/>
          <w:bCs w:val="1"/>
          <w:color w:val="auto"/>
        </w:rPr>
        <w:t>Defeasance</w:t>
      </w:r>
      <w:r>
        <w:rPr>
          <w:rFonts w:ascii="Arial" w:cs="Arial" w:eastAsia="Arial" w:hAnsi="Arial"/>
          <w:sz w:val="18"/>
          <w:szCs w:val="18"/>
          <w:color w:val="auto"/>
        </w:rPr>
        <w:t>”).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 (1) the rights of Holders of such Securities to receive, solely from the trust fund described in Section 1504 and as more fully set forth in such Section, payments in respect of the principal of and any premium and interest on such Securities when payments are due, or, if applicable, to convert such Securities in accordance with their terms, (2) the Company’s obligations with respect to such Securities under Sections 304, 305, 306, 1002 and 1003, and, if applicable, their obligations with respect to the conversion of such Securities, (3) the rights, powers, trusts, duties and immunities of the Trustee hereunder and (4) this Article. Subject to compliance with this Article, the Company may exercise its option (if any) to have this Section applied to any Securities notwithstanding the prior exercise of its option (if any) to have Section 1503 applied to such Securities.</w:t>
      </w:r>
    </w:p>
    <w:p>
      <w:pPr>
        <w:spacing w:after="0" w:line="17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1503.</w:t>
      </w:r>
      <w:r>
        <w:rPr>
          <w:sz w:val="20"/>
          <w:szCs w:val="20"/>
          <w:color w:val="auto"/>
        </w:rPr>
        <w:tab/>
      </w:r>
      <w:r>
        <w:rPr>
          <w:rFonts w:ascii="Arial" w:cs="Arial" w:eastAsia="Arial" w:hAnsi="Arial"/>
          <w:sz w:val="17"/>
          <w:szCs w:val="17"/>
          <w:b w:val="1"/>
          <w:bCs w:val="1"/>
          <w:u w:val="single" w:color="auto"/>
          <w:color w:val="auto"/>
        </w:rPr>
        <w:t>Covenant Defeasance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Company’s exercise of its option (if any) to have this Section applied to any Securities or any series of Securities, as the case may be, (1) the Company shall be released from its obligations under Section 801(3), Sections 1005 through 1008, inclusive, and any covenants provided pursuant to Section 301(21), 901(2) or 901(7) for the benefit of the Holders of such Securities, and (2) the occurrence of any event specified in Sections 501(5) (with respect to any of Section 801(3), Sections 1006 through 1008, inclusive, and any such covenants provided pursuant to Section 301(21), 901(2) or 901(7)), 501(6), 501(7)), 501(10) and 501(11) shall be deemed not to be or result in an Event of Default as provided in this Section on and after the date the conditions set forth in Section 1504 are satisfied (herein called “</w:t>
      </w:r>
      <w:r>
        <w:rPr>
          <w:rFonts w:ascii="Arial" w:cs="Arial" w:eastAsia="Arial" w:hAnsi="Arial"/>
          <w:sz w:val="18"/>
          <w:szCs w:val="18"/>
          <w:b w:val="1"/>
          <w:bCs w:val="1"/>
          <w:color w:val="auto"/>
        </w:rPr>
        <w:t>Covenant</w:t>
      </w:r>
      <w:r>
        <w:rPr>
          <w:rFonts w:ascii="Arial" w:cs="Arial" w:eastAsia="Arial" w:hAnsi="Arial"/>
          <w:sz w:val="18"/>
          <w:szCs w:val="18"/>
          <w:color w:val="auto"/>
        </w:rPr>
        <w:t xml:space="preserve"> </w:t>
      </w:r>
      <w:r>
        <w:rPr>
          <w:rFonts w:ascii="Arial" w:cs="Arial" w:eastAsia="Arial" w:hAnsi="Arial"/>
          <w:sz w:val="18"/>
          <w:szCs w:val="18"/>
          <w:b w:val="1"/>
          <w:bCs w:val="1"/>
          <w:color w:val="auto"/>
        </w:rPr>
        <w:t>Defeasance</w:t>
      </w:r>
      <w:r>
        <w:rPr>
          <w:rFonts w:ascii="Arial" w:cs="Arial" w:eastAsia="Arial" w:hAnsi="Arial"/>
          <w:sz w:val="18"/>
          <w:szCs w:val="18"/>
          <w:color w:val="auto"/>
        </w:rPr>
        <w:t>”). For this purpose, such Covenant Defeasance means that, with respect to such Securities, the Company may omit to comply</w:t>
      </w:r>
      <w:r>
        <w:rPr>
          <w:rFonts w:ascii="Arial" w:cs="Arial" w:eastAsia="Arial" w:hAnsi="Arial"/>
          <w:sz w:val="18"/>
          <w:szCs w:val="18"/>
          <w:b w:val="1"/>
          <w:bCs w:val="1"/>
          <w:color w:val="auto"/>
        </w:rPr>
        <w:t xml:space="preserve"> </w:t>
      </w:r>
      <w:r>
        <w:rPr>
          <w:rFonts w:ascii="Arial" w:cs="Arial" w:eastAsia="Arial" w:hAnsi="Arial"/>
          <w:sz w:val="18"/>
          <w:szCs w:val="18"/>
          <w:color w:val="auto"/>
        </w:rPr>
        <w:t>with and shall have no liability in respect of any term, condition or limitation set forth in any such specified Section (to the extent so specified in the case of Section 501(5)), whether directly or indirectly by reason of any reference elsewhere herein to any such Section or Article or by reason of any reference in any such Section or Article to any other provision herein or in any other document, but the remainder of this Indenture and such Securities shall be unaffected thereby.</w:t>
      </w:r>
    </w:p>
    <w:p>
      <w:pPr>
        <w:spacing w:after="0" w:line="18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1504.</w:t>
      </w:r>
      <w:r>
        <w:rPr>
          <w:sz w:val="20"/>
          <w:szCs w:val="20"/>
          <w:color w:val="auto"/>
        </w:rPr>
        <w:tab/>
      </w:r>
      <w:r>
        <w:rPr>
          <w:rFonts w:ascii="Arial" w:cs="Arial" w:eastAsia="Arial" w:hAnsi="Arial"/>
          <w:sz w:val="17"/>
          <w:szCs w:val="17"/>
          <w:b w:val="1"/>
          <w:bCs w:val="1"/>
          <w:u w:val="single" w:color="auto"/>
          <w:color w:val="auto"/>
        </w:rPr>
        <w:t>Conditions to Defeasance or Covenant Defeasance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following shall be the conditions to the application of Section 1502 or Section 1503 to any Securities or any series of Securities, as the case may be:</w:t>
      </w:r>
    </w:p>
    <w:p>
      <w:pPr>
        <w:spacing w:after="0" w:line="172" w:lineRule="exact"/>
        <w:rPr>
          <w:sz w:val="20"/>
          <w:szCs w:val="20"/>
          <w:color w:val="auto"/>
        </w:rPr>
      </w:pPr>
    </w:p>
    <w:p>
      <w:pPr>
        <w:ind w:firstLine="656"/>
        <w:spacing w:after="0" w:line="339" w:lineRule="auto"/>
        <w:tabs>
          <w:tab w:leader="none" w:pos="1516"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609 and agrees to comply with the provisions of this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1" w:right="239" w:bottom="1440" w:gutter="0" w:footer="0" w:header="0"/>
        </w:sectPr>
      </w:pPr>
    </w:p>
    <w:bookmarkStart w:id="75" w:name="page76"/>
    <w:bookmarkEnd w:id="75"/>
    <w:p>
      <w:pPr>
        <w:jc w:val="both"/>
        <w:spacing w:after="0" w:line="300" w:lineRule="auto"/>
        <w:rPr>
          <w:sz w:val="20"/>
          <w:szCs w:val="20"/>
          <w:color w:val="auto"/>
        </w:rPr>
      </w:pPr>
      <w:r>
        <w:rPr>
          <w:rFonts w:ascii="Arial" w:cs="Arial" w:eastAsia="Arial" w:hAnsi="Arial"/>
          <w:sz w:val="18"/>
          <w:szCs w:val="18"/>
          <w:color w:val="auto"/>
        </w:rPr>
        <w:t>Article applicable to it) as trust funds in trust for the purpose of making the following payments, specifically pledged as security for, and dedicated solely to, the benefits of the Holders of such Securities, (A) money in an amount, or (B) U.S. Government Obligations which through the scheduled payment of principal and interest in respect thereof in accordance with their terms will provide, not later than one day before the due date of any payment, money in an amount, or (C) a combination thereof, 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 respective Stated Maturities, in accordance with the terms of this Indenture and such Securities. As used herein,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Government Obligation</w:t>
      </w:r>
      <w:r>
        <w:rPr>
          <w:rFonts w:ascii="Arial" w:cs="Arial" w:eastAsia="Arial" w:hAnsi="Arial"/>
          <w:sz w:val="18"/>
          <w:szCs w:val="18"/>
          <w:color w:val="auto"/>
        </w:rPr>
        <w:t>” means (x) any security which is (i) a direct obligation of the United States of America for the payment of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0" w:lineRule="exact"/>
        <w:rPr>
          <w:sz w:val="20"/>
          <w:szCs w:val="20"/>
          <w:color w:val="auto"/>
        </w:rPr>
      </w:pPr>
    </w:p>
    <w:p>
      <w:pPr>
        <w:jc w:val="both"/>
        <w:ind w:firstLine="656"/>
        <w:spacing w:after="0" w:line="304"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of an election to have Section 1502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and Defeasance were not to occur.</w:t>
      </w:r>
    </w:p>
    <w:p>
      <w:pPr>
        <w:spacing w:after="0" w:line="177" w:lineRule="exact"/>
        <w:rPr>
          <w:rFonts w:ascii="Arial" w:cs="Arial" w:eastAsia="Arial" w:hAnsi="Arial"/>
          <w:sz w:val="18"/>
          <w:szCs w:val="18"/>
          <w:color w:val="auto"/>
        </w:rPr>
      </w:pPr>
    </w:p>
    <w:p>
      <w:pPr>
        <w:jc w:val="both"/>
        <w:ind w:firstLine="656"/>
        <w:spacing w:after="0" w:line="307"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the event of an election to have Section 1503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75" w:lineRule="exact"/>
        <w:rPr>
          <w:rFonts w:ascii="Arial" w:cs="Arial" w:eastAsia="Arial" w:hAnsi="Arial"/>
          <w:sz w:val="18"/>
          <w:szCs w:val="18"/>
          <w:color w:val="auto"/>
        </w:rPr>
      </w:pPr>
    </w:p>
    <w:p>
      <w:pPr>
        <w:ind w:right="20" w:firstLine="656"/>
        <w:spacing w:after="0" w:line="339"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44" w:lineRule="exact"/>
        <w:rPr>
          <w:rFonts w:ascii="Arial" w:cs="Arial" w:eastAsia="Arial" w:hAnsi="Arial"/>
          <w:sz w:val="18"/>
          <w:szCs w:val="18"/>
          <w:color w:val="auto"/>
        </w:rPr>
      </w:pPr>
    </w:p>
    <w:p>
      <w:pPr>
        <w:jc w:val="both"/>
        <w:ind w:firstLine="656"/>
        <w:spacing w:after="0" w:line="311"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event which is, or after notice or lapse of time or both would become, an Event of Default with respect to such Securities shall have occurred and be continuing at the time of such deposit or, with regard to any such event specified in Sections 501(7) and 501(8), at any time on or prior to the 121st day after the date of such deposit (it being understood that this condition shall not be deemed satisfied until after such 121st day).</w:t>
      </w:r>
    </w:p>
    <w:p>
      <w:pPr>
        <w:spacing w:after="0" w:line="169" w:lineRule="exact"/>
        <w:rPr>
          <w:rFonts w:ascii="Arial" w:cs="Arial" w:eastAsia="Arial" w:hAnsi="Arial"/>
          <w:sz w:val="18"/>
          <w:szCs w:val="18"/>
          <w:color w:val="auto"/>
        </w:rPr>
      </w:pPr>
    </w:p>
    <w:p>
      <w:pPr>
        <w:ind w:firstLine="656"/>
        <w:spacing w:after="0" w:line="339"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any other agreement or instrument to which the Company or any Subsidiary is a party or by which it is bound.</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such deposit shall not cause either the Trustee or the trust so created to be subject to the Investment Company Act of 1940.</w:t>
      </w:r>
    </w:p>
    <w:p>
      <w:pPr>
        <w:spacing w:after="0" w:line="144" w:lineRule="exact"/>
        <w:rPr>
          <w:rFonts w:ascii="Arial" w:cs="Arial" w:eastAsia="Arial" w:hAnsi="Arial"/>
          <w:sz w:val="18"/>
          <w:szCs w:val="18"/>
          <w:color w:val="auto"/>
        </w:rPr>
      </w:pPr>
    </w:p>
    <w:p>
      <w:pPr>
        <w:ind w:firstLine="656"/>
        <w:spacing w:after="0" w:line="339" w:lineRule="auto"/>
        <w:tabs>
          <w:tab w:leader="none" w:pos="1516"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ectPr>
          <w:pgSz w:w="11900" w:h="16838" w:orient="portrait"/>
          <w:cols w:equalWidth="0" w:num="1">
            <w:col w:w="11420"/>
          </w:cols>
          <w:pgMar w:left="240" w:top="603" w:right="2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603" w:right="239" w:bottom="1440" w:gutter="0" w:footer="0" w:header="0"/>
          <w:type w:val="continuous"/>
        </w:sectPr>
      </w:pPr>
    </w:p>
    <w:bookmarkStart w:id="76" w:name="page77"/>
    <w:bookmarkEnd w:id="76"/>
    <w:p>
      <w:pPr>
        <w:spacing w:after="0"/>
        <w:tabs>
          <w:tab w:leader="none" w:pos="1940" w:val="left"/>
        </w:tabs>
        <w:rPr>
          <w:sz w:val="20"/>
          <w:szCs w:val="20"/>
          <w:color w:val="auto"/>
        </w:rPr>
      </w:pPr>
      <w:r>
        <w:rPr>
          <w:rFonts w:ascii="Arial" w:cs="Arial" w:eastAsia="Arial" w:hAnsi="Arial"/>
          <w:sz w:val="18"/>
          <w:szCs w:val="18"/>
          <w:color w:val="auto"/>
        </w:rPr>
        <w:t>SECTION 1505.</w:t>
      </w:r>
      <w:r>
        <w:rPr>
          <w:sz w:val="20"/>
          <w:szCs w:val="20"/>
          <w:color w:val="auto"/>
        </w:rPr>
        <w:tab/>
      </w:r>
      <w:r>
        <w:rPr>
          <w:rFonts w:ascii="Arial" w:cs="Arial" w:eastAsia="Arial" w:hAnsi="Arial"/>
          <w:sz w:val="17"/>
          <w:szCs w:val="17"/>
          <w:b w:val="1"/>
          <w:bCs w:val="1"/>
          <w:u w:val="single" w:color="auto"/>
          <w:color w:val="auto"/>
        </w:rPr>
        <w:t>Deposited Money and U.S. Government Obligations to Be Held in Trust; Miscellaneous Provisions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provisions of the last paragraph of Section 1003, all money and U.S. Government Obligations (including the proceeds thereof) deposited with the Trustee or other qualifying trustee (solely for purposes of this Section and Section 1506, the Trustee and any such other trustee are referred to collectively as the “</w:t>
      </w:r>
      <w:r>
        <w:rPr>
          <w:rFonts w:ascii="Arial" w:cs="Arial" w:eastAsia="Arial" w:hAnsi="Arial"/>
          <w:sz w:val="18"/>
          <w:szCs w:val="18"/>
          <w:b w:val="1"/>
          <w:bCs w:val="1"/>
          <w:color w:val="auto"/>
        </w:rPr>
        <w:t>Trustee</w:t>
      </w:r>
      <w:r>
        <w:rPr>
          <w:rFonts w:ascii="Arial" w:cs="Arial" w:eastAsia="Arial" w:hAnsi="Arial"/>
          <w:sz w:val="18"/>
          <w:szCs w:val="18"/>
          <w:color w:val="auto"/>
        </w:rPr>
        <w:t>”) pursuant to Section 1504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deposited pursuant to Section 1504 or the principal and interest received in respect thereof other than any such tax, fee or other charge which by law is for the account of the Holders of Outstanding Securities.</w:t>
      </w:r>
    </w:p>
    <w:p>
      <w:pPr>
        <w:spacing w:after="0" w:line="16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or U.S. Government Obligations held by it as provided in Section 1504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1506.</w:t>
      </w:r>
      <w:r>
        <w:rPr>
          <w:sz w:val="20"/>
          <w:szCs w:val="20"/>
          <w:color w:val="auto"/>
        </w:rPr>
        <w:tab/>
      </w:r>
      <w:r>
        <w:rPr>
          <w:rFonts w:ascii="Arial" w:cs="Arial" w:eastAsia="Arial" w:hAnsi="Arial"/>
          <w:sz w:val="17"/>
          <w:szCs w:val="17"/>
          <w:b w:val="1"/>
          <w:bCs w:val="1"/>
          <w:u w:val="single" w:color="auto"/>
          <w:color w:val="auto"/>
        </w:rPr>
        <w:t>Reinstatement</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1502 or 1503 shall be revived and reinstated as though no deposit had occurred pursuant to this Article with respect to such Securities, until such time as the Trustee or Paying Agent is permitted to apply all money held in trust pursuant to Section 1505 with respect to such Securities in accordance with this Article; provided, however,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SIXTEEN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201"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7"/>
          <w:szCs w:val="17"/>
          <w:b w:val="1"/>
          <w:bCs w:val="1"/>
          <w:u w:val="single" w:color="auto"/>
          <w:color w:val="auto"/>
        </w:rPr>
        <w:t>Applicability of Article</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301 for such Securities.</w:t>
      </w:r>
    </w:p>
    <w:p>
      <w:pPr>
        <w:spacing w:after="0" w:line="1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1602. Each sinking fund payment shall be applied to the redemption of Securities as provided for by the terms of such Securities.</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7"/>
          <w:szCs w:val="17"/>
          <w:b w:val="1"/>
          <w:bCs w:val="1"/>
          <w:u w:val="single" w:color="auto"/>
          <w:color w:val="auto"/>
        </w:rPr>
        <w:t>Satisfaction of Sinking Fund Payments with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4" w:right="239" w:bottom="1440" w:gutter="0" w:footer="0" w:header="0"/>
        </w:sectPr>
      </w:pPr>
    </w:p>
    <w:bookmarkStart w:id="77" w:name="page78"/>
    <w:bookmarkEnd w:id="77"/>
    <w:p>
      <w:pPr>
        <w:jc w:val="both"/>
        <w:spacing w:after="0" w:line="260" w:lineRule="auto"/>
        <w:rPr>
          <w:sz w:val="20"/>
          <w:szCs w:val="20"/>
          <w:color w:val="auto"/>
        </w:rPr>
      </w:pPr>
      <w:r>
        <w:rPr>
          <w:rFonts w:ascii="Arial" w:cs="Arial" w:eastAsia="Arial" w:hAnsi="Arial"/>
          <w:sz w:val="18"/>
          <w:szCs w:val="18"/>
          <w:color w:val="auto"/>
        </w:rPr>
        <w:t>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3"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7"/>
          <w:szCs w:val="17"/>
          <w:b w:val="1"/>
          <w:bCs w:val="1"/>
          <w:u w:val="single" w:color="auto"/>
          <w:color w:val="auto"/>
        </w:rPr>
        <w:t>Satisfaction of Sinking Fund Payments with Securities</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Company (1) may deliver Outstanding Securities of a series (other than any previously called for redemption) and (2) may apply as a credit Securities of a series which have been (x) converted or (y)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however,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6"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7"/>
          <w:szCs w:val="17"/>
          <w:b w:val="1"/>
          <w:bCs w:val="1"/>
          <w:u w:val="single" w:color="auto"/>
          <w:color w:val="auto"/>
        </w:rPr>
        <w:t>Redemption of Securities for Sinking Fund</w:t>
      </w:r>
      <w:r>
        <w:rPr>
          <w:rFonts w:ascii="Arial" w:cs="Arial" w:eastAsia="Arial" w:hAnsi="Arial"/>
          <w:sz w:val="17"/>
          <w:szCs w:val="17"/>
          <w:color w:val="auto"/>
        </w:rPr>
        <w:t>.</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 less than 35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1602 and will also deliver to the Trustee any Securities to be so delivered. Not less than 32 days prior to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This instrument may be executed in any number of counterparts, each of which so executed shall be deemed to be an original, but all such counterparts shall together constitute but one and the same instrument.</w:t>
      </w:r>
    </w:p>
    <w:p>
      <w:pPr>
        <w:spacing w:after="0" w:line="3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77"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ISSUER:</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EZCORP, INC.</w:t>
      </w:r>
    </w:p>
    <w:p>
      <w:pPr>
        <w:spacing w:after="0" w:line="38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28575</wp:posOffset>
            </wp:positionV>
            <wp:extent cx="27787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5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Title:</w:t>
      </w:r>
    </w:p>
    <w:p>
      <w:pPr>
        <w:spacing w:after="0" w:line="385" w:lineRule="exact"/>
        <w:rPr>
          <w:sz w:val="20"/>
          <w:szCs w:val="20"/>
          <w:color w:val="auto"/>
        </w:rPr>
      </w:pPr>
    </w:p>
    <w:p>
      <w:pPr>
        <w:ind w:left="3700"/>
        <w:spacing w:after="0"/>
        <w:rPr>
          <w:sz w:val="20"/>
          <w:szCs w:val="20"/>
          <w:color w:val="auto"/>
        </w:rPr>
      </w:pPr>
      <w:r>
        <w:rPr>
          <w:rFonts w:ascii="Arial" w:cs="Arial" w:eastAsia="Arial" w:hAnsi="Arial"/>
          <w:sz w:val="18"/>
          <w:szCs w:val="18"/>
          <w:b w:val="1"/>
          <w:bCs w:val="1"/>
          <w:u w:val="single" w:color="auto"/>
          <w:color w:val="auto"/>
        </w:rPr>
        <w:t>TRUSTEE:</w:t>
      </w:r>
    </w:p>
    <w:p>
      <w:pPr>
        <w:spacing w:after="0" w:line="52"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157480</wp:posOffset>
            </wp:positionV>
            <wp:extent cx="27787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5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By:</w:t>
      </w:r>
    </w:p>
    <w:p>
      <w:pPr>
        <w:spacing w:after="0" w:line="63" w:lineRule="exact"/>
        <w:rPr>
          <w:sz w:val="20"/>
          <w:szCs w:val="20"/>
          <w:color w:val="auto"/>
        </w:rPr>
      </w:pPr>
    </w:p>
    <w:p>
      <w:pPr>
        <w:jc w:val="right"/>
        <w:ind w:right="75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jc w:val="right"/>
        <w:ind w:right="75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6" w:right="2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[Signature Page to Senior Indenture]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9019"/>
          </w:cols>
          <w:pgMar w:left="1440" w:top="1440" w:right="1440" w:bottom="1440" w:gutter="0" w:footer="0" w:header="0"/>
          <w:type w:val="continuous"/>
        </w:sectPr>
      </w:pPr>
    </w:p>
    <w:bookmarkStart w:id="79" w:name="page80"/>
    <w:bookmarkEnd w:id="79"/>
    <w:p>
      <w:pPr>
        <w:spacing w:after="0" w:line="3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176530</wp:posOffset>
            </wp:positionV>
            <wp:extent cx="1689735"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89735"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9, 2015</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EZCORP, Inc.</w:t>
      </w:r>
    </w:p>
    <w:p>
      <w:pPr>
        <w:spacing w:after="0" w:line="31" w:lineRule="exact"/>
        <w:rPr>
          <w:sz w:val="20"/>
          <w:szCs w:val="20"/>
          <w:color w:val="auto"/>
        </w:rPr>
      </w:pPr>
    </w:p>
    <w:p>
      <w:pPr>
        <w:ind w:left="4"/>
        <w:spacing w:after="0"/>
        <w:rPr>
          <w:sz w:val="20"/>
          <w:szCs w:val="20"/>
          <w:color w:val="auto"/>
        </w:rPr>
      </w:pPr>
      <w:r>
        <w:rPr>
          <w:rFonts w:ascii="Arial" w:cs="Arial" w:eastAsia="Arial" w:hAnsi="Arial"/>
          <w:sz w:val="18"/>
          <w:szCs w:val="18"/>
          <w:color w:val="auto"/>
        </w:rPr>
        <w:t>1901 Capital Parkway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Austin, TX 78746</w:t>
      </w:r>
    </w:p>
    <w:p>
      <w:pPr>
        <w:spacing w:after="0" w:line="203"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left="4" w:firstLine="648"/>
        <w:spacing w:after="0" w:line="254" w:lineRule="auto"/>
        <w:rPr>
          <w:sz w:val="20"/>
          <w:szCs w:val="20"/>
          <w:color w:val="auto"/>
        </w:rPr>
      </w:pPr>
      <w:r>
        <w:rPr>
          <w:rFonts w:ascii="Arial" w:cs="Arial" w:eastAsia="Arial" w:hAnsi="Arial"/>
          <w:sz w:val="18"/>
          <w:szCs w:val="18"/>
          <w:color w:val="auto"/>
        </w:rPr>
        <w:t>We have acted as counsel for EZCORP,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with respect to certain legal matters in connection with the preparation of a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under the Securities Act of 1933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with respect to the Company’s (i) debt securities (the “</w:t>
      </w:r>
      <w:r>
        <w:rPr>
          <w:rFonts w:ascii="Arial" w:cs="Arial" w:eastAsia="Arial" w:hAnsi="Arial"/>
          <w:sz w:val="18"/>
          <w:szCs w:val="18"/>
          <w:b w:val="1"/>
          <w:bCs w:val="1"/>
          <w:i w:val="1"/>
          <w:iCs w:val="1"/>
          <w:color w:val="auto"/>
        </w:rPr>
        <w:t>Debt Securities</w:t>
      </w:r>
      <w:r>
        <w:rPr>
          <w:rFonts w:ascii="Arial" w:cs="Arial" w:eastAsia="Arial" w:hAnsi="Arial"/>
          <w:sz w:val="18"/>
          <w:szCs w:val="18"/>
          <w:color w:val="auto"/>
        </w:rPr>
        <w:t>”), in one or more series, certain of which may be convertible or exchangeable into shares of Class A Non-Voting Common Stock, par value $ 0.01 per share, of the Company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(ii) shares of the Common Stock, (iii) warrants for the purchase of shares of the Common Stock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(iv) contracts to purchase shares of the Common Stock or other securities at a future date or dates (the “</w:t>
      </w:r>
      <w:r>
        <w:rPr>
          <w:rFonts w:ascii="Arial" w:cs="Arial" w:eastAsia="Arial" w:hAnsi="Arial"/>
          <w:sz w:val="18"/>
          <w:szCs w:val="18"/>
          <w:b w:val="1"/>
          <w:bCs w:val="1"/>
          <w:i w:val="1"/>
          <w:iCs w:val="1"/>
          <w:color w:val="auto"/>
        </w:rPr>
        <w:t>Stock Purchase Contracts</w:t>
      </w:r>
      <w:r>
        <w:rPr>
          <w:rFonts w:ascii="Arial" w:cs="Arial" w:eastAsia="Arial" w:hAnsi="Arial"/>
          <w:sz w:val="18"/>
          <w:szCs w:val="18"/>
          <w:color w:val="auto"/>
        </w:rPr>
        <w:t>”), and (v) Stock Purchase Contracts issued as a part of units consisting of a Stock Purchase Contract and warrants or other securities or debt obligations of third parties, including U.S. treasury securities, securing the holders’ obligations to purchase the securities under the Stock Purchase Contracts (the “</w:t>
      </w:r>
      <w:r>
        <w:rPr>
          <w:rFonts w:ascii="Arial" w:cs="Arial" w:eastAsia="Arial" w:hAnsi="Arial"/>
          <w:sz w:val="18"/>
          <w:szCs w:val="18"/>
          <w:b w:val="1"/>
          <w:bCs w:val="1"/>
          <w:i w:val="1"/>
          <w:iCs w:val="1"/>
          <w:color w:val="auto"/>
        </w:rPr>
        <w:t>Stock Purchase Units</w:t>
      </w:r>
      <w:r>
        <w:rPr>
          <w:rFonts w:ascii="Arial" w:cs="Arial" w:eastAsia="Arial" w:hAnsi="Arial"/>
          <w:sz w:val="18"/>
          <w:szCs w:val="18"/>
          <w:color w:val="auto"/>
        </w:rPr>
        <w:t>” and, together with the Debt Securities, the shares of the Common Stock, the Warrants and the Stock Purchase Contracts,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each on terms to be determined at the time of the offering thereof. The Securities may be issued from time to time pursuant to Rule 415 under the Securities Act.</w:t>
      </w:r>
    </w:p>
    <w:p>
      <w:pPr>
        <w:spacing w:after="0" w:line="180" w:lineRule="exact"/>
        <w:rPr>
          <w:sz w:val="20"/>
          <w:szCs w:val="20"/>
          <w:color w:val="auto"/>
        </w:rPr>
      </w:pPr>
    </w:p>
    <w:p>
      <w:pPr>
        <w:jc w:val="both"/>
        <w:ind w:left="4" w:firstLine="648"/>
        <w:spacing w:after="0" w:line="256" w:lineRule="auto"/>
        <w:rPr>
          <w:sz w:val="20"/>
          <w:szCs w:val="20"/>
          <w:color w:val="auto"/>
        </w:rPr>
      </w:pPr>
      <w:r>
        <w:rPr>
          <w:rFonts w:ascii="Arial" w:cs="Arial" w:eastAsia="Arial" w:hAnsi="Arial"/>
          <w:sz w:val="18"/>
          <w:szCs w:val="18"/>
          <w:color w:val="auto"/>
        </w:rPr>
        <w:t>In connection with the opinions expressed herein, we have examined, among other things, the (i) the Amended and Restated Certificate of Incorporation, as amended, and the Amended and Restated Bylaws of the Company, each as amended to the date hereof (collectively, the “</w:t>
      </w:r>
      <w:r>
        <w:rPr>
          <w:rFonts w:ascii="Arial" w:cs="Arial" w:eastAsia="Arial" w:hAnsi="Arial"/>
          <w:sz w:val="18"/>
          <w:szCs w:val="18"/>
          <w:b w:val="1"/>
          <w:bCs w:val="1"/>
          <w:i w:val="1"/>
          <w:iCs w:val="1"/>
          <w:color w:val="auto"/>
        </w:rPr>
        <w:t>Charter Documents</w:t>
      </w:r>
      <w:r>
        <w:rPr>
          <w:rFonts w:ascii="Arial" w:cs="Arial" w:eastAsia="Arial" w:hAnsi="Arial"/>
          <w:sz w:val="18"/>
          <w:szCs w:val="18"/>
          <w:color w:val="auto"/>
        </w:rPr>
        <w:t>”), (ii) the Registration Statement, (iii) the form of Indenture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filed as an exhibit to the Registration Statement and (iv) the records of corporate proceedings that have occurred prior to the date hereof with respect to the Registration Statement. We have also reviewed such questions of law as we have deemed necessary or appropriate. As to matters of fact relevant to the opinion expressed herein, and as to factual matters arising in connection with our examination of corporate documents, records and other documents and writings, we relied upon certificates and other communications of corporate officers of the Company, with no independent investigation as to the facts set forth therein.</w:t>
      </w:r>
    </w:p>
    <w:p>
      <w:pPr>
        <w:spacing w:after="0" w:line="178" w:lineRule="exact"/>
        <w:rPr>
          <w:sz w:val="20"/>
          <w:szCs w:val="20"/>
          <w:color w:val="auto"/>
        </w:rPr>
      </w:pPr>
    </w:p>
    <w:p>
      <w:pPr>
        <w:jc w:val="both"/>
        <w:ind w:left="4" w:firstLine="648"/>
        <w:spacing w:after="0" w:line="253" w:lineRule="auto"/>
        <w:rPr>
          <w:sz w:val="20"/>
          <w:szCs w:val="20"/>
          <w:color w:val="auto"/>
        </w:rPr>
      </w:pPr>
      <w:r>
        <w:rPr>
          <w:rFonts w:ascii="Arial" w:cs="Arial" w:eastAsia="Arial" w:hAnsi="Arial"/>
          <w:sz w:val="18"/>
          <w:szCs w:val="18"/>
          <w:color w:val="auto"/>
        </w:rPr>
        <w:t>In connection with this opinion, we have assumed that: (i) all information contained in all documents reviewed by us is true and correct; (ii) all signatures on all documents examined by us are genuine; (iii) all documents submitted to us as originals are authentic and all documents submitted to us as copies conform to the originals of those documents; (iv) each natural person signing any document reviewed by us had the legal capacity to do so; (v) each person signing in a representative capacity (other than on behalf of the Company) any document reviewed by us had authority to sign in such capacity; (vi) the Registration Statement, and any amendments thereto (including post-effective amendments), will have become effective and comply with all applicable laws; (vii) a prospectus supplement will have been prepared and filed with the Commission describing the Securities offered thereby; (viii) all Securities will be issued and sold in compliance with applicable federal and state securities laws and in the manner stated in the Registration Statement and the applicable prospectus supplement; (ix) any supplemental indenture relating to a series of Debt Securities to be issued under the Indenture will be duly authorized, executed and delivered by the parties thereto in substantially the form reviewed by us; (x) a definitive purchase, underwriting or similar agreement with respect to any Securities offered will have been duly authorized and validly executed and delivered by the Company and the other parties thereto; (xi) any Securities issuable upon conversion, exchange or exercise of any Security being offered will have been duly authorized, created and, if appropriate, reserved for issuance upon such conversion, exchange or exercise; and (xii) with respect to shares of the Common Stock offered, that there will be sufficient shares of the Common Stock authorized under the Charter Documents and not otherwise reserved for issuance.</w:t>
      </w:r>
    </w:p>
    <w:p>
      <w:pPr>
        <w:spacing w:after="0" w:line="184" w:lineRule="exact"/>
        <w:rPr>
          <w:sz w:val="20"/>
          <w:szCs w:val="20"/>
          <w:color w:val="auto"/>
        </w:rPr>
      </w:pPr>
    </w:p>
    <w:p>
      <w:pPr>
        <w:ind w:left="644"/>
        <w:spacing w:after="0"/>
        <w:rPr>
          <w:sz w:val="20"/>
          <w:szCs w:val="20"/>
          <w:color w:val="auto"/>
        </w:rPr>
      </w:pPr>
      <w:r>
        <w:rPr>
          <w:rFonts w:ascii="Arial" w:cs="Arial" w:eastAsia="Arial" w:hAnsi="Arial"/>
          <w:sz w:val="18"/>
          <w:szCs w:val="18"/>
          <w:color w:val="auto"/>
        </w:rPr>
        <w:t>Based upon and subject to the foregoing, we are of the opinion that:</w:t>
      </w:r>
    </w:p>
    <w:p>
      <w:pPr>
        <w:spacing w:after="0" w:line="225" w:lineRule="exact"/>
        <w:rPr>
          <w:sz w:val="20"/>
          <w:szCs w:val="20"/>
          <w:color w:val="auto"/>
        </w:rPr>
      </w:pPr>
    </w:p>
    <w:p>
      <w:pPr>
        <w:jc w:val="both"/>
        <w:ind w:left="644" w:hanging="644"/>
        <w:spacing w:after="0" w:line="253"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the Debt Securities to be issued under the Indenture, when (a) the applicable Indenture relating to the Debt Securities have been duly qualified under the Trust Indenture Act of 1939, as amended; (b)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(or a duly constituted and acting committee thereof) has taken all necessary corporate action to approve the issuance and terms of any such Debt Securities, the terms of the offering thereof and related matters; (c) the terms of such Debt Securities and of their issuance and sale have been duly established in conformity with the Indenture so as not to violate any applicable law or result in a default under or breach of any agreement or instrument binding upon the Company and so as to comply with any requirements or restrictions imposed by any court or governmental body having jurisdiction over the Company; (d) any shares of the Common Stock issuable upon the conversion of such Debt Securities, if applicable, have been duly and validly authorized for issuance; and (e) such Debt Securities have been duly executed and authenticated in accordance with the Indenture and issued and sold as contemplated in the applicable prospectus supplement and in accordance with the applicable definitive purchase, underwriting or similar agreement approved by the Board (or a duly constituted and acting committee thereof) and, upon payment of the consideration therefor provided for therein, such Debt Securities will be legally issued and will constitute valid and binding obligations of the Company enforceable against the Company in accordance with their terms and will be entitled to the benefits of the Indenture.</w:t>
      </w:r>
    </w:p>
    <w:p>
      <w:pPr>
        <w:spacing w:after="0" w:line="186" w:lineRule="exact"/>
        <w:rPr>
          <w:rFonts w:ascii="Arial" w:cs="Arial" w:eastAsia="Arial" w:hAnsi="Arial"/>
          <w:sz w:val="18"/>
          <w:szCs w:val="18"/>
          <w:color w:val="auto"/>
        </w:rPr>
      </w:pPr>
    </w:p>
    <w:p>
      <w:pPr>
        <w:jc w:val="both"/>
        <w:ind w:left="644" w:hanging="644"/>
        <w:spacing w:after="0" w:line="256" w:lineRule="auto"/>
        <w:tabs>
          <w:tab w:leader="none" w:pos="6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shares of the Common Stock, when (a) the Board (or a duly constituted and acting committee thereof) has taken all necessary corporate action to approve the issuance and terms of the offering thereof and related matters; and (b) the shares of the Common Stock have been duly registered and delivered either (i) in accordance with the applicable definitive purchase, underwriting or similar agreement approved by the Board (or a duly constituted and acting committee thereof) upon payment of the consideration therefor (not less than the par value of the Common Stock) provided for therein, or (ii) upon conversion, exchange or exercise of any other Security in accordance with the terms of the Security or the instrument governing the Security providing for the conversion, exchange or exercise as approved by the Board (or a duly constituted and acting committee thereof), for the consideration (not less than the par value of the Common Stock) approved by the Board (or a</w:t>
      </w:r>
    </w:p>
    <w:p>
      <w:pPr>
        <w:sectPr>
          <w:pgSz w:w="11900" w:h="16872" w:orient="portrait"/>
          <w:cols w:equalWidth="0" w:num="1">
            <w:col w:w="10764"/>
          </w:cols>
          <w:pgMar w:left="896" w:top="114" w:right="239" w:bottom="0" w:gutter="0" w:footer="0" w:header="0"/>
        </w:sectPr>
      </w:pPr>
    </w:p>
    <w:bookmarkStart w:id="80" w:name="page81"/>
    <w:bookmarkEnd w:id="80"/>
    <w:p>
      <w:pPr>
        <w:ind w:left="1160"/>
        <w:spacing w:after="0" w:line="293" w:lineRule="auto"/>
        <w:rPr>
          <w:sz w:val="20"/>
          <w:szCs w:val="20"/>
          <w:color w:val="auto"/>
        </w:rPr>
      </w:pPr>
      <w:r>
        <w:rPr>
          <w:rFonts w:ascii="Arial" w:cs="Arial" w:eastAsia="Arial" w:hAnsi="Arial"/>
          <w:sz w:val="18"/>
          <w:szCs w:val="18"/>
          <w:color w:val="auto"/>
        </w:rPr>
        <w:t>duly constituted and acting committee thereof), such shares of the Common Stock will be legally issued, fully paid and non-assessable.</w:t>
      </w:r>
    </w:p>
    <w:p>
      <w:pPr>
        <w:spacing w:after="0" w:line="144" w:lineRule="exact"/>
        <w:rPr>
          <w:sz w:val="20"/>
          <w:szCs w:val="20"/>
          <w:color w:val="auto"/>
        </w:rPr>
      </w:pPr>
    </w:p>
    <w:p>
      <w:pPr>
        <w:jc w:val="both"/>
        <w:ind w:left="1160" w:hanging="644"/>
        <w:spacing w:after="0" w:line="256"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the Warrants, when (i) the Board (or a duly constituted and acting committee thereof) has taken all necessary corporate action to approve the creation of and the issuance and terms of the Warrants, the terms of the offering thereof and related matters; (ii) the warrant agreement or agreements relating to the Warrants have been duly authorized and validly executed and delivered by the Company and the warrant agent appointed by the Company; and (iii) the Warrants or certificates representing the Warrants have been duly executed, countersigned, registered and delivered in accordance with the appropriate warrant agreement or agreements and the applicable definitive purchase, underwriting or similar agreement approved by the Board (or a duly constituted and acting committee thereof) upon payment of the consideration therefor provided for therein, such Warrants will be legally issued.</w:t>
      </w:r>
    </w:p>
    <w:p>
      <w:pPr>
        <w:spacing w:after="0" w:line="178" w:lineRule="exact"/>
        <w:rPr>
          <w:rFonts w:ascii="Arial" w:cs="Arial" w:eastAsia="Arial" w:hAnsi="Arial"/>
          <w:sz w:val="18"/>
          <w:szCs w:val="18"/>
          <w:color w:val="auto"/>
        </w:rPr>
      </w:pPr>
    </w:p>
    <w:p>
      <w:pPr>
        <w:jc w:val="both"/>
        <w:ind w:left="1160" w:hanging="644"/>
        <w:spacing w:after="0" w:line="25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Stock Purchase Contracts, when (i) the purchase agreement for the Stock Purchase Contracts has been duly authorized and validly executed by the parties thereto; (ii) the Board (or a duly constituted and acting committee thereof) has taken all necessary corporate action to approve and establish the terms of the Stock Purchase Contracts and to authorize and approve the issuance thereof, the terms of the offering and related matters; and (iii) the Stock Purchase Contracts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for therein, such Stock Purchase Contracts will be legally issued.</w:t>
      </w:r>
    </w:p>
    <w:p>
      <w:pPr>
        <w:spacing w:after="0" w:line="177" w:lineRule="exact"/>
        <w:rPr>
          <w:rFonts w:ascii="Arial" w:cs="Arial" w:eastAsia="Arial" w:hAnsi="Arial"/>
          <w:sz w:val="18"/>
          <w:szCs w:val="18"/>
          <w:color w:val="auto"/>
        </w:rPr>
      </w:pPr>
    </w:p>
    <w:p>
      <w:pPr>
        <w:jc w:val="both"/>
        <w:ind w:left="1160" w:hanging="644"/>
        <w:spacing w:after="0" w:line="25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With respect to Stock Purchase Units, when (i) the purchase agreement for the Stock Purchase Units has been duly authorized and validly executed by the parties thereto; (ii) the Board (or a duly constituted and acting committee thereof) has taken all necessary corporate action to approve and establish the terms of the Stock Purchase Units and to authorize and approve the issuance thereof, the terms of the offering and related matters; and (iii) the Stock Purchase Units have been duly executed and delivered in accordance with the purchase agreement and the applicable definitive purchase, underwriting or similar agreement approved by or on behalf of the Board (or a duly constituted and acting committee thereof) upon payment of the consideration therefor provided therein, the Stock Purchase Units will be legally issued.</w:t>
      </w:r>
    </w:p>
    <w:p>
      <w:pPr>
        <w:spacing w:after="0" w:line="177" w:lineRule="exact"/>
        <w:rPr>
          <w:sz w:val="20"/>
          <w:szCs w:val="20"/>
          <w:color w:val="auto"/>
        </w:rPr>
      </w:pPr>
    </w:p>
    <w:p>
      <w:pPr>
        <w:jc w:val="both"/>
        <w:ind w:left="520" w:firstLine="648"/>
        <w:spacing w:after="0" w:line="258" w:lineRule="auto"/>
        <w:rPr>
          <w:sz w:val="20"/>
          <w:szCs w:val="20"/>
          <w:color w:val="auto"/>
        </w:rPr>
      </w:pPr>
      <w:r>
        <w:rPr>
          <w:rFonts w:ascii="Arial" w:cs="Arial" w:eastAsia="Arial" w:hAnsi="Arial"/>
          <w:sz w:val="18"/>
          <w:szCs w:val="18"/>
          <w:color w:val="auto"/>
        </w:rPr>
        <w:t>The foregoing opinions are qualified to the extent that the enforceability of any document, instrument or Security may be limited by or subject to (i) bankruptcy, insolvency, fraudulent transfer or conveyance, reorganization, moratorium or other similar laws relating to or affecting creditors’ rights generally, and general equitable or public policy principles, and (ii) with respect to any Debt Securities denominated in a currency other than United States dollars, the requirement that a claim (or a foreign currency judgment in respect of such a claim) with respect to such Securities be converted to United States dollars at a rate of exchange prevailing on a date determined pursuant to applicable law or governmental authority.</w:t>
      </w:r>
    </w:p>
    <w:p>
      <w:pPr>
        <w:spacing w:after="0" w:line="178" w:lineRule="exact"/>
        <w:rPr>
          <w:sz w:val="20"/>
          <w:szCs w:val="20"/>
          <w:color w:val="auto"/>
        </w:rPr>
      </w:pPr>
    </w:p>
    <w:p>
      <w:pPr>
        <w:jc w:val="both"/>
        <w:ind w:left="520" w:firstLine="648"/>
        <w:spacing w:after="0" w:line="258" w:lineRule="auto"/>
        <w:rPr>
          <w:sz w:val="20"/>
          <w:szCs w:val="20"/>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(ii) the enforceability of indemnification provisions to the extent they purport to relate to liabilities resulting from or based upon negligence or any violation of federal or state securities or blue sky laws, or (iii) the validity or enforceability of provisions that limit the obligation of a guarantor based on the potential unenforceability, invalidity or voidability of a guarantee under any applicable law, including, without limitation, any state or federal fraudulent transfer or fraudulent conveyance laws.</w:t>
      </w:r>
    </w:p>
    <w:p>
      <w:pPr>
        <w:spacing w:after="0" w:line="178" w:lineRule="exact"/>
        <w:rPr>
          <w:sz w:val="20"/>
          <w:szCs w:val="20"/>
          <w:color w:val="auto"/>
        </w:rPr>
      </w:pPr>
    </w:p>
    <w:p>
      <w:pPr>
        <w:jc w:val="both"/>
        <w:ind w:left="520" w:firstLine="648"/>
        <w:spacing w:after="0" w:line="264" w:lineRule="auto"/>
        <w:rPr>
          <w:sz w:val="20"/>
          <w:szCs w:val="20"/>
          <w:color w:val="auto"/>
        </w:rPr>
      </w:pPr>
      <w:r>
        <w:rPr>
          <w:rFonts w:ascii="Arial" w:cs="Arial" w:eastAsia="Arial" w:hAnsi="Arial"/>
          <w:sz w:val="18"/>
          <w:szCs w:val="18"/>
          <w:color w:val="auto"/>
        </w:rPr>
        <w:t>The foregoing opinions are limited to the laws of the State of New York, the General Corporation Law of the State of Delaware (including the applicable provisions of the Delaware Constitution and the reported judicial decisions interpreting these laws) and the federal laws of the United States of America, and we are expressing no opinion as to the effect of the laws of any other jurisdiction, domestic or foreign.</w:t>
      </w:r>
    </w:p>
    <w:p>
      <w:pPr>
        <w:spacing w:after="0" w:line="170" w:lineRule="exact"/>
        <w:rPr>
          <w:sz w:val="20"/>
          <w:szCs w:val="20"/>
          <w:color w:val="auto"/>
        </w:rPr>
      </w:pPr>
    </w:p>
    <w:p>
      <w:pPr>
        <w:jc w:val="both"/>
        <w:ind w:left="520" w:firstLine="648"/>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use of our name in the prospectus forming a part of the Registration Statement under the caption “Legal Matters.” In giving this consent, we do not admit that we are within the category of persons whose consent is required under Section 7 of the Securities Act and the rules and regulations thereunder.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Vinson &amp; Elkins L.L.P.</w:t>
      </w:r>
    </w:p>
    <w:p>
      <w:pPr>
        <w:sectPr>
          <w:pgSz w:w="11900" w:h="16838" w:orient="portrait"/>
          <w:cols w:equalWidth="0" w:num="1">
            <w:col w:w="11280"/>
          </w:cols>
          <w:pgMar w:left="380" w:top="11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Vinson &amp; Elkins LLP Attorneys at Law</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Abu Dhabi Austin Beijing Dallas Dubai Hong Kong Houston London</w:t>
      </w:r>
    </w:p>
    <w:p>
      <w:pPr>
        <w:spacing w:after="0"/>
        <w:rPr>
          <w:sz w:val="20"/>
          <w:szCs w:val="20"/>
          <w:color w:val="auto"/>
        </w:rPr>
      </w:pPr>
      <w:r>
        <w:rPr>
          <w:rFonts w:ascii="Arial" w:cs="Arial" w:eastAsia="Arial" w:hAnsi="Arial"/>
          <w:sz w:val="10"/>
          <w:szCs w:val="10"/>
          <w:color w:val="auto"/>
        </w:rPr>
        <w:t>Moscow New York Palo Alto Riyadh San Francisco Tokyo Washington</w:t>
      </w:r>
    </w:p>
    <w:p>
      <w:pPr>
        <w:spacing w:after="0" w:line="20" w:lineRule="exact"/>
        <w:rPr>
          <w:sz w:val="20"/>
          <w:szCs w:val="20"/>
          <w:color w:val="auto"/>
        </w:rPr>
      </w:pPr>
      <w:r>
        <w:rPr>
          <w:sz w:val="20"/>
          <w:szCs w:val="20"/>
          <w:color w:val="auto"/>
        </w:rPr>
        <w:br w:type="column"/>
      </w:r>
    </w:p>
    <w:p>
      <w:pPr>
        <w:spacing w:after="0" w:line="400" w:lineRule="exact"/>
        <w:rPr>
          <w:sz w:val="20"/>
          <w:szCs w:val="20"/>
          <w:color w:val="auto"/>
        </w:rPr>
      </w:pPr>
    </w:p>
    <w:p>
      <w:pPr>
        <w:spacing w:after="0"/>
        <w:rPr>
          <w:sz w:val="20"/>
          <w:szCs w:val="20"/>
          <w:color w:val="auto"/>
        </w:rPr>
      </w:pPr>
      <w:r>
        <w:rPr>
          <w:rFonts w:ascii="Arial" w:cs="Arial" w:eastAsia="Arial" w:hAnsi="Arial"/>
          <w:sz w:val="11"/>
          <w:szCs w:val="11"/>
          <w:color w:val="auto"/>
        </w:rPr>
        <w:t>Trammell Crow Center, 2001 Ross Avenue, Suite 3700</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Dallas, TX 75201-2975</w:t>
      </w:r>
    </w:p>
    <w:p>
      <w:pPr>
        <w:spacing w:after="0"/>
        <w:rPr>
          <w:sz w:val="20"/>
          <w:szCs w:val="20"/>
          <w:color w:val="auto"/>
        </w:rPr>
      </w:pPr>
      <w:r>
        <w:rPr>
          <w:rFonts w:ascii="Arial" w:cs="Arial" w:eastAsia="Arial" w:hAnsi="Arial"/>
          <w:sz w:val="10"/>
          <w:szCs w:val="10"/>
          <w:b w:val="1"/>
          <w:bCs w:val="1"/>
          <w:color w:val="auto"/>
        </w:rPr>
        <w:t xml:space="preserve">Tel </w:t>
      </w:r>
      <w:r>
        <w:rPr>
          <w:rFonts w:ascii="Arial" w:cs="Arial" w:eastAsia="Arial" w:hAnsi="Arial"/>
          <w:sz w:val="10"/>
          <w:szCs w:val="10"/>
          <w:color w:val="auto"/>
        </w:rPr>
        <w:t>+1.214.220.7700</w:t>
      </w:r>
      <w:r>
        <w:rPr>
          <w:rFonts w:ascii="Arial" w:cs="Arial" w:eastAsia="Arial" w:hAnsi="Arial"/>
          <w:sz w:val="10"/>
          <w:szCs w:val="10"/>
          <w:b w:val="1"/>
          <w:bCs w:val="1"/>
          <w:color w:val="auto"/>
        </w:rPr>
        <w:t xml:space="preserve"> Fax </w:t>
      </w:r>
      <w:r>
        <w:rPr>
          <w:rFonts w:ascii="Arial" w:cs="Arial" w:eastAsia="Arial" w:hAnsi="Arial"/>
          <w:sz w:val="10"/>
          <w:szCs w:val="10"/>
          <w:color w:val="auto"/>
        </w:rPr>
        <w:t>+1.214.220.7716</w:t>
      </w:r>
      <w:r>
        <w:rPr>
          <w:rFonts w:ascii="Arial" w:cs="Arial" w:eastAsia="Arial" w:hAnsi="Arial"/>
          <w:sz w:val="10"/>
          <w:szCs w:val="10"/>
          <w:b w:val="1"/>
          <w:bCs w:val="1"/>
          <w:color w:val="auto"/>
        </w:rPr>
        <w:t xml:space="preserve"> www.velaw.com</w:t>
      </w:r>
    </w:p>
    <w:p>
      <w:pPr>
        <w:sectPr>
          <w:pgSz w:w="11900" w:h="16838" w:orient="portrait"/>
          <w:cols w:equalWidth="0" w:num="2">
            <w:col w:w="6340" w:space="720"/>
            <w:col w:w="4220"/>
          </w:cols>
          <w:pgMar w:left="380" w:top="115" w:right="239" w:bottom="1440" w:gutter="0" w:footer="0" w:header="0"/>
          <w:type w:val="continuous"/>
        </w:sectPr>
      </w:pPr>
    </w:p>
    <w:bookmarkStart w:id="81" w:name="page82"/>
    <w:bookmarkEnd w:id="81"/>
    <w:tbl>
      <w:tblPr>
        <w:tblLayout w:type="fixed"/>
        <w:tblInd w:w="40" w:type="dxa"/>
        <w:tblCellMar>
          <w:top w:w="0" w:type="dxa"/>
          <w:left w:w="0" w:type="dxa"/>
          <w:bottom w:w="0" w:type="dxa"/>
          <w:right w:w="0" w:type="dxa"/>
        </w:tblCellMar>
      </w:tblPr>
      <w:tr>
        <w:trPr>
          <w:trHeight w:val="254"/>
        </w:trPr>
        <w:tc>
          <w:tcPr>
            <w:tcW w:w="4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EXHIBIT 12.1</w:t>
            </w:r>
          </w:p>
        </w:tc>
      </w:tr>
      <w:tr>
        <w:trPr>
          <w:trHeight w:val="855"/>
        </w:trPr>
        <w:tc>
          <w:tcPr>
            <w:tcW w:w="4760" w:type="dxa"/>
            <w:vAlign w:val="bottom"/>
          </w:tcPr>
          <w:p>
            <w:pPr>
              <w:spacing w:after="0"/>
              <w:rPr>
                <w:sz w:val="24"/>
                <w:szCs w:val="24"/>
                <w:color w:val="auto"/>
              </w:rPr>
            </w:pPr>
          </w:p>
        </w:tc>
        <w:tc>
          <w:tcPr>
            <w:tcW w:w="170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98"/>
              </w:rPr>
              <w:t>EZCORP, Inc.</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3"/>
        </w:trPr>
        <w:tc>
          <w:tcPr>
            <w:tcW w:w="7980" w:type="dxa"/>
            <w:vAlign w:val="bottom"/>
            <w:gridSpan w:val="9"/>
          </w:tcPr>
          <w:p>
            <w:pPr>
              <w:jc w:val="center"/>
              <w:ind w:left="3270"/>
              <w:spacing w:after="0"/>
              <w:rPr>
                <w:sz w:val="20"/>
                <w:szCs w:val="20"/>
                <w:color w:val="auto"/>
              </w:rPr>
            </w:pPr>
            <w:r>
              <w:rPr>
                <w:rFonts w:ascii="Arial" w:cs="Arial" w:eastAsia="Arial" w:hAnsi="Arial"/>
                <w:sz w:val="18"/>
                <w:szCs w:val="18"/>
                <w:b w:val="1"/>
                <w:bCs w:val="1"/>
                <w:color w:val="auto"/>
                <w:w w:val="99"/>
              </w:rPr>
              <w:t>Computation of Ratio of Earnings to Fixed Charges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825"/>
        </w:trPr>
        <w:tc>
          <w:tcPr>
            <w:tcW w:w="4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center"/>
              <w:ind w:right="360"/>
              <w:spacing w:after="0"/>
              <w:rPr>
                <w:sz w:val="20"/>
                <w:szCs w:val="20"/>
                <w:color w:val="auto"/>
              </w:rPr>
            </w:pPr>
            <w:r>
              <w:rPr>
                <w:rFonts w:ascii="Arial" w:cs="Arial" w:eastAsia="Arial" w:hAnsi="Arial"/>
                <w:sz w:val="18"/>
                <w:szCs w:val="18"/>
                <w:b w:val="1"/>
                <w:bCs w:val="1"/>
                <w:color w:val="auto"/>
                <w:w w:val="99"/>
              </w:rPr>
              <w:t>Fiscal Years Ended September 30,</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4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r>
      <w:tr>
        <w:trPr>
          <w:trHeight w:val="249"/>
        </w:trPr>
        <w:tc>
          <w:tcPr>
            <w:tcW w:w="4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(In thousands)</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2"/>
        </w:trPr>
        <w:tc>
          <w:tcPr>
            <w:tcW w:w="4760" w:type="dxa"/>
            <w:vAlign w:val="bottom"/>
          </w:tcPr>
          <w:p>
            <w:pPr>
              <w:spacing w:after="0"/>
              <w:rPr>
                <w:sz w:val="20"/>
                <w:szCs w:val="20"/>
                <w:color w:val="auto"/>
              </w:rPr>
            </w:pPr>
            <w:r>
              <w:rPr>
                <w:rFonts w:ascii="Arial" w:cs="Arial" w:eastAsia="Arial" w:hAnsi="Arial"/>
                <w:sz w:val="18"/>
                <w:szCs w:val="18"/>
                <w:color w:val="auto"/>
              </w:rPr>
              <w:t>Earnings:</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Income before income taxes</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72,700</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102,459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227,085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190,189</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152,785</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Less equity in net income of unconsolidated affiliates</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(10,750)</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Plus dividends received from unconsolidated affiliates</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10,632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5,560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3,841</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Plus fixed charges</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50,352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27,751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9,455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7,548</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Less capitalized interest and deferred financing costs</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3"/>
        </w:trPr>
        <w:tc>
          <w:tcPr>
            <w:tcW w:w="4760" w:type="dxa"/>
            <w:vAlign w:val="bottom"/>
          </w:tcPr>
          <w:p>
            <w:pPr>
              <w:ind w:left="160"/>
              <w:spacing w:after="0"/>
              <w:rPr>
                <w:sz w:val="20"/>
                <w:szCs w:val="20"/>
                <w:color w:val="auto"/>
              </w:rPr>
            </w:pPr>
            <w:r>
              <w:rPr>
                <w:rFonts w:ascii="Arial" w:cs="Arial" w:eastAsia="Arial" w:hAnsi="Arial"/>
                <w:sz w:val="18"/>
                <w:szCs w:val="18"/>
                <w:color w:val="auto"/>
              </w:rPr>
              <w:t>Plus Amortization of capitalized interest</w:t>
            </w:r>
          </w:p>
        </w:tc>
        <w:tc>
          <w:tcPr>
            <w:tcW w:w="4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403</w:t>
            </w:r>
          </w:p>
        </w:tc>
      </w:tr>
      <w:tr>
        <w:trPr>
          <w:trHeight w:val="250"/>
        </w:trPr>
        <w:tc>
          <w:tcPr>
            <w:tcW w:w="4760" w:type="dxa"/>
            <w:vAlign w:val="bottom"/>
          </w:tcPr>
          <w:p>
            <w:pPr>
              <w:spacing w:after="0"/>
              <w:rPr>
                <w:sz w:val="20"/>
                <w:szCs w:val="20"/>
                <w:color w:val="auto"/>
              </w:rPr>
            </w:pPr>
            <w:r>
              <w:rPr>
                <w:rFonts w:ascii="Arial" w:cs="Arial" w:eastAsia="Arial" w:hAnsi="Arial"/>
                <w:sz w:val="18"/>
                <w:szCs w:val="18"/>
                <w:color w:val="auto"/>
              </w:rPr>
              <w:t>Total Earnings</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113,353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130,889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223,953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190,245</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153,830</w:t>
            </w:r>
          </w:p>
        </w:tc>
      </w:tr>
      <w:tr>
        <w:trPr>
          <w:trHeight w:val="814"/>
        </w:trPr>
        <w:tc>
          <w:tcPr>
            <w:tcW w:w="4760" w:type="dxa"/>
            <w:vAlign w:val="bottom"/>
          </w:tcPr>
          <w:p>
            <w:pPr>
              <w:spacing w:after="0"/>
              <w:rPr>
                <w:sz w:val="20"/>
                <w:szCs w:val="20"/>
                <w:color w:val="auto"/>
              </w:rPr>
            </w:pPr>
            <w:r>
              <w:rPr>
                <w:rFonts w:ascii="Arial" w:cs="Arial" w:eastAsia="Arial" w:hAnsi="Arial"/>
                <w:sz w:val="18"/>
                <w:szCs w:val="18"/>
                <w:color w:val="auto"/>
              </w:rPr>
              <w:t>Fixed Charges:</w:t>
            </w:r>
          </w:p>
        </w:tc>
        <w:tc>
          <w:tcPr>
            <w:tcW w:w="4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Interest expense included in earnings (a)</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24,119</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16,190</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1,385</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Amortization of capitalized interest</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Capitalized interest and deferred financing costs</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14,017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2,397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4760" w:type="dxa"/>
            <w:vAlign w:val="bottom"/>
          </w:tcPr>
          <w:p>
            <w:pPr>
              <w:ind w:left="160"/>
              <w:spacing w:after="0"/>
              <w:rPr>
                <w:sz w:val="20"/>
                <w:szCs w:val="20"/>
                <w:color w:val="auto"/>
              </w:rPr>
            </w:pPr>
            <w:r>
              <w:rPr>
                <w:rFonts w:ascii="Arial" w:cs="Arial" w:eastAsia="Arial" w:hAnsi="Arial"/>
                <w:sz w:val="18"/>
                <w:szCs w:val="18"/>
                <w:color w:val="auto"/>
              </w:rPr>
              <w:t>Interest portion of rental expense</w:t>
            </w: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10,863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7,674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4,870</w:t>
            </w:r>
          </w:p>
        </w:tc>
      </w:tr>
      <w:tr>
        <w:trPr>
          <w:trHeight w:val="275"/>
        </w:trPr>
        <w:tc>
          <w:tcPr>
            <w:tcW w:w="4760" w:type="dxa"/>
            <w:vAlign w:val="bottom"/>
          </w:tcPr>
          <w:p>
            <w:pPr>
              <w:ind w:left="160"/>
              <w:spacing w:after="0"/>
              <w:rPr>
                <w:sz w:val="20"/>
                <w:szCs w:val="20"/>
                <w:color w:val="auto"/>
              </w:rPr>
            </w:pPr>
            <w:r>
              <w:rPr>
                <w:rFonts w:ascii="Arial" w:cs="Arial" w:eastAsia="Arial" w:hAnsi="Arial"/>
                <w:sz w:val="18"/>
                <w:szCs w:val="18"/>
                <w:color w:val="auto"/>
              </w:rPr>
              <w:t>Losses on letters of credit</w:t>
            </w:r>
          </w:p>
        </w:tc>
        <w:tc>
          <w:tcPr>
            <w:tcW w:w="4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1,699</w:t>
            </w:r>
          </w:p>
        </w:tc>
      </w:tr>
      <w:tr>
        <w:trPr>
          <w:trHeight w:val="255"/>
        </w:trPr>
        <w:tc>
          <w:tcPr>
            <w:tcW w:w="4760" w:type="dxa"/>
            <w:vAlign w:val="bottom"/>
          </w:tcPr>
          <w:p>
            <w:pPr>
              <w:spacing w:after="0"/>
              <w:rPr>
                <w:sz w:val="20"/>
                <w:szCs w:val="20"/>
                <w:color w:val="auto"/>
              </w:rPr>
            </w:pPr>
            <w:r>
              <w:rPr>
                <w:rFonts w:ascii="Arial" w:cs="Arial" w:eastAsia="Arial" w:hAnsi="Arial"/>
                <w:sz w:val="18"/>
                <w:szCs w:val="18"/>
                <w:color w:val="auto"/>
              </w:rPr>
              <w:t>Total Fixed Charges</w:t>
            </w:r>
          </w:p>
        </w:tc>
        <w:tc>
          <w:tcPr>
            <w:tcW w:w="44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50,352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27,751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9,455</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10,801</w:t>
            </w:r>
          </w:p>
        </w:tc>
        <w:tc>
          <w:tcPr>
            <w:tcW w:w="12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7,548</w:t>
            </w: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791"/>
        </w:trPr>
        <w:tc>
          <w:tcPr>
            <w:tcW w:w="4760" w:type="dxa"/>
            <w:vAlign w:val="bottom"/>
          </w:tcPr>
          <w:p>
            <w:pPr>
              <w:spacing w:after="0"/>
              <w:rPr>
                <w:sz w:val="20"/>
                <w:szCs w:val="20"/>
                <w:color w:val="auto"/>
              </w:rPr>
            </w:pPr>
            <w:r>
              <w:rPr>
                <w:rFonts w:ascii="Arial" w:cs="Arial" w:eastAsia="Arial" w:hAnsi="Arial"/>
                <w:sz w:val="18"/>
                <w:szCs w:val="18"/>
                <w:b w:val="1"/>
                <w:bCs w:val="1"/>
                <w:color w:val="auto"/>
              </w:rPr>
              <w:t>Ratio of Earnings to Fixed Charges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2.25x</w:t>
            </w:r>
          </w:p>
        </w:tc>
        <w:tc>
          <w:tcPr>
            <w:tcW w:w="26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4.72x</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23.69x</w:t>
            </w:r>
          </w:p>
        </w:tc>
        <w:tc>
          <w:tcPr>
            <w:tcW w:w="2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17.61x</w:t>
            </w:r>
          </w:p>
        </w:tc>
        <w:tc>
          <w:tcPr>
            <w:tcW w:w="2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20.38x</w:t>
            </w:r>
          </w:p>
        </w:tc>
      </w:tr>
      <w:tr>
        <w:trPr>
          <w:trHeight w:val="20"/>
        </w:trPr>
        <w:tc>
          <w:tcPr>
            <w:tcW w:w="4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660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 Includes amortization of deferred financing costs and amortization of debt discount (premium)</w:t>
      </w:r>
    </w:p>
    <w:p>
      <w:pPr>
        <w:sectPr>
          <w:pgSz w:w="11900" w:h="16838" w:orient="portrait"/>
          <w:cols w:equalWidth="0" w:num="1">
            <w:col w:w="11420"/>
          </w:cols>
          <w:pgMar w:left="240" w:top="11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November 26, 2014, relating to the financial statements of EZCORP, Inc., and the effectiveness of EZCORP, Inc.'s internal control over financial reporting, appearing in the Annual Report on Form 10-K of EZCORP, Inc. for the year ended September 30, 2014, and to the reference to us under the heading "Experts" in the Prospectus, which is part of this Registration Statement.</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p>
      <w:pPr>
        <w:sectPr>
          <w:pgSz w:w="11900" w:h="16838" w:orient="portrait"/>
          <w:cols w:equalWidth="0" w:num="1">
            <w:col w:w="11420"/>
          </w:cols>
          <w:pgMar w:left="240" w:top="11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200" w:lineRule="exact"/>
        <w:rPr>
          <w:sz w:val="20"/>
          <w:szCs w:val="20"/>
          <w:color w:val="auto"/>
        </w:rPr>
      </w:pP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hereby consent to the incorporation by reference in the Prospectus constituting a part of this Registration Statement of our report dated November 20, 2012, except for Notes 2, 4, 6, 7, 12, 14, 19 and 23, which are as of November 26, 2014, relating to the consolidated financial statements of EZCORP.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BDO USA,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9, 2015</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lvl w:ilvl="1">
      <w:lvlJc w:val="left"/>
      <w:lvlText w:val="(%2)"/>
      <w:numFmt w:val="decimal"/>
      <w:start w:val="2"/>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1)"/>
      <w:numFmt w:val="lowerLetter"/>
      <w:start w:val="1"/>
    </w:lvl>
    <w:lvl w:ilvl="1">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3"/>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2"/>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1"/>
    </w:lvl>
    <w:lvl w:ilvl="1">
      <w:lvlJc w:val="left"/>
      <w:lvlText w:val="(%2)"/>
      <w:numFmt w:val="lowerLetter"/>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2"/>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
      <w:numFmt w:val="bullet"/>
      <w:start w:val="1"/>
    </w:lvl>
    <w:lvl w:ilvl="1">
      <w:lvlJc w:val="left"/>
      <w:lvlText w:val="***"/>
      <w:numFmt w:val="bullet"/>
      <w:start w:val="1"/>
    </w:lvl>
  </w:abstractNum>
  <w:abstractNum w:abstractNumId="27">
    <w:nsid w:val="7644A4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8">
    <w:nsid w:val="32FFF902"/>
    <w:multiLevelType w:val="hybridMultilevel"/>
    <w:lvl w:ilvl="0">
      <w:lvlJc w:val="left"/>
      <w:lvlText w:val="(%1)"/>
      <w:numFmt w:val="decimal"/>
      <w:start w:val="2"/>
    </w:lvl>
    <w:lvl w:ilvl="1">
      <w:lvlJc w:val="left"/>
      <w:lvlText w:val="(%2)"/>
      <w:numFmt w:val="upperLetter"/>
      <w:start w:val="1"/>
    </w:lvl>
    <w:lvl w:ilvl="2">
      <w:lvlJc w:val="left"/>
      <w:lvlText w:val="(%3)"/>
      <w:numFmt w:val="upperLetter"/>
      <w:start w:val="2"/>
    </w:lvl>
  </w:abstractNum>
  <w:abstractNum w:abstractNumId="29">
    <w:nsid w:val="684A481A"/>
    <w:multiLevelType w:val="hybridMultilevel"/>
    <w:lvl w:ilvl="0">
      <w:lvlJc w:val="left"/>
      <w:lvlText w:val="(%1)"/>
      <w:numFmt w:val="lowerRoman"/>
      <w:start w:val="1"/>
    </w:lvl>
  </w:abstractNum>
  <w:abstractNum w:abstractNumId="30">
    <w:nsid w:val="579478FE"/>
    <w:multiLevelType w:val="hybridMultilevel"/>
    <w:lvl w:ilvl="0">
      <w:lvlJc w:val="left"/>
      <w:lvlText w:val="(%1)"/>
      <w:numFmt w:val="lowerLetter"/>
      <w:start w:val="2"/>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lvl w:ilvl="1">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1"/>
    </w:lvl>
  </w:abstractNum>
  <w:abstractNum w:abstractNumId="36">
    <w:nsid w:val="12E685FB"/>
    <w:multiLevelType w:val="hybridMultilevel"/>
    <w:lvl w:ilvl="0">
      <w:lvlJc w:val="left"/>
      <w:lvlText w:val="(%1)"/>
      <w:numFmt w:val="decimal"/>
      <w:start w:val="1"/>
    </w:lvl>
  </w:abstractNum>
  <w:abstractNum w:abstractNumId="37">
    <w:nsid w:val="70C6A529"/>
    <w:multiLevelType w:val="hybridMultilevel"/>
    <w:lvl w:ilvl="0">
      <w:lvlJc w:val="left"/>
      <w:lvlText w:val="(%1)"/>
      <w:numFmt w:val="decimal"/>
      <w:start w:val="2"/>
    </w:lvl>
  </w:abstractNum>
  <w:abstractNum w:abstractNumId="38">
    <w:nsid w:val="520EEDD1"/>
    <w:multiLevelType w:val="hybridMultilevel"/>
    <w:lvl w:ilvl="0">
      <w:lvlJc w:val="left"/>
      <w:lvlText w:val="(%1)"/>
      <w:numFmt w:val="decimal"/>
      <w:start w:val="9"/>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1"/>
    </w:lvl>
  </w:abstractNum>
  <w:abstractNum w:abstractNumId="41">
    <w:nsid w:val="23F9C13C"/>
    <w:multiLevelType w:val="hybridMultilevel"/>
    <w:lvl w:ilvl="0">
      <w:lvlJc w:val="left"/>
      <w:lvlText w:val="(%1)"/>
      <w:numFmt w:val="decimal"/>
      <w:start w:val="2"/>
    </w:lvl>
    <w:lvl w:ilvl="1">
      <w:lvlJc w:val="left"/>
      <w:lvlText w:val="(%2)"/>
      <w:numFmt w:val="decimal"/>
      <w:start w:val="1"/>
    </w:lvl>
  </w:abstractNum>
  <w:abstractNum w:abstractNumId="42">
    <w:nsid w:val="649BB77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10"/>
    </w:lvl>
  </w:abstractNum>
  <w:abstractNum w:abstractNumId="45">
    <w:nsid w:val="1CF10FD8"/>
    <w:multiLevelType w:val="hybridMultilevel"/>
    <w:lvl w:ilvl="0">
      <w:lvlJc w:val="left"/>
      <w:lvlText w:val="(%1)"/>
      <w:numFmt w:val="decimal"/>
      <w:start w:val="1"/>
    </w:lvl>
    <w:lvl w:ilvl="1">
      <w:lvlJc w:val="left"/>
      <w:lvlText w:val="(%2)"/>
      <w:numFmt w:val="upperLetter"/>
      <w:start w:val="1"/>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
    </w:lvl>
  </w:abstractNum>
  <w:abstractNum w:abstractNumId="48">
    <w:nsid w:val="47398C89"/>
    <w:multiLevelType w:val="hybridMultilevel"/>
    <w:lvl w:ilvl="0">
      <w:lvlJc w:val="left"/>
      <w:lvlText w:val="(%1)"/>
      <w:numFmt w:val="decimal"/>
      <w:start w:val="2"/>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1"/>
    </w:lvl>
  </w:abstractNum>
  <w:abstractNum w:abstractNumId="55">
    <w:nsid w:val="61574095"/>
    <w:multiLevelType w:val="hybridMultilevel"/>
    <w:lvl w:ilvl="0">
      <w:lvlJc w:val="left"/>
      <w:lvlText w:val="(%1)"/>
      <w:numFmt w:val="decimal"/>
      <w:start w:val="1"/>
    </w:lvl>
  </w:abstractNum>
  <w:abstractNum w:abstractNumId="56">
    <w:nsid w:val="7E0C57B1"/>
    <w:multiLevelType w:val="hybridMultilevel"/>
    <w:lvl w:ilvl="0">
      <w:lvlJc w:val="left"/>
      <w:lvlText w:val="(%1)"/>
      <w:numFmt w:val="decimal"/>
      <w:start w:val="4"/>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10"/>
    </w:lvl>
  </w:abstractNum>
  <w:abstractNum w:abstractNumId="59">
    <w:nsid w:val="310C50B3"/>
    <w:multiLevelType w:val="hybridMultilevel"/>
    <w:lvl w:ilvl="0">
      <w:lvlJc w:val="left"/>
      <w:lvlText w:val="(%1)"/>
      <w:numFmt w:val="decimal"/>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Roman"/>
      <w:start w:val="2"/>
    </w:lvl>
  </w:abstractNum>
  <w:abstractNum w:abstractNumId="62">
    <w:nsid w:val="25A70BF7"/>
    <w:multiLevelType w:val="hybridMultilevel"/>
    <w:lvl w:ilvl="0">
      <w:lvlJc w:val="left"/>
      <w:lvlText w:val="(%1)"/>
      <w:numFmt w:val="decimal"/>
      <w:start w:val="1"/>
    </w:lvl>
  </w:abstractNum>
  <w:abstractNum w:abstractNumId="63">
    <w:nsid w:val="1DBABF00"/>
    <w:multiLevelType w:val="hybridMultilevel"/>
    <w:lvl w:ilvl="0">
      <w:lvlJc w:val="left"/>
      <w:lvlText w:val="(%1)"/>
      <w:numFmt w:val="decimal"/>
      <w:start w:val="3"/>
    </w:lvl>
  </w:abstractNum>
  <w:abstractNum w:abstractNumId="64">
    <w:nsid w:val="4AD084E9"/>
    <w:multiLevelType w:val="hybridMultilevel"/>
    <w:lvl w:ilvl="0">
      <w:lvlJc w:val="left"/>
      <w:lvlText w:val="(%1)"/>
      <w:numFmt w:val="decimal"/>
      <w:start w:val="1"/>
    </w:lvl>
  </w:abstractNum>
  <w:abstractNum w:abstractNumId="65">
    <w:nsid w:val="1F48EAA1"/>
    <w:multiLevelType w:val="hybridMultilevel"/>
    <w:lvl w:ilvl="0">
      <w:lvlJc w:val="left"/>
      <w:lvlText w:val="(%1)"/>
      <w:numFmt w:val="decimal"/>
      <w:start w:val="2"/>
    </w:lvl>
  </w:abstractNum>
  <w:abstractNum w:abstractNumId="66">
    <w:nsid w:val="1381823A"/>
    <w:multiLevelType w:val="hybridMultilevel"/>
    <w:lvl w:ilvl="0">
      <w:lvlJc w:val="left"/>
      <w:lvlText w:val="%1."/>
      <w:numFmt w:val="decimal"/>
      <w:start w:val="1"/>
    </w:lvl>
  </w:abstractNum>
  <w:abstractNum w:abstractNumId="67">
    <w:nsid w:val="5DB70AE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2020-01-22T20:26:20Z</dcterms:created>
  <dcterms:modified xsi:type="dcterms:W3CDTF">2020-01-22T20:26:20Z</dcterms:modified>
</cp:coreProperties>
</file>