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173990</wp:posOffset>
            </wp:positionV>
            <wp:extent cx="19284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10" w:lineRule="exact"/>
        <w:rPr>
          <w:sz w:val="24"/>
          <w:szCs w:val="24"/>
          <w:color w:val="auto"/>
        </w:rPr>
      </w:pPr>
    </w:p>
    <w:p>
      <w:pPr>
        <w:ind w:left="600" w:hanging="565"/>
        <w:spacing w:after="0"/>
        <w:tabs>
          <w:tab w:leader="none" w:pos="600" w:val="left"/>
        </w:tabs>
        <w:numPr>
          <w:ilvl w:val="0"/>
          <w:numId w:val="1"/>
        </w:numPr>
        <w:rPr>
          <w:rFonts w:ascii="MS PGothic" w:cs="MS PGothic" w:eastAsia="MS PGothic" w:hAnsi="MS PGothic"/>
          <w:sz w:val="47"/>
          <w:szCs w:val="47"/>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-325120</wp:posOffset>
            </wp:positionV>
            <wp:extent cx="1928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2020 or</w:t>
      </w:r>
    </w:p>
    <w:p>
      <w:pPr>
        <w:ind w:left="600" w:hanging="565"/>
        <w:spacing w:after="0" w:line="227" w:lineRule="auto"/>
        <w:tabs>
          <w:tab w:leader="none" w:pos="600" w:val="left"/>
        </w:tabs>
        <w:numPr>
          <w:ilvl w:val="0"/>
          <w:numId w:val="2"/>
        </w:numPr>
        <w:rPr>
          <w:rFonts w:ascii="MS PGothic" w:cs="MS PGothic" w:eastAsia="MS PGothic" w:hAnsi="MS PGothic"/>
          <w:sz w:val="47"/>
          <w:szCs w:val="47"/>
          <w:color w:val="auto"/>
          <w:vertAlign w:val="subscript"/>
        </w:rPr>
      </w:pPr>
      <w:r>
        <w:rPr>
          <w:rFonts w:ascii="Arial" w:cs="Arial" w:eastAsia="Arial" w:hAnsi="Arial"/>
          <w:sz w:val="17"/>
          <w:szCs w:val="17"/>
          <w:b w:val="1"/>
          <w:bCs w:val="1"/>
          <w:color w:val="auto"/>
        </w:rPr>
        <w:t>TRANSITION REPORT PURSUANT TO SECTION 13 OR 15(d) OF THE SECURITIES EXCHANGE ACT OF 1934</w:t>
      </w:r>
    </w:p>
    <w:p>
      <w:pPr>
        <w:spacing w:after="0" w:line="307" w:lineRule="exact"/>
        <w:rPr>
          <w:sz w:val="24"/>
          <w:szCs w:val="24"/>
          <w:color w:val="auto"/>
        </w:rPr>
      </w:pPr>
    </w:p>
    <w:p>
      <w:pPr>
        <w:ind w:left="3320"/>
        <w:spacing w:after="0"/>
        <w:tabs>
          <w:tab w:leader="none" w:pos="66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3619500</wp:posOffset>
            </wp:positionH>
            <wp:positionV relativeFrom="paragraph">
              <wp:posOffset>-7620</wp:posOffset>
            </wp:positionV>
            <wp:extent cx="1409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906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0-19424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51435</wp:posOffset>
            </wp:positionV>
            <wp:extent cx="2005965" cy="351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596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EZCORP, INC.</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320" w:top="229" w:right="359" w:bottom="1440" w:gutter="0" w:footer="0" w:header="0"/>
        </w:sectPr>
      </w:pPr>
    </w:p>
    <w:p>
      <w:pPr>
        <w:spacing w:after="0" w:line="163" w:lineRule="exact"/>
        <w:rPr>
          <w:sz w:val="24"/>
          <w:szCs w:val="24"/>
          <w:color w:val="auto"/>
        </w:rPr>
      </w:pPr>
    </w:p>
    <w:p>
      <w:pPr>
        <w:ind w:left="398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2840"/>
        <w:spacing w:after="0"/>
        <w:rPr>
          <w:sz w:val="20"/>
          <w:szCs w:val="20"/>
          <w:color w:val="auto"/>
        </w:rPr>
      </w:pPr>
      <w:r>
        <w:rPr>
          <w:rFonts w:ascii="Arial" w:cs="Arial" w:eastAsia="Arial" w:hAnsi="Arial"/>
          <w:sz w:val="12"/>
          <w:szCs w:val="12"/>
          <w:b w:val="1"/>
          <w:bCs w:val="1"/>
          <w:color w:val="auto"/>
        </w:rPr>
        <w:t>74-2540145</w:t>
      </w:r>
    </w:p>
    <w:p>
      <w:pPr>
        <w:spacing w:after="0" w:line="68" w:lineRule="exact"/>
        <w:rPr>
          <w:sz w:val="24"/>
          <w:szCs w:val="24"/>
          <w:color w:val="auto"/>
        </w:rPr>
      </w:pPr>
    </w:p>
    <w:p>
      <w:pPr>
        <w:sectPr>
          <w:pgSz w:w="11900" w:h="16838" w:orient="portrait"/>
          <w:cols w:equalWidth="0" w:num="2">
            <w:col w:w="6980" w:space="720"/>
            <w:col w:w="3520"/>
          </w:cols>
          <w:pgMar w:left="320" w:top="229" w:right="359" w:bottom="1440" w:gutter="0" w:footer="0" w:header="0"/>
          <w:type w:val="continuous"/>
        </w:sectPr>
      </w:pPr>
    </w:p>
    <w:p>
      <w:pPr>
        <w:ind w:left="254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71" w:lineRule="exact"/>
        <w:rPr>
          <w:sz w:val="24"/>
          <w:szCs w:val="24"/>
          <w:color w:val="auto"/>
        </w:rPr>
      </w:pPr>
    </w:p>
    <w:p>
      <w:pPr>
        <w:sectPr>
          <w:pgSz w:w="11900" w:h="16838" w:orient="portrait"/>
          <w:cols w:equalWidth="0" w:num="2">
            <w:col w:w="6280" w:space="720"/>
            <w:col w:w="4220"/>
          </w:cols>
          <w:pgMar w:left="320" w:top="229" w:right="359" w:bottom="1440" w:gutter="0" w:footer="0" w:header="0"/>
          <w:type w:val="continuous"/>
        </w:sectPr>
      </w:pPr>
    </w:p>
    <w:p>
      <w:pPr>
        <w:ind w:left="2060"/>
        <w:spacing w:after="0"/>
        <w:tabs>
          <w:tab w:leader="none" w:pos="3620" w:val="left"/>
          <w:tab w:leader="none" w:pos="4460" w:val="left"/>
          <w:tab w:leader="none" w:pos="5340" w:val="left"/>
          <w:tab w:leader="none" w:pos="6380" w:val="left"/>
        </w:tabs>
        <w:rPr>
          <w:sz w:val="20"/>
          <w:szCs w:val="20"/>
          <w:color w:val="auto"/>
        </w:rPr>
      </w:pPr>
      <w:r>
        <w:rPr>
          <w:rFonts w:ascii="Arial" w:cs="Arial" w:eastAsia="Arial" w:hAnsi="Arial"/>
          <w:sz w:val="14"/>
          <w:szCs w:val="14"/>
          <w:b w:val="1"/>
          <w:bCs w:val="1"/>
          <w:color w:val="auto"/>
        </w:rPr>
        <w:t>2500 Bee Cave Road</w:t>
      </w:r>
      <w:r>
        <w:rPr>
          <w:sz w:val="20"/>
          <w:szCs w:val="20"/>
          <w:color w:val="auto"/>
        </w:rPr>
        <w:tab/>
      </w:r>
      <w:r>
        <w:rPr>
          <w:rFonts w:ascii="Arial" w:cs="Arial" w:eastAsia="Arial" w:hAnsi="Arial"/>
          <w:sz w:val="14"/>
          <w:szCs w:val="14"/>
          <w:b w:val="1"/>
          <w:bCs w:val="1"/>
          <w:color w:val="auto"/>
        </w:rPr>
        <w:t>Bldg One</w:t>
      </w:r>
      <w:r>
        <w:rPr>
          <w:sz w:val="20"/>
          <w:szCs w:val="20"/>
          <w:color w:val="auto"/>
        </w:rPr>
        <w:tab/>
      </w:r>
      <w:r>
        <w:rPr>
          <w:rFonts w:ascii="Arial" w:cs="Arial" w:eastAsia="Arial" w:hAnsi="Arial"/>
          <w:sz w:val="14"/>
          <w:szCs w:val="14"/>
          <w:b w:val="1"/>
          <w:bCs w:val="1"/>
          <w:color w:val="auto"/>
        </w:rPr>
        <w:t>Suite 200</w:t>
      </w:r>
      <w:r>
        <w:rPr>
          <w:sz w:val="20"/>
          <w:szCs w:val="20"/>
          <w:color w:val="auto"/>
        </w:rPr>
        <w:tab/>
      </w:r>
      <w:r>
        <w:rPr>
          <w:rFonts w:ascii="Arial" w:cs="Arial" w:eastAsia="Arial" w:hAnsi="Arial"/>
          <w:sz w:val="14"/>
          <w:szCs w:val="14"/>
          <w:b w:val="1"/>
          <w:bCs w:val="1"/>
          <w:color w:val="auto"/>
        </w:rPr>
        <w:t>Rollingwood</w:t>
      </w:r>
      <w:r>
        <w:rPr>
          <w:sz w:val="20"/>
          <w:szCs w:val="20"/>
          <w:color w:val="auto"/>
        </w:rPr>
        <w:tab/>
      </w:r>
      <w:r>
        <w:rPr>
          <w:rFonts w:ascii="Arial" w:cs="Arial" w:eastAsia="Arial" w:hAnsi="Arial"/>
          <w:sz w:val="14"/>
          <w:szCs w:val="14"/>
          <w:b w:val="1"/>
          <w:bCs w:val="1"/>
          <w:color w:val="auto"/>
        </w:rPr>
        <w:t>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78746</w:t>
      </w:r>
    </w:p>
    <w:p>
      <w:pPr>
        <w:spacing w:after="0" w:line="69" w:lineRule="exact"/>
        <w:rPr>
          <w:sz w:val="24"/>
          <w:szCs w:val="24"/>
          <w:color w:val="auto"/>
        </w:rPr>
      </w:pPr>
    </w:p>
    <w:p>
      <w:pPr>
        <w:sectPr>
          <w:pgSz w:w="11900" w:h="16838" w:orient="portrait"/>
          <w:cols w:equalWidth="0" w:num="2">
            <w:col w:w="7140" w:space="720"/>
            <w:col w:w="3360"/>
          </w:cols>
          <w:pgMar w:left="320" w:top="229" w:right="359" w:bottom="1440" w:gutter="0" w:footer="0" w:header="0"/>
          <w:type w:val="continuous"/>
        </w:sectPr>
      </w:pPr>
    </w:p>
    <w:p>
      <w:pPr>
        <w:ind w:left="312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57" w:lineRule="exact"/>
        <w:rPr>
          <w:sz w:val="24"/>
          <w:szCs w:val="24"/>
          <w:color w:val="auto"/>
        </w:rPr>
      </w:pPr>
    </w:p>
    <w:p>
      <w:pPr>
        <w:sectPr>
          <w:pgSz w:w="11900" w:h="16838" w:orient="portrait"/>
          <w:cols w:equalWidth="0" w:num="2">
            <w:col w:w="7000" w:space="720"/>
            <w:col w:w="3500"/>
          </w:cols>
          <w:pgMar w:left="320" w:top="229" w:right="35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(512) 314-3400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118110</wp:posOffset>
            </wp:positionV>
            <wp:extent cx="23571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6"/>
                <w:szCs w:val="16"/>
                <w:color w:val="auto"/>
              </w:rPr>
            </w:pPr>
          </w:p>
        </w:tc>
        <w:tc>
          <w:tcPr>
            <w:tcW w:w="2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3"/>
              </w:rPr>
              <w:t>Name of each exchange on which registered</w:t>
            </w:r>
          </w:p>
        </w:tc>
        <w:tc>
          <w:tcPr>
            <w:tcW w:w="3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3500" w:type="dxa"/>
            <w:vAlign w:val="bottom"/>
            <w:gridSpan w:val="2"/>
          </w:tcPr>
          <w:p>
            <w:pPr>
              <w:ind w:left="40"/>
              <w:spacing w:after="0"/>
              <w:rPr>
                <w:sz w:val="20"/>
                <w:szCs w:val="20"/>
                <w:color w:val="auto"/>
              </w:rPr>
            </w:pPr>
            <w:r>
              <w:rPr>
                <w:rFonts w:ascii="Arial" w:cs="Arial" w:eastAsia="Arial" w:hAnsi="Arial"/>
                <w:sz w:val="14"/>
                <w:szCs w:val="14"/>
                <w:b w:val="1"/>
                <w:bCs w:val="1"/>
                <w:color w:val="auto"/>
              </w:rPr>
              <w:t>Class A Non-voting Common Stock, par value $.01</w:t>
            </w:r>
          </w:p>
        </w:tc>
        <w:tc>
          <w:tcPr>
            <w:tcW w:w="1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EZPW</w:t>
            </w:r>
          </w:p>
        </w:tc>
        <w:tc>
          <w:tcPr>
            <w:tcW w:w="2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NASDAQ Stock Market</w:t>
            </w:r>
          </w:p>
        </w:tc>
        <w:tc>
          <w:tcPr>
            <w:tcW w:w="30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(NASDAQ Global Select Market)</w:t>
            </w:r>
          </w:p>
        </w:tc>
        <w:tc>
          <w:tcPr>
            <w:tcW w:w="0" w:type="dxa"/>
            <w:vAlign w:val="bottom"/>
          </w:tcPr>
          <w:p>
            <w:pPr>
              <w:spacing w:after="0"/>
              <w:rPr>
                <w:sz w:val="1"/>
                <w:szCs w:val="1"/>
                <w:color w:val="auto"/>
              </w:rPr>
            </w:pPr>
          </w:p>
        </w:tc>
      </w:tr>
      <w:tr>
        <w:trPr>
          <w:trHeight w:val="186"/>
        </w:trPr>
        <w:tc>
          <w:tcPr>
            <w:tcW w:w="3500" w:type="dxa"/>
            <w:vAlign w:val="bottom"/>
            <w:gridSpan w:val="2"/>
          </w:tcPr>
          <w:p>
            <w:pPr>
              <w:ind w:left="40"/>
              <w:spacing w:after="0"/>
              <w:rPr>
                <w:sz w:val="20"/>
                <w:szCs w:val="20"/>
                <w:color w:val="auto"/>
              </w:rPr>
            </w:pPr>
            <w:r>
              <w:rPr>
                <w:rFonts w:ascii="Arial" w:cs="Arial" w:eastAsia="Arial" w:hAnsi="Arial"/>
                <w:sz w:val="14"/>
                <w:szCs w:val="14"/>
                <w:b w:val="1"/>
                <w:bCs w:val="1"/>
                <w:color w:val="auto"/>
              </w:rPr>
              <w:t>per share</w:t>
            </w:r>
          </w:p>
        </w:tc>
        <w:tc>
          <w:tcPr>
            <w:tcW w:w="1900" w:type="dxa"/>
            <w:vAlign w:val="bottom"/>
            <w:gridSpan w:val="2"/>
            <w:vMerge w:val="continue"/>
          </w:tcPr>
          <w:p>
            <w:pPr>
              <w:spacing w:after="0"/>
              <w:rPr>
                <w:sz w:val="16"/>
                <w:szCs w:val="16"/>
                <w:color w:val="auto"/>
              </w:rPr>
            </w:pPr>
          </w:p>
        </w:tc>
        <w:tc>
          <w:tcPr>
            <w:tcW w:w="2820" w:type="dxa"/>
            <w:vAlign w:val="bottom"/>
            <w:vMerge w:val="continue"/>
          </w:tcPr>
          <w:p>
            <w:pPr>
              <w:spacing w:after="0"/>
              <w:rPr>
                <w:sz w:val="16"/>
                <w:szCs w:val="16"/>
                <w:color w:val="auto"/>
              </w:rPr>
            </w:pPr>
          </w:p>
        </w:tc>
        <w:tc>
          <w:tcPr>
            <w:tcW w:w="3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01" w:lineRule="exact"/>
        <w:rPr>
          <w:sz w:val="24"/>
          <w:szCs w:val="24"/>
          <w:color w:val="auto"/>
        </w:rPr>
      </w:pPr>
    </w:p>
    <w:p>
      <w:pPr>
        <w:ind w:right="20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0" w:lineRule="exact"/>
        <w:rPr>
          <w:sz w:val="24"/>
          <w:szCs w:val="24"/>
          <w:color w:val="auto"/>
        </w:rPr>
      </w:pPr>
    </w:p>
    <w:p>
      <w:pPr>
        <w:ind w:right="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6" w:lineRule="exact"/>
        <w:rPr>
          <w:sz w:val="24"/>
          <w:szCs w:val="24"/>
          <w:color w:val="auto"/>
        </w:rPr>
      </w:pPr>
    </w:p>
    <w:p>
      <w:pPr>
        <w:ind w:right="1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261" w:lineRule="exact"/>
        <w:rPr>
          <w:sz w:val="24"/>
          <w:szCs w:val="24"/>
          <w:color w:val="auto"/>
        </w:rPr>
      </w:pPr>
    </w:p>
    <w:tbl>
      <w:tblPr>
        <w:tblLayout w:type="fixed"/>
        <w:tblInd w:w="1880" w:type="dxa"/>
        <w:tblCellMar>
          <w:top w:w="0" w:type="dxa"/>
          <w:left w:w="0" w:type="dxa"/>
          <w:bottom w:w="0" w:type="dxa"/>
          <w:right w:w="0" w:type="dxa"/>
        </w:tblCellMar>
      </w:tblPr>
      <w:tr>
        <w:trPr>
          <w:trHeight w:val="257"/>
        </w:trPr>
        <w:tc>
          <w:tcPr>
            <w:tcW w:w="19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92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3020" w:type="dxa"/>
            <w:vAlign w:val="bottom"/>
          </w:tcPr>
          <w:p>
            <w:pPr>
              <w:ind w:left="140"/>
              <w:spacing w:after="0"/>
              <w:rPr>
                <w:sz w:val="20"/>
                <w:szCs w:val="20"/>
                <w:color w:val="auto"/>
              </w:rPr>
            </w:pPr>
            <w:r>
              <w:rPr>
                <w:rFonts w:ascii="Arial" w:cs="Arial" w:eastAsia="Arial" w:hAnsi="Arial"/>
                <w:sz w:val="14"/>
                <w:szCs w:val="14"/>
                <w:color w:val="auto"/>
              </w:rPr>
              <w:t>Accelerated Filer</w:t>
            </w:r>
          </w:p>
        </w:tc>
        <w:tc>
          <w:tcPr>
            <w:tcW w:w="1360" w:type="dxa"/>
            <w:vAlign w:val="bottom"/>
          </w:tcPr>
          <w:p>
            <w:pPr>
              <w:ind w:left="12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7"/>
        </w:trPr>
        <w:tc>
          <w:tcPr>
            <w:tcW w:w="1960" w:type="dxa"/>
            <w:vAlign w:val="bottom"/>
          </w:tcPr>
          <w:p>
            <w:pPr>
              <w:spacing w:after="0"/>
              <w:rPr>
                <w:sz w:val="20"/>
                <w:szCs w:val="20"/>
                <w:color w:val="auto"/>
              </w:rPr>
            </w:pPr>
            <w:r>
              <w:rPr>
                <w:rFonts w:ascii="Arial" w:cs="Arial" w:eastAsia="Arial" w:hAnsi="Arial"/>
                <w:sz w:val="14"/>
                <w:szCs w:val="14"/>
                <w:color w:val="auto"/>
              </w:rPr>
              <w:t>Non-accelerated Filer</w:t>
            </w:r>
          </w:p>
        </w:tc>
        <w:tc>
          <w:tcPr>
            <w:tcW w:w="92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3020" w:type="dxa"/>
            <w:vAlign w:val="bottom"/>
          </w:tcPr>
          <w:p>
            <w:pPr>
              <w:ind w:left="140"/>
              <w:spacing w:after="0"/>
              <w:rPr>
                <w:sz w:val="20"/>
                <w:szCs w:val="20"/>
                <w:color w:val="auto"/>
              </w:rPr>
            </w:pPr>
            <w:r>
              <w:rPr>
                <w:rFonts w:ascii="Arial" w:cs="Arial" w:eastAsia="Arial" w:hAnsi="Arial"/>
                <w:sz w:val="14"/>
                <w:szCs w:val="14"/>
                <w:color w:val="auto"/>
              </w:rPr>
              <w:t>Smaller Reporting Company</w:t>
            </w:r>
          </w:p>
        </w:tc>
        <w:tc>
          <w:tcPr>
            <w:tcW w:w="1360" w:type="dxa"/>
            <w:vAlign w:val="bottom"/>
          </w:tcPr>
          <w:p>
            <w:pPr>
              <w:ind w:left="12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19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20" w:type="dxa"/>
            <w:vAlign w:val="bottom"/>
          </w:tcPr>
          <w:p>
            <w:pPr>
              <w:ind w:left="140"/>
              <w:spacing w:after="0"/>
              <w:rPr>
                <w:sz w:val="20"/>
                <w:szCs w:val="20"/>
                <w:color w:val="auto"/>
              </w:rPr>
            </w:pPr>
            <w:r>
              <w:rPr>
                <w:rFonts w:ascii="Arial" w:cs="Arial" w:eastAsia="Arial" w:hAnsi="Arial"/>
                <w:sz w:val="14"/>
                <w:szCs w:val="14"/>
                <w:color w:val="auto"/>
              </w:rPr>
              <w:t>Emerging Growth Company</w:t>
            </w:r>
          </w:p>
        </w:tc>
        <w:tc>
          <w:tcPr>
            <w:tcW w:w="1360" w:type="dxa"/>
            <w:vAlign w:val="bottom"/>
          </w:tcPr>
          <w:p>
            <w:pPr>
              <w:ind w:left="120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55" w:lineRule="exact"/>
        <w:rPr>
          <w:sz w:val="24"/>
          <w:szCs w:val="24"/>
          <w:color w:val="auto"/>
        </w:rPr>
      </w:pPr>
    </w:p>
    <w:p>
      <w:pPr>
        <w:ind w:right="5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36" w:lineRule="exact"/>
        <w:rPr>
          <w:sz w:val="24"/>
          <w:szCs w:val="24"/>
          <w:color w:val="auto"/>
        </w:rPr>
      </w:pPr>
    </w:p>
    <w:p>
      <w:pPr>
        <w:ind w:left="4100"/>
        <w:spacing w:after="0"/>
        <w:rPr>
          <w:sz w:val="20"/>
          <w:szCs w:val="20"/>
          <w:color w:val="auto"/>
        </w:rPr>
      </w:pPr>
      <w:r>
        <w:rPr>
          <w:rFonts w:ascii="Arial" w:cs="Arial" w:eastAsia="Arial" w:hAnsi="Arial"/>
          <w:sz w:val="14"/>
          <w:szCs w:val="14"/>
          <w:color w:val="auto"/>
        </w:rPr>
        <w:t>APPLICABLE ONLY TO CORPORATE ISSUERS:</w:t>
      </w:r>
    </w:p>
    <w:p>
      <w:pPr>
        <w:spacing w:after="0" w:line="109" w:lineRule="exact"/>
        <w:rPr>
          <w:sz w:val="24"/>
          <w:szCs w:val="24"/>
          <w:color w:val="auto"/>
        </w:rPr>
      </w:pPr>
    </w:p>
    <w:p>
      <w:pPr>
        <w:spacing w:after="0"/>
        <w:rPr>
          <w:sz w:val="20"/>
          <w:szCs w:val="20"/>
          <w:color w:val="auto"/>
        </w:rPr>
      </w:pPr>
      <w:r>
        <w:rPr>
          <w:rFonts w:ascii="Arial" w:cs="Arial" w:eastAsia="Arial" w:hAnsi="Arial"/>
          <w:sz w:val="13"/>
          <w:szCs w:val="13"/>
          <w:color w:val="auto"/>
        </w:rPr>
        <w:t>The only class of voting securities of the registrant issued and outstanding is the Class B Voting Common Stock, par value $.01 per share, all of which is owned by an affiliate of the registrant.</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There is no trading market for the Class B Voting Common Stock.</w:t>
      </w:r>
    </w:p>
    <w:p>
      <w:pPr>
        <w:spacing w:after="0" w:line="205"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As of April 29, 2020, 52,097,590 shares of the registrant’s Class A Non-voting Common Stock ("Class A Common Stock"), par value $.01 per share, and 2,970,171 shares of the registrant’s Class B Voting Common Stock, par value $.01 per share, were outstanding.</w:t>
      </w:r>
    </w:p>
    <w:p>
      <w:pPr>
        <w:sectPr>
          <w:pgSz w:w="11900" w:h="16838" w:orient="portrait"/>
          <w:cols w:equalWidth="0" w:num="1">
            <w:col w:w="11220"/>
          </w:cols>
          <w:pgMar w:left="320" w:top="229"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2"/>
        </w:trPr>
        <w:tc>
          <w:tcPr>
            <w:tcW w:w="10500" w:type="dxa"/>
            <w:vAlign w:val="bottom"/>
            <w:gridSpan w:val="4"/>
          </w:tcPr>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tc>
        <w:tc>
          <w:tcPr>
            <w:tcW w:w="720" w:type="dxa"/>
            <w:vAlign w:val="bottom"/>
          </w:tcPr>
          <w:p>
            <w:pPr>
              <w:spacing w:after="0"/>
              <w:rPr>
                <w:sz w:val="15"/>
                <w:szCs w:val="15"/>
                <w:color w:val="auto"/>
              </w:rPr>
            </w:pPr>
          </w:p>
        </w:tc>
      </w:tr>
      <w:tr>
        <w:trPr>
          <w:trHeight w:val="431"/>
        </w:trPr>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52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96"/>
              </w:rPr>
              <w:t>EZCORP, Inc.</w:t>
            </w:r>
          </w:p>
        </w:tc>
        <w:tc>
          <w:tcPr>
            <w:tcW w:w="720" w:type="dxa"/>
            <w:vAlign w:val="bottom"/>
          </w:tcPr>
          <w:p>
            <w:pPr>
              <w:spacing w:after="0"/>
              <w:rPr>
                <w:sz w:val="24"/>
                <w:szCs w:val="24"/>
                <w:color w:val="auto"/>
              </w:rPr>
            </w:pPr>
          </w:p>
        </w:tc>
      </w:tr>
      <w:tr>
        <w:trPr>
          <w:trHeight w:val="378"/>
        </w:trPr>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52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rPr>
              <w:t>INDEX TO FORM 10-Q</w:t>
            </w:r>
          </w:p>
        </w:tc>
        <w:tc>
          <w:tcPr>
            <w:tcW w:w="720" w:type="dxa"/>
            <w:vAlign w:val="bottom"/>
          </w:tcPr>
          <w:p>
            <w:pPr>
              <w:spacing w:after="0"/>
              <w:rPr>
                <w:sz w:val="24"/>
                <w:szCs w:val="24"/>
                <w:color w:val="auto"/>
              </w:rPr>
            </w:pPr>
          </w:p>
        </w:tc>
      </w:tr>
      <w:tr>
        <w:trPr>
          <w:trHeight w:val="378"/>
        </w:trPr>
        <w:tc>
          <w:tcPr>
            <w:tcW w:w="10500" w:type="dxa"/>
            <w:vAlign w:val="bottom"/>
            <w:gridSpan w:val="4"/>
          </w:tcPr>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 FINANCIAL INFORMATION</w:t>
              </w:r>
            </w:hyperlink>
          </w:p>
        </w:tc>
        <w:tc>
          <w:tcPr>
            <w:tcW w:w="720" w:type="dxa"/>
            <w:vAlign w:val="bottom"/>
          </w:tcPr>
          <w:p>
            <w:pPr>
              <w:spacing w:after="0"/>
              <w:rPr>
                <w:sz w:val="24"/>
                <w:szCs w:val="24"/>
                <w:color w:val="auto"/>
              </w:rPr>
            </w:pPr>
          </w:p>
        </w:tc>
      </w:tr>
      <w:tr>
        <w:trPr>
          <w:trHeight w:val="392"/>
        </w:trPr>
        <w:tc>
          <w:tcPr>
            <w:tcW w:w="10500" w:type="dxa"/>
            <w:vAlign w:val="bottom"/>
            <w:gridSpan w:val="4"/>
          </w:tcPr>
          <w:p>
            <w:pPr>
              <w:ind w:left="38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Item 1. Financial Statements</w:t>
              </w:r>
            </w:hyperlink>
          </w:p>
        </w:tc>
        <w:tc>
          <w:tcPr>
            <w:tcW w:w="720" w:type="dxa"/>
            <w:vAlign w:val="bottom"/>
          </w:tcPr>
          <w:p>
            <w:pPr>
              <w:spacing w:after="0"/>
              <w:rPr>
                <w:sz w:val="24"/>
                <w:szCs w:val="24"/>
                <w:color w:val="auto"/>
              </w:rPr>
            </w:pPr>
          </w:p>
        </w:tc>
      </w:tr>
      <w:tr>
        <w:trPr>
          <w:trHeight w:val="392"/>
        </w:trPr>
        <w:tc>
          <w:tcPr>
            <w:tcW w:w="700" w:type="dxa"/>
            <w:vAlign w:val="bottom"/>
          </w:tcPr>
          <w:p>
            <w:pPr>
              <w:spacing w:after="0"/>
              <w:rPr>
                <w:sz w:val="24"/>
                <w:szCs w:val="24"/>
                <w:color w:val="auto"/>
              </w:rPr>
            </w:pPr>
          </w:p>
        </w:tc>
        <w:tc>
          <w:tcPr>
            <w:tcW w:w="9800" w:type="dxa"/>
            <w:vAlign w:val="bottom"/>
            <w:gridSpan w:val="3"/>
          </w:tcPr>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March 31, 2020 and 2019 and September 30, 2019 (Unaudited)</w:t>
              </w:r>
            </w:hyperlink>
          </w:p>
        </w:tc>
        <w:tc>
          <w:tcPr>
            <w:tcW w:w="72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tc>
      </w:tr>
      <w:tr>
        <w:trPr>
          <w:trHeight w:val="392"/>
        </w:trPr>
        <w:tc>
          <w:tcPr>
            <w:tcW w:w="700" w:type="dxa"/>
            <w:vAlign w:val="bottom"/>
          </w:tcPr>
          <w:p>
            <w:pPr>
              <w:spacing w:after="0"/>
              <w:rPr>
                <w:sz w:val="24"/>
                <w:szCs w:val="24"/>
                <w:color w:val="auto"/>
              </w:rPr>
            </w:pPr>
          </w:p>
        </w:tc>
        <w:tc>
          <w:tcPr>
            <w:tcW w:w="9800" w:type="dxa"/>
            <w:vAlign w:val="bottom"/>
            <w:gridSpan w:val="3"/>
          </w:tcPr>
          <w:p>
            <w:pPr>
              <w:ind w:left="20"/>
              <w:spacing w:after="0"/>
              <w:rPr>
                <w:rFonts w:ascii="Arial" w:cs="Arial" w:eastAsia="Arial" w:hAnsi="Arial"/>
                <w:sz w:val="18"/>
                <w:szCs w:val="18"/>
                <w:u w:val="single" w:color="auto"/>
                <w:color w:val="0000EE"/>
                <w:w w:val="96"/>
              </w:rPr>
            </w:pPr>
            <w:hyperlink w:anchor="page4">
              <w:r>
                <w:rPr>
                  <w:rFonts w:ascii="Arial" w:cs="Arial" w:eastAsia="Arial" w:hAnsi="Arial"/>
                  <w:sz w:val="18"/>
                  <w:szCs w:val="18"/>
                  <w:u w:val="single" w:color="auto"/>
                  <w:color w:val="0000EE"/>
                  <w:w w:val="96"/>
                </w:rPr>
                <w:t>Condensed Consolidated Statements of Operations for the Three and Six Months Ended March 31, 2020 and 2019 (Unaudited)</w:t>
              </w:r>
            </w:hyperlink>
          </w:p>
        </w:tc>
        <w:tc>
          <w:tcPr>
            <w:tcW w:w="72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2</w:t>
              </w:r>
            </w:hyperlink>
          </w:p>
        </w:tc>
      </w:tr>
      <w:tr>
        <w:trPr>
          <w:trHeight w:val="351"/>
        </w:trPr>
        <w:tc>
          <w:tcPr>
            <w:tcW w:w="700" w:type="dxa"/>
            <w:vAlign w:val="bottom"/>
          </w:tcPr>
          <w:p>
            <w:pPr>
              <w:spacing w:after="0"/>
              <w:rPr>
                <w:sz w:val="24"/>
                <w:szCs w:val="24"/>
                <w:color w:val="auto"/>
              </w:rPr>
            </w:pPr>
          </w:p>
        </w:tc>
        <w:tc>
          <w:tcPr>
            <w:tcW w:w="9800" w:type="dxa"/>
            <w:vAlign w:val="bottom"/>
            <w:gridSpan w:val="3"/>
          </w:tcPr>
          <w:p>
            <w:pPr>
              <w:ind w:left="20"/>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Statements of Comprehensive (Loss) Income for the Three and Six Months Ended March 31, 2020 and</w:t>
              </w:r>
            </w:hyperlink>
          </w:p>
        </w:tc>
        <w:tc>
          <w:tcPr>
            <w:tcW w:w="72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9260" w:type="dxa"/>
            <w:vAlign w:val="bottom"/>
            <w:tcBorders>
              <w:top w:val="single" w:sz="8" w:color="0000EE"/>
            </w:tcBorders>
            <w:gridSpan w:val="2"/>
          </w:tcPr>
          <w:p>
            <w:pPr>
              <w:ind w:lef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2019 (Unaudited)</w:t>
              </w:r>
            </w:hyperlink>
          </w:p>
        </w:tc>
        <w:tc>
          <w:tcPr>
            <w:tcW w:w="540" w:type="dxa"/>
            <w:vAlign w:val="bottom"/>
          </w:tcPr>
          <w:p>
            <w:pPr>
              <w:spacing w:after="0"/>
              <w:rPr>
                <w:sz w:val="17"/>
                <w:szCs w:val="17"/>
                <w:color w:val="auto"/>
              </w:rPr>
            </w:pPr>
          </w:p>
        </w:tc>
        <w:tc>
          <w:tcPr>
            <w:tcW w:w="720" w:type="dxa"/>
            <w:vAlign w:val="bottom"/>
          </w:tcPr>
          <w:p>
            <w:pPr>
              <w:jc w:val="right"/>
              <w:spacing w:after="0" w:line="196"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tc>
      </w:tr>
      <w:tr>
        <w:trPr>
          <w:trHeight w:val="20"/>
        </w:trPr>
        <w:tc>
          <w:tcPr>
            <w:tcW w:w="70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5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700" w:type="dxa"/>
            <w:vAlign w:val="bottom"/>
          </w:tcPr>
          <w:p>
            <w:pPr>
              <w:spacing w:after="0"/>
              <w:rPr>
                <w:sz w:val="24"/>
                <w:szCs w:val="24"/>
                <w:color w:val="auto"/>
              </w:rPr>
            </w:pPr>
          </w:p>
        </w:tc>
        <w:tc>
          <w:tcPr>
            <w:tcW w:w="9800" w:type="dxa"/>
            <w:vAlign w:val="bottom"/>
            <w:gridSpan w:val="3"/>
          </w:tcPr>
          <w:p>
            <w:pPr>
              <w:ind w:left="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Stockholders’ Equity for the Periods Ended March 31, 2020 and 2019 (Unaudited)</w:t>
              </w:r>
            </w:hyperlink>
          </w:p>
        </w:tc>
        <w:tc>
          <w:tcPr>
            <w:tcW w:w="72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tc>
      </w:tr>
      <w:tr>
        <w:trPr>
          <w:trHeight w:val="392"/>
        </w:trPr>
        <w:tc>
          <w:tcPr>
            <w:tcW w:w="700" w:type="dxa"/>
            <w:vAlign w:val="bottom"/>
          </w:tcPr>
          <w:p>
            <w:pPr>
              <w:spacing w:after="0"/>
              <w:rPr>
                <w:sz w:val="24"/>
                <w:szCs w:val="24"/>
                <w:color w:val="auto"/>
              </w:rPr>
            </w:pPr>
          </w:p>
        </w:tc>
        <w:tc>
          <w:tcPr>
            <w:tcW w:w="9800" w:type="dxa"/>
            <w:vAlign w:val="bottom"/>
            <w:gridSpan w:val="3"/>
          </w:tcPr>
          <w:p>
            <w:pPr>
              <w:ind w:left="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 for the Six Months Ended March 31, 2020 and 2019 (Unaudited)</w:t>
              </w:r>
            </w:hyperlink>
          </w:p>
        </w:tc>
        <w:tc>
          <w:tcPr>
            <w:tcW w:w="72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tc>
      </w:tr>
      <w:tr>
        <w:trPr>
          <w:trHeight w:val="392"/>
        </w:trPr>
        <w:tc>
          <w:tcPr>
            <w:tcW w:w="700" w:type="dxa"/>
            <w:vAlign w:val="bottom"/>
          </w:tcPr>
          <w:p>
            <w:pPr>
              <w:spacing w:after="0"/>
              <w:rPr>
                <w:sz w:val="24"/>
                <w:szCs w:val="24"/>
                <w:color w:val="auto"/>
              </w:rPr>
            </w:pPr>
          </w:p>
        </w:tc>
        <w:tc>
          <w:tcPr>
            <w:tcW w:w="9800" w:type="dxa"/>
            <w:vAlign w:val="bottom"/>
            <w:gridSpan w:val="3"/>
          </w:tcPr>
          <w:p>
            <w:pPr>
              <w:ind w:left="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Interim Condensed Consolidated Financial Statements (Unaudited)</w:t>
              </w:r>
            </w:hyperlink>
          </w:p>
        </w:tc>
        <w:tc>
          <w:tcPr>
            <w:tcW w:w="72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6</w:t>
              </w:r>
            </w:hyperlink>
          </w:p>
        </w:tc>
      </w:tr>
      <w:tr>
        <w:trPr>
          <w:trHeight w:val="392"/>
        </w:trPr>
        <w:tc>
          <w:tcPr>
            <w:tcW w:w="700" w:type="dxa"/>
            <w:vAlign w:val="bottom"/>
          </w:tcPr>
          <w:p>
            <w:pPr>
              <w:spacing w:after="0"/>
              <w:rPr>
                <w:sz w:val="24"/>
                <w:szCs w:val="24"/>
                <w:color w:val="auto"/>
              </w:rPr>
            </w:pPr>
          </w:p>
        </w:tc>
        <w:tc>
          <w:tcPr>
            <w:tcW w:w="9800" w:type="dxa"/>
            <w:vAlign w:val="bottom"/>
            <w:gridSpan w:val="3"/>
          </w:tcPr>
          <w:p>
            <w:pPr>
              <w:ind w:left="4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 1: Organization and Summary of Significant Accounting Policies</w:t>
              </w:r>
            </w:hyperlink>
          </w:p>
        </w:tc>
        <w:tc>
          <w:tcPr>
            <w:tcW w:w="72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6</w:t>
              </w:r>
            </w:hyperlink>
          </w:p>
        </w:tc>
      </w:tr>
      <w:tr>
        <w:trPr>
          <w:trHeight w:val="392"/>
        </w:trPr>
        <w:tc>
          <w:tcPr>
            <w:tcW w:w="700" w:type="dxa"/>
            <w:vAlign w:val="bottom"/>
          </w:tcPr>
          <w:p>
            <w:pPr>
              <w:spacing w:after="0"/>
              <w:rPr>
                <w:sz w:val="24"/>
                <w:szCs w:val="24"/>
                <w:color w:val="auto"/>
              </w:rPr>
            </w:pPr>
          </w:p>
        </w:tc>
        <w:tc>
          <w:tcPr>
            <w:tcW w:w="9800" w:type="dxa"/>
            <w:vAlign w:val="bottom"/>
            <w:gridSpan w:val="3"/>
          </w:tcPr>
          <w:p>
            <w:pPr>
              <w:ind w:left="4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 2: Goodwill</w:t>
              </w:r>
            </w:hyperlink>
          </w:p>
        </w:tc>
        <w:tc>
          <w:tcPr>
            <w:tcW w:w="720" w:type="dxa"/>
            <w:vAlign w:val="bottom"/>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7</w:t>
              </w:r>
            </w:hyperlink>
          </w:p>
        </w:tc>
      </w:tr>
      <w:tr>
        <w:trPr>
          <w:trHeight w:val="391"/>
        </w:trPr>
        <w:tc>
          <w:tcPr>
            <w:tcW w:w="700" w:type="dxa"/>
            <w:vAlign w:val="bottom"/>
          </w:tcPr>
          <w:p>
            <w:pPr>
              <w:spacing w:after="0"/>
              <w:rPr>
                <w:sz w:val="24"/>
                <w:szCs w:val="24"/>
                <w:color w:val="auto"/>
              </w:rPr>
            </w:pPr>
          </w:p>
        </w:tc>
        <w:tc>
          <w:tcPr>
            <w:tcW w:w="9800" w:type="dxa"/>
            <w:vAlign w:val="bottom"/>
            <w:gridSpan w:val="3"/>
          </w:tcPr>
          <w:p>
            <w:pPr>
              <w:ind w:left="44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 3: Acquisitions</w:t>
              </w:r>
            </w:hyperlink>
          </w:p>
        </w:tc>
        <w:tc>
          <w:tcPr>
            <w:tcW w:w="720" w:type="dxa"/>
            <w:vAlign w:val="bottom"/>
          </w:tcPr>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8</w:t>
              </w:r>
            </w:hyperlink>
          </w:p>
        </w:tc>
      </w:tr>
      <w:tr>
        <w:trPr>
          <w:trHeight w:val="392"/>
        </w:trPr>
        <w:tc>
          <w:tcPr>
            <w:tcW w:w="700" w:type="dxa"/>
            <w:vAlign w:val="bottom"/>
          </w:tcPr>
          <w:p>
            <w:pPr>
              <w:spacing w:after="0"/>
              <w:rPr>
                <w:sz w:val="24"/>
                <w:szCs w:val="24"/>
                <w:color w:val="auto"/>
              </w:rPr>
            </w:pPr>
          </w:p>
        </w:tc>
        <w:tc>
          <w:tcPr>
            <w:tcW w:w="9800" w:type="dxa"/>
            <w:vAlign w:val="bottom"/>
            <w:gridSpan w:val="3"/>
          </w:tcPr>
          <w:p>
            <w:pPr>
              <w:ind w:left="4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 4: Earnings Per Share</w:t>
              </w:r>
            </w:hyperlink>
          </w:p>
        </w:tc>
        <w:tc>
          <w:tcPr>
            <w:tcW w:w="720" w:type="dxa"/>
            <w:vAlign w:val="bottom"/>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9</w:t>
              </w:r>
            </w:hyperlink>
          </w:p>
        </w:tc>
      </w:tr>
      <w:tr>
        <w:trPr>
          <w:trHeight w:val="392"/>
        </w:trPr>
        <w:tc>
          <w:tcPr>
            <w:tcW w:w="700" w:type="dxa"/>
            <w:vAlign w:val="bottom"/>
          </w:tcPr>
          <w:p>
            <w:pPr>
              <w:spacing w:after="0"/>
              <w:rPr>
                <w:sz w:val="24"/>
                <w:szCs w:val="24"/>
                <w:color w:val="auto"/>
              </w:rPr>
            </w:pPr>
          </w:p>
        </w:tc>
        <w:tc>
          <w:tcPr>
            <w:tcW w:w="9800" w:type="dxa"/>
            <w:vAlign w:val="bottom"/>
            <w:gridSpan w:val="3"/>
          </w:tcPr>
          <w:p>
            <w:pPr>
              <w:ind w:left="4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 5: Leases</w:t>
              </w:r>
            </w:hyperlink>
          </w:p>
        </w:tc>
        <w:tc>
          <w:tcPr>
            <w:tcW w:w="720" w:type="dxa"/>
            <w:vAlign w:val="bottom"/>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9</w:t>
              </w:r>
            </w:hyperlink>
          </w:p>
        </w:tc>
      </w:tr>
      <w:tr>
        <w:trPr>
          <w:trHeight w:val="391"/>
        </w:trPr>
        <w:tc>
          <w:tcPr>
            <w:tcW w:w="700" w:type="dxa"/>
            <w:vAlign w:val="bottom"/>
          </w:tcPr>
          <w:p>
            <w:pPr>
              <w:spacing w:after="0"/>
              <w:rPr>
                <w:sz w:val="24"/>
                <w:szCs w:val="24"/>
                <w:color w:val="auto"/>
              </w:rPr>
            </w:pPr>
          </w:p>
        </w:tc>
        <w:tc>
          <w:tcPr>
            <w:tcW w:w="9800" w:type="dxa"/>
            <w:vAlign w:val="bottom"/>
            <w:gridSpan w:val="3"/>
          </w:tcPr>
          <w:p>
            <w:pPr>
              <w:ind w:left="44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Note 6: Strategic Investments</w:t>
              </w:r>
            </w:hyperlink>
          </w:p>
        </w:tc>
        <w:tc>
          <w:tcPr>
            <w:tcW w:w="720" w:type="dxa"/>
            <w:vAlign w:val="bottom"/>
          </w:tcPr>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11</w:t>
              </w:r>
            </w:hyperlink>
          </w:p>
        </w:tc>
      </w:tr>
      <w:tr>
        <w:trPr>
          <w:trHeight w:val="392"/>
        </w:trPr>
        <w:tc>
          <w:tcPr>
            <w:tcW w:w="700" w:type="dxa"/>
            <w:vAlign w:val="bottom"/>
          </w:tcPr>
          <w:p>
            <w:pPr>
              <w:spacing w:after="0"/>
              <w:rPr>
                <w:sz w:val="24"/>
                <w:szCs w:val="24"/>
                <w:color w:val="auto"/>
              </w:rPr>
            </w:pPr>
          </w:p>
        </w:tc>
        <w:tc>
          <w:tcPr>
            <w:tcW w:w="9800" w:type="dxa"/>
            <w:vAlign w:val="bottom"/>
            <w:gridSpan w:val="3"/>
          </w:tcPr>
          <w:p>
            <w:pPr>
              <w:ind w:left="44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Note 7: Fair Value Measurements</w:t>
              </w:r>
            </w:hyperlink>
          </w:p>
        </w:tc>
        <w:tc>
          <w:tcPr>
            <w:tcW w:w="720" w:type="dxa"/>
            <w:vAlign w:val="bottom"/>
          </w:tcPr>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11</w:t>
              </w:r>
            </w:hyperlink>
          </w:p>
        </w:tc>
      </w:tr>
      <w:tr>
        <w:trPr>
          <w:trHeight w:val="391"/>
        </w:trPr>
        <w:tc>
          <w:tcPr>
            <w:tcW w:w="700" w:type="dxa"/>
            <w:vAlign w:val="bottom"/>
          </w:tcPr>
          <w:p>
            <w:pPr>
              <w:spacing w:after="0"/>
              <w:rPr>
                <w:sz w:val="24"/>
                <w:szCs w:val="24"/>
                <w:color w:val="auto"/>
              </w:rPr>
            </w:pPr>
          </w:p>
        </w:tc>
        <w:tc>
          <w:tcPr>
            <w:tcW w:w="9800" w:type="dxa"/>
            <w:vAlign w:val="bottom"/>
            <w:gridSpan w:val="3"/>
          </w:tcPr>
          <w:p>
            <w:pPr>
              <w:ind w:left="4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Note 8: Debt</w:t>
              </w:r>
            </w:hyperlink>
          </w:p>
        </w:tc>
        <w:tc>
          <w:tcPr>
            <w:tcW w:w="720" w:type="dxa"/>
            <w:vAlign w:val="bottom"/>
          </w:tcPr>
          <w:p>
            <w:pPr>
              <w:jc w:val="right"/>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14</w:t>
              </w:r>
            </w:hyperlink>
          </w:p>
        </w:tc>
      </w:tr>
      <w:tr>
        <w:trPr>
          <w:trHeight w:val="392"/>
        </w:trPr>
        <w:tc>
          <w:tcPr>
            <w:tcW w:w="700" w:type="dxa"/>
            <w:vAlign w:val="bottom"/>
          </w:tcPr>
          <w:p>
            <w:pPr>
              <w:spacing w:after="0"/>
              <w:rPr>
                <w:sz w:val="24"/>
                <w:szCs w:val="24"/>
                <w:color w:val="auto"/>
              </w:rPr>
            </w:pPr>
          </w:p>
        </w:tc>
        <w:tc>
          <w:tcPr>
            <w:tcW w:w="9800" w:type="dxa"/>
            <w:vAlign w:val="bottom"/>
            <w:gridSpan w:val="3"/>
          </w:tcPr>
          <w:p>
            <w:pPr>
              <w:ind w:left="4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Note 9: Stock Compensation</w:t>
              </w:r>
            </w:hyperlink>
          </w:p>
        </w:tc>
        <w:tc>
          <w:tcPr>
            <w:tcW w:w="720" w:type="dxa"/>
            <w:vAlign w:val="bottom"/>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17</w:t>
              </w:r>
            </w:hyperlink>
          </w:p>
        </w:tc>
      </w:tr>
      <w:tr>
        <w:trPr>
          <w:trHeight w:val="391"/>
        </w:trPr>
        <w:tc>
          <w:tcPr>
            <w:tcW w:w="700" w:type="dxa"/>
            <w:vAlign w:val="bottom"/>
          </w:tcPr>
          <w:p>
            <w:pPr>
              <w:spacing w:after="0"/>
              <w:rPr>
                <w:sz w:val="24"/>
                <w:szCs w:val="24"/>
                <w:color w:val="auto"/>
              </w:rPr>
            </w:pPr>
          </w:p>
        </w:tc>
        <w:tc>
          <w:tcPr>
            <w:tcW w:w="9800" w:type="dxa"/>
            <w:vAlign w:val="bottom"/>
            <w:gridSpan w:val="3"/>
          </w:tcPr>
          <w:p>
            <w:pPr>
              <w:ind w:left="4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Note 10: Income Taxes</w:t>
              </w:r>
            </w:hyperlink>
          </w:p>
        </w:tc>
        <w:tc>
          <w:tcPr>
            <w:tcW w:w="720" w:type="dxa"/>
            <w:vAlign w:val="bottom"/>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17</w:t>
              </w:r>
            </w:hyperlink>
          </w:p>
        </w:tc>
      </w:tr>
      <w:tr>
        <w:trPr>
          <w:trHeight w:val="392"/>
        </w:trPr>
        <w:tc>
          <w:tcPr>
            <w:tcW w:w="700" w:type="dxa"/>
            <w:vAlign w:val="bottom"/>
          </w:tcPr>
          <w:p>
            <w:pPr>
              <w:spacing w:after="0"/>
              <w:rPr>
                <w:sz w:val="24"/>
                <w:szCs w:val="24"/>
                <w:color w:val="auto"/>
              </w:rPr>
            </w:pPr>
          </w:p>
        </w:tc>
        <w:tc>
          <w:tcPr>
            <w:tcW w:w="9800" w:type="dxa"/>
            <w:vAlign w:val="bottom"/>
            <w:gridSpan w:val="3"/>
          </w:tcPr>
          <w:p>
            <w:pPr>
              <w:ind w:left="4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Note 11: Contingencies</w:t>
              </w:r>
            </w:hyperlink>
          </w:p>
        </w:tc>
        <w:tc>
          <w:tcPr>
            <w:tcW w:w="720" w:type="dxa"/>
            <w:vAlign w:val="bottom"/>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17</w:t>
              </w:r>
            </w:hyperlink>
          </w:p>
        </w:tc>
      </w:tr>
      <w:tr>
        <w:trPr>
          <w:trHeight w:val="391"/>
        </w:trPr>
        <w:tc>
          <w:tcPr>
            <w:tcW w:w="700" w:type="dxa"/>
            <w:vAlign w:val="bottom"/>
          </w:tcPr>
          <w:p>
            <w:pPr>
              <w:spacing w:after="0"/>
              <w:rPr>
                <w:sz w:val="24"/>
                <w:szCs w:val="24"/>
                <w:color w:val="auto"/>
              </w:rPr>
            </w:pPr>
          </w:p>
        </w:tc>
        <w:tc>
          <w:tcPr>
            <w:tcW w:w="9800" w:type="dxa"/>
            <w:vAlign w:val="bottom"/>
            <w:gridSpan w:val="3"/>
          </w:tcPr>
          <w:p>
            <w:pPr>
              <w:ind w:left="4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Note 12: Segment Information</w:t>
              </w:r>
            </w:hyperlink>
          </w:p>
        </w:tc>
        <w:tc>
          <w:tcPr>
            <w:tcW w:w="720" w:type="dxa"/>
            <w:vAlign w:val="bottom"/>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18</w:t>
              </w:r>
            </w:hyperlink>
          </w:p>
        </w:tc>
      </w:tr>
      <w:tr>
        <w:trPr>
          <w:trHeight w:val="392"/>
        </w:trPr>
        <w:tc>
          <w:tcPr>
            <w:tcW w:w="700" w:type="dxa"/>
            <w:vAlign w:val="bottom"/>
          </w:tcPr>
          <w:p>
            <w:pPr>
              <w:spacing w:after="0"/>
              <w:rPr>
                <w:sz w:val="24"/>
                <w:szCs w:val="24"/>
                <w:color w:val="auto"/>
              </w:rPr>
            </w:pPr>
          </w:p>
        </w:tc>
        <w:tc>
          <w:tcPr>
            <w:tcW w:w="9800" w:type="dxa"/>
            <w:vAlign w:val="bottom"/>
            <w:gridSpan w:val="3"/>
          </w:tcPr>
          <w:p>
            <w:pPr>
              <w:ind w:left="4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Note 13: Supplemental Consolidated Financial Information</w:t>
              </w:r>
            </w:hyperlink>
          </w:p>
        </w:tc>
        <w:tc>
          <w:tcPr>
            <w:tcW w:w="720" w:type="dxa"/>
            <w:vAlign w:val="bottom"/>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22</w:t>
              </w:r>
            </w:hyperlink>
          </w:p>
        </w:tc>
      </w:tr>
      <w:tr>
        <w:trPr>
          <w:trHeight w:val="391"/>
        </w:trPr>
        <w:tc>
          <w:tcPr>
            <w:tcW w:w="700" w:type="dxa"/>
            <w:vAlign w:val="bottom"/>
          </w:tcPr>
          <w:p>
            <w:pPr>
              <w:spacing w:after="0"/>
              <w:rPr>
                <w:sz w:val="24"/>
                <w:szCs w:val="24"/>
                <w:color w:val="auto"/>
              </w:rPr>
            </w:pPr>
          </w:p>
        </w:tc>
        <w:tc>
          <w:tcPr>
            <w:tcW w:w="9800" w:type="dxa"/>
            <w:vAlign w:val="bottom"/>
            <w:gridSpan w:val="3"/>
          </w:tcPr>
          <w:p>
            <w:pPr>
              <w:ind w:left="4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Note 14: Subsequent Events</w:t>
              </w:r>
            </w:hyperlink>
          </w:p>
        </w:tc>
        <w:tc>
          <w:tcPr>
            <w:tcW w:w="720" w:type="dxa"/>
            <w:vAlign w:val="bottom"/>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22</w:t>
              </w:r>
            </w:hyperlink>
          </w:p>
        </w:tc>
      </w:tr>
      <w:tr>
        <w:trPr>
          <w:trHeight w:val="392"/>
        </w:trPr>
        <w:tc>
          <w:tcPr>
            <w:tcW w:w="10500" w:type="dxa"/>
            <w:vAlign w:val="bottom"/>
            <w:gridSpan w:val="4"/>
          </w:tcPr>
          <w:p>
            <w:pPr>
              <w:ind w:left="380"/>
              <w:spacing w:after="0"/>
              <w:rPr>
                <w:rFonts w:ascii="Arial" w:cs="Arial" w:eastAsia="Arial" w:hAnsi="Arial"/>
                <w:sz w:val="18"/>
                <w:szCs w:val="18"/>
                <w:i w:val="1"/>
                <w:iCs w:val="1"/>
                <w:u w:val="single" w:color="auto"/>
                <w:color w:val="0000EE"/>
              </w:rPr>
            </w:pPr>
            <w:hyperlink w:anchor="page24">
              <w:r>
                <w:rPr>
                  <w:rFonts w:ascii="Arial" w:cs="Arial" w:eastAsia="Arial" w:hAnsi="Arial"/>
                  <w:sz w:val="18"/>
                  <w:szCs w:val="18"/>
                  <w:i w:val="1"/>
                  <w:iCs w:val="1"/>
                  <w:u w:val="single" w:color="auto"/>
                  <w:color w:val="0000EE"/>
                </w:rPr>
                <w:t>Item 2. Management’s Discussion and Analysis of Financial Condition and Results of Operations</w:t>
              </w:r>
            </w:hyperlink>
          </w:p>
        </w:tc>
        <w:tc>
          <w:tcPr>
            <w:tcW w:w="720" w:type="dxa"/>
            <w:vAlign w:val="bottom"/>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22</w:t>
              </w:r>
            </w:hyperlink>
          </w:p>
        </w:tc>
      </w:tr>
      <w:tr>
        <w:trPr>
          <w:trHeight w:val="391"/>
        </w:trPr>
        <w:tc>
          <w:tcPr>
            <w:tcW w:w="10500" w:type="dxa"/>
            <w:vAlign w:val="bottom"/>
            <w:gridSpan w:val="4"/>
          </w:tcPr>
          <w:p>
            <w:pPr>
              <w:ind w:left="380"/>
              <w:spacing w:after="0"/>
              <w:rPr>
                <w:rFonts w:ascii="Arial" w:cs="Arial" w:eastAsia="Arial" w:hAnsi="Arial"/>
                <w:sz w:val="18"/>
                <w:szCs w:val="18"/>
                <w:i w:val="1"/>
                <w:iCs w:val="1"/>
                <w:u w:val="single" w:color="auto"/>
                <w:color w:val="0000EE"/>
              </w:rPr>
            </w:pPr>
            <w:hyperlink w:anchor="page43">
              <w:r>
                <w:rPr>
                  <w:rFonts w:ascii="Arial" w:cs="Arial" w:eastAsia="Arial" w:hAnsi="Arial"/>
                  <w:sz w:val="18"/>
                  <w:szCs w:val="18"/>
                  <w:i w:val="1"/>
                  <w:iCs w:val="1"/>
                  <w:u w:val="single" w:color="auto"/>
                  <w:color w:val="0000EE"/>
                </w:rPr>
                <w:t>Item 3. Quantitative and Qualitative Disclosures about Market Risk</w:t>
              </w:r>
            </w:hyperlink>
          </w:p>
        </w:tc>
        <w:tc>
          <w:tcPr>
            <w:tcW w:w="720" w:type="dxa"/>
            <w:vAlign w:val="bottom"/>
          </w:tcPr>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41</w:t>
              </w:r>
            </w:hyperlink>
          </w:p>
        </w:tc>
      </w:tr>
      <w:tr>
        <w:trPr>
          <w:trHeight w:val="392"/>
        </w:trPr>
        <w:tc>
          <w:tcPr>
            <w:tcW w:w="10500" w:type="dxa"/>
            <w:vAlign w:val="bottom"/>
            <w:gridSpan w:val="4"/>
          </w:tcPr>
          <w:p>
            <w:pPr>
              <w:ind w:left="380"/>
              <w:spacing w:after="0"/>
              <w:rPr>
                <w:rFonts w:ascii="Arial" w:cs="Arial" w:eastAsia="Arial" w:hAnsi="Arial"/>
                <w:sz w:val="18"/>
                <w:szCs w:val="18"/>
                <w:i w:val="1"/>
                <w:iCs w:val="1"/>
                <w:u w:val="single" w:color="auto"/>
                <w:color w:val="0000EE"/>
              </w:rPr>
            </w:pPr>
            <w:hyperlink w:anchor="page43">
              <w:r>
                <w:rPr>
                  <w:rFonts w:ascii="Arial" w:cs="Arial" w:eastAsia="Arial" w:hAnsi="Arial"/>
                  <w:sz w:val="18"/>
                  <w:szCs w:val="18"/>
                  <w:i w:val="1"/>
                  <w:iCs w:val="1"/>
                  <w:u w:val="single" w:color="auto"/>
                  <w:color w:val="0000EE"/>
                </w:rPr>
                <w:t>Item 4. Controls and Procedures</w:t>
              </w:r>
            </w:hyperlink>
          </w:p>
        </w:tc>
        <w:tc>
          <w:tcPr>
            <w:tcW w:w="720" w:type="dxa"/>
            <w:vAlign w:val="bottom"/>
          </w:tcPr>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41</w:t>
              </w:r>
            </w:hyperlink>
          </w:p>
        </w:tc>
      </w:tr>
      <w:tr>
        <w:trPr>
          <w:trHeight w:val="391"/>
        </w:trPr>
        <w:tc>
          <w:tcPr>
            <w:tcW w:w="10500" w:type="dxa"/>
            <w:vAlign w:val="bottom"/>
            <w:gridSpan w:val="4"/>
          </w:tcPr>
          <w:p>
            <w:pPr>
              <w:ind w:left="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PART II — OTHER INFORMATION</w:t>
              </w:r>
            </w:hyperlink>
          </w:p>
        </w:tc>
        <w:tc>
          <w:tcPr>
            <w:tcW w:w="720" w:type="dxa"/>
            <w:vAlign w:val="bottom"/>
          </w:tcPr>
          <w:p>
            <w:pPr>
              <w:spacing w:after="0"/>
              <w:rPr>
                <w:sz w:val="24"/>
                <w:szCs w:val="24"/>
                <w:color w:val="auto"/>
              </w:rPr>
            </w:pPr>
          </w:p>
        </w:tc>
      </w:tr>
      <w:tr>
        <w:trPr>
          <w:trHeight w:val="391"/>
        </w:trPr>
        <w:tc>
          <w:tcPr>
            <w:tcW w:w="10500" w:type="dxa"/>
            <w:vAlign w:val="bottom"/>
            <w:gridSpan w:val="4"/>
          </w:tcPr>
          <w:p>
            <w:pPr>
              <w:ind w:left="380"/>
              <w:spacing w:after="0"/>
              <w:rPr>
                <w:rFonts w:ascii="Arial" w:cs="Arial" w:eastAsia="Arial" w:hAnsi="Arial"/>
                <w:sz w:val="18"/>
                <w:szCs w:val="18"/>
                <w:i w:val="1"/>
                <w:iCs w:val="1"/>
                <w:u w:val="single" w:color="auto"/>
                <w:color w:val="0000EE"/>
              </w:rPr>
            </w:pPr>
            <w:hyperlink w:anchor="page44">
              <w:r>
                <w:rPr>
                  <w:rFonts w:ascii="Arial" w:cs="Arial" w:eastAsia="Arial" w:hAnsi="Arial"/>
                  <w:sz w:val="18"/>
                  <w:szCs w:val="18"/>
                  <w:i w:val="1"/>
                  <w:iCs w:val="1"/>
                  <w:u w:val="single" w:color="auto"/>
                  <w:color w:val="0000EE"/>
                </w:rPr>
                <w:t>Item 1. Legal Proceedings</w:t>
              </w:r>
            </w:hyperlink>
          </w:p>
        </w:tc>
        <w:tc>
          <w:tcPr>
            <w:tcW w:w="720" w:type="dxa"/>
            <w:vAlign w:val="bottom"/>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42</w:t>
              </w:r>
            </w:hyperlink>
          </w:p>
        </w:tc>
      </w:tr>
      <w:tr>
        <w:trPr>
          <w:trHeight w:val="391"/>
        </w:trPr>
        <w:tc>
          <w:tcPr>
            <w:tcW w:w="10500" w:type="dxa"/>
            <w:vAlign w:val="bottom"/>
            <w:gridSpan w:val="4"/>
          </w:tcPr>
          <w:p>
            <w:pPr>
              <w:ind w:left="380"/>
              <w:spacing w:after="0"/>
              <w:rPr>
                <w:rFonts w:ascii="Arial" w:cs="Arial" w:eastAsia="Arial" w:hAnsi="Arial"/>
                <w:sz w:val="18"/>
                <w:szCs w:val="18"/>
                <w:i w:val="1"/>
                <w:iCs w:val="1"/>
                <w:u w:val="single" w:color="auto"/>
                <w:color w:val="0000EE"/>
              </w:rPr>
            </w:pPr>
            <w:hyperlink w:anchor="page45">
              <w:r>
                <w:rPr>
                  <w:rFonts w:ascii="Arial" w:cs="Arial" w:eastAsia="Arial" w:hAnsi="Arial"/>
                  <w:sz w:val="18"/>
                  <w:szCs w:val="18"/>
                  <w:i w:val="1"/>
                  <w:iCs w:val="1"/>
                  <w:u w:val="single" w:color="auto"/>
                  <w:color w:val="0000EE"/>
                </w:rPr>
                <w:t>Item 1A. Risk Factors</w:t>
              </w:r>
            </w:hyperlink>
          </w:p>
        </w:tc>
        <w:tc>
          <w:tcPr>
            <w:tcW w:w="720" w:type="dxa"/>
            <w:vAlign w:val="bottom"/>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43</w:t>
              </w:r>
            </w:hyperlink>
          </w:p>
        </w:tc>
      </w:tr>
      <w:tr>
        <w:trPr>
          <w:trHeight w:val="391"/>
        </w:trPr>
        <w:tc>
          <w:tcPr>
            <w:tcW w:w="10500" w:type="dxa"/>
            <w:vAlign w:val="bottom"/>
            <w:gridSpan w:val="4"/>
          </w:tcPr>
          <w:p>
            <w:pPr>
              <w:ind w:left="380"/>
              <w:spacing w:after="0"/>
              <w:rPr>
                <w:rFonts w:ascii="Arial" w:cs="Arial" w:eastAsia="Arial" w:hAnsi="Arial"/>
                <w:sz w:val="18"/>
                <w:szCs w:val="18"/>
                <w:i w:val="1"/>
                <w:iCs w:val="1"/>
                <w:u w:val="single" w:color="auto"/>
                <w:color w:val="0000EE"/>
              </w:rPr>
            </w:pPr>
            <w:hyperlink w:anchor="page46">
              <w:r>
                <w:rPr>
                  <w:rFonts w:ascii="Arial" w:cs="Arial" w:eastAsia="Arial" w:hAnsi="Arial"/>
                  <w:sz w:val="18"/>
                  <w:szCs w:val="18"/>
                  <w:i w:val="1"/>
                  <w:iCs w:val="1"/>
                  <w:u w:val="single" w:color="auto"/>
                  <w:color w:val="0000EE"/>
                </w:rPr>
                <w:t>Item 2. Unregistered Sales of Equity Securities and Use of Proceeds</w:t>
              </w:r>
            </w:hyperlink>
          </w:p>
        </w:tc>
        <w:tc>
          <w:tcPr>
            <w:tcW w:w="720" w:type="dxa"/>
            <w:vAlign w:val="bottom"/>
          </w:tcPr>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44</w:t>
              </w:r>
            </w:hyperlink>
          </w:p>
        </w:tc>
      </w:tr>
      <w:tr>
        <w:trPr>
          <w:trHeight w:val="391"/>
        </w:trPr>
        <w:tc>
          <w:tcPr>
            <w:tcW w:w="10500" w:type="dxa"/>
            <w:vAlign w:val="bottom"/>
            <w:gridSpan w:val="4"/>
          </w:tcPr>
          <w:p>
            <w:pPr>
              <w:ind w:left="380"/>
              <w:spacing w:after="0"/>
              <w:rPr>
                <w:rFonts w:ascii="Arial" w:cs="Arial" w:eastAsia="Arial" w:hAnsi="Arial"/>
                <w:sz w:val="18"/>
                <w:szCs w:val="18"/>
                <w:i w:val="1"/>
                <w:iCs w:val="1"/>
                <w:u w:val="single" w:color="auto"/>
                <w:color w:val="0000EE"/>
              </w:rPr>
            </w:pPr>
            <w:hyperlink w:anchor="page47">
              <w:r>
                <w:rPr>
                  <w:rFonts w:ascii="Arial" w:cs="Arial" w:eastAsia="Arial" w:hAnsi="Arial"/>
                  <w:sz w:val="18"/>
                  <w:szCs w:val="18"/>
                  <w:i w:val="1"/>
                  <w:iCs w:val="1"/>
                  <w:u w:val="single" w:color="auto"/>
                  <w:color w:val="0000EE"/>
                </w:rPr>
                <w:t>Item 6. Exhibits</w:t>
              </w:r>
            </w:hyperlink>
          </w:p>
        </w:tc>
        <w:tc>
          <w:tcPr>
            <w:tcW w:w="720" w:type="dxa"/>
            <w:vAlign w:val="bottom"/>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45</w:t>
              </w:r>
            </w:hyperlink>
          </w:p>
        </w:tc>
      </w:tr>
      <w:tr>
        <w:trPr>
          <w:trHeight w:val="391"/>
        </w:trPr>
        <w:tc>
          <w:tcPr>
            <w:tcW w:w="10500" w:type="dxa"/>
            <w:vAlign w:val="bottom"/>
            <w:gridSpan w:val="4"/>
          </w:tcPr>
          <w:p>
            <w:pPr>
              <w:ind w:left="4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SIGNATURES</w:t>
              </w:r>
            </w:hyperlink>
          </w:p>
        </w:tc>
        <w:tc>
          <w:tcPr>
            <w:tcW w:w="720" w:type="dxa"/>
            <w:vAlign w:val="bottom"/>
          </w:tcPr>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46</w:t>
              </w:r>
            </w:hyperlink>
          </w:p>
        </w:tc>
      </w:tr>
    </w:tbl>
    <w:p>
      <w:pPr>
        <w:sectPr>
          <w:pgSz w:w="11900" w:h="16838" w:orient="portrait"/>
          <w:cols w:equalWidth="0" w:num="1">
            <w:col w:w="11220"/>
          </w:cols>
          <w:pgMar w:left="320" w:top="121" w:right="3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Arial" w:cs="Arial" w:eastAsia="Arial" w:hAnsi="Arial"/>
                <w:sz w:val="13"/>
                <w:szCs w:val="13"/>
                <w:b w:val="1"/>
                <w:bCs w:val="1"/>
                <w:color w:val="auto"/>
              </w:rPr>
              <w:t>March 31,</w:t>
            </w:r>
          </w:p>
        </w:tc>
        <w:tc>
          <w:tcPr>
            <w:tcW w:w="260" w:type="dxa"/>
            <w:vAlign w:val="bottom"/>
          </w:tcPr>
          <w:p>
            <w:pPr>
              <w:spacing w:after="0"/>
              <w:rPr>
                <w:sz w:val="13"/>
                <w:szCs w:val="13"/>
                <w:color w:val="auto"/>
              </w:rPr>
            </w:pP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3"/>
                <w:szCs w:val="13"/>
                <w:color w:val="auto"/>
              </w:rPr>
            </w:pPr>
          </w:p>
        </w:tc>
        <w:tc>
          <w:tcPr>
            <w:tcW w:w="980" w:type="dxa"/>
            <w:vAlign w:val="bottom"/>
          </w:tcPr>
          <w:p>
            <w:pPr>
              <w:jc w:val="right"/>
              <w:ind w:right="109"/>
              <w:spacing w:after="0"/>
              <w:rPr>
                <w:sz w:val="20"/>
                <w:szCs w:val="20"/>
                <w:color w:val="auto"/>
              </w:rPr>
            </w:pPr>
            <w:r>
              <w:rPr>
                <w:rFonts w:ascii="Arial" w:cs="Arial" w:eastAsia="Arial" w:hAnsi="Arial"/>
                <w:sz w:val="13"/>
                <w:szCs w:val="13"/>
                <w:b w:val="1"/>
                <w:bCs w:val="1"/>
                <w:color w:val="auto"/>
                <w:w w:val="87"/>
              </w:rPr>
              <w:t>September 30,</w:t>
            </w:r>
          </w:p>
        </w:tc>
      </w:tr>
      <w:tr>
        <w:trPr>
          <w:trHeight w:val="174"/>
        </w:trPr>
        <w:tc>
          <w:tcPr>
            <w:tcW w:w="7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2019</w:t>
            </w:r>
          </w:p>
        </w:tc>
      </w:tr>
      <w:tr>
        <w:trPr>
          <w:trHeight w:val="384"/>
        </w:trPr>
        <w:tc>
          <w:tcPr>
            <w:tcW w:w="7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3"/>
                <w:szCs w:val="13"/>
                <w:b w:val="1"/>
                <w:bCs w:val="1"/>
                <w:color w:val="auto"/>
              </w:rPr>
              <w:t>(Unaudited)</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8"/>
        </w:trPr>
        <w:tc>
          <w:tcPr>
            <w:tcW w:w="7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7640" w:type="dxa"/>
            <w:vAlign w:val="bottom"/>
          </w:tcPr>
          <w:p>
            <w:pPr>
              <w:ind w:left="28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76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193,729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347,786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157,567</w:t>
            </w:r>
          </w:p>
        </w:tc>
      </w:tr>
      <w:tr>
        <w:trPr>
          <w:trHeight w:val="264"/>
        </w:trPr>
        <w:tc>
          <w:tcPr>
            <w:tcW w:w="7640" w:type="dxa"/>
            <w:vAlign w:val="bottom"/>
          </w:tcPr>
          <w:p>
            <w:pPr>
              <w:ind w:left="500"/>
              <w:spacing w:after="0"/>
              <w:rPr>
                <w:sz w:val="20"/>
                <w:szCs w:val="20"/>
                <w:color w:val="auto"/>
              </w:rPr>
            </w:pPr>
            <w:r>
              <w:rPr>
                <w:rFonts w:ascii="Arial" w:cs="Arial" w:eastAsia="Arial" w:hAnsi="Arial"/>
                <w:sz w:val="14"/>
                <w:szCs w:val="14"/>
                <w:color w:val="auto"/>
              </w:rPr>
              <w:t>Restricted cash</w:t>
            </w:r>
          </w:p>
        </w:tc>
        <w:tc>
          <w:tcPr>
            <w:tcW w:w="20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4,000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4,875</w:t>
            </w:r>
          </w:p>
        </w:tc>
      </w:tr>
      <w:tr>
        <w:trPr>
          <w:trHeight w:val="276"/>
        </w:trPr>
        <w:tc>
          <w:tcPr>
            <w:tcW w:w="76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Pawn loans</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160,179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173,138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199,058</w:t>
            </w:r>
          </w:p>
        </w:tc>
      </w:tr>
      <w:tr>
        <w:trPr>
          <w:trHeight w:val="264"/>
        </w:trPr>
        <w:tc>
          <w:tcPr>
            <w:tcW w:w="7640" w:type="dxa"/>
            <w:vAlign w:val="bottom"/>
          </w:tcPr>
          <w:p>
            <w:pPr>
              <w:ind w:left="500"/>
              <w:spacing w:after="0"/>
              <w:rPr>
                <w:sz w:val="20"/>
                <w:szCs w:val="20"/>
                <w:color w:val="auto"/>
              </w:rPr>
            </w:pPr>
            <w:r>
              <w:rPr>
                <w:rFonts w:ascii="Arial" w:cs="Arial" w:eastAsia="Arial" w:hAnsi="Arial"/>
                <w:sz w:val="14"/>
                <w:szCs w:val="14"/>
                <w:color w:val="auto"/>
              </w:rPr>
              <w:t>Pawn service charges receivable, net</w:t>
            </w:r>
          </w:p>
        </w:tc>
        <w:tc>
          <w:tcPr>
            <w:tcW w:w="20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27,304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27,097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31,802</w:t>
            </w:r>
          </w:p>
        </w:tc>
      </w:tr>
      <w:tr>
        <w:trPr>
          <w:trHeight w:val="276"/>
        </w:trPr>
        <w:tc>
          <w:tcPr>
            <w:tcW w:w="76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Inventory, net</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173,251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173,348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179,355</w:t>
            </w:r>
          </w:p>
        </w:tc>
      </w:tr>
      <w:tr>
        <w:trPr>
          <w:trHeight w:val="264"/>
        </w:trPr>
        <w:tc>
          <w:tcPr>
            <w:tcW w:w="7640" w:type="dxa"/>
            <w:vAlign w:val="bottom"/>
          </w:tcPr>
          <w:p>
            <w:pPr>
              <w:ind w:left="500"/>
              <w:spacing w:after="0"/>
              <w:rPr>
                <w:sz w:val="20"/>
                <w:szCs w:val="20"/>
                <w:color w:val="auto"/>
              </w:rPr>
            </w:pPr>
            <w:r>
              <w:rPr>
                <w:rFonts w:ascii="Arial" w:cs="Arial" w:eastAsia="Arial" w:hAnsi="Arial"/>
                <w:sz w:val="14"/>
                <w:szCs w:val="14"/>
                <w:color w:val="auto"/>
              </w:rPr>
              <w:t>Notes receivable, net</w:t>
            </w:r>
          </w:p>
        </w:tc>
        <w:tc>
          <w:tcPr>
            <w:tcW w:w="20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3,728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23,450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7,182</w:t>
            </w:r>
          </w:p>
        </w:tc>
      </w:tr>
      <w:tr>
        <w:trPr>
          <w:trHeight w:val="270"/>
        </w:trPr>
        <w:tc>
          <w:tcPr>
            <w:tcW w:w="76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23,629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32,984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25,921</w:t>
            </w:r>
          </w:p>
        </w:tc>
      </w:tr>
      <w:tr>
        <w:trPr>
          <w:trHeight w:val="250"/>
        </w:trPr>
        <w:tc>
          <w:tcPr>
            <w:tcW w:w="7640" w:type="dxa"/>
            <w:vAlign w:val="bottom"/>
          </w:tcPr>
          <w:p>
            <w:pPr>
              <w:ind w:left="720"/>
              <w:spacing w:after="0"/>
              <w:rPr>
                <w:sz w:val="20"/>
                <w:szCs w:val="20"/>
                <w:color w:val="auto"/>
              </w:rPr>
            </w:pPr>
            <w:r>
              <w:rPr>
                <w:rFonts w:ascii="Arial" w:cs="Arial" w:eastAsia="Arial" w:hAnsi="Arial"/>
                <w:sz w:val="14"/>
                <w:szCs w:val="14"/>
                <w:color w:val="auto"/>
              </w:rPr>
              <w:t>Total current assets</w:t>
            </w:r>
          </w:p>
        </w:tc>
        <w:tc>
          <w:tcPr>
            <w:tcW w:w="20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585,820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777,803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605,760</w:t>
            </w:r>
          </w:p>
        </w:tc>
      </w:tr>
      <w:tr>
        <w:trPr>
          <w:trHeight w:val="276"/>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Investments in unconsolidated affiliates</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27,993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29,387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34,516</w:t>
            </w:r>
          </w:p>
        </w:tc>
      </w:tr>
      <w:tr>
        <w:trPr>
          <w:trHeight w:val="264"/>
        </w:trPr>
        <w:tc>
          <w:tcPr>
            <w:tcW w:w="7640" w:type="dxa"/>
            <w:vAlign w:val="bottom"/>
          </w:tcPr>
          <w:p>
            <w:pPr>
              <w:ind w:left="280"/>
              <w:spacing w:after="0"/>
              <w:rPr>
                <w:sz w:val="20"/>
                <w:szCs w:val="20"/>
                <w:color w:val="auto"/>
              </w:rPr>
            </w:pPr>
            <w:r>
              <w:rPr>
                <w:rFonts w:ascii="Arial" w:cs="Arial" w:eastAsia="Arial" w:hAnsi="Arial"/>
                <w:sz w:val="14"/>
                <w:szCs w:val="14"/>
                <w:color w:val="auto"/>
              </w:rPr>
              <w:t>Property and equipment, net</w:t>
            </w:r>
          </w:p>
        </w:tc>
        <w:tc>
          <w:tcPr>
            <w:tcW w:w="20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58,787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67,518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67,357</w:t>
            </w:r>
          </w:p>
        </w:tc>
      </w:tr>
      <w:tr>
        <w:trPr>
          <w:trHeight w:val="276"/>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Lease right-of-use asset</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206,839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7640" w:type="dxa"/>
            <w:vAlign w:val="bottom"/>
          </w:tcPr>
          <w:p>
            <w:pPr>
              <w:ind w:left="280"/>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257,222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296,881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300,527</w:t>
            </w:r>
          </w:p>
        </w:tc>
      </w:tr>
      <w:tr>
        <w:trPr>
          <w:trHeight w:val="276"/>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Intangible assets, net</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64,043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58,503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68,044</w:t>
            </w:r>
          </w:p>
        </w:tc>
      </w:tr>
      <w:tr>
        <w:trPr>
          <w:trHeight w:val="264"/>
        </w:trPr>
        <w:tc>
          <w:tcPr>
            <w:tcW w:w="7640" w:type="dxa"/>
            <w:vAlign w:val="bottom"/>
          </w:tcPr>
          <w:p>
            <w:pPr>
              <w:ind w:left="280"/>
              <w:spacing w:after="0"/>
              <w:rPr>
                <w:sz w:val="20"/>
                <w:szCs w:val="20"/>
                <w:color w:val="auto"/>
              </w:rPr>
            </w:pPr>
            <w:r>
              <w:rPr>
                <w:rFonts w:ascii="Arial" w:cs="Arial" w:eastAsia="Arial" w:hAnsi="Arial"/>
                <w:sz w:val="14"/>
                <w:szCs w:val="14"/>
                <w:color w:val="auto"/>
              </w:rPr>
              <w:t>Notes receivable, net</w:t>
            </w:r>
          </w:p>
        </w:tc>
        <w:tc>
          <w:tcPr>
            <w:tcW w:w="20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1,132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8,509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1,117</w:t>
            </w:r>
          </w:p>
        </w:tc>
      </w:tr>
      <w:tr>
        <w:trPr>
          <w:trHeight w:val="276"/>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tax asset, net</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6,251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10,119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1,998</w:t>
            </w:r>
          </w:p>
        </w:tc>
      </w:tr>
      <w:tr>
        <w:trPr>
          <w:trHeight w:val="264"/>
        </w:trPr>
        <w:tc>
          <w:tcPr>
            <w:tcW w:w="76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5,045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4,395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4,383</w:t>
            </w:r>
          </w:p>
        </w:tc>
      </w:tr>
      <w:tr>
        <w:trPr>
          <w:trHeight w:val="243"/>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1,213,132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1,253,115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1,083,702</w:t>
            </w:r>
          </w:p>
        </w:tc>
      </w:tr>
      <w:tr>
        <w:trPr>
          <w:trHeight w:val="20"/>
        </w:trPr>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78"/>
        </w:trPr>
        <w:tc>
          <w:tcPr>
            <w:tcW w:w="7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 and equity:</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4"/>
        </w:trPr>
        <w:tc>
          <w:tcPr>
            <w:tcW w:w="7640" w:type="dxa"/>
            <w:vAlign w:val="bottom"/>
          </w:tcPr>
          <w:p>
            <w:pPr>
              <w:ind w:left="280"/>
              <w:spacing w:after="0"/>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76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Current maturities of long-term debt, net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192,901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214</w:t>
            </w:r>
          </w:p>
        </w:tc>
      </w:tr>
      <w:tr>
        <w:trPr>
          <w:trHeight w:val="264"/>
        </w:trPr>
        <w:tc>
          <w:tcPr>
            <w:tcW w:w="7640" w:type="dxa"/>
            <w:vAlign w:val="bottom"/>
          </w:tcPr>
          <w:p>
            <w:pPr>
              <w:ind w:left="500"/>
              <w:spacing w:after="0"/>
              <w:rPr>
                <w:sz w:val="20"/>
                <w:szCs w:val="20"/>
                <w:color w:val="auto"/>
              </w:rPr>
            </w:pPr>
            <w:r>
              <w:rPr>
                <w:rFonts w:ascii="Arial" w:cs="Arial" w:eastAsia="Arial" w:hAnsi="Arial"/>
                <w:sz w:val="14"/>
                <w:szCs w:val="14"/>
                <w:color w:val="auto"/>
              </w:rPr>
              <w:t>Accounts payable, accrued expenses and other current liabilities</w:t>
            </w:r>
          </w:p>
        </w:tc>
        <w:tc>
          <w:tcPr>
            <w:tcW w:w="20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53,152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58,696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77,957</w:t>
            </w:r>
          </w:p>
        </w:tc>
      </w:tr>
      <w:tr>
        <w:trPr>
          <w:trHeight w:val="276"/>
        </w:trPr>
        <w:tc>
          <w:tcPr>
            <w:tcW w:w="76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Customer layaway deposits</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13,060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13,564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12,915</w:t>
            </w:r>
          </w:p>
        </w:tc>
      </w:tr>
      <w:tr>
        <w:trPr>
          <w:trHeight w:val="264"/>
        </w:trPr>
        <w:tc>
          <w:tcPr>
            <w:tcW w:w="7640" w:type="dxa"/>
            <w:vAlign w:val="bottom"/>
          </w:tcPr>
          <w:p>
            <w:pPr>
              <w:ind w:left="500"/>
              <w:spacing w:after="0"/>
              <w:rPr>
                <w:sz w:val="20"/>
                <w:szCs w:val="20"/>
                <w:color w:val="auto"/>
              </w:rPr>
            </w:pPr>
            <w:r>
              <w:rPr>
                <w:rFonts w:ascii="Arial" w:cs="Arial" w:eastAsia="Arial" w:hAnsi="Arial"/>
                <w:sz w:val="14"/>
                <w:szCs w:val="14"/>
                <w:color w:val="auto"/>
              </w:rPr>
              <w:t>Lease liability</w:t>
            </w:r>
          </w:p>
        </w:tc>
        <w:tc>
          <w:tcPr>
            <w:tcW w:w="20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44,076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56"/>
        </w:trPr>
        <w:tc>
          <w:tcPr>
            <w:tcW w:w="764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current liabilities</w:t>
            </w:r>
          </w:p>
        </w:tc>
        <w:tc>
          <w:tcPr>
            <w:tcW w:w="2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110,555</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265,161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91,086</w:t>
            </w:r>
          </w:p>
        </w:tc>
      </w:tr>
      <w:tr>
        <w:trPr>
          <w:trHeight w:val="264"/>
        </w:trPr>
        <w:tc>
          <w:tcPr>
            <w:tcW w:w="7640" w:type="dxa"/>
            <w:vAlign w:val="bottom"/>
          </w:tcPr>
          <w:p>
            <w:pPr>
              <w:ind w:left="280"/>
              <w:spacing w:after="0"/>
              <w:rPr>
                <w:sz w:val="20"/>
                <w:szCs w:val="20"/>
                <w:color w:val="auto"/>
              </w:rPr>
            </w:pPr>
            <w:r>
              <w:rPr>
                <w:rFonts w:ascii="Arial" w:cs="Arial" w:eastAsia="Arial" w:hAnsi="Arial"/>
                <w:sz w:val="14"/>
                <w:szCs w:val="14"/>
                <w:color w:val="auto"/>
              </w:rPr>
              <w:t>Long-term debt, net</w:t>
            </w:r>
          </w:p>
        </w:tc>
        <w:tc>
          <w:tcPr>
            <w:tcW w:w="20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244,288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232,733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238,380</w:t>
            </w:r>
          </w:p>
        </w:tc>
      </w:tr>
      <w:tr>
        <w:trPr>
          <w:trHeight w:val="276"/>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tax liability, net</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2,540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9,012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1,985</w:t>
            </w:r>
          </w:p>
        </w:tc>
      </w:tr>
      <w:tr>
        <w:trPr>
          <w:trHeight w:val="264"/>
        </w:trPr>
        <w:tc>
          <w:tcPr>
            <w:tcW w:w="7640" w:type="dxa"/>
            <w:vAlign w:val="bottom"/>
          </w:tcPr>
          <w:p>
            <w:pPr>
              <w:ind w:left="280"/>
              <w:spacing w:after="0"/>
              <w:rPr>
                <w:sz w:val="20"/>
                <w:szCs w:val="20"/>
                <w:color w:val="auto"/>
              </w:rPr>
            </w:pPr>
            <w:r>
              <w:rPr>
                <w:rFonts w:ascii="Arial" w:cs="Arial" w:eastAsia="Arial" w:hAnsi="Arial"/>
                <w:sz w:val="14"/>
                <w:szCs w:val="14"/>
                <w:color w:val="auto"/>
              </w:rPr>
              <w:t>Lease liability</w:t>
            </w:r>
          </w:p>
        </w:tc>
        <w:tc>
          <w:tcPr>
            <w:tcW w:w="20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171,006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long-term liabilities</w:t>
            </w: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7,190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6,450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7,302</w:t>
            </w:r>
          </w:p>
        </w:tc>
      </w:tr>
      <w:tr>
        <w:trPr>
          <w:trHeight w:val="250"/>
        </w:trPr>
        <w:tc>
          <w:tcPr>
            <w:tcW w:w="7640" w:type="dxa"/>
            <w:vAlign w:val="bottom"/>
          </w:tcPr>
          <w:p>
            <w:pPr>
              <w:ind w:left="720"/>
              <w:spacing w:after="0"/>
              <w:rPr>
                <w:sz w:val="20"/>
                <w:szCs w:val="20"/>
                <w:color w:val="auto"/>
              </w:rPr>
            </w:pPr>
            <w:r>
              <w:rPr>
                <w:rFonts w:ascii="Arial" w:cs="Arial" w:eastAsia="Arial" w:hAnsi="Arial"/>
                <w:sz w:val="14"/>
                <w:szCs w:val="14"/>
                <w:color w:val="auto"/>
              </w:rPr>
              <w:t>Total liabilities</w:t>
            </w:r>
          </w:p>
        </w:tc>
        <w:tc>
          <w:tcPr>
            <w:tcW w:w="20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535,579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513,356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338,753</w:t>
            </w:r>
          </w:p>
        </w:tc>
      </w:tr>
      <w:tr>
        <w:trPr>
          <w:trHeight w:val="276"/>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Commitments and contingencies (Note 10)</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7640" w:type="dxa"/>
            <w:vAlign w:val="bottom"/>
          </w:tcPr>
          <w:p>
            <w:pPr>
              <w:ind w:left="280"/>
              <w:spacing w:after="0"/>
              <w:rPr>
                <w:sz w:val="20"/>
                <w:szCs w:val="20"/>
                <w:color w:val="auto"/>
              </w:rPr>
            </w:pPr>
            <w:r>
              <w:rPr>
                <w:rFonts w:ascii="Arial" w:cs="Arial" w:eastAsia="Arial" w:hAnsi="Arial"/>
                <w:sz w:val="14"/>
                <w:szCs w:val="14"/>
                <w:color w:val="auto"/>
              </w:rPr>
              <w:t>Stockholders’ equity:</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163"/>
        </w:trPr>
        <w:tc>
          <w:tcPr>
            <w:tcW w:w="7640" w:type="dxa"/>
            <w:vAlign w:val="bottom"/>
            <w:shd w:val="clear" w:color="auto" w:fill="CCEEFF"/>
          </w:tcPr>
          <w:p>
            <w:pPr>
              <w:ind w:left="500"/>
              <w:spacing w:after="0"/>
              <w:rPr>
                <w:sz w:val="20"/>
                <w:szCs w:val="20"/>
                <w:color w:val="auto"/>
              </w:rPr>
            </w:pPr>
            <w:r>
              <w:rPr>
                <w:rFonts w:ascii="Arial" w:cs="Arial" w:eastAsia="Arial" w:hAnsi="Arial"/>
                <w:sz w:val="14"/>
                <w:szCs w:val="14"/>
                <w:color w:val="auto"/>
                <w:w w:val="97"/>
              </w:rPr>
              <w:t>Class A Non-voting Common Stock, par value $.01 per share; shares authorized: 100 million; issued and outstanding:</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94"/>
        </w:trPr>
        <w:tc>
          <w:tcPr>
            <w:tcW w:w="76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52,097,590 as of March 31, 2020; 52,475,070 as of March 31, 2019; and 52,565,064 as of September 30, 2019</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521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526</w:t>
            </w:r>
          </w:p>
        </w:tc>
      </w:tr>
      <w:tr>
        <w:trPr>
          <w:trHeight w:val="157"/>
        </w:trPr>
        <w:tc>
          <w:tcPr>
            <w:tcW w:w="7640" w:type="dxa"/>
            <w:vAlign w:val="bottom"/>
          </w:tcPr>
          <w:p>
            <w:pPr>
              <w:ind w:left="500"/>
              <w:spacing w:after="0" w:line="157" w:lineRule="exact"/>
              <w:rPr>
                <w:sz w:val="20"/>
                <w:szCs w:val="20"/>
                <w:color w:val="auto"/>
              </w:rPr>
            </w:pPr>
            <w:r>
              <w:rPr>
                <w:rFonts w:ascii="Arial" w:cs="Arial" w:eastAsia="Arial" w:hAnsi="Arial"/>
                <w:sz w:val="14"/>
                <w:szCs w:val="14"/>
                <w:color w:val="auto"/>
                <w:w w:val="93"/>
              </w:rPr>
              <w:t>Class B Voting Common Stock, convertible, par value $.01 per share; shares authorized: 3 million; issued and outstanding:</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8"/>
        </w:trPr>
        <w:tc>
          <w:tcPr>
            <w:tcW w:w="7640" w:type="dxa"/>
            <w:vAlign w:val="bottom"/>
          </w:tcPr>
          <w:p>
            <w:pPr>
              <w:ind w:left="500"/>
              <w:spacing w:after="0"/>
              <w:rPr>
                <w:sz w:val="20"/>
                <w:szCs w:val="20"/>
                <w:color w:val="auto"/>
              </w:rPr>
            </w:pPr>
            <w:r>
              <w:rPr>
                <w:rFonts w:ascii="Arial" w:cs="Arial" w:eastAsia="Arial" w:hAnsi="Arial"/>
                <w:sz w:val="14"/>
                <w:szCs w:val="14"/>
                <w:color w:val="auto"/>
              </w:rPr>
              <w:t>2,970,171</w:t>
            </w:r>
          </w:p>
        </w:tc>
        <w:tc>
          <w:tcPr>
            <w:tcW w:w="200" w:type="dxa"/>
            <w:vAlign w:val="bottom"/>
          </w:tcPr>
          <w:p>
            <w:pPr>
              <w:spacing w:after="0"/>
              <w:rPr>
                <w:sz w:val="16"/>
                <w:szCs w:val="16"/>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30</w:t>
            </w:r>
          </w:p>
        </w:tc>
      </w:tr>
      <w:tr>
        <w:trPr>
          <w:trHeight w:val="276"/>
        </w:trPr>
        <w:tc>
          <w:tcPr>
            <w:tcW w:w="76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Additional paid-in capital</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406,171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402,505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407,628</w:t>
            </w:r>
          </w:p>
        </w:tc>
      </w:tr>
      <w:tr>
        <w:trPr>
          <w:trHeight w:val="264"/>
        </w:trPr>
        <w:tc>
          <w:tcPr>
            <w:tcW w:w="7640" w:type="dxa"/>
            <w:vAlign w:val="bottom"/>
          </w:tcPr>
          <w:p>
            <w:pPr>
              <w:ind w:left="500"/>
              <w:spacing w:after="0"/>
              <w:rPr>
                <w:sz w:val="20"/>
                <w:szCs w:val="20"/>
                <w:color w:val="auto"/>
              </w:rPr>
            </w:pPr>
            <w:r>
              <w:rPr>
                <w:rFonts w:ascii="Arial" w:cs="Arial" w:eastAsia="Arial" w:hAnsi="Arial"/>
                <w:sz w:val="14"/>
                <w:szCs w:val="14"/>
                <w:color w:val="auto"/>
              </w:rPr>
              <w:t>Retained earnings</w:t>
            </w:r>
          </w:p>
        </w:tc>
        <w:tc>
          <w:tcPr>
            <w:tcW w:w="20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347,004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386,650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389,163</w:t>
            </w:r>
          </w:p>
        </w:tc>
      </w:tr>
      <w:tr>
        <w:trPr>
          <w:trHeight w:val="270"/>
        </w:trPr>
        <w:tc>
          <w:tcPr>
            <w:tcW w:w="76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(76,173)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(49,950)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(52,398)</w:t>
            </w:r>
          </w:p>
        </w:tc>
      </w:tr>
      <w:tr>
        <w:trPr>
          <w:trHeight w:val="250"/>
        </w:trPr>
        <w:tc>
          <w:tcPr>
            <w:tcW w:w="764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equity</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677,553</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739,759</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744,949</w:t>
            </w:r>
          </w:p>
        </w:tc>
      </w:tr>
      <w:tr>
        <w:trPr>
          <w:trHeight w:val="243"/>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liabilities and equity</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1,213,132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1,253,115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1,083,702</w:t>
            </w:r>
          </w:p>
        </w:tc>
      </w:tr>
      <w:tr>
        <w:trPr>
          <w:trHeight w:val="20"/>
        </w:trPr>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ectPr>
          <w:pgSz w:w="11900" w:h="16838" w:orient="portrait"/>
          <w:cols w:equalWidth="0" w:num="1">
            <w:col w:w="11240"/>
          </w:cols>
          <w:pgMar w:left="320" w:top="121" w:right="3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6"/>
                <w:szCs w:val="16"/>
                <w:color w:val="auto"/>
              </w:rPr>
            </w:pPr>
          </w:p>
        </w:tc>
        <w:tc>
          <w:tcPr>
            <w:tcW w:w="2300" w:type="dxa"/>
            <w:vAlign w:val="bottom"/>
            <w:gridSpan w:val="4"/>
          </w:tcPr>
          <w:p>
            <w:pPr>
              <w:jc w:val="right"/>
              <w:ind w:right="279"/>
              <w:spacing w:after="0"/>
              <w:rPr>
                <w:sz w:val="20"/>
                <w:szCs w:val="20"/>
                <w:color w:val="auto"/>
              </w:rPr>
            </w:pPr>
            <w:r>
              <w:rPr>
                <w:rFonts w:ascii="Arial" w:cs="Arial" w:eastAsia="Arial" w:hAnsi="Arial"/>
                <w:sz w:val="14"/>
                <w:szCs w:val="14"/>
                <w:b w:val="1"/>
                <w:bCs w:val="1"/>
                <w:color w:val="auto"/>
              </w:rPr>
              <w:t>Six Months Ended March 31,</w:t>
            </w:r>
          </w:p>
        </w:tc>
      </w:tr>
      <w:tr>
        <w:trPr>
          <w:trHeight w:val="263"/>
        </w:trPr>
        <w:tc>
          <w:tcPr>
            <w:tcW w:w="55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r>
      <w:tr>
        <w:trPr>
          <w:trHeight w:val="379"/>
        </w:trPr>
        <w:tc>
          <w:tcPr>
            <w:tcW w:w="5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8"/>
        </w:trPr>
        <w:tc>
          <w:tcPr>
            <w:tcW w:w="5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6"/>
          </w:tcPr>
          <w:p>
            <w:pPr>
              <w:ind w:left="80"/>
              <w:spacing w:after="0"/>
              <w:rPr>
                <w:sz w:val="20"/>
                <w:szCs w:val="20"/>
                <w:color w:val="auto"/>
              </w:rPr>
            </w:pPr>
            <w:r>
              <w:rPr>
                <w:rFonts w:ascii="Arial" w:cs="Arial" w:eastAsia="Arial" w:hAnsi="Arial"/>
                <w:sz w:val="14"/>
                <w:szCs w:val="14"/>
                <w:i w:val="1"/>
                <w:iCs w:val="1"/>
                <w:color w:val="auto"/>
              </w:rPr>
              <w:t>(in thousands, except per share amounts)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6"/>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37"/>
        </w:trPr>
        <w:tc>
          <w:tcPr>
            <w:tcW w:w="552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129,830</w:t>
            </w:r>
          </w:p>
        </w:tc>
        <w:tc>
          <w:tcPr>
            <w:tcW w:w="120" w:type="dxa"/>
            <w:vAlign w:val="bottom"/>
          </w:tcPr>
          <w:p>
            <w:pPr>
              <w:spacing w:after="0"/>
              <w:rPr>
                <w:sz w:val="20"/>
                <w:szCs w:val="20"/>
                <w:color w:val="auto"/>
              </w:rPr>
            </w:pP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121,260</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256,558</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242,284</w:t>
            </w:r>
          </w:p>
        </w:tc>
      </w:tr>
      <w:tr>
        <w:trPr>
          <w:trHeight w:val="33"/>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21,406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19,661</w:t>
            </w:r>
          </w:p>
        </w:tc>
      </w:tr>
      <w:tr>
        <w:trPr>
          <w:trHeight w:val="237"/>
        </w:trPr>
        <w:tc>
          <w:tcPr>
            <w:tcW w:w="552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3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80,222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81,799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164,947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165,318</w:t>
            </w:r>
          </w:p>
        </w:tc>
      </w:tr>
      <w:tr>
        <w:trPr>
          <w:trHeight w:val="33"/>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revenues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2,807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3,162</w:t>
            </w:r>
          </w:p>
        </w:tc>
      </w:tr>
      <w:tr>
        <w:trPr>
          <w:trHeight w:val="217"/>
        </w:trPr>
        <w:tc>
          <w:tcPr>
            <w:tcW w:w="552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223,283</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214,730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445,718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430,425</w:t>
            </w:r>
          </w:p>
        </w:tc>
      </w:tr>
      <w:tr>
        <w:trPr>
          <w:trHeight w:val="33"/>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Merchandise cost of goods sold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85,776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77,800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169,852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154,912</w:t>
            </w: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Jewelry scrapping cost of goods sold</w:t>
            </w:r>
          </w:p>
        </w:tc>
        <w:tc>
          <w:tcPr>
            <w:tcW w:w="3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9,617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8,833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17,371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16,883</w:t>
            </w:r>
          </w:p>
        </w:tc>
      </w:tr>
      <w:tr>
        <w:trPr>
          <w:trHeight w:val="33"/>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cost of revenues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891</w:t>
            </w:r>
          </w:p>
        </w:tc>
      </w:tr>
      <w:tr>
        <w:trPr>
          <w:trHeight w:val="217"/>
        </w:trPr>
        <w:tc>
          <w:tcPr>
            <w:tcW w:w="5520" w:type="dxa"/>
            <w:vAlign w:val="bottom"/>
          </w:tcPr>
          <w:p>
            <w:pPr>
              <w:ind w:left="500"/>
              <w:spacing w:after="0"/>
              <w:rPr>
                <w:sz w:val="20"/>
                <w:szCs w:val="20"/>
                <w:color w:val="auto"/>
              </w:rPr>
            </w:pPr>
            <w:r>
              <w:rPr>
                <w:rFonts w:ascii="Arial" w:cs="Arial" w:eastAsia="Arial" w:hAnsi="Arial"/>
                <w:sz w:val="16"/>
                <w:szCs w:val="16"/>
                <w:color w:val="auto"/>
              </w:rPr>
              <w:t>Net revenues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127,365</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127,690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257,434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257,739</w:t>
            </w:r>
          </w:p>
        </w:tc>
      </w:tr>
      <w:tr>
        <w:trPr>
          <w:trHeight w:val="33"/>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520" w:type="dxa"/>
            <w:vAlign w:val="bottom"/>
          </w:tcPr>
          <w:p>
            <w:pPr>
              <w:ind w:left="280"/>
              <w:spacing w:after="0"/>
              <w:rPr>
                <w:sz w:val="20"/>
                <w:szCs w:val="20"/>
                <w:color w:val="auto"/>
              </w:rPr>
            </w:pPr>
            <w:r>
              <w:rPr>
                <w:rFonts w:ascii="Arial" w:cs="Arial" w:eastAsia="Arial" w:hAnsi="Arial"/>
                <w:sz w:val="16"/>
                <w:szCs w:val="16"/>
                <w:color w:val="auto"/>
              </w:rPr>
              <w:t>Operations</w:t>
            </w:r>
          </w:p>
        </w:tc>
        <w:tc>
          <w:tcPr>
            <w:tcW w:w="3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88,372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89,766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178,997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180,642</w:t>
            </w:r>
          </w:p>
        </w:tc>
      </w:tr>
      <w:tr>
        <w:trPr>
          <w:trHeight w:val="33"/>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14,964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32,109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28,129</w:t>
            </w:r>
          </w:p>
        </w:tc>
      </w:tr>
      <w:tr>
        <w:trPr>
          <w:trHeight w:val="237"/>
        </w:trPr>
        <w:tc>
          <w:tcPr>
            <w:tcW w:w="5520" w:type="dxa"/>
            <w:vAlign w:val="bottom"/>
          </w:tcPr>
          <w:p>
            <w:pPr>
              <w:ind w:left="280"/>
              <w:spacing w:after="0"/>
              <w:rPr>
                <w:sz w:val="20"/>
                <w:szCs w:val="20"/>
                <w:color w:val="auto"/>
              </w:rPr>
            </w:pPr>
            <w:r>
              <w:rPr>
                <w:rFonts w:ascii="Arial" w:cs="Arial" w:eastAsia="Arial" w:hAnsi="Arial"/>
                <w:sz w:val="16"/>
                <w:szCs w:val="16"/>
                <w:color w:val="auto"/>
              </w:rPr>
              <w:t>Impairment of goodwill and intangible assets</w:t>
            </w:r>
          </w:p>
        </w:tc>
        <w:tc>
          <w:tcPr>
            <w:tcW w:w="3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47,060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47,060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15,495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13,860</w:t>
            </w:r>
          </w:p>
        </w:tc>
      </w:tr>
      <w:tr>
        <w:trPr>
          <w:trHeight w:val="237"/>
        </w:trPr>
        <w:tc>
          <w:tcPr>
            <w:tcW w:w="5520" w:type="dxa"/>
            <w:vAlign w:val="bottom"/>
          </w:tcPr>
          <w:p>
            <w:pPr>
              <w:ind w:left="280"/>
              <w:spacing w:after="0"/>
              <w:rPr>
                <w:sz w:val="20"/>
                <w:szCs w:val="20"/>
                <w:color w:val="auto"/>
              </w:rPr>
            </w:pPr>
            <w:r>
              <w:rPr>
                <w:rFonts w:ascii="Arial" w:cs="Arial" w:eastAsia="Arial" w:hAnsi="Arial"/>
                <w:sz w:val="16"/>
                <w:szCs w:val="16"/>
                <w:color w:val="auto"/>
              </w:rPr>
              <w:t>Loss (gain) on sale or disposal of assets and other</w:t>
            </w:r>
          </w:p>
        </w:tc>
        <w:tc>
          <w:tcPr>
            <w:tcW w:w="3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3,619</w:t>
            </w:r>
          </w:p>
        </w:tc>
      </w:tr>
      <w:tr>
        <w:trPr>
          <w:trHeight w:val="33"/>
        </w:trPr>
        <w:tc>
          <w:tcPr>
            <w:tcW w:w="5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158,075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110,919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274,666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226,250</w:t>
            </w:r>
          </w:p>
        </w:tc>
      </w:tr>
      <w:tr>
        <w:trPr>
          <w:trHeight w:val="217"/>
        </w:trPr>
        <w:tc>
          <w:tcPr>
            <w:tcW w:w="5520" w:type="dxa"/>
            <w:vAlign w:val="bottom"/>
          </w:tcPr>
          <w:p>
            <w:pPr>
              <w:ind w:left="720"/>
              <w:spacing w:after="0"/>
              <w:rPr>
                <w:sz w:val="20"/>
                <w:szCs w:val="20"/>
                <w:color w:val="auto"/>
              </w:rPr>
            </w:pPr>
            <w:r>
              <w:rPr>
                <w:rFonts w:ascii="Arial" w:cs="Arial" w:eastAsia="Arial" w:hAnsi="Arial"/>
                <w:sz w:val="16"/>
                <w:szCs w:val="16"/>
                <w:color w:val="auto"/>
              </w:rPr>
              <w:t>Operating (loss) income</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(30,710)</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16,771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(17,232)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31,489</w:t>
            </w:r>
          </w:p>
        </w:tc>
      </w:tr>
      <w:tr>
        <w:trPr>
          <w:trHeight w:val="33"/>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17,380</w:t>
            </w: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(941)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(1,784)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(6,465)</w:t>
            </w:r>
          </w:p>
        </w:tc>
      </w:tr>
      <w:tr>
        <w:trPr>
          <w:trHeight w:val="33"/>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 loss of unconsolidated affiliates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688</w:t>
            </w: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Impairment of investment in unconsolidated affiliates</w:t>
            </w:r>
          </w:p>
        </w:tc>
        <w:tc>
          <w:tcPr>
            <w:tcW w:w="3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6,451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19,725</w:t>
            </w:r>
          </w:p>
        </w:tc>
      </w:tr>
      <w:tr>
        <w:trPr>
          <w:trHeight w:val="33"/>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17"/>
        </w:trPr>
        <w:tc>
          <w:tcPr>
            <w:tcW w:w="5520" w:type="dxa"/>
            <w:vAlign w:val="bottom"/>
          </w:tcPr>
          <w:p>
            <w:pPr>
              <w:ind w:left="40"/>
              <w:spacing w:after="0"/>
              <w:rPr>
                <w:sz w:val="20"/>
                <w:szCs w:val="20"/>
                <w:color w:val="auto"/>
              </w:rPr>
            </w:pPr>
            <w:r>
              <w:rPr>
                <w:rFonts w:ascii="Arial" w:cs="Arial" w:eastAsia="Arial" w:hAnsi="Arial"/>
                <w:sz w:val="16"/>
                <w:szCs w:val="16"/>
                <w:color w:val="auto"/>
              </w:rPr>
              <w:t>(Loss) income from continuing operations before income taxes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(34,105)</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5,019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(31,081)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278</w:t>
            </w:r>
          </w:p>
        </w:tc>
      </w:tr>
      <w:tr>
        <w:trPr>
          <w:trHeight w:val="33"/>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6,749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1,279</w:t>
            </w:r>
          </w:p>
        </w:tc>
      </w:tr>
      <w:tr>
        <w:trPr>
          <w:trHeight w:val="217"/>
        </w:trPr>
        <w:tc>
          <w:tcPr>
            <w:tcW w:w="5520" w:type="dxa"/>
            <w:vAlign w:val="bottom"/>
          </w:tcPr>
          <w:p>
            <w:pPr>
              <w:ind w:left="40"/>
              <w:spacing w:after="0"/>
              <w:rPr>
                <w:sz w:val="20"/>
                <w:szCs w:val="20"/>
                <w:color w:val="auto"/>
              </w:rPr>
            </w:pPr>
            <w:r>
              <w:rPr>
                <w:rFonts w:ascii="Arial" w:cs="Arial" w:eastAsia="Arial" w:hAnsi="Arial"/>
                <w:sz w:val="16"/>
                <w:szCs w:val="16"/>
                <w:color w:val="auto"/>
              </w:rPr>
              <w:t>(Loss) income from continuing operations, net of tax</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(40,854)</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2,659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(39,589)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(1,001)</w:t>
            </w:r>
          </w:p>
        </w:tc>
      </w:tr>
      <w:tr>
        <w:trPr>
          <w:trHeight w:val="33"/>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17"/>
        </w:trPr>
        <w:tc>
          <w:tcPr>
            <w:tcW w:w="552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(40,874)</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2,641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(39,636)</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(1,202)</w:t>
            </w:r>
          </w:p>
        </w:tc>
      </w:tr>
      <w:tr>
        <w:trPr>
          <w:trHeight w:val="33"/>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noncontrolling interest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(1,230)</w:t>
            </w:r>
          </w:p>
        </w:tc>
      </w:tr>
      <w:tr>
        <w:trPr>
          <w:trHeight w:val="283"/>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income attributable to EZCORP, Inc.</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(40,874)</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3,394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(39,636)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w:t>
            </w:r>
          </w:p>
        </w:tc>
      </w:tr>
      <w:tr>
        <w:trPr>
          <w:trHeight w:val="257"/>
        </w:trPr>
        <w:tc>
          <w:tcPr>
            <w:tcW w:w="55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20"/>
        </w:trPr>
        <w:tc>
          <w:tcPr>
            <w:tcW w:w="5520" w:type="dxa"/>
            <w:vAlign w:val="bottom"/>
          </w:tcPr>
          <w:p>
            <w:pPr>
              <w:ind w:left="40"/>
              <w:spacing w:after="0"/>
              <w:rPr>
                <w:sz w:val="20"/>
                <w:szCs w:val="20"/>
                <w:color w:val="auto"/>
              </w:rPr>
            </w:pPr>
            <w:r>
              <w:rPr>
                <w:rFonts w:ascii="Arial" w:cs="Arial" w:eastAsia="Arial" w:hAnsi="Arial"/>
                <w:sz w:val="16"/>
                <w:szCs w:val="16"/>
                <w:color w:val="auto"/>
              </w:rPr>
              <w:t>Basic (loss) earnings per share attributable to EZCORP, Inc. — continuing</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552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(0.74)</w:t>
            </w:r>
          </w:p>
        </w:tc>
        <w:tc>
          <w:tcPr>
            <w:tcW w:w="120" w:type="dxa"/>
            <w:vAlign w:val="bottom"/>
          </w:tcPr>
          <w:p>
            <w:pPr>
              <w:spacing w:after="0"/>
              <w:rPr>
                <w:sz w:val="17"/>
                <w:szCs w:val="17"/>
                <w:color w:val="auto"/>
              </w:rPr>
            </w:pP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(0.71)</w:t>
            </w:r>
          </w:p>
        </w:tc>
        <w:tc>
          <w:tcPr>
            <w:tcW w:w="10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(loss) earnings per share attributable to EZCORP, Inc. — continuing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operations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(0.74)</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basic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55,448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55,445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55,557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55,236</w:t>
            </w: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Weighted-average diluted shares outstanding</w:t>
            </w:r>
          </w:p>
        </w:tc>
        <w:tc>
          <w:tcPr>
            <w:tcW w:w="3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55,522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55,463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55,608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55,247</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(LOSS) INCOME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Pr>
          <w:p>
            <w:pPr>
              <w:spacing w:after="0"/>
              <w:rPr>
                <w:sz w:val="16"/>
                <w:szCs w:val="16"/>
                <w:color w:val="auto"/>
              </w:rPr>
            </w:pPr>
          </w:p>
        </w:tc>
        <w:tc>
          <w:tcPr>
            <w:tcW w:w="2360" w:type="dxa"/>
            <w:vAlign w:val="bottom"/>
            <w:gridSpan w:val="4"/>
          </w:tcPr>
          <w:p>
            <w:pPr>
              <w:jc w:val="right"/>
              <w:ind w:right="401"/>
              <w:spacing w:after="0"/>
              <w:rPr>
                <w:sz w:val="20"/>
                <w:szCs w:val="20"/>
                <w:color w:val="auto"/>
              </w:rPr>
            </w:pPr>
            <w:r>
              <w:rPr>
                <w:rFonts w:ascii="Arial" w:cs="Arial" w:eastAsia="Arial" w:hAnsi="Arial"/>
                <w:sz w:val="14"/>
                <w:szCs w:val="14"/>
                <w:b w:val="1"/>
                <w:bCs w:val="1"/>
                <w:color w:val="auto"/>
                <w:w w:val="97"/>
              </w:rPr>
              <w:t>Six Months Ended March 31,</w:t>
            </w:r>
          </w:p>
        </w:tc>
      </w:tr>
      <w:tr>
        <w:trPr>
          <w:trHeight w:val="263"/>
        </w:trPr>
        <w:tc>
          <w:tcPr>
            <w:tcW w:w="55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r>
      <w:tr>
        <w:trPr>
          <w:trHeight w:val="379"/>
        </w:trPr>
        <w:tc>
          <w:tcPr>
            <w:tcW w:w="5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8"/>
        </w:trPr>
        <w:tc>
          <w:tcPr>
            <w:tcW w:w="5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6"/>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(40,874)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2,641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(39,636)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(1,202)</w:t>
            </w: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0"/>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5"/>
              </w:rPr>
              <w:t>Foreign currency translation loss, net of income tax benefit for our investment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03"/>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3"/>
              </w:rPr>
              <w:t>in unconsolidated affiliate of $517 and $380 for the three and six months ended</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4"/>
              </w:rPr>
              <w:t>March 31, 2020, respectively, and $602 and $515 for the three and six months</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9"/>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ended March 31, 2019.</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(29,846)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(23,775)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(7,594)</w:t>
            </w:r>
          </w:p>
        </w:tc>
      </w:tr>
      <w:tr>
        <w:trPr>
          <w:trHeight w:val="217"/>
        </w:trPr>
        <w:tc>
          <w:tcPr>
            <w:tcW w:w="5520" w:type="dxa"/>
            <w:vAlign w:val="bottom"/>
          </w:tcPr>
          <w:p>
            <w:pPr>
              <w:ind w:left="40"/>
              <w:spacing w:after="0"/>
              <w:rPr>
                <w:sz w:val="20"/>
                <w:szCs w:val="20"/>
                <w:color w:val="auto"/>
              </w:rPr>
            </w:pPr>
            <w:r>
              <w:rPr>
                <w:rFonts w:ascii="Arial" w:cs="Arial" w:eastAsia="Arial" w:hAnsi="Arial"/>
                <w:sz w:val="16"/>
                <w:szCs w:val="16"/>
                <w:color w:val="auto"/>
              </w:rPr>
              <w:t>Comprehensive (loss) income</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(70,720)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1,430</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(63,411)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(8,796)</w:t>
            </w:r>
          </w:p>
        </w:tc>
      </w:tr>
      <w:tr>
        <w:trPr>
          <w:trHeight w:val="33"/>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attributable to 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(1,230)</w:t>
            </w:r>
          </w:p>
        </w:tc>
      </w:tr>
      <w:tr>
        <w:trPr>
          <w:trHeight w:val="243"/>
        </w:trPr>
        <w:tc>
          <w:tcPr>
            <w:tcW w:w="5520" w:type="dxa"/>
            <w:vAlign w:val="bottom"/>
          </w:tcPr>
          <w:p>
            <w:pPr>
              <w:ind w:left="40"/>
              <w:spacing w:after="0"/>
              <w:rPr>
                <w:sz w:val="20"/>
                <w:szCs w:val="20"/>
                <w:color w:val="auto"/>
              </w:rPr>
            </w:pPr>
            <w:r>
              <w:rPr>
                <w:rFonts w:ascii="Arial" w:cs="Arial" w:eastAsia="Arial" w:hAnsi="Arial"/>
                <w:sz w:val="16"/>
                <w:szCs w:val="16"/>
                <w:color w:val="auto"/>
              </w:rPr>
              <w:t>Comprehensive (loss) income attributable to EZCORP, Inc.</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(70,720)</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2,183</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(63,411)</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(7,566)</w:t>
            </w:r>
          </w:p>
        </w:tc>
      </w:tr>
      <w:tr>
        <w:trPr>
          <w:trHeight w:val="20"/>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980" w:type="dxa"/>
            <w:vAlign w:val="bottom"/>
            <w:gridSpan w:val="7"/>
          </w:tcPr>
          <w:p>
            <w:pPr>
              <w:ind w:left="48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9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right"/>
              <w:ind w:right="184"/>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3"/>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4"/>
              </w:rPr>
              <w:t>Paid-in</w:t>
            </w:r>
          </w:p>
        </w:tc>
        <w:tc>
          <w:tcPr>
            <w:tcW w:w="80" w:type="dxa"/>
            <w:vAlign w:val="bottom"/>
            <w:vMerge w:val="restart"/>
          </w:tcPr>
          <w:p>
            <w:pPr>
              <w:spacing w:after="0"/>
              <w:rPr>
                <w:sz w:val="4"/>
                <w:szCs w:val="4"/>
                <w:color w:val="auto"/>
              </w:rPr>
            </w:pPr>
          </w:p>
        </w:tc>
        <w:tc>
          <w:tcPr>
            <w:tcW w:w="900" w:type="dxa"/>
            <w:vAlign w:val="bottom"/>
            <w:gridSpan w:val="3"/>
            <w:vMerge w:val="restart"/>
          </w:tcPr>
          <w:p>
            <w:pPr>
              <w:jc w:val="right"/>
              <w:ind w:right="188"/>
              <w:spacing w:after="0" w:line="139"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vMerge w:val="restart"/>
          </w:tcPr>
          <w:p>
            <w:pPr>
              <w:jc w:val="right"/>
              <w:ind w:right="41"/>
              <w:spacing w:after="0" w:line="13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gridSpan w:val="3"/>
            <w:vMerge w:val="restart"/>
          </w:tcPr>
          <w:p>
            <w:pPr>
              <w:ind w:left="20"/>
              <w:spacing w:after="0" w:line="139" w:lineRule="exact"/>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660" w:type="dxa"/>
            <w:vAlign w:val="bottom"/>
          </w:tcPr>
          <w:p>
            <w:pPr>
              <w:spacing w:after="0"/>
              <w:rPr>
                <w:sz w:val="5"/>
                <w:szCs w:val="5"/>
                <w:color w:val="auto"/>
              </w:rPr>
            </w:pPr>
          </w:p>
        </w:tc>
        <w:tc>
          <w:tcPr>
            <w:tcW w:w="8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120" w:type="dxa"/>
            <w:vAlign w:val="bottom"/>
            <w:gridSpan w:val="2"/>
            <w:vMerge w:val="restart"/>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3"/>
              </w:rPr>
              <w:t>Par Value</w:t>
            </w:r>
          </w:p>
        </w:tc>
        <w:tc>
          <w:tcPr>
            <w:tcW w:w="120" w:type="dxa"/>
            <w:vAlign w:val="bottom"/>
            <w:gridSpan w:val="2"/>
            <w:vMerge w:val="restart"/>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3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0"/>
              </w:rPr>
              <w:t>Comprehensive Loss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3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80" w:type="dxa"/>
            <w:vAlign w:val="bottom"/>
            <w:gridSpan w:val="14"/>
          </w:tcPr>
          <w:p>
            <w:pPr>
              <w:ind w:left="20"/>
              <w:spacing w:after="0"/>
              <w:rPr>
                <w:sz w:val="20"/>
                <w:szCs w:val="20"/>
                <w:color w:val="auto"/>
              </w:rPr>
            </w:pPr>
            <w:r>
              <w:rPr>
                <w:rFonts w:ascii="Arial" w:cs="Arial" w:eastAsia="Arial" w:hAnsi="Arial"/>
                <w:sz w:val="14"/>
                <w:szCs w:val="14"/>
                <w:b w:val="1"/>
                <w:bCs w:val="1"/>
                <w:color w:val="auto"/>
                <w:w w:val="91"/>
              </w:rPr>
              <w:t>(Unaudited, except balances as of September 30, 2018)</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5"/>
          </w:tcPr>
          <w:p>
            <w:pPr>
              <w:jc w:val="right"/>
              <w:ind w:right="621"/>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September 30, 2018</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54,585</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397,927</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6"/>
              </w:rPr>
              <w:t>386,622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(42,356)</w:t>
            </w:r>
          </w:p>
        </w:tc>
        <w:tc>
          <w:tcPr>
            <w:tcW w:w="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739,408</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Stock compensation</w:t>
            </w:r>
          </w:p>
        </w:tc>
        <w:tc>
          <w:tcPr>
            <w:tcW w:w="10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2,247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2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2,247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Release of restricted stock</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0"/>
        </w:trPr>
        <w:tc>
          <w:tcPr>
            <w:tcW w:w="3660" w:type="dxa"/>
            <w:vAlign w:val="bottom"/>
          </w:tcPr>
          <w:p>
            <w:pPr>
              <w:ind w:left="280"/>
              <w:spacing w:after="0"/>
              <w:rPr>
                <w:sz w:val="20"/>
                <w:szCs w:val="20"/>
                <w:color w:val="auto"/>
              </w:rPr>
            </w:pPr>
            <w:r>
              <w:rPr>
                <w:rFonts w:ascii="Arial" w:cs="Arial" w:eastAsia="Arial" w:hAnsi="Arial"/>
                <w:sz w:val="16"/>
                <w:szCs w:val="16"/>
                <w:color w:val="auto"/>
                <w:w w:val="92"/>
              </w:rPr>
              <w:t>Taxes paid related to net share settlement of equity</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280"/>
              <w:spacing w:after="0"/>
              <w:rPr>
                <w:sz w:val="20"/>
                <w:szCs w:val="20"/>
                <w:color w:val="auto"/>
              </w:rPr>
            </w:pPr>
            <w:r>
              <w:rPr>
                <w:rFonts w:ascii="Arial" w:cs="Arial" w:eastAsia="Arial" w:hAnsi="Arial"/>
                <w:sz w:val="16"/>
                <w:szCs w:val="16"/>
                <w:color w:val="auto"/>
              </w:rPr>
              <w:t>awards</w:t>
            </w:r>
          </w:p>
        </w:tc>
        <w:tc>
          <w:tcPr>
            <w:tcW w:w="10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(3,288)</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(3,288)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Transfer of subsidiary shares to noncontrolling</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w:t>
            </w: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3,195</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Foreign currency translation loss</w:t>
            </w:r>
          </w:p>
        </w:tc>
        <w:tc>
          <w:tcPr>
            <w:tcW w:w="10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2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(6,383)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(6,383)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w:t>
            </w: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(3,843)</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Balances as of December 31, 2018</w:t>
            </w: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55,445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554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400,081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gridSpan w:val="2"/>
          </w:tcPr>
          <w:p>
            <w:pPr>
              <w:jc w:val="right"/>
              <w:ind w:right="5"/>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96"/>
              </w:rPr>
              <w:t>383,256</w:t>
            </w:r>
          </w:p>
        </w:tc>
        <w:tc>
          <w:tcPr>
            <w:tcW w:w="100" w:type="dxa"/>
            <w:vAlign w:val="bottom"/>
          </w:tcPr>
          <w:p>
            <w:pPr>
              <w:spacing w:after="0"/>
              <w:rPr>
                <w:sz w:val="18"/>
                <w:szCs w:val="18"/>
                <w:color w:val="auto"/>
              </w:rPr>
            </w:pPr>
          </w:p>
        </w:tc>
        <w:tc>
          <w:tcPr>
            <w:tcW w:w="24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(48,739)</w:t>
            </w:r>
          </w:p>
        </w:tc>
        <w:tc>
          <w:tcPr>
            <w:tcW w:w="120" w:type="dxa"/>
            <w:vAlign w:val="bottom"/>
          </w:tcPr>
          <w:p>
            <w:pPr>
              <w:spacing w:after="0"/>
              <w:rPr>
                <w:sz w:val="18"/>
                <w:szCs w:val="18"/>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(7,003)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728,149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 compensation</w:t>
            </w: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2,424</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2,424</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Deconsolidation of subsidiary</w:t>
            </w:r>
          </w:p>
        </w:tc>
        <w:tc>
          <w:tcPr>
            <w:tcW w:w="10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2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7,756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7,756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loss</w:t>
            </w: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0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3,394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2,641</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March 31, 2019</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55,445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554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402,505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96"/>
              </w:rPr>
              <w:t>386,650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(49,950)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739,759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8"/>
          </w:tcPr>
          <w:p>
            <w:pPr>
              <w:ind w:left="3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2"/>
            <w:vMerge w:val="restart"/>
          </w:tcPr>
          <w:p>
            <w:pPr>
              <w:jc w:val="right"/>
              <w:ind w:right="148"/>
              <w:spacing w:after="0" w:line="13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vMerge w:val="restart"/>
          </w:tcPr>
          <w:p>
            <w:pPr>
              <w:jc w:val="right"/>
              <w:ind w:right="81"/>
              <w:spacing w:after="0" w:line="139" w:lineRule="exact"/>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vMerge w:val="restart"/>
          </w:tcPr>
          <w:p>
            <w:pPr>
              <w:jc w:val="center"/>
              <w:ind w:right="580"/>
              <w:spacing w:after="0" w:line="13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Par Value</w:t>
            </w:r>
          </w:p>
        </w:tc>
        <w:tc>
          <w:tcPr>
            <w:tcW w:w="4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6"/>
                <w:szCs w:val="16"/>
                <w:color w:val="auto"/>
              </w:rPr>
            </w:pPr>
          </w:p>
        </w:tc>
        <w:tc>
          <w:tcPr>
            <w:tcW w:w="13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0"/>
              </w:rPr>
              <w:t>Comprehensive Loss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3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16"/>
          </w:tcPr>
          <w:p>
            <w:pPr>
              <w:ind w:left="500"/>
              <w:spacing w:after="0"/>
              <w:rPr>
                <w:sz w:val="20"/>
                <w:szCs w:val="20"/>
                <w:color w:val="auto"/>
              </w:rPr>
            </w:pPr>
            <w:r>
              <w:rPr>
                <w:rFonts w:ascii="Arial" w:cs="Arial" w:eastAsia="Arial" w:hAnsi="Arial"/>
                <w:sz w:val="14"/>
                <w:szCs w:val="14"/>
                <w:b w:val="1"/>
                <w:bCs w:val="1"/>
                <w:color w:val="auto"/>
              </w:rPr>
              <w:t>(Unaudited, except balances as of September 30, 2019)</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gridSpan w:val="4"/>
          </w:tcPr>
          <w:p>
            <w:pPr>
              <w:jc w:val="right"/>
              <w:ind w:right="141"/>
              <w:spacing w:after="0"/>
              <w:rPr>
                <w:sz w:val="20"/>
                <w:szCs w:val="20"/>
                <w:color w:val="auto"/>
              </w:rPr>
            </w:pPr>
            <w:r>
              <w:rPr>
                <w:rFonts w:ascii="Arial" w:cs="Arial" w:eastAsia="Arial" w:hAnsi="Arial"/>
                <w:sz w:val="14"/>
                <w:szCs w:val="14"/>
                <w:i w:val="1"/>
                <w:iCs w:val="1"/>
                <w:color w:val="auto"/>
                <w:w w:val="94"/>
              </w:rPr>
              <w:t>(in thousands)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Balances as of September 30, 2019</w:t>
            </w: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55,535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407,628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389,163</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(52,398)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744,949</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Stock compensation</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1,695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1,695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Release of restricted stock</w:t>
            </w: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4660" w:type="dxa"/>
            <w:vAlign w:val="bottom"/>
            <w:gridSpan w:val="4"/>
          </w:tcPr>
          <w:p>
            <w:pPr>
              <w:ind w:left="280"/>
              <w:spacing w:after="0"/>
              <w:rPr>
                <w:sz w:val="20"/>
                <w:szCs w:val="20"/>
                <w:color w:val="auto"/>
              </w:rPr>
            </w:pPr>
            <w:r>
              <w:rPr>
                <w:rFonts w:ascii="Arial" w:cs="Arial" w:eastAsia="Arial" w:hAnsi="Arial"/>
                <w:sz w:val="16"/>
                <w:szCs w:val="16"/>
                <w:color w:val="auto"/>
              </w:rPr>
              <w:t>Taxes paid related to net share settlement of equity awards</w:t>
            </w:r>
          </w:p>
        </w:tc>
        <w:tc>
          <w:tcPr>
            <w:tcW w:w="120" w:type="dxa"/>
            <w:vAlign w:val="bottom"/>
          </w:tcPr>
          <w:p>
            <w:pPr>
              <w:spacing w:after="0"/>
              <w:rPr>
                <w:sz w:val="20"/>
                <w:szCs w:val="20"/>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(1,395)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(1,395)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gain</w:t>
            </w: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6,071</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Purchase and retirement of treasury stock</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(963)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8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1,238</w:t>
            </w:r>
          </w:p>
        </w:tc>
        <w:tc>
          <w:tcPr>
            <w:tcW w:w="0" w:type="dxa"/>
            <w:vAlign w:val="bottom"/>
          </w:tcPr>
          <w:p>
            <w:pPr>
              <w:spacing w:after="0"/>
              <w:rPr>
                <w:sz w:val="1"/>
                <w:szCs w:val="1"/>
                <w:color w:val="auto"/>
              </w:rPr>
            </w:pPr>
          </w:p>
        </w:tc>
      </w:tr>
      <w:tr>
        <w:trPr>
          <w:trHeight w:val="283"/>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Balances as of December 31, 2019</w:t>
            </w:r>
          </w:p>
        </w:tc>
        <w:tc>
          <w:tcPr>
            <w:tcW w:w="8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55,856</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559</w:t>
            </w:r>
          </w:p>
        </w:tc>
        <w:tc>
          <w:tcPr>
            <w:tcW w:w="6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407,440</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389,928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(46,327)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751,600</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 compensation</w:t>
            </w: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930</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Release of restricted stock</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4"/>
            <w:shd w:val="clear" w:color="auto" w:fill="CCEEFF"/>
          </w:tcPr>
          <w:p>
            <w:pPr>
              <w:ind w:left="280"/>
              <w:spacing w:after="0"/>
              <w:rPr>
                <w:sz w:val="20"/>
                <w:szCs w:val="20"/>
                <w:color w:val="auto"/>
              </w:rPr>
            </w:pPr>
            <w:r>
              <w:rPr>
                <w:rFonts w:ascii="Arial" w:cs="Arial" w:eastAsia="Arial" w:hAnsi="Arial"/>
                <w:sz w:val="16"/>
                <w:szCs w:val="16"/>
                <w:color w:val="auto"/>
              </w:rPr>
              <w:t>Taxes paid related to net share settlement of equity awards</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Foreign currency translation loss</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(29,846)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(29,846)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 and retirement of treasury stock</w:t>
            </w: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(4,195)</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Net loss</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(40,874)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(40,874)</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as of March 31, 2020</w:t>
            </w: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55,068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406,171</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347,004</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(76,173)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677,553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center"/>
              <w:ind w:right="239"/>
              <w:spacing w:after="0"/>
              <w:rPr>
                <w:sz w:val="20"/>
                <w:szCs w:val="20"/>
                <w:color w:val="auto"/>
              </w:rPr>
            </w:pPr>
            <w:r>
              <w:rPr>
                <w:rFonts w:ascii="Arial" w:cs="Arial" w:eastAsia="Arial" w:hAnsi="Arial"/>
                <w:sz w:val="14"/>
                <w:szCs w:val="14"/>
                <w:b w:val="1"/>
                <w:bCs w:val="1"/>
                <w:color w:val="auto"/>
                <w:w w:val="94"/>
              </w:rPr>
              <w:t>Six Months Ended March 31,</w:t>
            </w:r>
          </w:p>
        </w:tc>
      </w:tr>
      <w:tr>
        <w:trPr>
          <w:trHeight w:val="264"/>
        </w:trPr>
        <w:tc>
          <w:tcPr>
            <w:tcW w:w="8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379"/>
        </w:trPr>
        <w:tc>
          <w:tcPr>
            <w:tcW w:w="8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gridSpan w:val="3"/>
          </w:tcPr>
          <w:p>
            <w:pPr>
              <w:jc w:val="center"/>
              <w:ind w:left="560"/>
              <w:spacing w:after="0"/>
              <w:rPr>
                <w:sz w:val="20"/>
                <w:szCs w:val="20"/>
                <w:color w:val="auto"/>
              </w:rPr>
            </w:pPr>
            <w:r>
              <w:rPr>
                <w:rFonts w:ascii="Arial" w:cs="Arial" w:eastAsia="Arial" w:hAnsi="Arial"/>
                <w:sz w:val="14"/>
                <w:szCs w:val="14"/>
                <w:b w:val="1"/>
                <w:bCs w:val="1"/>
                <w:color w:val="auto"/>
                <w:w w:val="95"/>
              </w:rPr>
              <w:t>(Unaudited)</w:t>
            </w:r>
          </w:p>
        </w:tc>
        <w:tc>
          <w:tcPr>
            <w:tcW w:w="980" w:type="dxa"/>
            <w:vAlign w:val="bottom"/>
          </w:tcPr>
          <w:p>
            <w:pPr>
              <w:spacing w:after="0"/>
              <w:rPr>
                <w:sz w:val="24"/>
                <w:szCs w:val="24"/>
                <w:color w:val="auto"/>
              </w:rPr>
            </w:pPr>
          </w:p>
        </w:tc>
      </w:tr>
      <w:tr>
        <w:trPr>
          <w:trHeight w:val="209"/>
        </w:trPr>
        <w:tc>
          <w:tcPr>
            <w:tcW w:w="8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3"/>
          </w:tcPr>
          <w:p>
            <w:pPr>
              <w:jc w:val="center"/>
              <w:ind w:left="560"/>
              <w:spacing w:after="0"/>
              <w:rPr>
                <w:sz w:val="20"/>
                <w:szCs w:val="20"/>
                <w:color w:val="auto"/>
              </w:rPr>
            </w:pPr>
            <w:r>
              <w:rPr>
                <w:rFonts w:ascii="Arial" w:cs="Arial" w:eastAsia="Arial" w:hAnsi="Arial"/>
                <w:sz w:val="14"/>
                <w:szCs w:val="14"/>
                <w:i w:val="1"/>
                <w:iCs w:val="1"/>
                <w:color w:val="auto"/>
                <w:w w:val="92"/>
              </w:rPr>
              <w:t>(in thousands)</w:t>
            </w:r>
          </w:p>
        </w:tc>
        <w:tc>
          <w:tcPr>
            <w:tcW w:w="980" w:type="dxa"/>
            <w:vAlign w:val="bottom"/>
          </w:tcPr>
          <w:p>
            <w:pPr>
              <w:spacing w:after="0"/>
              <w:rPr>
                <w:sz w:val="18"/>
                <w:szCs w:val="18"/>
                <w:color w:val="auto"/>
              </w:rPr>
            </w:pPr>
          </w:p>
        </w:tc>
      </w:tr>
      <w:tr>
        <w:trPr>
          <w:trHeight w:val="256"/>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37"/>
        </w:trPr>
        <w:tc>
          <w:tcPr>
            <w:tcW w:w="8180" w:type="dxa"/>
            <w:vAlign w:val="bottom"/>
          </w:tcPr>
          <w:p>
            <w:pPr>
              <w:ind w:left="28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(39,636)</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(1,202)</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Adjustments to reconcile net loss to net 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818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15,495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13,860</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debt discount and deferred financing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6,493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11,225</w:t>
            </w:r>
          </w:p>
        </w:tc>
      </w:tr>
      <w:tr>
        <w:trPr>
          <w:trHeight w:val="237"/>
        </w:trPr>
        <w:tc>
          <w:tcPr>
            <w:tcW w:w="8180" w:type="dxa"/>
            <w:vAlign w:val="bottom"/>
          </w:tcPr>
          <w:p>
            <w:pPr>
              <w:ind w:left="720"/>
              <w:spacing w:after="0"/>
              <w:rPr>
                <w:sz w:val="20"/>
                <w:szCs w:val="20"/>
                <w:color w:val="auto"/>
              </w:rPr>
            </w:pPr>
            <w:r>
              <w:rPr>
                <w:rFonts w:ascii="Arial" w:cs="Arial" w:eastAsia="Arial" w:hAnsi="Arial"/>
                <w:sz w:val="16"/>
                <w:szCs w:val="16"/>
                <w:color w:val="auto"/>
              </w:rPr>
              <w:t>Amortization of lease right-of-use asset</w:t>
            </w: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22,752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Accretion of notes receivable discount and deferred compensation fee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(2,492)</w:t>
            </w:r>
          </w:p>
        </w:tc>
      </w:tr>
      <w:tr>
        <w:trPr>
          <w:trHeight w:val="237"/>
        </w:trPr>
        <w:tc>
          <w:tcPr>
            <w:tcW w:w="8180" w:type="dxa"/>
            <w:vAlign w:val="bottom"/>
          </w:tcPr>
          <w:p>
            <w:pPr>
              <w:ind w:left="72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(3,698)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358</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Impairment of goodwill and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47,060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8180" w:type="dxa"/>
            <w:vAlign w:val="bottom"/>
          </w:tcPr>
          <w:p>
            <w:pPr>
              <w:ind w:left="720"/>
              <w:spacing w:after="0"/>
              <w:rPr>
                <w:sz w:val="20"/>
                <w:szCs w:val="20"/>
                <w:color w:val="auto"/>
              </w:rPr>
            </w:pPr>
            <w:r>
              <w:rPr>
                <w:rFonts w:ascii="Arial" w:cs="Arial" w:eastAsia="Arial" w:hAnsi="Arial"/>
                <w:sz w:val="16"/>
                <w:szCs w:val="16"/>
                <w:color w:val="auto"/>
              </w:rPr>
              <w:t>Impairment of investment in unconsolidated affiliate</w:t>
            </w: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19,725</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1,265</w:t>
            </w:r>
          </w:p>
        </w:tc>
      </w:tr>
      <w:tr>
        <w:trPr>
          <w:trHeight w:val="237"/>
        </w:trPr>
        <w:tc>
          <w:tcPr>
            <w:tcW w:w="8180" w:type="dxa"/>
            <w:vAlign w:val="bottom"/>
          </w:tcPr>
          <w:p>
            <w:pPr>
              <w:ind w:left="720"/>
              <w:spacing w:after="0"/>
              <w:rPr>
                <w:sz w:val="20"/>
                <w:szCs w:val="20"/>
                <w:color w:val="auto"/>
              </w:rPr>
            </w:pPr>
            <w:r>
              <w:rPr>
                <w:rFonts w:ascii="Arial" w:cs="Arial" w:eastAsia="Arial" w:hAnsi="Arial"/>
                <w:sz w:val="16"/>
                <w:szCs w:val="16"/>
                <w:color w:val="auto"/>
              </w:rPr>
              <w:t>Reserve on jewelry scrap receivable</w:t>
            </w: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3,646</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4,697</w:t>
            </w:r>
          </w:p>
        </w:tc>
      </w:tr>
      <w:tr>
        <w:trPr>
          <w:trHeight w:val="237"/>
        </w:trPr>
        <w:tc>
          <w:tcPr>
            <w:tcW w:w="8180" w:type="dxa"/>
            <w:vAlign w:val="bottom"/>
          </w:tcPr>
          <w:p>
            <w:pPr>
              <w:ind w:left="720"/>
              <w:spacing w:after="0"/>
              <w:rPr>
                <w:sz w:val="20"/>
                <w:szCs w:val="20"/>
                <w:color w:val="auto"/>
              </w:rPr>
            </w:pPr>
            <w:r>
              <w:rPr>
                <w:rFonts w:ascii="Arial" w:cs="Arial" w:eastAsia="Arial" w:hAnsi="Arial"/>
                <w:sz w:val="16"/>
                <w:szCs w:val="16"/>
                <w:color w:val="auto"/>
              </w:rPr>
              <w:t>Loss from investment in unconsolidated affiliates</w:t>
            </w: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4,713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688</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operating assets and liabilities, net of business 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8180" w:type="dxa"/>
            <w:vAlign w:val="bottom"/>
          </w:tcPr>
          <w:p>
            <w:pPr>
              <w:ind w:left="500"/>
              <w:spacing w:after="0"/>
              <w:rPr>
                <w:sz w:val="20"/>
                <w:szCs w:val="20"/>
                <w:color w:val="auto"/>
              </w:rPr>
            </w:pPr>
            <w:r>
              <w:rPr>
                <w:rFonts w:ascii="Arial" w:cs="Arial" w:eastAsia="Arial" w:hAnsi="Arial"/>
                <w:sz w:val="16"/>
                <w:szCs w:val="16"/>
                <w:color w:val="auto"/>
              </w:rPr>
              <w:t>Service charges and fees receivable</w:t>
            </w: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4,027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3,797</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Inventory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421</w:t>
            </w:r>
          </w:p>
        </w:tc>
      </w:tr>
      <w:tr>
        <w:trPr>
          <w:trHeight w:val="237"/>
        </w:trPr>
        <w:tc>
          <w:tcPr>
            <w:tcW w:w="8180" w:type="dxa"/>
            <w:vAlign w:val="bottom"/>
          </w:tcPr>
          <w:p>
            <w:pPr>
              <w:ind w:left="500"/>
              <w:spacing w:after="0"/>
              <w:rPr>
                <w:sz w:val="20"/>
                <w:szCs w:val="20"/>
                <w:color w:val="auto"/>
              </w:rPr>
            </w:pPr>
            <w:r>
              <w:rPr>
                <w:rFonts w:ascii="Arial" w:cs="Arial" w:eastAsia="Arial" w:hAnsi="Arial"/>
                <w:sz w:val="16"/>
                <w:szCs w:val="16"/>
                <w:color w:val="auto"/>
              </w:rPr>
              <w:t>Prepaid expenses, other current assets and other assets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(2,791)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(3,590)</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 accrued expenses and other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(37,799)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w:t>
            </w:r>
          </w:p>
        </w:tc>
      </w:tr>
      <w:tr>
        <w:trPr>
          <w:trHeight w:val="237"/>
        </w:trPr>
        <w:tc>
          <w:tcPr>
            <w:tcW w:w="8180" w:type="dxa"/>
            <w:vAlign w:val="bottom"/>
          </w:tcPr>
          <w:p>
            <w:pPr>
              <w:ind w:left="500"/>
              <w:spacing w:after="0"/>
              <w:rPr>
                <w:sz w:val="20"/>
                <w:szCs w:val="20"/>
                <w:color w:val="auto"/>
              </w:rPr>
            </w:pPr>
            <w:r>
              <w:rPr>
                <w:rFonts w:ascii="Arial" w:cs="Arial" w:eastAsia="Arial" w:hAnsi="Arial"/>
                <w:sz w:val="16"/>
                <w:szCs w:val="16"/>
                <w:color w:val="auto"/>
              </w:rPr>
              <w:t>Customer layaway deposits</w:t>
            </w: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538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1,810</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(3,176)</w:t>
            </w:r>
          </w:p>
        </w:tc>
      </w:tr>
      <w:tr>
        <w:trPr>
          <w:trHeight w:val="217"/>
        </w:trPr>
        <w:tc>
          <w:tcPr>
            <w:tcW w:w="8180" w:type="dxa"/>
            <w:vAlign w:val="bottom"/>
          </w:tcPr>
          <w:p>
            <w:pPr>
              <w:ind w:left="8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21,271</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50,623</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8180" w:type="dxa"/>
            <w:vAlign w:val="bottom"/>
          </w:tcPr>
          <w:p>
            <w:pPr>
              <w:ind w:left="280"/>
              <w:spacing w:after="0"/>
              <w:rPr>
                <w:sz w:val="20"/>
                <w:szCs w:val="20"/>
                <w:color w:val="auto"/>
              </w:rPr>
            </w:pPr>
            <w:r>
              <w:rPr>
                <w:rFonts w:ascii="Arial" w:cs="Arial" w:eastAsia="Arial" w:hAnsi="Arial"/>
                <w:sz w:val="16"/>
                <w:szCs w:val="16"/>
                <w:color w:val="auto"/>
              </w:rPr>
              <w:t>Loans made</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(351,050)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(353,537)</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Loans repaid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229,054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225,695</w:t>
            </w:r>
          </w:p>
        </w:tc>
      </w:tr>
      <w:tr>
        <w:trPr>
          <w:trHeight w:val="237"/>
        </w:trPr>
        <w:tc>
          <w:tcPr>
            <w:tcW w:w="8180" w:type="dxa"/>
            <w:vAlign w:val="bottom"/>
          </w:tcPr>
          <w:p>
            <w:pPr>
              <w:ind w:left="28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158,792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142,656</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Additions to property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(12,160)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(13,863)</w:t>
            </w:r>
          </w:p>
        </w:tc>
      </w:tr>
      <w:tr>
        <w:trPr>
          <w:trHeight w:val="237"/>
        </w:trPr>
        <w:tc>
          <w:tcPr>
            <w:tcW w:w="8180" w:type="dxa"/>
            <w:vAlign w:val="bottom"/>
          </w:tcPr>
          <w:p>
            <w:pPr>
              <w:ind w:left="280"/>
              <w:spacing w:after="0"/>
              <w:rPr>
                <w:sz w:val="20"/>
                <w:szCs w:val="20"/>
                <w:color w:val="auto"/>
              </w:rPr>
            </w:pPr>
            <w:r>
              <w:rPr>
                <w:rFonts w:ascii="Arial" w:cs="Arial" w:eastAsia="Arial" w:hAnsi="Arial"/>
                <w:sz w:val="16"/>
                <w:szCs w:val="16"/>
                <w:color w:val="auto"/>
              </w:rPr>
              <w:t>Acquisitions, net of cash acquired</w:t>
            </w: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(627)</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Principal collections on notes receivable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4,000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14,591</w:t>
            </w:r>
          </w:p>
        </w:tc>
      </w:tr>
      <w:tr>
        <w:trPr>
          <w:trHeight w:val="217"/>
        </w:trPr>
        <w:tc>
          <w:tcPr>
            <w:tcW w:w="8180" w:type="dxa"/>
            <w:vAlign w:val="bottom"/>
          </w:tcPr>
          <w:p>
            <w:pPr>
              <w:ind w:left="820"/>
              <w:spacing w:after="0"/>
              <w:rPr>
                <w:sz w:val="20"/>
                <w:szCs w:val="20"/>
                <w:color w:val="auto"/>
              </w:rPr>
            </w:pPr>
            <w:r>
              <w:rPr>
                <w:rFonts w:ascii="Arial" w:cs="Arial" w:eastAsia="Arial" w:hAnsi="Arial"/>
                <w:sz w:val="16"/>
                <w:szCs w:val="16"/>
                <w:color w:val="auto"/>
              </w:rPr>
              <w:t>Net cash provided by investing activities</w:t>
            </w: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28,636</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14,915</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8180" w:type="dxa"/>
            <w:vAlign w:val="bottom"/>
          </w:tcPr>
          <w:p>
            <w:pPr>
              <w:ind w:left="280"/>
              <w:spacing w:after="0"/>
              <w:rPr>
                <w:sz w:val="20"/>
                <w:szCs w:val="20"/>
                <w:color w:val="auto"/>
              </w:rPr>
            </w:pPr>
            <w:r>
              <w:rPr>
                <w:rFonts w:ascii="Arial" w:cs="Arial" w:eastAsia="Arial" w:hAnsi="Arial"/>
                <w:sz w:val="16"/>
                <w:szCs w:val="16"/>
                <w:color w:val="auto"/>
              </w:rPr>
              <w:t>Taxes paid related to net share settlement of equity awards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(1,458)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(3,288)</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Payout of deferred consideration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8180" w:type="dxa"/>
            <w:vAlign w:val="bottom"/>
          </w:tcPr>
          <w:p>
            <w:pPr>
              <w:ind w:left="280"/>
              <w:spacing w:after="0"/>
              <w:rPr>
                <w:sz w:val="20"/>
                <w:szCs w:val="20"/>
                <w:color w:val="auto"/>
              </w:rPr>
            </w:pPr>
            <w:r>
              <w:rPr>
                <w:rFonts w:ascii="Arial" w:cs="Arial" w:eastAsia="Arial" w:hAnsi="Arial"/>
                <w:sz w:val="16"/>
                <w:szCs w:val="16"/>
                <w:color w:val="auto"/>
              </w:rPr>
              <w:t>Proceeds from borrowings, net of issuance costs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1,066</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on borrowings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w:t>
            </w:r>
          </w:p>
        </w:tc>
      </w:tr>
      <w:tr>
        <w:trPr>
          <w:trHeight w:val="237"/>
        </w:trPr>
        <w:tc>
          <w:tcPr>
            <w:tcW w:w="8180" w:type="dxa"/>
            <w:vAlign w:val="bottom"/>
          </w:tcPr>
          <w:p>
            <w:pPr>
              <w:ind w:left="280"/>
              <w:spacing w:after="0"/>
              <w:rPr>
                <w:sz w:val="20"/>
                <w:szCs w:val="20"/>
                <w:color w:val="auto"/>
              </w:rPr>
            </w:pPr>
            <w:r>
              <w:rPr>
                <w:rFonts w:ascii="Arial" w:cs="Arial" w:eastAsia="Arial" w:hAnsi="Arial"/>
                <w:sz w:val="16"/>
                <w:szCs w:val="16"/>
                <w:color w:val="auto"/>
              </w:rPr>
              <w:t>Repurchase of common stock</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(5,159)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(7,256)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(2,731)</w:t>
            </w:r>
          </w:p>
        </w:tc>
      </w:tr>
      <w:tr>
        <w:trPr>
          <w:trHeight w:val="237"/>
        </w:trPr>
        <w:tc>
          <w:tcPr>
            <w:tcW w:w="818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(7,364)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(599)</w:t>
            </w:r>
          </w:p>
        </w:tc>
      </w:tr>
      <w:tr>
        <w:trPr>
          <w:trHeight w:val="33"/>
        </w:trPr>
        <w:tc>
          <w:tcPr>
            <w:tcW w:w="8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cash equivalents and restricted cash</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35,287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62,208</w:t>
            </w:r>
          </w:p>
        </w:tc>
      </w:tr>
      <w:tr>
        <w:trPr>
          <w:trHeight w:val="237"/>
        </w:trPr>
        <w:tc>
          <w:tcPr>
            <w:tcW w:w="818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162,442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285,578</w:t>
            </w:r>
          </w:p>
        </w:tc>
      </w:tr>
      <w:tr>
        <w:trPr>
          <w:trHeight w:val="33"/>
        </w:trPr>
        <w:tc>
          <w:tcPr>
            <w:tcW w:w="8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end of period</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197,729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347,786</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09"/>
        </w:trPr>
        <w:tc>
          <w:tcPr>
            <w:tcW w:w="8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8180" w:type="dxa"/>
            <w:vAlign w:val="bottom"/>
          </w:tcPr>
          <w:p>
            <w:pPr>
              <w:ind w:left="280"/>
              <w:spacing w:after="0"/>
              <w:rPr>
                <w:sz w:val="20"/>
                <w:szCs w:val="20"/>
                <w:color w:val="auto"/>
              </w:rPr>
            </w:pPr>
            <w:r>
              <w:rPr>
                <w:rFonts w:ascii="Arial" w:cs="Arial" w:eastAsia="Arial" w:hAnsi="Arial"/>
                <w:sz w:val="16"/>
                <w:szCs w:val="16"/>
                <w:color w:val="auto"/>
              </w:rPr>
              <w:t>Pawn loans forfeited and transferred to inventory</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156,468</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151,211</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ectPr>
          <w:pgSz w:w="11900" w:h="16838" w:orient="portrait"/>
          <w:cols w:equalWidth="0" w:num="1">
            <w:col w:w="11220"/>
          </w:cols>
          <w:pgMar w:left="320" w:top="121" w:right="359" w:bottom="1440" w:gutter="0" w:footer="0" w:header="0"/>
        </w:sect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When used in this report, the terms “we,” “us,” “our,” “EZCORP” and the “Company” mean EZCORP, Inc. and its consolidated subsidiaries, collectively.</w:t>
      </w:r>
    </w:p>
    <w:p>
      <w:pPr>
        <w:spacing w:after="0" w:line="19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are a leading provider of pawn loans in the United States and Latin America. Pawn loans are non-recourse loans collateralized by tangible property. We also sell merchandise, primarily collateral forfeited from pawn lending operations and used merchandise purchased from customers, and operate a small number of financial services stores in Canada.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accompanying unaudited interim condensed consolidated financial statements have been prepared in accordance with accounting principles generally accepted in the United States (“GAAP”) for interim financial information and with the instructions to Form 10-Q and Article 10 of Regulation S-X. Accordingly, they do not include all the information and footnotes required by GAAP for complete financial statements. Our management has included all adjustments it considers necessary for a fair presentation and which are of a normal, recurring nature. All intercompany accounts and transactions have been eliminated in consolidation. Certain prior year amounts have been reclassified to conform to current year presentation.</w:t>
      </w:r>
    </w:p>
    <w:p>
      <w:pPr>
        <w:spacing w:after="0" w:line="107" w:lineRule="exact"/>
        <w:rPr>
          <w:sz w:val="20"/>
          <w:szCs w:val="20"/>
          <w:color w:val="auto"/>
        </w:rPr>
      </w:pPr>
    </w:p>
    <w:p>
      <w:pPr>
        <w:jc w:val="both"/>
        <w:ind w:right="140"/>
        <w:spacing w:after="0" w:line="286" w:lineRule="auto"/>
        <w:rPr>
          <w:rFonts w:ascii="Arial" w:cs="Arial" w:eastAsia="Arial" w:hAnsi="Arial"/>
          <w:sz w:val="17"/>
          <w:szCs w:val="17"/>
          <w:color w:val="0000EE"/>
        </w:rPr>
      </w:pPr>
      <w:hyperlink r:id="rId13">
        <w:r>
          <w:rPr>
            <w:rFonts w:ascii="Arial" w:cs="Arial" w:eastAsia="Arial" w:hAnsi="Arial"/>
            <w:sz w:val="17"/>
            <w:szCs w:val="17"/>
            <w:color w:val="auto"/>
          </w:rPr>
          <w:t xml:space="preserve">The accompanying financial statements should be read in conjunction with the consolidated financial statements and notes included in our </w:t>
        </w:r>
        <w:r>
          <w:rPr>
            <w:rFonts w:ascii="Arial" w:cs="Arial" w:eastAsia="Arial" w:hAnsi="Arial"/>
            <w:sz w:val="17"/>
            <w:szCs w:val="17"/>
            <w:u w:val="single" w:color="auto"/>
            <w:color w:val="0000EE"/>
          </w:rPr>
          <w:t>Annual Report</w:t>
        </w:r>
      </w:hyperlink>
      <w:r>
        <w:rPr>
          <w:rFonts w:ascii="Arial" w:cs="Arial" w:eastAsia="Arial" w:hAnsi="Arial"/>
          <w:sz w:val="17"/>
          <w:szCs w:val="17"/>
          <w:color w:val="auto"/>
        </w:rPr>
        <w:t xml:space="preserve"> </w:t>
      </w:r>
      <w:hyperlink r:id="rId13">
        <w:r>
          <w:rPr>
            <w:rFonts w:ascii="Arial" w:cs="Arial" w:eastAsia="Arial" w:hAnsi="Arial"/>
            <w:sz w:val="17"/>
            <w:szCs w:val="17"/>
            <w:u w:val="single" w:color="auto"/>
            <w:color w:val="0000EE"/>
          </w:rPr>
          <w:t>on Form 10-K for the year ended September 30, 2019</w:t>
        </w:r>
        <w:r>
          <w:rPr>
            <w:rFonts w:ascii="Arial" w:cs="Arial" w:eastAsia="Arial" w:hAnsi="Arial"/>
            <w:sz w:val="17"/>
            <w:szCs w:val="17"/>
            <w:color w:val="000000"/>
          </w:rPr>
          <w:t>. The balance sheet as of September 30, 2019 has been derived from the audited financial statements</w:t>
        </w:r>
      </w:hyperlink>
      <w:r>
        <w:rPr>
          <w:rFonts w:ascii="Arial" w:cs="Arial" w:eastAsia="Arial" w:hAnsi="Arial"/>
          <w:sz w:val="17"/>
          <w:szCs w:val="17"/>
          <w:color w:val="0000EE"/>
        </w:rPr>
        <w:t xml:space="preserve"> </w:t>
      </w:r>
      <w:r>
        <w:rPr>
          <w:rFonts w:ascii="Arial" w:cs="Arial" w:eastAsia="Arial" w:hAnsi="Arial"/>
          <w:sz w:val="17"/>
          <w:szCs w:val="17"/>
          <w:color w:val="000000"/>
        </w:rPr>
        <w:t>at that date but does not include all of the information and footnotes required by GAAP for complete financial statements.</w:t>
      </w:r>
    </w:p>
    <w:p>
      <w:pPr>
        <w:spacing w:after="0" w:line="1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business is subject to seasonal variations, and operating results for the three and six months ended March 31, 2020 and 2019 (the "current quarter" and "current six-months" and "prior-year quarter" and "prior-year six-months," respectively) are not necessarily indicative of the results of operations for the full fiscal year.</w:t>
      </w:r>
    </w:p>
    <w:p>
      <w:pPr>
        <w:spacing w:after="0" w:line="130" w:lineRule="exact"/>
        <w:rPr>
          <w:sz w:val="20"/>
          <w:szCs w:val="20"/>
          <w:color w:val="auto"/>
        </w:rPr>
      </w:pPr>
    </w:p>
    <w:p>
      <w:pPr>
        <w:ind w:right="3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There have been no changes in significant accounting policies as described in our </w:t>
      </w:r>
      <w:hyperlink r:id="rId13">
        <w:r>
          <w:rPr>
            <w:rFonts w:ascii="Arial" w:cs="Arial" w:eastAsia="Arial" w:hAnsi="Arial"/>
            <w:sz w:val="18"/>
            <w:szCs w:val="18"/>
            <w:u w:val="single" w:color="auto"/>
            <w:color w:val="0000EE"/>
          </w:rPr>
          <w:t>Annual Report on Form 10-K for the year ended September 30, 2019</w:t>
        </w:r>
      </w:hyperlink>
      <w:r>
        <w:rPr>
          <w:rFonts w:ascii="Arial" w:cs="Arial" w:eastAsia="Arial" w:hAnsi="Arial"/>
          <w:sz w:val="18"/>
          <w:szCs w:val="18"/>
          <w:color w:val="auto"/>
        </w:rPr>
        <w:t>, other than those described below and in Note 12.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17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inventories, loan loss allowances, long-lived and intangible assets, share-based compensation,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these estimates under different assumptions or conditions.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novel coronavirus disease known as “COVID-19” was characterized as a worldwide pandemic by the World Health Organization on March 11, 2020. It has significantly disrupted businesses around the world. We began to see the impact of COVID-19 to our operations in mid-March, when the closure of non-essential businesses and the implementation of stay-at-home requirements began in our geographic locations. In the U.S. and Mexico, we have been able to keep most of our stores open for business and operating under enhanced safety measures and restrictions on occupancy. Store closure orders in our GPMX countries (Guatemala, El Salvador, Honduras and Peru) have had a more severe impact on our business.</w:t>
      </w:r>
    </w:p>
    <w:p>
      <w:pPr>
        <w:spacing w:after="0" w:line="136"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In addition, we have experienced a significant decline in pawn loan originations and associated loan balances since mid-March as a result of a change in customer borrowing behaviors due to COVID-19. These declines continued into April and are ongoing. See Note 14 (Subsequent Event). This reduced activity resulted in net revenue losses during the current quarter, which were partially offset with a strong increase in merchandise sales during the period.</w:t>
      </w:r>
    </w:p>
    <w:p>
      <w:pPr>
        <w:spacing w:after="0" w:line="1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full extent and duration of the COVID-19 impact on the global economy generally, and on our business specifically, is currently unknown. We expect, however, that the pandemic will have an adverse effect on our net revenues and earnings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fiscal 2020, and if it continues, it may have an adverse effect on our results of operations, financial position and liquidity in future periods. We continue to focus on the health and safety of our employees and customers while serving our customers’ needs.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Policies</w:t>
      </w:r>
    </w:p>
    <w:p>
      <w:pPr>
        <w:spacing w:after="0" w:line="17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On October 1, 2019, we adopted ASC Topic 842, Leases, which requires companies to generally recognize on the balance sheet operating and financing lease liabilities and corresponding right-of-use assets. We adopted this using the optional prospective transition method provided under ASU 2018-11, Leases, (Topic 842): Targeted Improvement as of October 1, 2019. We additionally elected the package of practical expedients under Accounting Standards Codification (“ASC”) 842-10-65-1(f) as well as the practical expedient not to separate lease and non-lease components for all real estate leases under ASC 842-10-15-37. Further, we have elected an accounting policy not to record right-of-use assets and lease liabilities for all leases which have a duration of less than 12-months. See Note 5 for additional discussion.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1" w:lineRule="exact"/>
        <w:rPr>
          <w:sz w:val="20"/>
          <w:szCs w:val="20"/>
          <w:color w:val="auto"/>
        </w:rPr>
      </w:pPr>
    </w:p>
    <w:p>
      <w:pPr>
        <w:ind w:left="660" w:right="60" w:hanging="328"/>
        <w:spacing w:after="0" w:line="25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June 2016, the FASB issued ASU 2016-13, Financial Instruments — Credit Losses (Topic 326): Measurement of Credit Losses on Financial Instruments. This ASU, along with subsequently issued related ASUs, requires financial assets (or groups of financial assets) measured at amortized cost basis to be presented at the net amount expected to be collected, among other provisions. A reporting entity should generally apply the amendment on a modified retrospective basis through a cumulative-effect adjustment to retained earnings as of the beginning of the first reporting period in which the amendment is effective. We have not identified any impacts to our financial statements that we believe will be material as a result of the adoption of the ASU, although we continue to evaluate the impact of adoption. We believe we are following an appropriate timeline to allow for proper recognition, presentation and disclosure upon adoption of this ASU which is effective for the first quarter of our fiscal 2021.</w:t>
      </w:r>
    </w:p>
    <w:p>
      <w:pPr>
        <w:spacing w:after="0" w:line="137" w:lineRule="exact"/>
        <w:rPr>
          <w:rFonts w:ascii="Arial" w:cs="Arial" w:eastAsia="Arial" w:hAnsi="Arial"/>
          <w:sz w:val="18"/>
          <w:szCs w:val="18"/>
          <w:color w:val="auto"/>
        </w:rPr>
      </w:pPr>
    </w:p>
    <w:p>
      <w:pPr>
        <w:ind w:left="660" w:right="220" w:hanging="328"/>
        <w:spacing w:after="0" w:line="296"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March 2020, the FASB issued ASU 2020-04, Reference Rate Reform (Topic 848) — Facilitation of the Effects of Reference Rate Reform on Financial Reporting. This ASU provides optional expedients and exceptions for applying generally accepted accounting principles (GAAP) to contracts, hedging relationships, and other transactions that reference LIBOR or another reference rate. This ASU was issued on of March 12, 2020 and is effective upon issuance through December 31, 2022. We have not identified any impacts to our financial statements that we believe will be material as a result of the adoption of the ASU, although we will continue to evaluate the impact.</w:t>
      </w:r>
    </w:p>
    <w:p>
      <w:pPr>
        <w:spacing w:after="0" w:line="107" w:lineRule="exact"/>
        <w:rPr>
          <w:sz w:val="20"/>
          <w:szCs w:val="20"/>
          <w:color w:val="auto"/>
        </w:rPr>
      </w:pPr>
    </w:p>
    <w:p>
      <w:pPr>
        <w:ind w:right="140"/>
        <w:spacing w:after="0" w:line="263" w:lineRule="auto"/>
        <w:rPr>
          <w:rFonts w:ascii="Arial" w:cs="Arial" w:eastAsia="Arial" w:hAnsi="Arial"/>
          <w:sz w:val="18"/>
          <w:szCs w:val="18"/>
          <w:color w:val="0000EE"/>
        </w:rPr>
      </w:pPr>
      <w:hyperlink r:id="rId14">
        <w:r>
          <w:rPr>
            <w:rFonts w:ascii="Arial" w:cs="Arial" w:eastAsia="Arial" w:hAnsi="Arial"/>
            <w:sz w:val="18"/>
            <w:szCs w:val="18"/>
            <w:color w:val="auto"/>
          </w:rPr>
          <w:t xml:space="preserve">Please refer to </w:t>
        </w:r>
        <w:r>
          <w:rPr>
            <w:rFonts w:ascii="Arial" w:cs="Arial" w:eastAsia="Arial" w:hAnsi="Arial"/>
            <w:sz w:val="18"/>
            <w:szCs w:val="18"/>
            <w:u w:val="single" w:color="auto"/>
            <w:color w:val="0000EE"/>
          </w:rPr>
          <w:t>Note 1 of Notes to Consolidated Financial Statements included in "Part II, Item 8 — Financial Statements and Supplementary Data" of our</w:t>
        </w:r>
      </w:hyperlink>
      <w:r>
        <w:rPr>
          <w:rFonts w:ascii="Arial" w:cs="Arial" w:eastAsia="Arial" w:hAnsi="Arial"/>
          <w:sz w:val="18"/>
          <w:szCs w:val="18"/>
          <w:color w:val="auto"/>
        </w:rPr>
        <w:t xml:space="preserve"> </w:t>
      </w:r>
      <w:hyperlink r:id="rId14">
        <w:r>
          <w:rPr>
            <w:rFonts w:ascii="Arial" w:cs="Arial" w:eastAsia="Arial" w:hAnsi="Arial"/>
            <w:sz w:val="18"/>
            <w:szCs w:val="18"/>
            <w:u w:val="single" w:color="auto"/>
            <w:color w:val="0000EE"/>
          </w:rPr>
          <w:t>Annual Report on Form 10-K for the year ended September 30, 2019</w:t>
        </w:r>
        <w:r>
          <w:rPr>
            <w:rFonts w:ascii="Arial" w:cs="Arial" w:eastAsia="Arial" w:hAnsi="Arial"/>
            <w:sz w:val="18"/>
            <w:szCs w:val="18"/>
            <w:color w:val="0000EE"/>
          </w:rPr>
          <w:t xml:space="preserve"> </w:t>
        </w:r>
        <w:r>
          <w:rPr>
            <w:rFonts w:ascii="Arial" w:cs="Arial" w:eastAsia="Arial" w:hAnsi="Arial"/>
            <w:sz w:val="18"/>
            <w:szCs w:val="18"/>
            <w:color w:val="000000"/>
          </w:rPr>
          <w:t>for discussion of our significant accounting policies and other accounting</w:t>
        </w:r>
      </w:hyperlink>
      <w:r>
        <w:rPr>
          <w:rFonts w:ascii="Arial" w:cs="Arial" w:eastAsia="Arial" w:hAnsi="Arial"/>
          <w:sz w:val="18"/>
          <w:szCs w:val="18"/>
          <w:color w:val="0000EE"/>
        </w:rPr>
        <w:t xml:space="preserve"> </w:t>
      </w:r>
      <w:r>
        <w:rPr>
          <w:rFonts w:ascii="Arial" w:cs="Arial" w:eastAsia="Arial" w:hAnsi="Arial"/>
          <w:sz w:val="18"/>
          <w:szCs w:val="18"/>
          <w:color w:val="000000"/>
        </w:rPr>
        <w:t>pronouncements issued but not yet adopted.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GOODWILL AND INTANGIBLE ASSETS</w:t>
      </w:r>
    </w:p>
    <w:p>
      <w:pPr>
        <w:spacing w:after="0" w:line="17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test goodwill and intangible assets with indefinite useful lives for potential impairment annually, or more frequently when there are events or circumstances that indicate it is more likely than not that an impairment exists. During the current quarter, we evaluated such events and circumstances and concluded there was an indicator of impairment due to a decline in our market capitalization. We performed a quantitative analysis as of March 31, 2020 utilizing the income approach. The income approach is based on the present value of future cash flows, which are derived from our long-term financial forecasts, and requires significant assumptions, including, among others, a discount rate and terminal value. There is inherent uncertainty associated with these key assumptions including the duration of the economic downturn associated with COVID-19 and the recovery period. As a result of our quantitative analysis, we determined the fair value of each of our reporting units was below its carrying value because of the impact of COVID-19, including a significant decline in pawn loan balances due to changes in typical customer behavior and mandated store closures in our GPMX countries. These factors impacted the forecast of future net revenues and earnings and resulted in lower present value of future cash flows. This led to a goodwill impairment charge of $41.3 million in the current quarter. In addition, we (a) determined an impairment had occurred in the fair values of acquired trade names of previously acquired entities in our Mexico and GPMX reporting units and recorded a related impairment of $2.9 million and $1.7 million respectively, and (b) determined the carrying amount of certain long-lived asset groups were not recoverable and recorded a related impairment of $1.1 million. These impairments were recorded under "Impairment of goodwill and intangible assets" in the condensed consolidated statements of operations. We will continue to evaluate our goodwill and intangible assets in future quarters, and note that we could be required to record additional impairments based on events and circumstances.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reportable segment for fiscal 2020 were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21"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1"/>
        </w:trPr>
        <w:tc>
          <w:tcPr>
            <w:tcW w:w="6520" w:type="dxa"/>
            <w:vAlign w:val="bottom"/>
          </w:tcPr>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708"/>
        </w:trPr>
        <w:tc>
          <w:tcPr>
            <w:tcW w:w="6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March 31, 2020</w:t>
            </w:r>
          </w:p>
        </w:tc>
        <w:tc>
          <w:tcPr>
            <w:tcW w:w="1240" w:type="dxa"/>
            <w:vAlign w:val="bottom"/>
            <w:tcBorders>
              <w:bottom w:val="single" w:sz="8" w:color="auto"/>
            </w:tcBorders>
          </w:tcPr>
          <w:p>
            <w:pPr>
              <w:spacing w:after="0"/>
              <w:rPr>
                <w:sz w:val="24"/>
                <w:szCs w:val="24"/>
                <w:color w:val="auto"/>
              </w:rPr>
            </w:pPr>
          </w:p>
        </w:tc>
      </w:tr>
      <w:tr>
        <w:trPr>
          <w:trHeight w:val="264"/>
        </w:trPr>
        <w:tc>
          <w:tcPr>
            <w:tcW w:w="6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U.S. Pawn</w:t>
            </w:r>
          </w:p>
        </w:tc>
        <w:tc>
          <w:tcPr>
            <w:tcW w:w="156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Latin America Pawn</w:t>
            </w: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4"/>
              </w:rPr>
              <w:t>Consolidated</w:t>
            </w:r>
          </w:p>
        </w:tc>
      </w:tr>
      <w:tr>
        <w:trPr>
          <w:trHeight w:val="318"/>
        </w:trPr>
        <w:tc>
          <w:tcPr>
            <w:tcW w:w="6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234"/>
              <w:spacing w:after="0"/>
              <w:rPr>
                <w:sz w:val="20"/>
                <w:szCs w:val="20"/>
                <w:color w:val="auto"/>
              </w:rPr>
            </w:pPr>
            <w:r>
              <w:rPr>
                <w:rFonts w:ascii="Arial" w:cs="Arial" w:eastAsia="Arial" w:hAnsi="Arial"/>
                <w:sz w:val="14"/>
                <w:szCs w:val="14"/>
                <w:i w:val="1"/>
                <w:iCs w:val="1"/>
                <w:color w:val="auto"/>
              </w:rPr>
              <w:t>(in millions)</w:t>
            </w: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251.8</w:t>
            </w:r>
          </w:p>
        </w:tc>
        <w:tc>
          <w:tcPr>
            <w:tcW w:w="3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46.7</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298.5</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Impairment charge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10.0</w:t>
            </w:r>
          </w:p>
        </w:tc>
        <w:tc>
          <w:tcPr>
            <w:tcW w:w="36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31.3</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41.3</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2020</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241.8</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15.4</w:t>
            </w:r>
          </w:p>
        </w:tc>
        <w:tc>
          <w:tcPr>
            <w:tcW w:w="4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257.2</w:t>
            </w:r>
          </w:p>
        </w:tc>
      </w:tr>
      <w:tr>
        <w:trPr>
          <w:trHeight w:val="318"/>
        </w:trPr>
        <w:tc>
          <w:tcPr>
            <w:tcW w:w="65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goodwill impairment charges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10.0</w:t>
            </w:r>
          </w:p>
        </w:tc>
        <w:tc>
          <w:tcPr>
            <w:tcW w:w="3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31.3</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41.3</w:t>
            </w:r>
          </w:p>
        </w:tc>
      </w:tr>
      <w:tr>
        <w:trPr>
          <w:trHeight w:val="20"/>
        </w:trPr>
        <w:tc>
          <w:tcPr>
            <w:tcW w:w="6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1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June 2019, we acquired assets related to seven pawn stores operating under the name "Metro Pawn" in Nevada, entering the Reno market and expanding our presence in the Las Vegas metropolitan area, for an aggregate purchase price of $7.0 million in cash, of which $3.9 million was recorded as goodwill. In December 2018, we acquired assets related to five pawn stores in Mexico for an aggregate purchase price of $0.3 million in cash, of which $0.1 million was recorded as goodwill. Substantially all goodwill attributable to the fiscal 2019 acquisitions will be deductible for tax purposes. We have concluded that these acquisitions were immaterial to our overall consolidated financial results and, therefore, have omitted information that would otherwise be required.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basic and diluted earnings per share and excluded antidilutive potential common shares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6"/>
                <w:szCs w:val="16"/>
                <w:color w:val="auto"/>
              </w:rPr>
            </w:pPr>
          </w:p>
        </w:tc>
        <w:tc>
          <w:tcPr>
            <w:tcW w:w="230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rPr>
              <w:t>Six Months Ended March 31,</w:t>
            </w:r>
          </w:p>
        </w:tc>
      </w:tr>
      <w:tr>
        <w:trPr>
          <w:trHeight w:val="263"/>
        </w:trPr>
        <w:tc>
          <w:tcPr>
            <w:tcW w:w="53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r>
      <w:tr>
        <w:trPr>
          <w:trHeight w:val="318"/>
        </w:trPr>
        <w:tc>
          <w:tcPr>
            <w:tcW w:w="5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gridSpan w:val="6"/>
          </w:tcPr>
          <w:p>
            <w:pPr>
              <w:ind w:left="100"/>
              <w:spacing w:after="0"/>
              <w:rPr>
                <w:sz w:val="20"/>
                <w:szCs w:val="20"/>
                <w:color w:val="auto"/>
              </w:rPr>
            </w:pPr>
            <w:r>
              <w:rPr>
                <w:rFonts w:ascii="Arial" w:cs="Arial" w:eastAsia="Arial" w:hAnsi="Arial"/>
                <w:sz w:val="14"/>
                <w:szCs w:val="14"/>
                <w:i w:val="1"/>
                <w:iCs w:val="1"/>
                <w:color w:val="auto"/>
              </w:rPr>
              <w:t>(in thousands, except per share amounts)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5"/>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Net (loss) income from continuing operations attributable to EZCORP</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7"/>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(40,854)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(39,589)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 (B)</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25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5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income attributable to EZCORP (C)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3,394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r>
      <w:tr>
        <w:trPr>
          <w:trHeight w:val="20"/>
        </w:trPr>
        <w:tc>
          <w:tcPr>
            <w:tcW w:w="5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8"/>
        </w:trPr>
        <w:tc>
          <w:tcPr>
            <w:tcW w:w="5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outstanding shares of common stock (D)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55,448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55,557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55,236</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Dilutive effect of restricted stock*</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
        </w:trPr>
        <w:tc>
          <w:tcPr>
            <w:tcW w:w="5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Weighted-average common stock and common stock equivalents (E)</w:t>
            </w: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55,522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55,463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55,608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55,247</w:t>
            </w:r>
          </w:p>
        </w:tc>
      </w:tr>
      <w:tr>
        <w:trPr>
          <w:trHeight w:val="20"/>
        </w:trPr>
        <w:tc>
          <w:tcPr>
            <w:tcW w:w="5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8"/>
        </w:trPr>
        <w:tc>
          <w:tcPr>
            <w:tcW w:w="5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earnings per share attributable to EZCORP:</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280"/>
              <w:spacing w:after="0"/>
              <w:rPr>
                <w:sz w:val="20"/>
                <w:szCs w:val="20"/>
                <w:color w:val="auto"/>
              </w:rPr>
            </w:pPr>
            <w:r>
              <w:rPr>
                <w:rFonts w:ascii="Arial" w:cs="Arial" w:eastAsia="Arial" w:hAnsi="Arial"/>
                <w:sz w:val="18"/>
                <w:szCs w:val="18"/>
                <w:color w:val="auto"/>
              </w:rPr>
              <w:t>Continuing operations (A / 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 (B / D)</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53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 (loss) earnings per share (C / 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108"/>
        </w:trPr>
        <w:tc>
          <w:tcPr>
            <w:tcW w:w="5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Diluted (loss) earnings per share attributable to EZCORP:</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 (A / 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300" w:type="dxa"/>
            <w:vAlign w:val="bottom"/>
          </w:tcPr>
          <w:p>
            <w:pPr>
              <w:ind w:left="280"/>
              <w:spacing w:after="0"/>
              <w:rPr>
                <w:sz w:val="20"/>
                <w:szCs w:val="20"/>
                <w:color w:val="auto"/>
              </w:rPr>
            </w:pPr>
            <w:r>
              <w:rPr>
                <w:rFonts w:ascii="Arial" w:cs="Arial" w:eastAsia="Arial" w:hAnsi="Arial"/>
                <w:sz w:val="18"/>
                <w:szCs w:val="18"/>
                <w:color w:val="auto"/>
              </w:rPr>
              <w:t>Discontinued operations (B / E)</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 (loss) earnings per share (C / 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5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9"/>
        </w:trPr>
        <w:tc>
          <w:tcPr>
            <w:tcW w:w="5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29"/>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Potential common shares excluded from the calculation of diluted</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above*:</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5300" w:type="dxa"/>
            <w:vAlign w:val="bottom"/>
          </w:tcPr>
          <w:p>
            <w:pPr>
              <w:ind w:left="280"/>
              <w:spacing w:after="0"/>
              <w:rPr>
                <w:sz w:val="20"/>
                <w:szCs w:val="20"/>
                <w:color w:val="auto"/>
              </w:rPr>
            </w:pPr>
            <w:r>
              <w:rPr>
                <w:rFonts w:ascii="Arial" w:cs="Arial" w:eastAsia="Arial" w:hAnsi="Arial"/>
                <w:sz w:val="18"/>
                <w:szCs w:val="18"/>
                <w:color w:val="auto"/>
              </w:rPr>
              <w:t>Restricted stock**</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2,777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2,991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2,789</w:t>
            </w:r>
          </w:p>
        </w:tc>
      </w:tr>
    </w:tbl>
    <w:p>
      <w:pPr>
        <w:spacing w:after="0" w:line="386"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See Note 8 for discussion of the terms and conditions of the potential impact of the 2019 Convertible Notes Warrants, 2024 Convertible Notes and 2025 Convertible Notes.</w:t>
      </w:r>
    </w:p>
    <w:p>
      <w:pPr>
        <w:spacing w:after="0" w:line="163" w:lineRule="exact"/>
        <w:rPr>
          <w:sz w:val="20"/>
          <w:szCs w:val="20"/>
          <w:color w:val="auto"/>
        </w:rPr>
      </w:pPr>
    </w:p>
    <w:p>
      <w:pPr>
        <w:ind w:left="340" w:right="200" w:hanging="332"/>
        <w:spacing w:after="0" w:line="273"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antidilutive share-based awards as well as performance-based and market conditioned share-based awards that are contingently issuable, but for which the condition for issuance has not been met as of the end of the reporting period.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17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described in Note 1, we adopted ASC Topic 842 as of October 1, 2019. We lease our pawn locations and corporate offices under operating leases and determine if an arrangement is or contains a lease at inception. After an initial lease term of generally three to ten years, our real property lease agreements typically allow renewals in three to five-year increments. We generally account for the initial lease term of our pawn locations as up to ten years, including renewal options. Our corporate office is leased through March 2029 with annually escalating rent and includes two five-year extension options at the end of the initial lease term. Our pawn location lease agreements generally include rent escalations throughout the initial lease term, with certain future rental payments contingent on increases in a consumer price index, included in variable lease expense. Many leases include both lease and non-lease components, which we have elected not to account for separately. Lease components generally include rent, taxes and insurance, while non-lease components generally include common area or other maintenance.</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weighted-average remaining lease term for operating leases as of March 31, 2020 was 5.72 years. As our leases generally do not include an implicit rate, we compute our incremental borrowing rate based on information available at the lease commencement date applying the portfolio approach to groups of leases with similar characteristics. We used incremental borrowing rates that match the duration of the remaining lease terms of our operating leases on a fully collateralized basis upon adoption as of October 1, 2019 to initially measure our lease liability. The weighted average incremental borrowing rate used to measure our lease liability as of March 31, 2020 was 8.25%.</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details of our right-of-use asset and lease liability recognized upon adoption of ASC 842 computed based on the consumer price index and foreign currency exchange rate as applicable then in effect and excluding executory costs on October 1, 2019 are as follows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Right-of-use asset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246,028</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Straight-line rent accrual</w:t>
            </w: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(8,479)</w:t>
            </w:r>
          </w:p>
        </w:tc>
      </w:tr>
      <w:tr>
        <w:trPr>
          <w:trHeight w:val="27"/>
        </w:trPr>
        <w:tc>
          <w:tcPr>
            <w:tcW w:w="96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237,549</w:t>
            </w:r>
          </w:p>
        </w:tc>
      </w:tr>
      <w:tr>
        <w:trPr>
          <w:trHeight w:val="122"/>
        </w:trPr>
        <w:tc>
          <w:tcPr>
            <w:tcW w:w="9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liability, current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45,272</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Lease liability, non-current</w:t>
            </w: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200,756</w:t>
            </w:r>
          </w:p>
        </w:tc>
      </w:tr>
      <w:tr>
        <w:trPr>
          <w:trHeight w:val="27"/>
        </w:trPr>
        <w:tc>
          <w:tcPr>
            <w:tcW w:w="96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96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246,028</w:t>
            </w:r>
          </w:p>
        </w:tc>
      </w:tr>
      <w:tr>
        <w:trPr>
          <w:trHeight w:val="27"/>
        </w:trPr>
        <w:tc>
          <w:tcPr>
            <w:tcW w:w="96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Lease expense is recognized on a straight-line basis over the lease term with variable lease expense recognized in the period in which the costs are incurred. The components of lease expense included in "Operations" and "Administrative" expense, based on the underlying lease use, in our condensed consolidated statements of operations for the three and six months ended March 31, 2020 are as follows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400" w:type="dxa"/>
            <w:vAlign w:val="bottom"/>
          </w:tcPr>
          <w:p>
            <w:pPr>
              <w:jc w:val="center"/>
              <w:ind w:right="94"/>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7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6"/>
                <w:szCs w:val="16"/>
                <w:color w:val="auto"/>
              </w:rPr>
            </w:pPr>
          </w:p>
        </w:tc>
        <w:tc>
          <w:tcPr>
            <w:tcW w:w="1400" w:type="dxa"/>
            <w:vAlign w:val="bottom"/>
          </w:tcPr>
          <w:p>
            <w:pPr>
              <w:jc w:val="center"/>
              <w:ind w:right="74"/>
              <w:spacing w:after="0"/>
              <w:rPr>
                <w:sz w:val="20"/>
                <w:szCs w:val="20"/>
                <w:color w:val="auto"/>
              </w:rPr>
            </w:pPr>
            <w:r>
              <w:rPr>
                <w:rFonts w:ascii="Arial" w:cs="Arial" w:eastAsia="Arial" w:hAnsi="Arial"/>
                <w:sz w:val="14"/>
                <w:szCs w:val="14"/>
                <w:b w:val="1"/>
                <w:bCs w:val="1"/>
                <w:color w:val="auto"/>
                <w:w w:val="99"/>
              </w:rPr>
              <w:t>March 31,</w:t>
            </w:r>
          </w:p>
        </w:tc>
      </w:tr>
      <w:tr>
        <w:trPr>
          <w:trHeight w:val="250"/>
        </w:trPr>
        <w:tc>
          <w:tcPr>
            <w:tcW w:w="798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2020</w:t>
            </w:r>
          </w:p>
        </w:tc>
      </w:tr>
      <w:tr>
        <w:trPr>
          <w:trHeight w:val="121"/>
        </w:trPr>
        <w:tc>
          <w:tcPr>
            <w:tcW w:w="7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15,453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31,978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Variable lease expense</w:t>
            </w:r>
          </w:p>
        </w:tc>
        <w:tc>
          <w:tcPr>
            <w:tcW w:w="140" w:type="dxa"/>
            <w:vAlign w:val="bottom"/>
          </w:tcPr>
          <w:p>
            <w:pPr>
              <w:spacing w:after="0"/>
              <w:rPr>
                <w:sz w:val="21"/>
                <w:szCs w:val="21"/>
                <w:color w:val="auto"/>
              </w:rPr>
            </w:pP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3,093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5,900</w:t>
            </w:r>
          </w:p>
        </w:tc>
      </w:tr>
      <w:tr>
        <w:trPr>
          <w:trHeight w:val="27"/>
        </w:trPr>
        <w:tc>
          <w:tcPr>
            <w:tcW w:w="7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18,546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37,878</w:t>
            </w:r>
          </w:p>
        </w:tc>
      </w:tr>
      <w:tr>
        <w:trPr>
          <w:trHeight w:val="594"/>
        </w:trPr>
        <w:tc>
          <w:tcPr>
            <w:tcW w:w="7980" w:type="dxa"/>
            <w:vAlign w:val="bottom"/>
          </w:tcPr>
          <w:p>
            <w:pPr>
              <w:spacing w:after="0"/>
              <w:rPr>
                <w:sz w:val="20"/>
                <w:szCs w:val="20"/>
                <w:color w:val="auto"/>
              </w:rPr>
            </w:pPr>
            <w:r>
              <w:rPr>
                <w:rFonts w:ascii="Arial" w:cs="Arial" w:eastAsia="Arial" w:hAnsi="Arial"/>
                <w:sz w:val="18"/>
                <w:szCs w:val="18"/>
                <w:color w:val="auto"/>
              </w:rPr>
              <w:t>Maturity of our lease liabilities as of March 31, 2020 is as follows (in thousands):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35"/>
        </w:trPr>
        <w:tc>
          <w:tcPr>
            <w:tcW w:w="7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Six months ending September 30, 2020</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30,794</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Fiscal 2021</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57,083</w:t>
            </w:r>
          </w:p>
        </w:tc>
      </w:tr>
      <w:tr>
        <w:trPr>
          <w:trHeight w:val="27"/>
        </w:trPr>
        <w:tc>
          <w:tcPr>
            <w:tcW w:w="7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48,059</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Fiscal 2023</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38,546</w:t>
            </w:r>
          </w:p>
        </w:tc>
      </w:tr>
      <w:tr>
        <w:trPr>
          <w:trHeight w:val="27"/>
        </w:trPr>
        <w:tc>
          <w:tcPr>
            <w:tcW w:w="7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2024</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29,287</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68,151</w:t>
            </w:r>
          </w:p>
        </w:tc>
      </w:tr>
      <w:tr>
        <w:trPr>
          <w:trHeight w:val="27"/>
        </w:trPr>
        <w:tc>
          <w:tcPr>
            <w:tcW w:w="79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271,920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Less: Portion representing interest</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(56,838)</w:t>
            </w:r>
          </w:p>
        </w:tc>
      </w:tr>
      <w:tr>
        <w:trPr>
          <w:trHeight w:val="27"/>
        </w:trPr>
        <w:tc>
          <w:tcPr>
            <w:tcW w:w="79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8"/>
        </w:trPr>
        <w:tc>
          <w:tcPr>
            <w:tcW w:w="7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215,082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Prior to our adoption of ASC 842, future minimum undiscounted rentals due under non-cancelable leases as of September 30, 2019 for each subsequent fiscal year were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69,291</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60,588</w:t>
            </w:r>
          </w:p>
        </w:tc>
      </w:tr>
      <w:tr>
        <w:trPr>
          <w:trHeight w:val="27"/>
        </w:trPr>
        <w:tc>
          <w:tcPr>
            <w:tcW w:w="9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46,720</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2023</w:t>
            </w: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32,062</w:t>
            </w:r>
          </w:p>
        </w:tc>
      </w:tr>
      <w:tr>
        <w:trPr>
          <w:trHeight w:val="27"/>
        </w:trPr>
        <w:tc>
          <w:tcPr>
            <w:tcW w:w="9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19,969</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39,256</w:t>
            </w:r>
          </w:p>
        </w:tc>
      </w:tr>
      <w:tr>
        <w:trPr>
          <w:trHeight w:val="27"/>
        </w:trPr>
        <w:tc>
          <w:tcPr>
            <w:tcW w:w="96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96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267,886</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120"/>
        <w:spacing w:after="0" w:line="308" w:lineRule="auto"/>
        <w:rPr>
          <w:sz w:val="20"/>
          <w:szCs w:val="20"/>
          <w:color w:val="auto"/>
        </w:rPr>
      </w:pPr>
      <w:r>
        <w:rPr>
          <w:rFonts w:ascii="Arial" w:cs="Arial" w:eastAsia="Arial" w:hAnsi="Arial"/>
          <w:sz w:val="17"/>
          <w:szCs w:val="17"/>
          <w:color w:val="auto"/>
        </w:rPr>
        <w:t>We present the changes in our lease right-of-use asset and lease liabilities gross in our condensed consolidated statements of cash flows. The supplemental cash flow information relating to our operating leases for the six months ended March 31, 2020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2" w:lineRule="exact"/>
        <w:rPr>
          <w:sz w:val="20"/>
          <w:szCs w:val="20"/>
          <w:color w:val="auto"/>
        </w:rPr>
      </w:pPr>
    </w:p>
    <w:p>
      <w:pPr>
        <w:ind w:left="40"/>
        <w:spacing w:after="0"/>
        <w:tabs>
          <w:tab w:leader="none" w:pos="9680" w:val="left"/>
          <w:tab w:leader="none" w:pos="10840" w:val="left"/>
        </w:tabs>
        <w:rPr>
          <w:sz w:val="20"/>
          <w:szCs w:val="20"/>
          <w:color w:val="auto"/>
        </w:rPr>
      </w:pPr>
      <w:r>
        <w:rPr>
          <w:rFonts w:ascii="Arial" w:cs="Arial" w:eastAsia="Arial" w:hAnsi="Arial"/>
          <w:sz w:val="18"/>
          <w:szCs w:val="18"/>
          <w:color w:val="auto"/>
        </w:rPr>
        <w:t>Lease right-of-use assets obtained in exchange for operating lease liabilities subsequent to adoption of ASC 842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866</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STRATEGIC INVESTMENTS</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of March 31, 2020, we owned 214,183,714 shares, or approximately 34.75%, of Cash Converters International Limited ("Cash Converters International"). The following tables present summary financial information for Cash Converters International’s most recently reported results at December 31, 2019 after translation to U.S. dollars: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16"/>
                <w:szCs w:val="16"/>
                <w:color w:val="auto"/>
              </w:rPr>
            </w:pPr>
          </w:p>
        </w:tc>
      </w:tr>
      <w:tr>
        <w:trPr>
          <w:trHeight w:val="264"/>
        </w:trPr>
        <w:tc>
          <w:tcPr>
            <w:tcW w:w="84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318"/>
        </w:trPr>
        <w:tc>
          <w:tcPr>
            <w:tcW w:w="8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3"/>
          </w:tcPr>
          <w:p>
            <w:pPr>
              <w:jc w:val="center"/>
              <w:ind w:left="537"/>
              <w:spacing w:after="0"/>
              <w:rPr>
                <w:sz w:val="20"/>
                <w:szCs w:val="20"/>
                <w:color w:val="auto"/>
              </w:rPr>
            </w:pPr>
            <w:r>
              <w:rPr>
                <w:rFonts w:ascii="Arial" w:cs="Arial" w:eastAsia="Arial" w:hAnsi="Arial"/>
                <w:sz w:val="14"/>
                <w:szCs w:val="14"/>
                <w:i w:val="1"/>
                <w:iCs w:val="1"/>
                <w:color w:val="auto"/>
                <w:w w:val="94"/>
              </w:rPr>
              <w:t>(in thousands)</w:t>
            </w:r>
          </w:p>
        </w:tc>
        <w:tc>
          <w:tcPr>
            <w:tcW w:w="900" w:type="dxa"/>
            <w:vAlign w:val="bottom"/>
          </w:tcPr>
          <w:p>
            <w:pPr>
              <w:spacing w:after="0"/>
              <w:rPr>
                <w:sz w:val="24"/>
                <w:szCs w:val="24"/>
                <w:color w:val="auto"/>
              </w:rPr>
            </w:pPr>
          </w:p>
        </w:tc>
      </w:tr>
      <w:tr>
        <w:trPr>
          <w:trHeight w:val="256"/>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164,906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172,836</w:t>
            </w: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199,277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151,492</w:t>
            </w:r>
          </w:p>
        </w:tc>
      </w:tr>
      <w:tr>
        <w:trPr>
          <w:trHeight w:val="27"/>
        </w:trPr>
        <w:tc>
          <w:tcPr>
            <w:tcW w:w="8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364,183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324,328</w:t>
            </w:r>
          </w:p>
        </w:tc>
      </w:tr>
      <w:tr>
        <w:trPr>
          <w:trHeight w:val="20"/>
        </w:trPr>
        <w:tc>
          <w:tcPr>
            <w:tcW w:w="8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08"/>
        </w:trPr>
        <w:tc>
          <w:tcPr>
            <w:tcW w:w="8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93,958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81,165</w:t>
            </w: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3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60,503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22,109</w:t>
            </w: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209,722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221,054</w:t>
            </w:r>
          </w:p>
        </w:tc>
      </w:tr>
      <w:tr>
        <w:trPr>
          <w:trHeight w:val="257"/>
        </w:trPr>
        <w:tc>
          <w:tcPr>
            <w:tcW w:w="8400" w:type="dxa"/>
            <w:vAlign w:val="bottom"/>
          </w:tcPr>
          <w:p>
            <w:pPr>
              <w:ind w:left="28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364,183</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324,328</w:t>
            </w:r>
          </w:p>
        </w:tc>
      </w:tr>
      <w:tr>
        <w:trPr>
          <w:trHeight w:val="20"/>
        </w:trPr>
        <w:tc>
          <w:tcPr>
            <w:tcW w:w="8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319"/>
        </w:trPr>
        <w:tc>
          <w:tcPr>
            <w:tcW w:w="84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center"/>
              <w:ind w:right="193"/>
              <w:spacing w:after="0"/>
              <w:rPr>
                <w:sz w:val="20"/>
                <w:szCs w:val="20"/>
                <w:color w:val="auto"/>
              </w:rPr>
            </w:pPr>
            <w:r>
              <w:rPr>
                <w:rFonts w:ascii="Arial" w:cs="Arial" w:eastAsia="Arial" w:hAnsi="Arial"/>
                <w:sz w:val="14"/>
                <w:szCs w:val="14"/>
                <w:b w:val="1"/>
                <w:bCs w:val="1"/>
                <w:color w:val="auto"/>
                <w:w w:val="94"/>
              </w:rPr>
              <w:t>Half-Year Ended December 31,</w:t>
            </w:r>
          </w:p>
        </w:tc>
      </w:tr>
      <w:tr>
        <w:trPr>
          <w:trHeight w:val="263"/>
        </w:trPr>
        <w:tc>
          <w:tcPr>
            <w:tcW w:w="84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318"/>
        </w:trPr>
        <w:tc>
          <w:tcPr>
            <w:tcW w:w="8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3"/>
          </w:tcPr>
          <w:p>
            <w:pPr>
              <w:jc w:val="center"/>
              <w:ind w:left="537"/>
              <w:spacing w:after="0"/>
              <w:rPr>
                <w:sz w:val="20"/>
                <w:szCs w:val="20"/>
                <w:color w:val="auto"/>
              </w:rPr>
            </w:pPr>
            <w:r>
              <w:rPr>
                <w:rFonts w:ascii="Arial" w:cs="Arial" w:eastAsia="Arial" w:hAnsi="Arial"/>
                <w:sz w:val="14"/>
                <w:szCs w:val="14"/>
                <w:i w:val="1"/>
                <w:iCs w:val="1"/>
                <w:color w:val="auto"/>
                <w:w w:val="94"/>
              </w:rPr>
              <w:t>(in thousands)</w:t>
            </w:r>
          </w:p>
        </w:tc>
        <w:tc>
          <w:tcPr>
            <w:tcW w:w="900" w:type="dxa"/>
            <w:vAlign w:val="bottom"/>
          </w:tcPr>
          <w:p>
            <w:pPr>
              <w:spacing w:after="0"/>
              <w:rPr>
                <w:sz w:val="24"/>
                <w:szCs w:val="24"/>
                <w:color w:val="auto"/>
              </w:rPr>
            </w:pPr>
          </w:p>
        </w:tc>
      </w:tr>
      <w:tr>
        <w:trPr>
          <w:trHeight w:val="256"/>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98,531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99,390</w:t>
            </w: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59,250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56,884</w:t>
            </w: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r>
      <w:tr>
        <w:trPr>
          <w:trHeight w:val="27"/>
        </w:trPr>
        <w:tc>
          <w:tcPr>
            <w:tcW w:w="8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 xml:space="preserve">On October 21, 2019, Cash Converters International agreed to settle a class action lawsuit previously filed on behalf of borrowers residing in Queensland, Australia who took out personal loans from Cash Converters International between July 30, 2009 and June 30, 2013. Cash Converters International agreed to pay AUD $42.5 million, subject to court approval. We recorded a charge, net of tax, of $7.1 million for our proportionate share of the settlement in the first quarter of fiscal 2020 related to this event, in addition to our regularly included share of earnings from Cash Converters International. </w:t>
      </w:r>
      <w:r>
        <w:rPr>
          <w:rFonts w:ascii="Arial" w:cs="Arial" w:eastAsia="Arial" w:hAnsi="Arial"/>
          <w:sz w:val="17"/>
          <w:szCs w:val="17"/>
          <w:color w:val="212529"/>
        </w:rPr>
        <w:t>See Note 7 for</w:t>
      </w:r>
      <w:r>
        <w:rPr>
          <w:rFonts w:ascii="Arial" w:cs="Arial" w:eastAsia="Arial" w:hAnsi="Arial"/>
          <w:sz w:val="17"/>
          <w:szCs w:val="17"/>
          <w:color w:val="auto"/>
        </w:rPr>
        <w:t xml:space="preserve"> </w:t>
      </w:r>
      <w:r>
        <w:rPr>
          <w:rFonts w:ascii="Arial" w:cs="Arial" w:eastAsia="Arial" w:hAnsi="Arial"/>
          <w:sz w:val="17"/>
          <w:szCs w:val="17"/>
          <w:color w:val="212529"/>
        </w:rPr>
        <w:t>the fair value and carrying value of our investment in Cash Converters International.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assets and liabilities discussed below are classified in one of the following three categories based on the inputs used to develop their fair values: Level 1 — Quoted market prices in active markets for identical assets or liabilities; Level 2 — Other observable market-based inputs or unobservable inputs that are corroborated by market data; and Level 3 — Unobservable inputs that are not corroborated by market data. We have elected not to measure at fair value any eligible items for which fair value measurement is optional. There were no transfers in or out of Level 1, Level 2 or Level 3 for financial assets or liabilities measured at fair value on a recurring basis during the periods presented.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22" w:right="35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our financial assets and liabilities that are not measured at fair value on a recurring basis: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5"/>
              </w:rPr>
              <w:t>Carrying Value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rPr>
              <w:t>Estimated Fair Value</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r>
      <w:tr>
        <w:trPr>
          <w:trHeight w:val="263"/>
        </w:trPr>
        <w:tc>
          <w:tcPr>
            <w:tcW w:w="4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10"/>
          </w:tcPr>
          <w:p>
            <w:pPr>
              <w:jc w:val="center"/>
              <w:ind w:left="655"/>
              <w:spacing w:after="0"/>
              <w:rPr>
                <w:sz w:val="20"/>
                <w:szCs w:val="20"/>
                <w:color w:val="auto"/>
              </w:rPr>
            </w:pPr>
            <w:r>
              <w:rPr>
                <w:rFonts w:ascii="Arial" w:cs="Arial" w:eastAsia="Arial" w:hAnsi="Arial"/>
                <w:sz w:val="14"/>
                <w:szCs w:val="14"/>
                <w:b w:val="1"/>
                <w:bCs w:val="1"/>
                <w:color w:val="auto"/>
                <w:w w:val="94"/>
              </w:rPr>
              <w:t>Fair Value Measurement Using</w:t>
            </w:r>
          </w:p>
        </w:tc>
        <w:tc>
          <w:tcPr>
            <w:tcW w:w="8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r>
      <w:tr>
        <w:trPr>
          <w:trHeight w:val="264"/>
        </w:trPr>
        <w:tc>
          <w:tcPr>
            <w:tcW w:w="4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4"/>
              </w:rPr>
              <w:t>March 31, 2020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6"/>
              </w:rPr>
              <w:t>March 31, 2020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Level 2</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387"/>
        </w:trPr>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gridSpan w:val="3"/>
          </w:tcPr>
          <w:p>
            <w:pPr>
              <w:ind w:left="60"/>
              <w:spacing w:after="0"/>
              <w:rPr>
                <w:sz w:val="20"/>
                <w:szCs w:val="20"/>
                <w:color w:val="auto"/>
              </w:rPr>
            </w:pPr>
            <w:r>
              <w:rPr>
                <w:rFonts w:ascii="Arial" w:cs="Arial" w:eastAsia="Arial" w:hAnsi="Arial"/>
                <w:sz w:val="15"/>
                <w:szCs w:val="15"/>
                <w:i w:val="1"/>
                <w:iCs w:val="1"/>
                <w:color w:val="auto"/>
              </w:rPr>
              <w:t>(in thousands)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4"/>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8"/>
                <w:szCs w:val="18"/>
                <w:color w:val="auto"/>
              </w:rPr>
              <w:t>Notes receivable from Grupo Finmart,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3,728</w:t>
            </w:r>
          </w:p>
        </w:tc>
        <w:tc>
          <w:tcPr>
            <w:tcW w:w="4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3,853</w:t>
            </w:r>
          </w:p>
        </w:tc>
        <w:tc>
          <w:tcPr>
            <w:tcW w:w="60" w:type="dxa"/>
            <w:vAlign w:val="bottom"/>
          </w:tcPr>
          <w:p>
            <w:pPr>
              <w:spacing w:after="0"/>
              <w:rPr>
                <w:sz w:val="21"/>
                <w:szCs w:val="21"/>
                <w:color w:val="auto"/>
              </w:rPr>
            </w:pPr>
          </w:p>
        </w:tc>
        <w:tc>
          <w:tcPr>
            <w:tcW w:w="3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3,853</w:t>
            </w:r>
          </w:p>
        </w:tc>
        <w:tc>
          <w:tcPr>
            <w:tcW w:w="6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2.89% promissory note receivable due April 2024</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8"/>
                <w:szCs w:val="18"/>
                <w:color w:val="auto"/>
              </w:rPr>
              <w:t>Investments in unconsolidated affiliates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27,993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27,513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19,734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7,779</w:t>
            </w:r>
          </w:p>
        </w:tc>
        <w:tc>
          <w:tcPr>
            <w:tcW w:w="60" w:type="dxa"/>
            <w:vAlign w:val="bottom"/>
          </w:tcPr>
          <w:p>
            <w:pPr>
              <w:spacing w:after="0"/>
              <w:rPr>
                <w:sz w:val="21"/>
                <w:szCs w:val="21"/>
                <w:color w:val="auto"/>
              </w:rPr>
            </w:pPr>
          </w:p>
        </w:tc>
      </w:tr>
      <w:tr>
        <w:trPr>
          <w:trHeight w:val="148"/>
        </w:trPr>
        <w:tc>
          <w:tcPr>
            <w:tcW w:w="4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50"/>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8"/>
                <w:szCs w:val="18"/>
                <w:color w:val="auto"/>
              </w:rPr>
              <w:t>2024 Convertible Notes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114,196</w:t>
            </w:r>
          </w:p>
        </w:tc>
        <w:tc>
          <w:tcPr>
            <w:tcW w:w="4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106,203</w:t>
            </w:r>
          </w:p>
        </w:tc>
        <w:tc>
          <w:tcPr>
            <w:tcW w:w="60" w:type="dxa"/>
            <w:vAlign w:val="bottom"/>
          </w:tcPr>
          <w:p>
            <w:pPr>
              <w:spacing w:after="0"/>
              <w:rPr>
                <w:sz w:val="21"/>
                <w:szCs w:val="21"/>
                <w:color w:val="auto"/>
              </w:rPr>
            </w:pPr>
          </w:p>
        </w:tc>
        <w:tc>
          <w:tcPr>
            <w:tcW w:w="3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106,203</w:t>
            </w:r>
          </w:p>
        </w:tc>
        <w:tc>
          <w:tcPr>
            <w:tcW w:w="60" w:type="dxa"/>
            <w:vAlign w:val="bottom"/>
          </w:tcPr>
          <w:p>
            <w:pPr>
              <w:spacing w:after="0"/>
              <w:rPr>
                <w:sz w:val="21"/>
                <w:szCs w:val="21"/>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2025 Convertible Notes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129,624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128,081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128,081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8"/>
                <w:szCs w:val="18"/>
                <w:color w:val="auto"/>
              </w:rPr>
              <w:t>8.5% unsecured debt due 2024</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983</w:t>
            </w:r>
          </w:p>
        </w:tc>
        <w:tc>
          <w:tcPr>
            <w:tcW w:w="6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CASHMAX secured borrowing facility</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60" w:type="dxa"/>
            <w:vAlign w:val="bottom"/>
            <w:tcBorders>
              <w:bottom w:val="single" w:sz="8" w:color="CCEEFF"/>
            </w:tcBorders>
            <w:shd w:val="clear" w:color="auto" w:fill="CCEEFF"/>
          </w:tcPr>
          <w:p>
            <w:pPr>
              <w:spacing w:after="0"/>
              <w:rPr>
                <w:sz w:val="21"/>
                <w:szCs w:val="21"/>
                <w:color w:val="auto"/>
              </w:rPr>
            </w:pPr>
          </w:p>
        </w:tc>
      </w:tr>
      <w:tr>
        <w:trPr>
          <w:trHeight w:val="399"/>
        </w:trPr>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7"/>
          </w:tcPr>
          <w:p>
            <w:pPr>
              <w:ind w:left="320"/>
              <w:spacing w:after="0"/>
              <w:rPr>
                <w:sz w:val="20"/>
                <w:szCs w:val="20"/>
                <w:color w:val="auto"/>
              </w:rPr>
            </w:pPr>
            <w:r>
              <w:rPr>
                <w:rFonts w:ascii="Arial" w:cs="Arial" w:eastAsia="Arial" w:hAnsi="Arial"/>
                <w:sz w:val="14"/>
                <w:szCs w:val="14"/>
                <w:b w:val="1"/>
                <w:bCs w:val="1"/>
                <w:color w:val="auto"/>
              </w:rPr>
              <w:t>Estimated Fair Value</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4"/>
        </w:trPr>
        <w:tc>
          <w:tcPr>
            <w:tcW w:w="43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2740" w:type="dxa"/>
            <w:vAlign w:val="bottom"/>
            <w:tcBorders>
              <w:top w:val="single" w:sz="8" w:color="auto"/>
              <w:bottom w:val="single" w:sz="8" w:color="auto"/>
            </w:tcBorders>
            <w:gridSpan w:val="10"/>
          </w:tcPr>
          <w:p>
            <w:pPr>
              <w:jc w:val="right"/>
              <w:ind w:right="100"/>
              <w:spacing w:after="0"/>
              <w:rPr>
                <w:sz w:val="20"/>
                <w:szCs w:val="20"/>
                <w:color w:val="auto"/>
              </w:rPr>
            </w:pPr>
            <w:r>
              <w:rPr>
                <w:rFonts w:ascii="Arial" w:cs="Arial" w:eastAsia="Arial" w:hAnsi="Arial"/>
                <w:sz w:val="14"/>
                <w:szCs w:val="14"/>
                <w:b w:val="1"/>
                <w:bCs w:val="1"/>
                <w:color w:val="auto"/>
              </w:rPr>
              <w:t>Fair Value Measurement Using</w:t>
            </w:r>
          </w:p>
        </w:tc>
        <w:tc>
          <w:tcPr>
            <w:tcW w:w="88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63"/>
        </w:trPr>
        <w:tc>
          <w:tcPr>
            <w:tcW w:w="43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March 31, 2019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March 31, 2019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Level 2</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22"/>
                <w:szCs w:val="22"/>
                <w:color w:val="auto"/>
              </w:rPr>
            </w:pPr>
          </w:p>
        </w:tc>
      </w:tr>
      <w:tr>
        <w:trPr>
          <w:trHeight w:val="387"/>
        </w:trPr>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5"/>
                <w:szCs w:val="15"/>
                <w:i w:val="1"/>
                <w:iCs w:val="1"/>
                <w:color w:val="auto"/>
              </w:rPr>
              <w:t>(in thousands)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4"/>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8"/>
                <w:szCs w:val="18"/>
                <w:color w:val="auto"/>
              </w:rPr>
              <w:t>Notes receivable from Grupo Finmart,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25,166</w:t>
            </w:r>
          </w:p>
        </w:tc>
        <w:tc>
          <w:tcPr>
            <w:tcW w:w="4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26,601</w:t>
            </w:r>
          </w:p>
        </w:tc>
        <w:tc>
          <w:tcPr>
            <w:tcW w:w="60" w:type="dxa"/>
            <w:vAlign w:val="bottom"/>
          </w:tcPr>
          <w:p>
            <w:pPr>
              <w:spacing w:after="0"/>
              <w:rPr>
                <w:sz w:val="21"/>
                <w:szCs w:val="21"/>
                <w:color w:val="auto"/>
              </w:rPr>
            </w:pPr>
          </w:p>
        </w:tc>
        <w:tc>
          <w:tcPr>
            <w:tcW w:w="320" w:type="dxa"/>
            <w:vAlign w:val="bottom"/>
            <w:gridSpan w:val="3"/>
          </w:tcPr>
          <w:p>
            <w:pPr>
              <w:jc w:val="right"/>
              <w:ind w:right="84"/>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26,601</w:t>
            </w:r>
          </w:p>
        </w:tc>
        <w:tc>
          <w:tcPr>
            <w:tcW w:w="6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9"/>
        </w:trPr>
        <w:tc>
          <w:tcPr>
            <w:tcW w:w="4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5"/>
              </w:rPr>
              <w:t>Zero-coupon convertible promissory note due January</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4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6,793</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6,793</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6,793</w:t>
            </w:r>
          </w:p>
        </w:tc>
        <w:tc>
          <w:tcPr>
            <w:tcW w:w="60" w:type="dxa"/>
            <w:vAlign w:val="bottom"/>
          </w:tcPr>
          <w:p>
            <w:pPr>
              <w:spacing w:after="0"/>
              <w:rPr>
                <w:sz w:val="20"/>
                <w:szCs w:val="20"/>
                <w:color w:val="auto"/>
              </w:rPr>
            </w:pP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8"/>
                <w:szCs w:val="18"/>
                <w:color w:val="auto"/>
              </w:rPr>
              <w:t>Investments in unconsolidated affiliates</w:t>
            </w:r>
          </w:p>
        </w:tc>
        <w:tc>
          <w:tcPr>
            <w:tcW w:w="16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29,387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29,387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26,611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2,776</w:t>
            </w:r>
          </w:p>
        </w:tc>
        <w:tc>
          <w:tcPr>
            <w:tcW w:w="6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21"/>
        </w:trPr>
        <w:tc>
          <w:tcPr>
            <w:tcW w:w="4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tcPr>
          <w:p>
            <w:pPr>
              <w:spacing w:after="0"/>
              <w:rPr>
                <w:sz w:val="10"/>
                <w:szCs w:val="10"/>
                <w:color w:val="auto"/>
              </w:rPr>
            </w:pPr>
          </w:p>
        </w:tc>
      </w:tr>
      <w:tr>
        <w:trPr>
          <w:trHeight w:val="243"/>
        </w:trPr>
        <w:tc>
          <w:tcPr>
            <w:tcW w:w="4400" w:type="dxa"/>
            <w:vAlign w:val="bottom"/>
            <w:gridSpan w:val="2"/>
          </w:tcPr>
          <w:p>
            <w:pPr>
              <w:ind w:left="40"/>
              <w:spacing w:after="0"/>
              <w:rPr>
                <w:sz w:val="20"/>
                <w:szCs w:val="20"/>
                <w:color w:val="auto"/>
              </w:rPr>
            </w:pPr>
            <w:r>
              <w:rPr>
                <w:rFonts w:ascii="Arial" w:cs="Arial" w:eastAsia="Arial" w:hAnsi="Arial"/>
                <w:sz w:val="18"/>
                <w:szCs w:val="18"/>
                <w:color w:val="auto"/>
              </w:rPr>
              <w:t>Financial liabilities: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2019 Convertible Notes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192,688</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193,440</w:t>
            </w: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84"/>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193,440</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8"/>
                <w:szCs w:val="18"/>
                <w:color w:val="auto"/>
              </w:rPr>
              <w:t>2024 Convertible Notes</w:t>
            </w:r>
          </w:p>
        </w:tc>
        <w:tc>
          <w:tcPr>
            <w:tcW w:w="16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108,533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159,994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159,994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4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2025 Convertible Notes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122,918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151,179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151,179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8"/>
                <w:szCs w:val="18"/>
                <w:color w:val="auto"/>
              </w:rPr>
              <w:t>8.5% unsecured debt due 2024</w:t>
            </w:r>
          </w:p>
        </w:tc>
        <w:tc>
          <w:tcPr>
            <w:tcW w:w="16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1,191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1,191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1,191</w:t>
            </w:r>
          </w:p>
        </w:tc>
        <w:tc>
          <w:tcPr>
            <w:tcW w:w="6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CASHMAX secured borrowing facility</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1,105</w:t>
            </w:r>
          </w:p>
        </w:tc>
        <w:tc>
          <w:tcPr>
            <w:tcW w:w="60" w:type="dxa"/>
            <w:vAlign w:val="bottom"/>
          </w:tcPr>
          <w:p>
            <w:pPr>
              <w:spacing w:after="0"/>
              <w:rPr>
                <w:sz w:val="21"/>
                <w:szCs w:val="21"/>
                <w:color w:val="auto"/>
              </w:rPr>
            </w:pPr>
          </w:p>
        </w:tc>
      </w:tr>
      <w:tr>
        <w:trPr>
          <w:trHeight w:val="399"/>
        </w:trPr>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5"/>
              </w:rPr>
              <w:t>Carrying Value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rPr>
              <w:t>Estimated Fair Value</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64"/>
        </w:trPr>
        <w:tc>
          <w:tcPr>
            <w:tcW w:w="4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10"/>
          </w:tcPr>
          <w:p>
            <w:pPr>
              <w:jc w:val="center"/>
              <w:ind w:left="655"/>
              <w:spacing w:after="0"/>
              <w:rPr>
                <w:sz w:val="20"/>
                <w:szCs w:val="20"/>
                <w:color w:val="auto"/>
              </w:rPr>
            </w:pPr>
            <w:r>
              <w:rPr>
                <w:rFonts w:ascii="Arial" w:cs="Arial" w:eastAsia="Arial" w:hAnsi="Arial"/>
                <w:sz w:val="14"/>
                <w:szCs w:val="14"/>
                <w:b w:val="1"/>
                <w:bCs w:val="1"/>
                <w:color w:val="auto"/>
                <w:w w:val="94"/>
              </w:rPr>
              <w:t>Fair Value Measurement Using</w:t>
            </w:r>
          </w:p>
        </w:tc>
        <w:tc>
          <w:tcPr>
            <w:tcW w:w="8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r>
      <w:tr>
        <w:trPr>
          <w:trHeight w:val="263"/>
        </w:trPr>
        <w:tc>
          <w:tcPr>
            <w:tcW w:w="4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 2019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 2019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Level 2</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387"/>
        </w:trPr>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gridSpan w:val="3"/>
          </w:tcPr>
          <w:p>
            <w:pPr>
              <w:ind w:left="60"/>
              <w:spacing w:after="0"/>
              <w:rPr>
                <w:sz w:val="20"/>
                <w:szCs w:val="20"/>
                <w:color w:val="auto"/>
              </w:rPr>
            </w:pPr>
            <w:r>
              <w:rPr>
                <w:rFonts w:ascii="Arial" w:cs="Arial" w:eastAsia="Arial" w:hAnsi="Arial"/>
                <w:sz w:val="15"/>
                <w:szCs w:val="15"/>
                <w:i w:val="1"/>
                <w:iCs w:val="1"/>
                <w:color w:val="auto"/>
              </w:rPr>
              <w:t>(in thousands)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4"/>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8"/>
                <w:szCs w:val="18"/>
                <w:color w:val="auto"/>
              </w:rPr>
              <w:t>Notes receivable from Grupo Finmart,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7,182</w:t>
            </w:r>
          </w:p>
        </w:tc>
        <w:tc>
          <w:tcPr>
            <w:tcW w:w="4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7,582</w:t>
            </w:r>
          </w:p>
        </w:tc>
        <w:tc>
          <w:tcPr>
            <w:tcW w:w="60" w:type="dxa"/>
            <w:vAlign w:val="bottom"/>
          </w:tcPr>
          <w:p>
            <w:pPr>
              <w:spacing w:after="0"/>
              <w:rPr>
                <w:sz w:val="21"/>
                <w:szCs w:val="21"/>
                <w:color w:val="auto"/>
              </w:rPr>
            </w:pPr>
          </w:p>
        </w:tc>
        <w:tc>
          <w:tcPr>
            <w:tcW w:w="3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7,582</w:t>
            </w:r>
          </w:p>
        </w:tc>
        <w:tc>
          <w:tcPr>
            <w:tcW w:w="60" w:type="dxa"/>
            <w:vAlign w:val="bottom"/>
          </w:tcPr>
          <w:p>
            <w:pPr>
              <w:spacing w:after="0"/>
              <w:rPr>
                <w:sz w:val="21"/>
                <w:szCs w:val="21"/>
                <w:color w:val="auto"/>
              </w:rPr>
            </w:pPr>
          </w:p>
        </w:tc>
      </w:tr>
      <w:tr>
        <w:trPr>
          <w:trHeight w:val="27"/>
        </w:trPr>
        <w:tc>
          <w:tcPr>
            <w:tcW w:w="44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2.89% promissory note receivable due April 2024</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8"/>
                <w:szCs w:val="18"/>
                <w:color w:val="auto"/>
              </w:rPr>
              <w:t>Investments in unconsolidated affiliates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34,516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28,308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20,252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8,056</w:t>
            </w:r>
          </w:p>
        </w:tc>
        <w:tc>
          <w:tcPr>
            <w:tcW w:w="60" w:type="dxa"/>
            <w:vAlign w:val="bottom"/>
          </w:tcPr>
          <w:p>
            <w:pPr>
              <w:spacing w:after="0"/>
              <w:rPr>
                <w:sz w:val="21"/>
                <w:szCs w:val="21"/>
                <w:color w:val="auto"/>
              </w:rPr>
            </w:pPr>
          </w:p>
        </w:tc>
      </w:tr>
      <w:tr>
        <w:trPr>
          <w:trHeight w:val="27"/>
        </w:trPr>
        <w:tc>
          <w:tcPr>
            <w:tcW w:w="44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22"/>
        </w:trPr>
        <w:tc>
          <w:tcPr>
            <w:tcW w:w="4400" w:type="dxa"/>
            <w:vAlign w:val="bottom"/>
            <w:gridSpan w:val="2"/>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243"/>
        </w:trPr>
        <w:tc>
          <w:tcPr>
            <w:tcW w:w="4400" w:type="dxa"/>
            <w:vAlign w:val="bottom"/>
            <w:gridSpan w:val="2"/>
          </w:tcPr>
          <w:p>
            <w:pPr>
              <w:ind w:left="40"/>
              <w:spacing w:after="0"/>
              <w:rPr>
                <w:sz w:val="20"/>
                <w:szCs w:val="20"/>
                <w:color w:val="auto"/>
              </w:rPr>
            </w:pPr>
            <w:r>
              <w:rPr>
                <w:rFonts w:ascii="Arial" w:cs="Arial" w:eastAsia="Arial" w:hAnsi="Arial"/>
                <w:sz w:val="18"/>
                <w:szCs w:val="18"/>
                <w:color w:val="auto"/>
              </w:rPr>
              <w:t>Financial liabilities: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44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gridSpan w:val="3"/>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gridSpan w:val="3"/>
          </w:tcPr>
          <w:p>
            <w:pPr>
              <w:spacing w:after="0"/>
              <w:rPr>
                <w:sz w:val="2"/>
                <w:szCs w:val="2"/>
                <w:color w:val="auto"/>
              </w:rPr>
            </w:pPr>
          </w:p>
        </w:tc>
        <w:tc>
          <w:tcPr>
            <w:tcW w:w="1000" w:type="dxa"/>
            <w:vAlign w:val="bottom"/>
            <w:gridSpan w:val="2"/>
          </w:tcPr>
          <w:p>
            <w:pPr>
              <w:spacing w:after="0"/>
              <w:rPr>
                <w:sz w:val="2"/>
                <w:szCs w:val="2"/>
                <w:color w:val="auto"/>
              </w:rPr>
            </w:pPr>
          </w:p>
        </w:tc>
        <w:tc>
          <w:tcPr>
            <w:tcW w:w="34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940" w:type="dxa"/>
            <w:vAlign w:val="bottom"/>
            <w:gridSpan w:val="2"/>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2024 Convertible Notes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111,311</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139,969</w:t>
            </w: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139,969</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8"/>
                <w:szCs w:val="18"/>
                <w:color w:val="auto"/>
              </w:rPr>
              <w:t>2025 Convertible Notes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126,210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138,345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138,345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4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8.5% unsecured debt due 2024</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8"/>
                <w:szCs w:val="18"/>
                <w:color w:val="auto"/>
              </w:rPr>
              <w:t>CASHMAX secured borrowing facility</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634</w:t>
            </w:r>
          </w:p>
        </w:tc>
        <w:tc>
          <w:tcPr>
            <w:tcW w:w="6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As a result of the impact of the novel coronavirus disease (“COVID-19”), certain of the above fair values as of March 31, 2020 may be highly volatile.</w:t>
      </w:r>
    </w:p>
    <w:p>
      <w:pPr>
        <w:spacing w:after="0" w:line="183"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color w:val="auto"/>
        </w:rPr>
        <w:t>We estimate that the carrying value of our cash and cash equivalents, pawn loans, pawn service charges receivable, current consumer loans, fees and interest receivable and other debt approximate fair value. We consider our cash and cash equivalents to be measured using Level 1 inputs and our pawn loans, pawn service charges receivable, consumer loans, fees and interest receivable and other debt to be measured using Level 3 inputs. Significant increases or decreases in the underlying assumptions used to value pawn loans, pawn service charges receivable, consumer loans, fees and interest receivable and other debt could significantly increase or decrease these fair value estimates.</w:t>
      </w:r>
    </w:p>
    <w:p>
      <w:pPr>
        <w:spacing w:after="0" w:line="12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measured the fair value of the remaining deferred compensation fee due in September 2020 from the sale of Prestaciones Finmart, S.A.P.I. de C.V., SOFOM, E.N.R. ("Grupo Finmart") to Alpha Holding, S.A. de C.V. (“AlphaCredit”) in September 2016 as of March 31, 2020 under a discounted cash flow approach considering the estimated credit ratings for Grupo Finmart and AlphaCredit, with discount rates of primarily 7%. Certain of the significant inputs used for the valuation were not observable in the market. Significant increases or decreases in the underlying assumptions used to value the notes receivable could significantly increase or decrease these fair value estimates. We remain obligated to indemnify AlphaCredit for any tax obligations arising from the Grupo Finmart business that are attributable to periods prior to the completion of the sale in September 2016, referred to as “pre-closing taxes.” Those obligations continue until the expiration of the statute of limitations applicable to the pre-closing periods. In August 2019, AlphaCredit notified us of an indemnity claim for certain pre-closing taxes, but the nature, extent and validity of such claim has yet to be determined. In March 2020, AlphaCredit paid $4.0 million of the remaining deferred compensation into an escrow account pending resolution of the claim; we recorded that amount under “Prepaid expenses and other current assets, net” in our condensed consolidated balance sheet as of March 31, 2020. We reviewed the financial statements of Grupo Finmart and AlphaCredit including the calculation of synthetic credit spreads as described above in making our determination that the Parent Loan Notes are collectible on an ongoing basis.</w:t>
      </w:r>
    </w:p>
    <w:p>
      <w:pPr>
        <w:spacing w:after="0" w:line="1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equity method of accounting is followed for our 13% ownership in a previously consolidated variable interest entity ("RDC") over which we no longer have the power to direct the activities that most significantly affect its economic performance. We believe that its fair value approximates carrying value although such fair value is highly variable and includes significant unobservable inputs.</w:t>
      </w:r>
    </w:p>
    <w:p>
      <w:pPr>
        <w:spacing w:after="0" w:line="13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measured the fair value of the 2024 and 2025 Convertible Notes using quoted price inputs. The notes are not actively traded, and thus the price inputs represent a Level 2 measurement. As the quoted price inputs are highly variable from day to day, the fair value estimates disclosed above could significantly increase or decrease.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debt instruments outstanding, contractual maturities and interest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6"/>
              </w:rPr>
              <w:t>March 31, 2020</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March 31, 2019</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September 30, 2019</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Debt Discount</w:t>
            </w:r>
          </w:p>
        </w:tc>
        <w:tc>
          <w:tcPr>
            <w:tcW w:w="16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Debt Discount</w:t>
            </w:r>
          </w:p>
        </w:tc>
        <w:tc>
          <w:tcPr>
            <w:tcW w:w="160" w:type="dxa"/>
            <w:vAlign w:val="bottom"/>
          </w:tcPr>
          <w:p>
            <w:pPr>
              <w:spacing w:after="0"/>
              <w:rPr>
                <w:sz w:val="13"/>
                <w:szCs w:val="13"/>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4"/>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Debt Discount</w:t>
            </w:r>
          </w:p>
        </w:tc>
        <w:tc>
          <w:tcPr>
            <w:tcW w:w="140" w:type="dxa"/>
            <w:vAlign w:val="bottom"/>
          </w:tcPr>
          <w:p>
            <w:pPr>
              <w:spacing w:after="0"/>
              <w:rPr>
                <w:sz w:val="13"/>
                <w:szCs w:val="13"/>
                <w:color w:val="auto"/>
              </w:rPr>
            </w:pPr>
          </w:p>
        </w:tc>
        <w:tc>
          <w:tcPr>
            <w:tcW w:w="84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Gross Amount</w:t>
            </w:r>
          </w:p>
        </w:tc>
        <w:tc>
          <w:tcPr>
            <w:tcW w:w="1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and Issuance</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Gross Amount</w:t>
            </w:r>
          </w:p>
        </w:tc>
        <w:tc>
          <w:tcPr>
            <w:tcW w:w="120" w:type="dxa"/>
            <w:vAlign w:val="bottom"/>
            <w:vMerge w:val="restart"/>
          </w:tcPr>
          <w:p>
            <w:pPr>
              <w:spacing w:after="0"/>
              <w:rPr>
                <w:sz w:val="12"/>
                <w:szCs w:val="12"/>
                <w:color w:val="auto"/>
              </w:rPr>
            </w:pP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and Issuance</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Gross Amount</w:t>
            </w:r>
          </w:p>
        </w:tc>
        <w:tc>
          <w:tcPr>
            <w:tcW w:w="120" w:type="dxa"/>
            <w:vAlign w:val="bottom"/>
          </w:tcPr>
          <w:p>
            <w:pPr>
              <w:spacing w:after="0"/>
              <w:rPr>
                <w:sz w:val="12"/>
                <w:szCs w:val="12"/>
                <w:color w:val="auto"/>
              </w:rPr>
            </w:pPr>
          </w:p>
        </w:tc>
        <w:tc>
          <w:tcPr>
            <w:tcW w:w="112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and Issuance</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40" w:type="dxa"/>
            <w:vAlign w:val="bottom"/>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7"/>
              </w:rPr>
              <w:t>Costs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385"/>
        </w:trPr>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2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2019 Convertible</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w:t>
            </w:r>
          </w:p>
        </w:tc>
        <w:tc>
          <w:tcPr>
            <w:tcW w:w="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195,000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192,688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1240" w:type="dxa"/>
            <w:vAlign w:val="bottom"/>
          </w:tcPr>
          <w:p>
            <w:pPr>
              <w:ind w:left="40"/>
              <w:spacing w:after="0"/>
              <w:rPr>
                <w:sz w:val="20"/>
                <w:szCs w:val="20"/>
                <w:color w:val="auto"/>
              </w:rPr>
            </w:pPr>
            <w:r>
              <w:rPr>
                <w:rFonts w:ascii="Arial" w:cs="Arial" w:eastAsia="Arial" w:hAnsi="Arial"/>
                <w:sz w:val="16"/>
                <w:szCs w:val="16"/>
                <w:color w:val="auto"/>
                <w:w w:val="97"/>
              </w:rPr>
              <w:t>2024 Convertible</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40" w:type="dxa"/>
            <w:vAlign w:val="bottom"/>
          </w:tcPr>
          <w:p>
            <w:pPr>
              <w:ind w:left="40"/>
              <w:spacing w:after="0"/>
              <w:rPr>
                <w:sz w:val="20"/>
                <w:szCs w:val="20"/>
                <w:color w:val="auto"/>
              </w:rPr>
            </w:pPr>
            <w:r>
              <w:rPr>
                <w:rFonts w:ascii="Arial" w:cs="Arial" w:eastAsia="Arial" w:hAnsi="Arial"/>
                <w:sz w:val="16"/>
                <w:szCs w:val="16"/>
                <w:color w:val="auto"/>
              </w:rPr>
              <w:t>Notes</w:t>
            </w:r>
          </w:p>
        </w:tc>
        <w:tc>
          <w:tcPr>
            <w:tcW w:w="26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143,750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(29,554)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114,196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143,750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(35,217)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108,533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143,750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(32,439)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111,311</w:t>
            </w:r>
          </w:p>
        </w:tc>
        <w:tc>
          <w:tcPr>
            <w:tcW w:w="0" w:type="dxa"/>
            <w:vAlign w:val="bottom"/>
          </w:tcPr>
          <w:p>
            <w:pPr>
              <w:spacing w:after="0"/>
              <w:rPr>
                <w:sz w:val="1"/>
                <w:szCs w:val="1"/>
                <w:color w:val="auto"/>
              </w:rPr>
            </w:pPr>
          </w:p>
        </w:tc>
      </w:tr>
      <w:tr>
        <w:trPr>
          <w:trHeight w:val="33"/>
        </w:trPr>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2025 Convertible</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w:t>
            </w:r>
          </w:p>
        </w:tc>
        <w:tc>
          <w:tcPr>
            <w:tcW w:w="2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172,500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(42,876)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129,624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172,500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(49,582)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122,918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172,500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(46,290)</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126,210</w:t>
            </w:r>
          </w:p>
        </w:tc>
        <w:tc>
          <w:tcPr>
            <w:tcW w:w="0" w:type="dxa"/>
            <w:vAlign w:val="bottom"/>
          </w:tcPr>
          <w:p>
            <w:pPr>
              <w:spacing w:after="0"/>
              <w:rPr>
                <w:sz w:val="1"/>
                <w:szCs w:val="1"/>
                <w:color w:val="auto"/>
              </w:rPr>
            </w:pPr>
          </w:p>
        </w:tc>
      </w:tr>
      <w:tr>
        <w:trPr>
          <w:trHeight w:val="220"/>
        </w:trPr>
        <w:tc>
          <w:tcPr>
            <w:tcW w:w="1240" w:type="dxa"/>
            <w:vAlign w:val="bottom"/>
          </w:tcPr>
          <w:p>
            <w:pPr>
              <w:ind w:left="40"/>
              <w:spacing w:after="0"/>
              <w:rPr>
                <w:sz w:val="20"/>
                <w:szCs w:val="20"/>
                <w:color w:val="auto"/>
              </w:rPr>
            </w:pPr>
            <w:r>
              <w:rPr>
                <w:rFonts w:ascii="Arial" w:cs="Arial" w:eastAsia="Arial" w:hAnsi="Arial"/>
                <w:sz w:val="16"/>
                <w:szCs w:val="16"/>
                <w:color w:val="auto"/>
              </w:rPr>
              <w:t>8.5% unsecured</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40" w:type="dxa"/>
            <w:vAlign w:val="bottom"/>
          </w:tcPr>
          <w:p>
            <w:pPr>
              <w:ind w:left="40"/>
              <w:spacing w:after="0"/>
              <w:rPr>
                <w:sz w:val="20"/>
                <w:szCs w:val="20"/>
                <w:color w:val="auto"/>
              </w:rPr>
            </w:pPr>
            <w:r>
              <w:rPr>
                <w:rFonts w:ascii="Arial" w:cs="Arial" w:eastAsia="Arial" w:hAnsi="Arial"/>
                <w:sz w:val="16"/>
                <w:szCs w:val="16"/>
                <w:color w:val="auto"/>
              </w:rPr>
              <w:t>debt due 2024*</w:t>
            </w:r>
          </w:p>
        </w:tc>
        <w:tc>
          <w:tcPr>
            <w:tcW w:w="26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983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983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1,191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1,191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1,092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1,092</w:t>
            </w:r>
          </w:p>
        </w:tc>
        <w:tc>
          <w:tcPr>
            <w:tcW w:w="0" w:type="dxa"/>
            <w:vAlign w:val="bottom"/>
          </w:tcPr>
          <w:p>
            <w:pPr>
              <w:spacing w:after="0"/>
              <w:rPr>
                <w:sz w:val="1"/>
                <w:szCs w:val="1"/>
                <w:color w:val="auto"/>
              </w:rPr>
            </w:pPr>
          </w:p>
        </w:tc>
      </w:tr>
      <w:tr>
        <w:trPr>
          <w:trHeight w:val="33"/>
        </w:trPr>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CASHMAX</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secured</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facility*</w:t>
            </w: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(529)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7"/>
        </w:trPr>
        <w:tc>
          <w:tcPr>
            <w:tcW w:w="1240" w:type="dxa"/>
            <w:vAlign w:val="bottom"/>
          </w:tcPr>
          <w:p>
            <w:pPr>
              <w:ind w:left="28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317,514</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(72,959)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244,555</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513,546</w:t>
            </w:r>
          </w:p>
        </w:tc>
        <w:tc>
          <w:tcPr>
            <w:tcW w:w="120" w:type="dxa"/>
            <w:vAlign w:val="bottom"/>
          </w:tcPr>
          <w:p>
            <w:pPr>
              <w:spacing w:after="0"/>
              <w:rPr>
                <w:sz w:val="18"/>
                <w:szCs w:val="18"/>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(87,912)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425,634</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317,976</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(79,382)</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238,594</w:t>
            </w:r>
          </w:p>
        </w:tc>
        <w:tc>
          <w:tcPr>
            <w:tcW w:w="0" w:type="dxa"/>
            <w:vAlign w:val="bottom"/>
          </w:tcPr>
          <w:p>
            <w:pPr>
              <w:spacing w:after="0"/>
              <w:rPr>
                <w:sz w:val="1"/>
                <w:szCs w:val="1"/>
                <w:color w:val="auto"/>
              </w:rPr>
            </w:pPr>
          </w:p>
        </w:tc>
      </w:tr>
      <w:tr>
        <w:trPr>
          <w:trHeight w:val="33"/>
        </w:trPr>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current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portion</w:t>
            </w: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195,213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192,901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00"/>
        </w:trPr>
        <w:tc>
          <w:tcPr>
            <w:tcW w:w="1240" w:type="dxa"/>
            <w:vAlign w:val="bottom"/>
          </w:tcPr>
          <w:p>
            <w:pPr>
              <w:ind w:left="280"/>
              <w:spacing w:after="0"/>
              <w:rPr>
                <w:sz w:val="20"/>
                <w:szCs w:val="20"/>
                <w:color w:val="auto"/>
              </w:rPr>
            </w:pPr>
            <w:r>
              <w:rPr>
                <w:rFonts w:ascii="Arial" w:cs="Arial" w:eastAsia="Arial" w:hAnsi="Arial"/>
                <w:sz w:val="16"/>
                <w:szCs w:val="16"/>
                <w:color w:val="auto"/>
              </w:rPr>
              <w:t>Total long-</w:t>
            </w:r>
          </w:p>
        </w:tc>
        <w:tc>
          <w:tcPr>
            <w:tcW w:w="26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317,247</w:t>
            </w:r>
          </w:p>
        </w:tc>
        <w:tc>
          <w:tcPr>
            <w:tcW w:w="140" w:type="dxa"/>
            <w:vAlign w:val="bottom"/>
          </w:tcPr>
          <w:p>
            <w:pPr>
              <w:spacing w:after="0"/>
              <w:rPr>
                <w:sz w:val="17"/>
                <w:szCs w:val="1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rPr>
              <w:t>(72,959)</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6"/>
                <w:szCs w:val="16"/>
                <w:color w:val="auto"/>
              </w:rPr>
              <w:t>244,288</w:t>
            </w:r>
          </w:p>
        </w:tc>
        <w:tc>
          <w:tcPr>
            <w:tcW w:w="10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318,333</w:t>
            </w:r>
          </w:p>
        </w:tc>
        <w:tc>
          <w:tcPr>
            <w:tcW w:w="120" w:type="dxa"/>
            <w:vAlign w:val="bottom"/>
          </w:tcPr>
          <w:p>
            <w:pPr>
              <w:spacing w:after="0"/>
              <w:rPr>
                <w:sz w:val="17"/>
                <w:szCs w:val="17"/>
                <w:color w:val="auto"/>
              </w:rPr>
            </w:pPr>
          </w:p>
        </w:tc>
        <w:tc>
          <w:tcPr>
            <w:tcW w:w="22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(85,600)</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6"/>
                <w:szCs w:val="16"/>
                <w:color w:val="auto"/>
              </w:rPr>
              <w:t>232,733</w:t>
            </w:r>
          </w:p>
        </w:tc>
        <w:tc>
          <w:tcPr>
            <w:tcW w:w="10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317,762</w:t>
            </w:r>
          </w:p>
        </w:tc>
        <w:tc>
          <w:tcPr>
            <w:tcW w:w="12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(79,382)</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6"/>
                <w:szCs w:val="16"/>
                <w:color w:val="auto"/>
              </w:rPr>
              <w:t>238,380</w:t>
            </w:r>
          </w:p>
        </w:tc>
        <w:tc>
          <w:tcPr>
            <w:tcW w:w="0" w:type="dxa"/>
            <w:vAlign w:val="bottom"/>
          </w:tcPr>
          <w:p>
            <w:pPr>
              <w:spacing w:after="0"/>
              <w:rPr>
                <w:sz w:val="1"/>
                <w:szCs w:val="1"/>
                <w:color w:val="auto"/>
              </w:rPr>
            </w:pPr>
          </w:p>
        </w:tc>
      </w:tr>
      <w:tr>
        <w:trPr>
          <w:trHeight w:val="219"/>
        </w:trPr>
        <w:tc>
          <w:tcPr>
            <w:tcW w:w="1240" w:type="dxa"/>
            <w:vAlign w:val="bottom"/>
          </w:tcPr>
          <w:p>
            <w:pPr>
              <w:ind w:left="280"/>
              <w:spacing w:after="0"/>
              <w:rPr>
                <w:sz w:val="20"/>
                <w:szCs w:val="20"/>
                <w:color w:val="auto"/>
              </w:rPr>
            </w:pPr>
            <w:r>
              <w:rPr>
                <w:rFonts w:ascii="Arial" w:cs="Arial" w:eastAsia="Arial" w:hAnsi="Arial"/>
                <w:sz w:val="16"/>
                <w:szCs w:val="16"/>
                <w:color w:val="auto"/>
              </w:rPr>
              <w:t>term debt</w:t>
            </w:r>
          </w:p>
        </w:tc>
        <w:tc>
          <w:tcPr>
            <w:tcW w:w="26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ind w:left="380" w:hanging="345"/>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Amount translated from Guatemalan quetzals and Canadian dollars as of applicable period end. Certain disclosures omitted due to materiality considerations.</w:t>
      </w:r>
    </w:p>
    <w:p>
      <w:pPr>
        <w:spacing w:after="0" w:line="200" w:lineRule="exact"/>
        <w:rPr>
          <w:rFonts w:ascii="Arial" w:cs="Arial" w:eastAsia="Arial" w:hAnsi="Arial"/>
          <w:sz w:val="14"/>
          <w:szCs w:val="14"/>
          <w:color w:val="auto"/>
        </w:rPr>
      </w:pPr>
    </w:p>
    <w:p>
      <w:pPr>
        <w:spacing w:after="0" w:line="256" w:lineRule="exact"/>
        <w:rPr>
          <w:rFonts w:ascii="Arial" w:cs="Arial" w:eastAsia="Arial" w:hAnsi="Arial"/>
          <w:sz w:val="14"/>
          <w:szCs w:val="14"/>
          <w:color w:val="auto"/>
        </w:rPr>
      </w:pPr>
    </w:p>
    <w:p>
      <w:pPr>
        <w:ind w:left="6860"/>
        <w:spacing w:after="0"/>
        <w:rPr>
          <w:rFonts w:ascii="Arial" w:cs="Arial" w:eastAsia="Arial" w:hAnsi="Arial"/>
          <w:sz w:val="14"/>
          <w:szCs w:val="14"/>
          <w:color w:val="auto"/>
        </w:rPr>
      </w:pPr>
      <w:r>
        <w:rPr>
          <w:rFonts w:ascii="Arial" w:cs="Arial" w:eastAsia="Arial" w:hAnsi="Arial"/>
          <w:sz w:val="14"/>
          <w:szCs w:val="14"/>
          <w:b w:val="1"/>
          <w:bCs w:val="1"/>
          <w:color w:val="auto"/>
        </w:rPr>
        <w:t>Schedule of Contractual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23495</wp:posOffset>
            </wp:positionV>
            <wp:extent cx="42005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0052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Less Than 1 Year</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1"/>
              </w:rPr>
              <w:t>1 - 3 Years</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3 - 5 Years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Arial" w:cs="Arial" w:eastAsia="Arial" w:hAnsi="Arial"/>
                <w:sz w:val="14"/>
                <w:szCs w:val="14"/>
                <w:b w:val="1"/>
                <w:bCs w:val="1"/>
                <w:color w:val="auto"/>
              </w:rPr>
              <w:t>More Than 5</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385"/>
        </w:trPr>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2"/>
              </w:rPr>
              <w:t>(in thousands)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 Convertible Notes*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143,750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143,750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2025 Convertible Notes*</w:t>
            </w:r>
          </w:p>
        </w:tc>
        <w:tc>
          <w:tcPr>
            <w:tcW w:w="3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172,500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172,500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8.5% unsecured debt due 2024</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CASHMAX secured borrowing facility</w:t>
            </w:r>
          </w:p>
        </w:tc>
        <w:tc>
          <w:tcPr>
            <w:tcW w:w="3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6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317,514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316,591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left="40"/>
        <w:spacing w:after="0"/>
        <w:tabs>
          <w:tab w:leader="none" w:pos="3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Excludes the potential impact of embedded derivatives.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2"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2"/>
        </w:trPr>
        <w:tc>
          <w:tcPr>
            <w:tcW w:w="5740" w:type="dxa"/>
            <w:vAlign w:val="bottom"/>
          </w:tcPr>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613"/>
        </w:trPr>
        <w:tc>
          <w:tcPr>
            <w:tcW w:w="5740" w:type="dxa"/>
            <w:vAlign w:val="bottom"/>
          </w:tcPr>
          <w:p>
            <w:pPr>
              <w:spacing w:after="0"/>
              <w:rPr>
                <w:sz w:val="24"/>
                <w:szCs w:val="24"/>
                <w:color w:val="auto"/>
              </w:rPr>
            </w:pPr>
          </w:p>
        </w:tc>
        <w:tc>
          <w:tcPr>
            <w:tcW w:w="294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Pr>
          <w:p>
            <w:pPr>
              <w:spacing w:after="0"/>
              <w:rPr>
                <w:sz w:val="24"/>
                <w:szCs w:val="24"/>
                <w:color w:val="auto"/>
              </w:rPr>
            </w:pPr>
          </w:p>
        </w:tc>
        <w:tc>
          <w:tcPr>
            <w:tcW w:w="224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7"/>
              </w:rPr>
              <w:t>Six Months Ended March 31,</w:t>
            </w:r>
          </w:p>
        </w:tc>
      </w:tr>
      <w:tr>
        <w:trPr>
          <w:trHeight w:val="264"/>
        </w:trPr>
        <w:tc>
          <w:tcPr>
            <w:tcW w:w="574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318"/>
        </w:trPr>
        <w:tc>
          <w:tcPr>
            <w:tcW w:w="5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6"/>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Convertible Notes:</w:t>
            </w: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5740" w:type="dxa"/>
            <w:vAlign w:val="bottom"/>
          </w:tcPr>
          <w:p>
            <w:pPr>
              <w:ind w:left="280"/>
              <w:spacing w:after="0"/>
              <w:rPr>
                <w:sz w:val="20"/>
                <w:szCs w:val="20"/>
                <w:color w:val="auto"/>
              </w:rPr>
            </w:pPr>
            <w:r>
              <w:rPr>
                <w:rFonts w:ascii="Arial" w:cs="Arial" w:eastAsia="Arial" w:hAnsi="Arial"/>
                <w:sz w:val="18"/>
                <w:szCs w:val="18"/>
                <w:color w:val="auto"/>
              </w:rPr>
              <w:t>Contractual interest expense</w:t>
            </w:r>
          </w:p>
        </w:tc>
        <w:tc>
          <w:tcPr>
            <w:tcW w:w="840" w:type="dxa"/>
            <w:vAlign w:val="bottom"/>
          </w:tcPr>
          <w:p>
            <w:pPr>
              <w:jc w:val="right"/>
              <w:ind w:right="635"/>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2,138</w:t>
            </w:r>
          </w:p>
        </w:tc>
      </w:tr>
      <w:tr>
        <w:trPr>
          <w:trHeight w:val="27"/>
        </w:trPr>
        <w:tc>
          <w:tcPr>
            <w:tcW w:w="5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discount and deferred financing costs</w:t>
            </w:r>
          </w:p>
        </w:tc>
        <w:tc>
          <w:tcPr>
            <w:tcW w:w="8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5,253</w:t>
            </w:r>
          </w:p>
        </w:tc>
      </w:tr>
      <w:tr>
        <w:trPr>
          <w:trHeight w:val="297"/>
        </w:trPr>
        <w:tc>
          <w:tcPr>
            <w:tcW w:w="57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interest expense</w:t>
            </w:r>
          </w:p>
        </w:tc>
        <w:tc>
          <w:tcPr>
            <w:tcW w:w="84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3,679</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7,391</w:t>
            </w:r>
          </w:p>
        </w:tc>
      </w:tr>
      <w:tr>
        <w:trPr>
          <w:trHeight w:val="108"/>
        </w:trPr>
        <w:tc>
          <w:tcPr>
            <w:tcW w:w="57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2024 Convertible Notes:</w:t>
            </w: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Contractual interest expense</w:t>
            </w:r>
          </w:p>
        </w:tc>
        <w:tc>
          <w:tcPr>
            <w:tcW w:w="840" w:type="dxa"/>
            <w:vAlign w:val="bottom"/>
            <w:tcBorders>
              <w:bottom w:val="single" w:sz="8" w:color="CCEEFF"/>
            </w:tcBorders>
            <w:shd w:val="clear" w:color="auto" w:fill="CCEEFF"/>
          </w:tcPr>
          <w:p>
            <w:pPr>
              <w:jc w:val="right"/>
              <w:ind w:right="63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1,033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2,066</w:t>
            </w:r>
          </w:p>
        </w:tc>
      </w:tr>
      <w:tr>
        <w:trPr>
          <w:trHeight w:val="243"/>
        </w:trPr>
        <w:tc>
          <w:tcPr>
            <w:tcW w:w="5740" w:type="dxa"/>
            <w:vAlign w:val="bottom"/>
          </w:tcPr>
          <w:p>
            <w:pPr>
              <w:ind w:left="280"/>
              <w:spacing w:after="0"/>
              <w:rPr>
                <w:sz w:val="20"/>
                <w:szCs w:val="20"/>
                <w:color w:val="auto"/>
              </w:rPr>
            </w:pPr>
            <w:r>
              <w:rPr>
                <w:rFonts w:ascii="Arial" w:cs="Arial" w:eastAsia="Arial" w:hAnsi="Arial"/>
                <w:sz w:val="18"/>
                <w:szCs w:val="18"/>
                <w:color w:val="auto"/>
              </w:rPr>
              <w:t>Amortization of debt discount and deferred financing costs</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1,457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2,886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2,675</w:t>
            </w:r>
          </w:p>
        </w:tc>
      </w:tr>
      <w:tr>
        <w:trPr>
          <w:trHeight w:val="27"/>
        </w:trPr>
        <w:tc>
          <w:tcPr>
            <w:tcW w:w="57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interest expense</w:t>
            </w:r>
          </w:p>
        </w:tc>
        <w:tc>
          <w:tcPr>
            <w:tcW w:w="840" w:type="dxa"/>
            <w:vAlign w:val="bottom"/>
            <w:tcBorders>
              <w:bottom w:val="single" w:sz="8" w:color="auto"/>
            </w:tcBorders>
            <w:shd w:val="clear" w:color="auto" w:fill="CCEEFF"/>
          </w:tcPr>
          <w:p>
            <w:pPr>
              <w:jc w:val="right"/>
              <w:ind w:right="63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2,490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2,383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4,952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4,741</w:t>
            </w:r>
          </w:p>
        </w:tc>
      </w:tr>
      <w:tr>
        <w:trPr>
          <w:trHeight w:val="20"/>
        </w:trPr>
        <w:tc>
          <w:tcPr>
            <w:tcW w:w="5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8"/>
        </w:trPr>
        <w:tc>
          <w:tcPr>
            <w:tcW w:w="5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2025 Convertible Notes: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280"/>
              <w:spacing w:after="0"/>
              <w:rPr>
                <w:sz w:val="20"/>
                <w:szCs w:val="20"/>
                <w:color w:val="auto"/>
              </w:rPr>
            </w:pPr>
            <w:r>
              <w:rPr>
                <w:rFonts w:ascii="Arial" w:cs="Arial" w:eastAsia="Arial" w:hAnsi="Arial"/>
                <w:sz w:val="18"/>
                <w:szCs w:val="18"/>
                <w:color w:val="auto"/>
              </w:rPr>
              <w:t>Contractual interest expense</w:t>
            </w:r>
          </w:p>
        </w:tc>
        <w:tc>
          <w:tcPr>
            <w:tcW w:w="840" w:type="dxa"/>
            <w:vAlign w:val="bottom"/>
          </w:tcPr>
          <w:p>
            <w:pPr>
              <w:jc w:val="right"/>
              <w:ind w:right="635"/>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1,024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2,048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2,048</w:t>
            </w:r>
          </w:p>
        </w:tc>
      </w:tr>
      <w:tr>
        <w:trPr>
          <w:trHeight w:val="27"/>
        </w:trPr>
        <w:tc>
          <w:tcPr>
            <w:tcW w:w="5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discount and deferred financing costs</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1,722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3,176</w:t>
            </w:r>
          </w:p>
        </w:tc>
      </w:tr>
      <w:tr>
        <w:trPr>
          <w:trHeight w:val="257"/>
        </w:trPr>
        <w:tc>
          <w:tcPr>
            <w:tcW w:w="5740" w:type="dxa"/>
            <w:vAlign w:val="bottom"/>
          </w:tcPr>
          <w:p>
            <w:pPr>
              <w:ind w:left="500"/>
              <w:spacing w:after="0"/>
              <w:rPr>
                <w:sz w:val="20"/>
                <w:szCs w:val="20"/>
                <w:color w:val="auto"/>
              </w:rPr>
            </w:pPr>
            <w:r>
              <w:rPr>
                <w:rFonts w:ascii="Arial" w:cs="Arial" w:eastAsia="Arial" w:hAnsi="Arial"/>
                <w:sz w:val="18"/>
                <w:szCs w:val="18"/>
                <w:color w:val="auto"/>
              </w:rPr>
              <w:t>Total interest expense</w:t>
            </w:r>
          </w:p>
        </w:tc>
        <w:tc>
          <w:tcPr>
            <w:tcW w:w="84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2,746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2,626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5,461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5,224</w:t>
            </w:r>
          </w:p>
        </w:tc>
      </w:tr>
      <w:tr>
        <w:trPr>
          <w:trHeight w:val="20"/>
        </w:trPr>
        <w:tc>
          <w:tcPr>
            <w:tcW w:w="5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2.375% Convertible Senior Notes Due 2025</w:t>
      </w:r>
    </w:p>
    <w:p>
      <w:pPr>
        <w:spacing w:after="0" w:line="333"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In May 2018, we issued $172.5 million aggregate principal amount of 2.375% Convertible Senior Notes Due 2025 (the “2025 Convertible Notes”). The 2025 Convertible Notes were issued pursuant to an indenture dated May 14, 2018 (the "2018 Indenture") by and between us and Wells Fargo Bank, National Association, as the original trustee. The 2025 Convertible Notes were issued in a private offering under Rule 144A under the Securities Act of 1933. The 2025 Convertible Notes pay interest semi-annually in arrears at a rate of 2.375% per annum on May 1 and November 1 of each year, commencing November 1, 2018, and mature on May 1, 2025 (the "2025 Maturity Date"), unless converted, redeemed or repurchased in accordance with their terms prior to such date. The carrying amount of the 2025 Convertible Notes as a separate equity-classified instrument (the “2025 Convertible Notes Embedded Derivative”) included in “Additional paid-in capital” in our condensed consolidated balance sheets of March 31, 2020 was $39.0 million. The effective interest rate for the three and six months ended March 31, 2020 was approximately 9%. As of March 31, 2020, the remaining unamortized debt discount and issuance costs will be amortized through the 2025 Maturity Date assuming no early conversion.</w:t>
      </w:r>
    </w:p>
    <w:p>
      <w:pPr>
        <w:spacing w:after="0" w:line="27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2025 Convertible Notes are convertible into cash or shares of Class A Non-voting Common Stock ("Class A Common Stock"), or any combination thereof, at our option subject to satisfaction of certain conditions and during the periods described in the 2018 Indenture, based on an initial conversion rate of 62.8931 shares of Class A Common Stock per $1,000 principal amount of 2025 Convertible Notes (equivalent to an initial conversion price</w:t>
      </w:r>
    </w:p>
    <w:p>
      <w:pPr>
        <w:spacing w:after="0" w:line="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of $15.90 per share of our Class A Common Stock). We account for the Class A Common Stock issuable upon conversion under the treasury stock method. To the extent our average share price is over $15.90 per share for any fiscal quarter or year-to-date period, we are required to recognize incremental dilution of our earnings per share.</w:t>
      </w:r>
    </w:p>
    <w:p>
      <w:pPr>
        <w:spacing w:after="0" w:line="29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If, among other triggers described in the 2018 Indenture, the market price of our Class A Common Stock meets the threshold based on at least 20 of the final 30 trading days of the quarter for the 2025 Convertible Notes to become convertible at the option of the holders during the subsequent quarter, we may be required to classify the 2025 Convertible Notes as current on our condensed consolidated balance sheets for each quarter in which such triggers are met. The stock trading price condition and other triggers are measured on a quarter-by-quarter basis and were not met as of March 31, 2020. As of March 31, 2020, the if-converted value of the 2025 Convertible Notes did not exceed the principal amount.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2.875% Convertible Senior Notes Due 2024</w:t>
      </w:r>
    </w:p>
    <w:p>
      <w:pPr>
        <w:spacing w:after="0" w:line="33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July 2017, we issued $143.75 million aggregate principal amount of 2.875% Convertible Senior Notes Due 2024 (the “2024 Convertible Notes”). The 2024 Convertible Notes were issued pursuant to an indenture dated July 5, 2017 (the "2017 Indenture") by and between us and Wells Fargo Bank, National Association, as the original trustee. The 2024 Convertible Notes were issued in a private offering under Rule 144A under the Securities Act of 1933. The 2024 Convertible Notes pay interest semi-annually in arrears at a rate of 2.875% per annum on January 1 and July 1 of each year, commencing January 1, 2018, and mature on July 1, 2024 (the "2024 Maturity Date"), unless converted, redeemed or repurchased in accordance with their terms prior to such date. The carrying amount of the 2024 Convertible Notes as a separate equity-classified instrument (the “2024 Convertible Notes Embedded Derivative”) included in “Additional paid-in capital” in our condensed consolidated balance</w:t>
      </w:r>
    </w:p>
    <w:p>
      <w:pPr>
        <w:sectPr>
          <w:pgSz w:w="11900" w:h="16838" w:orient="portrait"/>
          <w:cols w:equalWidth="0" w:num="1">
            <w:col w:w="11240"/>
          </w:cols>
          <w:pgMar w:left="320" w:top="122" w:right="3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sheets of March 31, 2020 was $25.3 million. The effective interest rate for the three and six months ended March 31, 2020 was approximately 9%. As of March 31, 2020, the remaining unamortized debt discount and issuance costs will be amortized through the 2024 Maturity Date assuming no early conversion.</w:t>
      </w:r>
    </w:p>
    <w:p>
      <w:pPr>
        <w:spacing w:after="0" w:line="13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2024 Convertible Notes are convertible into cash or shares of Class A Common Stock, or any combination thereof, at our option subject to satisfaction of certain conditions and during the periods described in the 2017 Indenture, based on an initial conversion rate of 100 shares of Class A Common Stock per $1,000 principal amount of 2024 Convertible Notes (equivalent to an initial conversion price of $10.00 per share of our Class A Common Stock). We account for the Class A Common Stock issuable upon conversion under the treasury stock method. To the extent our average share price is over $10.00 per share for any fiscal quarter, we are required to recognize incremental dilution of our earnings per share.</w:t>
      </w:r>
    </w:p>
    <w:p>
      <w:pPr>
        <w:spacing w:after="0" w:line="12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If, among other triggers described in the 2017 Indenture, the market price of our Class A Common Stock meets the threshold based on at least 20 of the final 30 trading days of the quarter for the 2024 Convertible Notes to become convertible at the option of the holders during the subsequent quarter, we may be required to classify the 2024 Convertible Notes as current on our condensed consolidated balance sheets for each quarter in which such triggers are met. The stock trading price condition and other triggers are measured on a quarter-by-quarter basis and were not met as of March 31, 2020. As of March 31, 2020, the if-converted value of the 2024 Convertible Notes did not exceed the principal amount.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2.125% Cash Convertible Senior Notes Due 2019</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252525"/>
        </w:rPr>
        <w:t xml:space="preserve">In June 2014, we issued $200 million aggregate principal amount of 2.125% Cash Convertible Senior </w:t>
      </w:r>
      <w:r>
        <w:rPr>
          <w:rFonts w:ascii="Arial" w:cs="Arial" w:eastAsia="Arial" w:hAnsi="Arial"/>
          <w:sz w:val="18"/>
          <w:szCs w:val="18"/>
          <w:color w:val="000000"/>
        </w:rPr>
        <w:t>Notes Due 2019 (the "2019 Convertible Notes"),</w:t>
      </w:r>
      <w:r>
        <w:rPr>
          <w:rFonts w:ascii="Arial" w:cs="Arial" w:eastAsia="Arial" w:hAnsi="Arial"/>
          <w:sz w:val="18"/>
          <w:szCs w:val="18"/>
          <w:color w:val="252525"/>
        </w:rPr>
        <w:t xml:space="preserve"> </w:t>
      </w:r>
      <w:r>
        <w:rPr>
          <w:rFonts w:ascii="Arial" w:cs="Arial" w:eastAsia="Arial" w:hAnsi="Arial"/>
          <w:sz w:val="18"/>
          <w:szCs w:val="18"/>
          <w:color w:val="000000"/>
        </w:rPr>
        <w:t xml:space="preserve">with an additional $30 million principal amount of 2019 Convertible Notes issued in July 2014. </w:t>
      </w:r>
      <w:r>
        <w:rPr>
          <w:rFonts w:ascii="Arial" w:cs="Arial" w:eastAsia="Arial" w:hAnsi="Arial"/>
          <w:sz w:val="18"/>
          <w:szCs w:val="18"/>
          <w:color w:val="252525"/>
        </w:rPr>
        <w:t>In</w:t>
      </w:r>
      <w:r>
        <w:rPr>
          <w:rFonts w:ascii="Arial" w:cs="Arial" w:eastAsia="Arial" w:hAnsi="Arial"/>
          <w:sz w:val="18"/>
          <w:szCs w:val="18"/>
          <w:color w:val="000000"/>
        </w:rPr>
        <w:t xml:space="preserve"> July 2017, we used $34.4 million of net proceeds from the 2024 Convertible Notes offering to repurchase and retire $35.0 million aggregate principal amount of 2019 Convertible Notes. </w:t>
      </w:r>
      <w:r>
        <w:rPr>
          <w:rFonts w:ascii="Arial" w:cs="Arial" w:eastAsia="Arial" w:hAnsi="Arial"/>
          <w:sz w:val="18"/>
          <w:szCs w:val="18"/>
          <w:color w:val="252525"/>
        </w:rPr>
        <w:t>The 2019 Convertible</w:t>
      </w:r>
      <w:r>
        <w:rPr>
          <w:rFonts w:ascii="Arial" w:cs="Arial" w:eastAsia="Arial" w:hAnsi="Arial"/>
          <w:sz w:val="18"/>
          <w:szCs w:val="18"/>
          <w:color w:val="000000"/>
        </w:rPr>
        <w:t xml:space="preserve"> </w:t>
      </w:r>
      <w:r>
        <w:rPr>
          <w:rFonts w:ascii="Arial" w:cs="Arial" w:eastAsia="Arial" w:hAnsi="Arial"/>
          <w:sz w:val="18"/>
          <w:szCs w:val="18"/>
          <w:color w:val="252525"/>
        </w:rPr>
        <w:t>Notes paid interest semi-annually in arrears at a rate of 2.125% per annum on June 15 and December 15 of each year. The 2019 Convertible Notes matured on June 15, 2019 (the "2019 Maturity Date")</w:t>
      </w:r>
      <w:r>
        <w:rPr>
          <w:rFonts w:ascii="Arial" w:cs="Arial" w:eastAsia="Arial" w:hAnsi="Arial"/>
          <w:sz w:val="18"/>
          <w:szCs w:val="18"/>
          <w:color w:val="000000"/>
        </w:rPr>
        <w:t>, and the remaining $195.0 million aggregate principal amount outstanding plus accrued interest was repaid</w:t>
      </w:r>
      <w:r>
        <w:rPr>
          <w:rFonts w:ascii="Arial" w:cs="Arial" w:eastAsia="Arial" w:hAnsi="Arial"/>
          <w:sz w:val="18"/>
          <w:szCs w:val="18"/>
          <w:color w:val="252525"/>
        </w:rPr>
        <w:t xml:space="preserve"> </w:t>
      </w:r>
      <w:r>
        <w:rPr>
          <w:rFonts w:ascii="Arial" w:cs="Arial" w:eastAsia="Arial" w:hAnsi="Arial"/>
          <w:sz w:val="18"/>
          <w:szCs w:val="18"/>
          <w:color w:val="000000"/>
        </w:rPr>
        <w:t>using cash on hand.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2019 Convertible Notes Warrants</w:t>
      </w:r>
    </w:p>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connection with the issuance of the 2019 Convertible Notes, we also sold net-share-settled warrants (the “2019 Convertible Notes Warrants”). The 2019 Convertible Notes Warrants allowed for the purchase of up to approximately 14.3 million shares of our Class A Common Stock at a strike price</w:t>
      </w:r>
    </w:p>
    <w:p>
      <w:pPr>
        <w:ind w:right="220"/>
        <w:spacing w:after="0" w:line="269" w:lineRule="auto"/>
        <w:rPr>
          <w:sz w:val="20"/>
          <w:szCs w:val="20"/>
          <w:color w:val="auto"/>
        </w:rPr>
      </w:pPr>
      <w:r>
        <w:rPr>
          <w:rFonts w:ascii="Arial" w:cs="Arial" w:eastAsia="Arial" w:hAnsi="Arial"/>
          <w:sz w:val="17"/>
          <w:szCs w:val="17"/>
          <w:color w:val="auto"/>
        </w:rPr>
        <w:t>of $20.83 per share. We account for the Class A Common Stock issuable upon exercise under the treasury stock method. As a result of the 2019 Convertible Notes Warrants, we will experience dilution to our diluted earnings per share if our average closing stock price exceeds $20.83 for any fiscal quarter before expiration of the warrants. The unexpired 2019 Convertible Notes Warrants expire in April 2020 and, if exercised, must be settled in net shares of our Class A Common Stock. Therefore, upon expiration of the 2019 Convertible Notes Warrants, we would issue shares of Class A Common Stock to the purchasers of the 2019 Convertible Notes Warrants that represent the value by which the price of the Class A Common Stock exceeds the strike price stipulated within the particular warrant agreement, if any. As of March 31, 2020, there are approximately 1.4 million shares of Class A Common Stock issuable under the 2019 Convertible Notes Warrants outstanding.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CASHMAX Secured Borrowing Facility</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November 2018, we entered into a receivables securitization facility with a third-party lender (the "lender") to provide funding for installment loan originations in our Canadian CASHMAX business. Under the facility, a variable interest entity (the "trust") has the right, subject to various conditions, to borrow up to CAD $25 million from the lender (the "third-party loan") and use the proceeds to purchase interests in installment loan receivables generated by CASHMAX. The trust uses collections on the transferred receivables to pay various amounts in accordance with an agreed priority arrangement, including expenses, its obligations under the third-party loan and, to the extent available, amounts owned to CASHMAX with respect to the purchase price of the transferred receivables and CASHMAX's retained interest in the receivables. CASHMAX has no obligation with respect to the third-party loan or the transferred receivables except to (a) service the underlying installment loans on behalf of the trust and (b) pay amounts owing under or repurchase the underlying installment loans in the event of a breach by CASHMAX or in certain other limited circumstances. The facility is nonrecourse to EZCORP (subject to certain limited guaranty obligations), allowed borrowing through November 2019, and fully matures in November 2021. Our obligation under the facility as of March 31, 2020 was $0.3 million.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COMMON STOCK AND STOCK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7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December 2019, our Board of Directors authorized the repurchase of up to $60.0 million of our Class A Common Stock over three years. During the three and six months ended March 31, 2020, we repurchased and retired 800,740 and 943,149 shares of our Class A Common Stock for $4.2 million and $5.2 million, respectively, which amount was allocated between "Additional paid-in capital" and "Retained earnings" in our condensed consolidated balance sheets. On March 20, 2020, we suspended our repurchase of shares under the program to preserve current liquidity as a result of uncertainties regarding the COVID-19 pandemic.</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Compensation</w:t>
      </w:r>
    </w:p>
    <w:p>
      <w:pPr>
        <w:spacing w:after="0" w:line="17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As of September 30, 2019, the EZCORP, Inc. 2010 Long-Term Incentive Plan, which has been approved by our Board of Directors, permitted grants of options, restricted stock awards and stock appreciation rights covering up to 5,485,649 shares of our Class A Common Stock.</w:t>
      </w:r>
    </w:p>
    <w:p>
      <w:pPr>
        <w:spacing w:after="0" w:line="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the first quarter of fiscal 2020, we granted a total of 222,912 restricted stock awards to our nine non-employee directors. These awards vest on September 30, 2020 and are subject only to service conditions.</w:t>
      </w:r>
    </w:p>
    <w:p>
      <w:pPr>
        <w:spacing w:after="0" w:line="11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number of long-term incentive award shares and units granted are generally determined based on our share price as of the beginning of the fiscal year, which was $6.46 for fiscal 2020 awards.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March 27, 2020, the Coronavirus Aid, Relief, and Economic Security (CARES) Act was signed into law and includes certain income tax provisions relevant to businesses. The Company is required to recognize the effect on the consolidated financial statements in the period the law was enacted, which is the period ended March 31, 2020. For the period ended March 31, 2020, the CARES Act did not have a material impact on the Company’s consolidated financial statements. At this time, the Company does not expect the impact of the CARES Act to have a material impact on the Company’s consolidated financial statements for the year ended December 31, 2020.</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CONTINGENCIES</w:t>
      </w:r>
    </w:p>
    <w:p>
      <w:pPr>
        <w:spacing w:after="0" w:line="175"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Currently and from time to time, we are involved in various claims, suits, investigations and legal proceedings. While we are unable to determine the ultimate outcome of any current litigation or regulatory actions , we believe their resolution will not have a material adverse effect on our financial condition, results of operations or liquidity.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320" w:top="122" w:right="37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175"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During the first quarter of fiscal 2020, we revised the financial information our chief operating decision maker (currently our chief executive officer) reviews for operational decision-making purposes and for allocation of capital to include the separate financial results of our Lana business. Our historical segment results have been recast to conform to current presentation. We currently report our segments as follows: U.S. Pawn — all pawn activities in the United States; Latin America Pawn — all pawn activities in Mexico and other parts of Latin America; Lana — our differentiated customer-centric engagement platform; and Other International — primarily our equity interest in the net income of Cash Converters International and consumer finance activities in Canada. There are no inter-segment revenues presented below, and the amounts below were determined in accordance with the same accounting principles used in our condensed consolidated financial statements. While we expect the operations of the Lana segment to have a positive impact on our pawn loan redemption rates and therefore our pawn service charges and yield, the pawn service charges will all be reported in our pawn segments rather than allocated to the Lana segment. Only discrete revenues related to the Lana segment will be reported in the Lana segment results. As a digital offering, Lana has no separate physical store locations.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5"/>
              </w:rPr>
              <w:t>Three Months Ended March 31, 2020</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Latin</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4"/>
              </w:rPr>
              <w:t>U.S. Pawn</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America</w:t>
            </w:r>
          </w:p>
        </w:tc>
        <w:tc>
          <w:tcPr>
            <w:tcW w:w="160" w:type="dxa"/>
            <w:vAlign w:val="bottom"/>
          </w:tcPr>
          <w:p>
            <w:pPr>
              <w:spacing w:after="0"/>
              <w:rPr>
                <w:sz w:val="12"/>
                <w:szCs w:val="12"/>
                <w:color w:val="auto"/>
              </w:rPr>
            </w:pPr>
          </w:p>
        </w:tc>
        <w:tc>
          <w:tcPr>
            <w:tcW w:w="72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Lana</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Total Segments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8"/>
              </w:rPr>
              <w:t>Pawn</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left="172"/>
              <w:spacing w:after="0"/>
              <w:rPr>
                <w:sz w:val="20"/>
                <w:szCs w:val="20"/>
                <w:color w:val="auto"/>
              </w:rPr>
            </w:pPr>
            <w:r>
              <w:rPr>
                <w:rFonts w:ascii="Arial" w:cs="Arial" w:eastAsia="Arial" w:hAnsi="Arial"/>
                <w:sz w:val="14"/>
                <w:szCs w:val="14"/>
                <w:i w:val="1"/>
                <w:iCs w:val="1"/>
                <w:color w:val="auto"/>
                <w:w w:val="92"/>
              </w:rPr>
              <w:t>(in thousands)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102,447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27,383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129,830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129,830</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11,878</w:t>
            </w: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61,700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18,522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80,222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80,222</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37"/>
        </w:trPr>
        <w:tc>
          <w:tcPr>
            <w:tcW w:w="328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173,837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48,149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223,283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223,283</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65,286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85,776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85,776</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7,800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1,817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9,617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9,617</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37"/>
        </w:trPr>
        <w:tc>
          <w:tcPr>
            <w:tcW w:w="328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100,751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25,805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127,365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127,365</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Segment and corporate expenses (income):</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67,619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18,469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88,372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88,372</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14,620</w:t>
            </w: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2,711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1,940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5,051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2,711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7,762</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Loss (gain) on sale or disposal of assets</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and other</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5,325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5,881</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29"/>
        </w:trPr>
        <w:tc>
          <w:tcPr>
            <w:tcW w:w="3280" w:type="dxa"/>
            <w:vAlign w:val="bottom"/>
          </w:tcPr>
          <w:p>
            <w:pPr>
              <w:ind w:left="280"/>
              <w:spacing w:after="0"/>
              <w:rPr>
                <w:sz w:val="20"/>
                <w:szCs w:val="20"/>
                <w:color w:val="auto"/>
              </w:rPr>
            </w:pPr>
            <w:r>
              <w:rPr>
                <w:rFonts w:ascii="Arial" w:cs="Arial" w:eastAsia="Arial" w:hAnsi="Arial"/>
                <w:sz w:val="18"/>
                <w:szCs w:val="18"/>
                <w:color w:val="auto"/>
                <w:w w:val="96"/>
              </w:rPr>
              <w:t>Equity in net income of unconsolidated</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80"/>
              <w:spacing w:after="0"/>
              <w:rPr>
                <w:sz w:val="20"/>
                <w:szCs w:val="20"/>
                <w:color w:val="auto"/>
              </w:rPr>
            </w:pPr>
            <w:r>
              <w:rPr>
                <w:rFonts w:ascii="Arial" w:cs="Arial" w:eastAsia="Arial" w:hAnsi="Arial"/>
                <w:sz w:val="18"/>
                <w:szCs w:val="18"/>
                <w:color w:val="auto"/>
              </w:rPr>
              <w:t>affiliates</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Impairment of goodwill and intangible</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35,936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47,060</w:t>
            </w: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20,421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ind w:left="40"/>
              <w:spacing w:after="0"/>
              <w:rPr>
                <w:sz w:val="20"/>
                <w:szCs w:val="20"/>
                <w:color w:val="auto"/>
              </w:rPr>
            </w:pPr>
            <w:r>
              <w:rPr>
                <w:rFonts w:ascii="Arial" w:cs="Arial" w:eastAsia="Arial" w:hAnsi="Arial"/>
                <w:sz w:val="18"/>
                <w:szCs w:val="18"/>
                <w:color w:val="auto"/>
              </w:rPr>
              <w:t>Loss from continuing operations before</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vMerge w:val="restart"/>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(11,709)</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(22,396)</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(34,105)</w:t>
            </w:r>
          </w:p>
        </w:tc>
        <w:tc>
          <w:tcPr>
            <w:tcW w:w="0" w:type="dxa"/>
            <w:vAlign w:val="bottom"/>
          </w:tcPr>
          <w:p>
            <w:pPr>
              <w:spacing w:after="0"/>
              <w:rPr>
                <w:sz w:val="1"/>
                <w:szCs w:val="1"/>
                <w:color w:val="auto"/>
              </w:rPr>
            </w:pPr>
          </w:p>
        </w:tc>
      </w:tr>
      <w:tr>
        <w:trPr>
          <w:trHeight w:val="242"/>
        </w:trPr>
        <w:tc>
          <w:tcPr>
            <w:tcW w:w="328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vMerge w:val="restart"/>
          </w:tcPr>
          <w:p>
            <w:pPr>
              <w:jc w:val="right"/>
              <w:ind w:right="39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40" w:type="dxa"/>
            <w:vAlign w:val="bottom"/>
          </w:tcPr>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8"/>
        </w:trPr>
        <w:tc>
          <w:tcPr>
            <w:tcW w:w="3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w w:val="95"/>
              </w:rPr>
              <w:t>Three Months Ended March 31, 2019</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Latin</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America</w:t>
            </w:r>
          </w:p>
        </w:tc>
        <w:tc>
          <w:tcPr>
            <w:tcW w:w="220" w:type="dxa"/>
            <w:vAlign w:val="bottom"/>
          </w:tcPr>
          <w:p>
            <w:pPr>
              <w:spacing w:after="0"/>
              <w:rPr>
                <w:sz w:val="12"/>
                <w:szCs w:val="12"/>
                <w:color w:val="auto"/>
              </w:rPr>
            </w:pPr>
          </w:p>
        </w:tc>
        <w:tc>
          <w:tcPr>
            <w:tcW w:w="7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Lana</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Total Segments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8"/>
              </w:rPr>
              <w:t>Pawn</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i w:val="1"/>
                <w:iCs w:val="1"/>
                <w:color w:val="auto"/>
                <w:w w:val="92"/>
              </w:rPr>
              <w:t>(in thousands)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96,632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24,628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121,260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121,260</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10,380</w:t>
            </w:r>
          </w:p>
        </w:tc>
        <w:tc>
          <w:tcPr>
            <w:tcW w:w="0" w:type="dxa"/>
            <w:vAlign w:val="bottom"/>
          </w:tcPr>
          <w:p>
            <w:pPr>
              <w:spacing w:after="0"/>
              <w:rPr>
                <w:sz w:val="1"/>
                <w:szCs w:val="1"/>
                <w:color w:val="auto"/>
              </w:rPr>
            </w:pP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61,798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20,001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81,799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81,799</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37"/>
        </w:trPr>
        <w:tc>
          <w:tcPr>
            <w:tcW w:w="304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166,389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47,118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214,730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214,730</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60,928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77,800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77,800</w:t>
            </w:r>
          </w:p>
        </w:tc>
        <w:tc>
          <w:tcPr>
            <w:tcW w:w="0" w:type="dxa"/>
            <w:vAlign w:val="bottom"/>
          </w:tcPr>
          <w:p>
            <w:pPr>
              <w:spacing w:after="0"/>
              <w:rPr>
                <w:sz w:val="1"/>
                <w:szCs w:val="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6,571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2,262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8,833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8,833</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37"/>
        </w:trPr>
        <w:tc>
          <w:tcPr>
            <w:tcW w:w="304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98,890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27,984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127,690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127,690</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and corporate expenses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67,475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18,223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1,523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2,545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89,766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89,766</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14,964</w:t>
            </w:r>
          </w:p>
        </w:tc>
        <w:tc>
          <w:tcPr>
            <w:tcW w:w="0" w:type="dxa"/>
            <w:vAlign w:val="bottom"/>
          </w:tcPr>
          <w:p>
            <w:pPr>
              <w:spacing w:after="0"/>
              <w:rPr>
                <w:sz w:val="1"/>
                <w:szCs w:val="1"/>
                <w:color w:val="auto"/>
              </w:rPr>
            </w:pP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2,982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4,554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7,012</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(Gain) loss on sale or disposal of</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assets and other</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8,407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8,589</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r>
        <w:trPr>
          <w:trHeight w:val="229"/>
        </w:trPr>
        <w:tc>
          <w:tcPr>
            <w:tcW w:w="3040" w:type="dxa"/>
            <w:vAlign w:val="bottom"/>
          </w:tcPr>
          <w:p>
            <w:pPr>
              <w:ind w:left="280"/>
              <w:spacing w:after="0"/>
              <w:rPr>
                <w:sz w:val="20"/>
                <w:szCs w:val="20"/>
                <w:color w:val="auto"/>
              </w:rPr>
            </w:pPr>
            <w:r>
              <w:rPr>
                <w:rFonts w:ascii="Arial" w:cs="Arial" w:eastAsia="Arial" w:hAnsi="Arial"/>
                <w:sz w:val="18"/>
                <w:szCs w:val="18"/>
                <w:color w:val="auto"/>
              </w:rPr>
              <w:t>Equity in net income of</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80"/>
              <w:spacing w:after="0"/>
              <w:rPr>
                <w:sz w:val="20"/>
                <w:szCs w:val="20"/>
                <w:color w:val="auto"/>
              </w:rPr>
            </w:pPr>
            <w:r>
              <w:rPr>
                <w:rFonts w:ascii="Arial" w:cs="Arial" w:eastAsia="Arial" w:hAnsi="Arial"/>
                <w:sz w:val="18"/>
                <w:szCs w:val="18"/>
                <w:color w:val="auto"/>
              </w:rPr>
              <w:t>unconsolidated affiliates</w:t>
            </w:r>
          </w:p>
        </w:tc>
        <w:tc>
          <w:tcPr>
            <w:tcW w:w="1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Impairment of investment in</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unconsolidated affiliates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6,451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6,451</w:t>
            </w:r>
          </w:p>
        </w:tc>
        <w:tc>
          <w:tcPr>
            <w:tcW w:w="0" w:type="dxa"/>
            <w:vAlign w:val="bottom"/>
          </w:tcPr>
          <w:p>
            <w:pPr>
              <w:spacing w:after="0"/>
              <w:rPr>
                <w:sz w:val="1"/>
                <w:szCs w:val="1"/>
                <w:color w:val="auto"/>
              </w:rPr>
            </w:pP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Other expense (income)</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28,434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9,456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28,131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40" w:type="dxa"/>
            <w:vAlign w:val="bottom"/>
            <w:vMerge w:val="restart"/>
          </w:tcPr>
          <w:p>
            <w:pPr>
              <w:ind w:left="40"/>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vMerge w:val="restart"/>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28,131</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(23,112)</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color w:val="auto"/>
              </w:rPr>
              <w:t>5,019</w:t>
            </w:r>
          </w:p>
        </w:tc>
        <w:tc>
          <w:tcPr>
            <w:tcW w:w="0" w:type="dxa"/>
            <w:vAlign w:val="bottom"/>
          </w:tcPr>
          <w:p>
            <w:pPr>
              <w:spacing w:after="0"/>
              <w:rPr>
                <w:sz w:val="1"/>
                <w:szCs w:val="1"/>
                <w:color w:val="auto"/>
              </w:rPr>
            </w:pPr>
          </w:p>
        </w:tc>
      </w:tr>
      <w:tr>
        <w:trPr>
          <w:trHeight w:val="242"/>
        </w:trPr>
        <w:tc>
          <w:tcPr>
            <w:tcW w:w="3040" w:type="dxa"/>
            <w:vAlign w:val="bottom"/>
          </w:tcPr>
          <w:p>
            <w:pPr>
              <w:ind w:left="40"/>
              <w:spacing w:after="0"/>
              <w:rPr>
                <w:sz w:val="20"/>
                <w:szCs w:val="20"/>
                <w:color w:val="auto"/>
              </w:rPr>
            </w:pPr>
            <w:r>
              <w:rPr>
                <w:rFonts w:ascii="Arial" w:cs="Arial" w:eastAsia="Arial" w:hAnsi="Arial"/>
                <w:sz w:val="18"/>
                <w:szCs w:val="18"/>
                <w:color w:val="auto"/>
              </w:rPr>
              <w:t>before income taxes</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vMerge w:val="restart"/>
          </w:tcPr>
          <w:p>
            <w:pPr>
              <w:ind w:left="1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80" w:type="dxa"/>
            <w:vAlign w:val="bottom"/>
          </w:tcPr>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8"/>
        </w:trPr>
        <w:tc>
          <w:tcPr>
            <w:tcW w:w="3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8"/>
          </w:tcPr>
          <w:p>
            <w:pPr>
              <w:ind w:left="480"/>
              <w:spacing w:after="0"/>
              <w:rPr>
                <w:sz w:val="20"/>
                <w:szCs w:val="20"/>
                <w:color w:val="auto"/>
              </w:rPr>
            </w:pPr>
            <w:r>
              <w:rPr>
                <w:rFonts w:ascii="Arial" w:cs="Arial" w:eastAsia="Arial" w:hAnsi="Arial"/>
                <w:sz w:val="14"/>
                <w:szCs w:val="14"/>
                <w:b w:val="1"/>
                <w:bCs w:val="1"/>
                <w:color w:val="auto"/>
              </w:rPr>
              <w:t>Six Months Ended March 31, 2020</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4"/>
              </w:rPr>
              <w:t>U.S. Pawn</w:t>
            </w:r>
          </w:p>
        </w:tc>
        <w:tc>
          <w:tcPr>
            <w:tcW w:w="120" w:type="dxa"/>
            <w:vAlign w:val="bottom"/>
            <w:vMerge w:val="restart"/>
          </w:tcPr>
          <w:p>
            <w:pPr>
              <w:spacing w:after="0"/>
              <w:rPr>
                <w:sz w:val="13"/>
                <w:szCs w:val="13"/>
                <w:color w:val="auto"/>
              </w:rPr>
            </w:pPr>
          </w:p>
        </w:tc>
        <w:tc>
          <w:tcPr>
            <w:tcW w:w="112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Latin America</w:t>
            </w:r>
          </w:p>
        </w:tc>
        <w:tc>
          <w:tcPr>
            <w:tcW w:w="280" w:type="dxa"/>
            <w:vAlign w:val="bottom"/>
          </w:tcPr>
          <w:p>
            <w:pPr>
              <w:spacing w:after="0"/>
              <w:rPr>
                <w:sz w:val="13"/>
                <w:szCs w:val="13"/>
                <w:color w:val="auto"/>
              </w:rPr>
            </w:pPr>
          </w:p>
        </w:tc>
        <w:tc>
          <w:tcPr>
            <w:tcW w:w="6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1"/>
              </w:rPr>
              <w:t>Lana</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Other</w:t>
            </w: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Total Segments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Pawn</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9"/>
              </w:rPr>
              <w:t>International</w:t>
            </w:r>
          </w:p>
        </w:tc>
        <w:tc>
          <w:tcPr>
            <w:tcW w:w="12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26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197,801</w:t>
            </w:r>
          </w:p>
        </w:tc>
        <w:tc>
          <w:tcPr>
            <w:tcW w:w="120" w:type="dxa"/>
            <w:vAlign w:val="bottom"/>
          </w:tcPr>
          <w:p>
            <w:pPr>
              <w:spacing w:after="0"/>
              <w:rPr>
                <w:sz w:val="21"/>
                <w:szCs w:val="21"/>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58,757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256,558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256,558</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21,406</w:t>
            </w: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125,790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39,157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164,947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164,947</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37"/>
        </w:trPr>
        <w:tc>
          <w:tcPr>
            <w:tcW w:w="328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339,434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103,594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2,686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445,718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445,718</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126,650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169,852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169,852</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12,555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4,816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17,371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17,371</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37"/>
        </w:trPr>
        <w:tc>
          <w:tcPr>
            <w:tcW w:w="328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200,229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55,539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1,662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257,434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257,434</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Segment and corporate expenses (income):</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135,678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38,452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2,074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2,793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178,997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178,997</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32,109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32,109</w:t>
            </w: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5,576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3,829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9,851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5,644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15,495</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Loss (gain) on sale or disposal of assets</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and other</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10,492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11,210</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29"/>
        </w:trPr>
        <w:tc>
          <w:tcPr>
            <w:tcW w:w="3280" w:type="dxa"/>
            <w:vAlign w:val="bottom"/>
          </w:tcPr>
          <w:p>
            <w:pPr>
              <w:ind w:left="280"/>
              <w:spacing w:after="0"/>
              <w:rPr>
                <w:sz w:val="20"/>
                <w:szCs w:val="20"/>
                <w:color w:val="auto"/>
              </w:rPr>
            </w:pPr>
            <w:r>
              <w:rPr>
                <w:rFonts w:ascii="Arial" w:cs="Arial" w:eastAsia="Arial" w:hAnsi="Arial"/>
                <w:sz w:val="18"/>
                <w:szCs w:val="18"/>
                <w:color w:val="auto"/>
              </w:rPr>
              <w:t>Equity in net loss of unconsolidated</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80"/>
              <w:spacing w:after="0"/>
              <w:rPr>
                <w:sz w:val="20"/>
                <w:szCs w:val="20"/>
                <w:color w:val="auto"/>
              </w:rPr>
            </w:pPr>
            <w:r>
              <w:rPr>
                <w:rFonts w:ascii="Arial" w:cs="Arial" w:eastAsia="Arial" w:hAnsi="Arial"/>
                <w:sz w:val="18"/>
                <w:szCs w:val="18"/>
                <w:color w:val="auto"/>
              </w:rPr>
              <w:t>affiliates</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4,713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4,713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4,713</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Impairment of goodwill and intangible</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35,936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47,060</w:t>
            </w: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48,975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17,170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ind w:left="40"/>
              <w:spacing w:after="0"/>
              <w:rPr>
                <w:sz w:val="20"/>
                <w:szCs w:val="20"/>
                <w:color w:val="auto"/>
              </w:rPr>
            </w:pPr>
            <w:r>
              <w:rPr>
                <w:rFonts w:ascii="Arial" w:cs="Arial" w:eastAsia="Arial" w:hAnsi="Arial"/>
                <w:sz w:val="18"/>
                <w:szCs w:val="18"/>
                <w:color w:val="auto"/>
                <w:w w:val="99"/>
              </w:rPr>
              <w:t>Income (loss) from continuing operations</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vMerge w:val="restart"/>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17,170</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(48,251)</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(31,081)</w:t>
            </w:r>
          </w:p>
        </w:tc>
        <w:tc>
          <w:tcPr>
            <w:tcW w:w="0" w:type="dxa"/>
            <w:vAlign w:val="bottom"/>
          </w:tcPr>
          <w:p>
            <w:pPr>
              <w:spacing w:after="0"/>
              <w:rPr>
                <w:sz w:val="1"/>
                <w:szCs w:val="1"/>
                <w:color w:val="auto"/>
              </w:rPr>
            </w:pPr>
          </w:p>
        </w:tc>
      </w:tr>
      <w:tr>
        <w:trPr>
          <w:trHeight w:val="242"/>
        </w:trPr>
        <w:tc>
          <w:tcPr>
            <w:tcW w:w="3280" w:type="dxa"/>
            <w:vAlign w:val="bottom"/>
          </w:tcPr>
          <w:p>
            <w:pPr>
              <w:ind w:left="40"/>
              <w:spacing w:after="0"/>
              <w:rPr>
                <w:sz w:val="20"/>
                <w:szCs w:val="20"/>
                <w:color w:val="auto"/>
              </w:rPr>
            </w:pPr>
            <w:r>
              <w:rPr>
                <w:rFonts w:ascii="Arial" w:cs="Arial" w:eastAsia="Arial" w:hAnsi="Arial"/>
                <w:sz w:val="18"/>
                <w:szCs w:val="18"/>
                <w:color w:val="auto"/>
              </w:rPr>
              <w:t>before income taxes</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00" w:type="dxa"/>
            <w:vAlign w:val="bottom"/>
            <w:gridSpan w:val="2"/>
          </w:tcPr>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8"/>
        </w:trPr>
        <w:tc>
          <w:tcPr>
            <w:tcW w:w="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8"/>
          </w:tcPr>
          <w:p>
            <w:pPr>
              <w:jc w:val="center"/>
              <w:ind w:right="620"/>
              <w:spacing w:after="0"/>
              <w:rPr>
                <w:sz w:val="20"/>
                <w:szCs w:val="20"/>
                <w:color w:val="auto"/>
              </w:rPr>
            </w:pPr>
            <w:r>
              <w:rPr>
                <w:rFonts w:ascii="Arial" w:cs="Arial" w:eastAsia="Arial" w:hAnsi="Arial"/>
                <w:sz w:val="14"/>
                <w:szCs w:val="14"/>
                <w:b w:val="1"/>
                <w:bCs w:val="1"/>
                <w:color w:val="auto"/>
                <w:w w:val="95"/>
              </w:rPr>
              <w:t>Six Months Ended March 31, 2019</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Latin</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1"/>
              </w:rPr>
              <w:t>U.S. Pawn</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America</w:t>
            </w:r>
          </w:p>
        </w:tc>
        <w:tc>
          <w:tcPr>
            <w:tcW w:w="180" w:type="dxa"/>
            <w:vAlign w:val="bottom"/>
          </w:tcPr>
          <w:p>
            <w:pPr>
              <w:spacing w:after="0"/>
              <w:rPr>
                <w:sz w:val="12"/>
                <w:szCs w:val="12"/>
                <w:color w:val="auto"/>
              </w:rPr>
            </w:pPr>
          </w:p>
        </w:tc>
        <w:tc>
          <w:tcPr>
            <w:tcW w:w="6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Lana</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Total Segments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2"/>
              </w:rPr>
              <w:t>Pawn</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center"/>
              <w:ind w:left="192"/>
              <w:spacing w:after="0"/>
              <w:rPr>
                <w:sz w:val="20"/>
                <w:szCs w:val="20"/>
                <w:color w:val="auto"/>
              </w:rPr>
            </w:pPr>
            <w:r>
              <w:rPr>
                <w:rFonts w:ascii="Arial" w:cs="Arial" w:eastAsia="Arial" w:hAnsi="Arial"/>
                <w:sz w:val="14"/>
                <w:szCs w:val="14"/>
                <w:i w:val="1"/>
                <w:iCs w:val="1"/>
                <w:color w:val="auto"/>
                <w:w w:val="92"/>
              </w:rPr>
              <w:t>(in thousands)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220" w:type="dxa"/>
            <w:vAlign w:val="bottom"/>
          </w:tcPr>
          <w:p>
            <w:pPr>
              <w:ind w:left="260"/>
              <w:spacing w:after="0"/>
              <w:rPr>
                <w:sz w:val="20"/>
                <w:szCs w:val="20"/>
                <w:color w:val="auto"/>
              </w:rPr>
            </w:pPr>
            <w:r>
              <w:rPr>
                <w:rFonts w:ascii="Arial" w:cs="Arial" w:eastAsia="Arial" w:hAnsi="Arial"/>
                <w:sz w:val="18"/>
                <w:szCs w:val="18"/>
                <w:color w:val="auto"/>
              </w:rPr>
              <w:t>Merchandise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w w:val="98"/>
              </w:rPr>
              <w:t>191,735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50,549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5"/>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242,284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242,284</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Jewelry scrapping sales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19,661</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220" w:type="dxa"/>
            <w:vAlign w:val="bottom"/>
          </w:tcPr>
          <w:p>
            <w:pPr>
              <w:ind w:left="260"/>
              <w:spacing w:after="0"/>
              <w:rPr>
                <w:sz w:val="20"/>
                <w:szCs w:val="20"/>
                <w:color w:val="auto"/>
              </w:rPr>
            </w:pPr>
            <w:r>
              <w:rPr>
                <w:rFonts w:ascii="Arial" w:cs="Arial" w:eastAsia="Arial" w:hAnsi="Arial"/>
                <w:sz w:val="18"/>
                <w:szCs w:val="18"/>
                <w:color w:val="auto"/>
              </w:rPr>
              <w:t>Pawn service charges</w:t>
            </w: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w w:val="98"/>
              </w:rPr>
              <w:t>126,023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39,295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165,318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165,318</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3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revenues</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22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8"/>
              </w:rPr>
              <w:t>332,317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95,104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3,004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430,425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430,425</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Merchandise 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120,076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154,912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154,912</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Jewelry scrapping cost of goods sold</w:t>
            </w: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12,081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4,802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16,883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16,883</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cost of revenues</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220" w:type="dxa"/>
            <w:vAlign w:val="bottom"/>
          </w:tcPr>
          <w:p>
            <w:pPr>
              <w:ind w:left="480"/>
              <w:spacing w:after="0"/>
              <w:rPr>
                <w:sz w:val="20"/>
                <w:szCs w:val="20"/>
                <w:color w:val="auto"/>
              </w:rPr>
            </w:pPr>
            <w:r>
              <w:rPr>
                <w:rFonts w:ascii="Arial" w:cs="Arial" w:eastAsia="Arial" w:hAnsi="Arial"/>
                <w:sz w:val="18"/>
                <w:szCs w:val="18"/>
                <w:color w:val="auto"/>
              </w:rPr>
              <w:t>Net revenues</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8"/>
              </w:rPr>
              <w:t>200,160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55,466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257,739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257,739</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Segment and corporate expenses (income):</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220" w:type="dxa"/>
            <w:vAlign w:val="bottom"/>
          </w:tcPr>
          <w:p>
            <w:pPr>
              <w:ind w:left="26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w w:val="98"/>
              </w:rPr>
              <w:t>135,435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36,419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3,613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5,175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180,642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180,642</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28,129</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2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6,017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2,917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9,052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13,860</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 w:type="dxa"/>
            <w:vAlign w:val="bottom"/>
          </w:tcPr>
          <w:p>
            <w:pPr>
              <w:spacing w:after="0"/>
              <w:rPr>
                <w:sz w:val="19"/>
                <w:szCs w:val="19"/>
                <w:color w:val="auto"/>
              </w:rPr>
            </w:pPr>
          </w:p>
        </w:tc>
        <w:tc>
          <w:tcPr>
            <w:tcW w:w="32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6"/>
              </w:rPr>
              <w:t>Loss on sale or disposal of assets and</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2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17,097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17,380</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(6,465)</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220" w:type="dxa"/>
            <w:vAlign w:val="bottom"/>
          </w:tcPr>
          <w:p>
            <w:pPr>
              <w:ind w:left="260"/>
              <w:spacing w:after="0"/>
              <w:rPr>
                <w:sz w:val="20"/>
                <w:szCs w:val="20"/>
                <w:color w:val="auto"/>
              </w:rPr>
            </w:pPr>
            <w:r>
              <w:rPr>
                <w:rFonts w:ascii="Arial" w:cs="Arial" w:eastAsia="Arial" w:hAnsi="Arial"/>
                <w:sz w:val="18"/>
                <w:szCs w:val="18"/>
                <w:color w:val="auto"/>
              </w:rPr>
              <w:t>Equity in net loss of unconsolidated</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3220" w:type="dxa"/>
            <w:vAlign w:val="bottom"/>
          </w:tcPr>
          <w:p>
            <w:pPr>
              <w:ind w:left="260"/>
              <w:spacing w:after="0"/>
              <w:rPr>
                <w:sz w:val="20"/>
                <w:szCs w:val="20"/>
                <w:color w:val="auto"/>
              </w:rPr>
            </w:pPr>
            <w:r>
              <w:rPr>
                <w:rFonts w:ascii="Arial" w:cs="Arial" w:eastAsia="Arial" w:hAnsi="Arial"/>
                <w:sz w:val="18"/>
                <w:szCs w:val="18"/>
                <w:color w:val="auto"/>
              </w:rPr>
              <w:t>affiliates</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 w:type="dxa"/>
            <w:vAlign w:val="bottom"/>
          </w:tcPr>
          <w:p>
            <w:pPr>
              <w:spacing w:after="0"/>
              <w:rPr>
                <w:sz w:val="19"/>
                <w:szCs w:val="19"/>
                <w:color w:val="auto"/>
              </w:rPr>
            </w:pPr>
          </w:p>
        </w:tc>
        <w:tc>
          <w:tcPr>
            <w:tcW w:w="3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Impairment of investment in</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unconsolidated affiliates</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19,725</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220" w:type="dxa"/>
            <w:vAlign w:val="bottom"/>
          </w:tcPr>
          <w:p>
            <w:pPr>
              <w:ind w:left="26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contribution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55,856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16,247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44,393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5"/>
              </w:rPr>
              <w:t>Income from continuing operations before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0" w:type="dxa"/>
            <w:vAlign w:val="bottom"/>
          </w:tcPr>
          <w:p>
            <w:pPr>
              <w:spacing w:after="0"/>
              <w:rPr>
                <w:sz w:val="16"/>
                <w:szCs w:val="16"/>
                <w:color w:val="auto"/>
              </w:rPr>
            </w:pPr>
          </w:p>
        </w:tc>
        <w:tc>
          <w:tcPr>
            <w:tcW w:w="3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vMerge w:val="restart"/>
          </w:tcPr>
          <w:p>
            <w:pPr>
              <w:jc w:val="right"/>
              <w:ind w:right="55"/>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44,393</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(44,115)</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31"/>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2"/>
        </w:trPr>
        <w:tc>
          <w:tcPr>
            <w:tcW w:w="80" w:type="dxa"/>
            <w:vAlign w:val="bottom"/>
          </w:tcPr>
          <w:p>
            <w:pPr>
              <w:spacing w:after="0"/>
              <w:rPr>
                <w:sz w:val="20"/>
                <w:szCs w:val="20"/>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vMerge w:val="restart"/>
          </w:tcPr>
          <w:p>
            <w:pPr>
              <w:jc w:val="right"/>
              <w:ind w:right="351"/>
              <w:spacing w:after="0"/>
              <w:rPr>
                <w:sz w:val="20"/>
                <w:szCs w:val="20"/>
                <w:color w:val="auto"/>
              </w:rPr>
            </w:pPr>
            <w:r>
              <w:rPr>
                <w:rFonts w:ascii="Arial" w:cs="Arial" w:eastAsia="Arial" w:hAnsi="Arial"/>
                <w:sz w:val="18"/>
                <w:szCs w:val="18"/>
                <w:color w:val="auto"/>
              </w:rPr>
              <w:t>21</w:t>
            </w: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121" w:right="39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ind w:right="5000"/>
        <w:spacing w:after="0" w:line="440" w:lineRule="auto"/>
        <w:rPr>
          <w:sz w:val="20"/>
          <w:szCs w:val="20"/>
          <w:color w:val="auto"/>
        </w:rPr>
      </w:pPr>
      <w:r>
        <w:rPr>
          <w:rFonts w:ascii="Arial" w:cs="Arial" w:eastAsia="Arial" w:hAnsi="Arial"/>
          <w:sz w:val="18"/>
          <w:szCs w:val="18"/>
          <w:b w:val="1"/>
          <w:bCs w:val="1"/>
          <w:color w:val="auto"/>
        </w:rPr>
        <w:t xml:space="preserve">NOTE 13: SUPPLEMENTAL CONSOLIDATED FINANCIAL INFORMATION </w:t>
      </w:r>
      <w:r>
        <w:rPr>
          <w:rFonts w:ascii="Arial" w:cs="Arial" w:eastAsia="Arial" w:hAnsi="Arial"/>
          <w:sz w:val="18"/>
          <w:szCs w:val="18"/>
          <w:i w:val="1"/>
          <w:iCs w:val="1"/>
          <w:color w:val="auto"/>
        </w:rPr>
        <w:t>Supplemental Consolidated Financial Information</w:t>
      </w:r>
    </w:p>
    <w:p>
      <w:pPr>
        <w:spacing w:after="0" w:line="1"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following table provides supplemental information on net amounts included in our condensed consolidated balance sheets and condensed consolidated statements of cash flows: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6"/>
              </w:rPr>
              <w:t>March 31, 2020</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4"/>
              </w:rPr>
              <w:t>March 31, 2019</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92"/>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7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318"/>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92"/>
              </w:rPr>
              <w:t>(in thousands)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193,729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347,786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157,567</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4,875</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 and restricted cash</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197,729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347,786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162,442</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7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pawn service charges receivable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41,838</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Allowance for uncollectible pawn service charges receivable</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(10,036)</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service charges receivable,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27,304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27,097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31,802</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7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inventory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182,794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182,295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189,092</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Inventory reserves</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(9,737)</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173,251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173,348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179,355</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7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4,784</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Accounts receivable and other</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10,934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15,974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10,889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receivable</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5,363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10,248</w:t>
            </w:r>
          </w:p>
        </w:tc>
        <w:tc>
          <w:tcPr>
            <w:tcW w:w="0" w:type="dxa"/>
            <w:vAlign w:val="bottom"/>
          </w:tcPr>
          <w:p>
            <w:pPr>
              <w:spacing w:after="0"/>
              <w:rPr>
                <w:sz w:val="1"/>
                <w:szCs w:val="1"/>
                <w:color w:val="auto"/>
              </w:rPr>
            </w:pPr>
          </w:p>
        </w:tc>
      </w:tr>
      <w:tr>
        <w:trPr>
          <w:trHeight w:val="297"/>
        </w:trPr>
        <w:tc>
          <w:tcPr>
            <w:tcW w:w="73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23,629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32,984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25,921</w:t>
            </w:r>
          </w:p>
        </w:tc>
        <w:tc>
          <w:tcPr>
            <w:tcW w:w="0" w:type="dxa"/>
            <w:vAlign w:val="bottom"/>
          </w:tcPr>
          <w:p>
            <w:pPr>
              <w:spacing w:after="0"/>
              <w:rPr>
                <w:sz w:val="1"/>
                <w:szCs w:val="1"/>
                <w:color w:val="auto"/>
              </w:rPr>
            </w:pPr>
          </w:p>
        </w:tc>
      </w:tr>
      <w:tr>
        <w:trPr>
          <w:trHeight w:val="109"/>
        </w:trPr>
        <w:tc>
          <w:tcPr>
            <w:tcW w:w="7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Property and equipment, gross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261,234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256,411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265,922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(202,447)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(188,893)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(198,565)</w:t>
            </w:r>
          </w:p>
        </w:tc>
        <w:tc>
          <w:tcPr>
            <w:tcW w:w="0" w:type="dxa"/>
            <w:vAlign w:val="bottom"/>
          </w:tcPr>
          <w:p>
            <w:pPr>
              <w:spacing w:after="0"/>
              <w:rPr>
                <w:sz w:val="1"/>
                <w:szCs w:val="1"/>
                <w:color w:val="auto"/>
              </w:rPr>
            </w:pPr>
          </w:p>
        </w:tc>
      </w:tr>
      <w:tr>
        <w:trPr>
          <w:trHeight w:val="297"/>
        </w:trPr>
        <w:tc>
          <w:tcPr>
            <w:tcW w:w="73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58,787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67,518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67,357</w:t>
            </w:r>
          </w:p>
        </w:tc>
        <w:tc>
          <w:tcPr>
            <w:tcW w:w="0" w:type="dxa"/>
            <w:vAlign w:val="bottom"/>
          </w:tcPr>
          <w:p>
            <w:pPr>
              <w:spacing w:after="0"/>
              <w:rPr>
                <w:sz w:val="1"/>
                <w:szCs w:val="1"/>
                <w:color w:val="auto"/>
              </w:rPr>
            </w:pPr>
          </w:p>
        </w:tc>
      </w:tr>
      <w:tr>
        <w:trPr>
          <w:trHeight w:val="109"/>
        </w:trPr>
        <w:tc>
          <w:tcPr>
            <w:tcW w:w="7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15,582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13,134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25,946</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37,570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52,011</w:t>
            </w:r>
          </w:p>
        </w:tc>
        <w:tc>
          <w:tcPr>
            <w:tcW w:w="0" w:type="dxa"/>
            <w:vAlign w:val="bottom"/>
          </w:tcPr>
          <w:p>
            <w:pPr>
              <w:spacing w:after="0"/>
              <w:rPr>
                <w:sz w:val="1"/>
                <w:szCs w:val="1"/>
                <w:color w:val="auto"/>
              </w:rPr>
            </w:pPr>
          </w:p>
        </w:tc>
      </w:tr>
      <w:tr>
        <w:trPr>
          <w:trHeight w:val="257"/>
        </w:trPr>
        <w:tc>
          <w:tcPr>
            <w:tcW w:w="7320" w:type="dxa"/>
            <w:vAlign w:val="bottom"/>
          </w:tcPr>
          <w:p>
            <w:pPr>
              <w:ind w:left="280"/>
              <w:spacing w:after="0"/>
              <w:rPr>
                <w:sz w:val="20"/>
                <w:szCs w:val="20"/>
                <w:color w:val="auto"/>
              </w:rPr>
            </w:pPr>
            <w:r>
              <w:rPr>
                <w:rFonts w:ascii="Arial" w:cs="Arial" w:eastAsia="Arial" w:hAnsi="Arial"/>
                <w:sz w:val="18"/>
                <w:szCs w:val="18"/>
                <w:color w:val="auto"/>
              </w:rPr>
              <w:t>Accounts payable, accrued expenses and other current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53,152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58,696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77,957</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4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Since March 31, 2020, the decline in pawn loan balances has accelerated and is continuing. The decline in pawn loan balances will have a negative impact on net revenues and earnings for the remainder of fiscal 2020 and future periods until we are able to rebuild the loan balances.</w:t>
      </w:r>
    </w:p>
    <w:p>
      <w:pPr>
        <w:spacing w:after="0" w:line="10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Since March 31, 2020, we have continued to experience strong merchandise sales, partially offsetting the impact of the declining loan balances. As a result of this increased sales activity, the decrease in loan originations and liquidity initiatives, our cash balance has continued to grow, increasing to greater than $250.0 million at the end of April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60"/>
        <w:spacing w:after="0" w:line="301" w:lineRule="auto"/>
        <w:rPr>
          <w:rFonts w:ascii="Arial" w:cs="Arial" w:eastAsia="Arial" w:hAnsi="Arial"/>
          <w:sz w:val="16"/>
          <w:szCs w:val="16"/>
          <w:color w:val="0000EE"/>
        </w:rPr>
      </w:pPr>
      <w:r>
        <w:rPr>
          <w:rFonts w:ascii="Arial" w:cs="Arial" w:eastAsia="Arial" w:hAnsi="Arial"/>
          <w:sz w:val="16"/>
          <w:szCs w:val="16"/>
          <w:color w:val="auto"/>
        </w:rPr>
        <w:t xml:space="preserve">The discussion in this section contains forward-looking statements that are based on our current expectations. Actual results could differ materially from </w:t>
      </w:r>
      <w:hyperlink r:id="rId17">
        <w:r>
          <w:rPr>
            <w:rFonts w:ascii="Arial" w:cs="Arial" w:eastAsia="Arial" w:hAnsi="Arial"/>
            <w:sz w:val="16"/>
            <w:szCs w:val="16"/>
            <w:color w:val="auto"/>
          </w:rPr>
          <w:t xml:space="preserve">those expressed or implied by the forward-looking statements due to a number of risks, uncertainties and other factors, including those identified in </w:t>
        </w:r>
        <w:r>
          <w:rPr>
            <w:rFonts w:ascii="Arial" w:cs="Arial" w:eastAsia="Arial" w:hAnsi="Arial"/>
            <w:sz w:val="16"/>
            <w:szCs w:val="16"/>
            <w:u w:val="single" w:color="auto"/>
            <w:color w:val="0000EE"/>
          </w:rPr>
          <w:t>"Part I,</w:t>
        </w:r>
      </w:hyperlink>
      <w:r>
        <w:rPr>
          <w:rFonts w:ascii="Arial" w:cs="Arial" w:eastAsia="Arial" w:hAnsi="Arial"/>
          <w:sz w:val="16"/>
          <w:szCs w:val="16"/>
          <w:color w:val="auto"/>
        </w:rPr>
        <w:t xml:space="preserve"> </w:t>
      </w:r>
      <w:hyperlink r:id="rId17">
        <w:r>
          <w:rPr>
            <w:rFonts w:ascii="Arial" w:cs="Arial" w:eastAsia="Arial" w:hAnsi="Arial"/>
            <w:sz w:val="16"/>
            <w:szCs w:val="16"/>
            <w:u w:val="single" w:color="auto"/>
            <w:color w:val="0000EE"/>
          </w:rPr>
          <w:t>Item 1A — Risk Factors" of our Annual Report on Form 10-K for the year ended September 30, 2019</w:t>
        </w:r>
        <w:r>
          <w:rPr>
            <w:rFonts w:ascii="Arial" w:cs="Arial" w:eastAsia="Arial" w:hAnsi="Arial"/>
            <w:sz w:val="16"/>
            <w:szCs w:val="16"/>
            <w:color w:val="000000"/>
          </w:rPr>
          <w:t>, as supplemented by the information set forth in</w:t>
        </w:r>
      </w:hyperlink>
      <w:r>
        <w:rPr>
          <w:rFonts w:ascii="Arial" w:cs="Arial" w:eastAsia="Arial" w:hAnsi="Arial"/>
          <w:sz w:val="16"/>
          <w:szCs w:val="16"/>
          <w:color w:val="0000EE"/>
        </w:rPr>
        <w:t xml:space="preserve"> </w:t>
      </w:r>
      <w:r>
        <w:rPr>
          <w:rFonts w:ascii="Arial" w:cs="Arial" w:eastAsia="Arial" w:hAnsi="Arial"/>
          <w:sz w:val="16"/>
          <w:szCs w:val="16"/>
          <w:color w:val="000000"/>
        </w:rPr>
        <w:t>“Part I, Item 3 — Quantitative and Qualitative Disclosures about Market Risk” and "Part II, Item 1A — Risk Factors" of this Report.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began to see the impact of the novel coronavirus disease (“COVID-19”) to our operations in mid-March, which is when the closure of non-essential businesses and the implementation of stay-at-home requirements began in our geographic locations. We have been able to keep most of our stores open for business and operating under enhanced safety measures and restrictions</w:t>
      </w:r>
    </w:p>
    <w:p>
      <w:pPr>
        <w:sectPr>
          <w:pgSz w:w="11900" w:h="16838" w:orient="portrait"/>
          <w:cols w:equalWidth="0" w:num="1">
            <w:col w:w="11240"/>
          </w:cols>
          <w:pgMar w:left="320" w:top="121"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on occupancy. During March, we lost 163 store operating days in U.S. Pawn as a result of mostly intermittent closures due to local orders or other COVID-19 related issues. In Latin America Pawn, governmental closure orders have had a more severe impact on our business, particularly in our GPMX unit (Guatemala, El Salvador, Honduras and Peru). During March, we lost a total of 1,089 store operating days in Latin America Pawn (18 in Mexico Pawn and 1,071 in GPMX). The store closure orders in GPMX continued into April, but started to ease in the latter portion of the month. As of the date of this Report, 99% of our stores in U.S. Pawn and 90% in Latin America Pawn are open for business and serving customers.</w:t>
      </w:r>
    </w:p>
    <w:p>
      <w:pPr>
        <w:spacing w:after="0" w:line="12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Additionally, we have experienced a decline in pawn loan originations and associated loan balances since mid-March, in both the U.S. and Latin America, as a result of a change in customer borrowing behaviors due to COVID-19. Pawn loan balances at the end of the second quarter were down $8.6 million</w:t>
      </w:r>
    </w:p>
    <w:p>
      <w:pPr>
        <w:ind w:right="20"/>
        <w:spacing w:after="0" w:line="302" w:lineRule="auto"/>
        <w:rPr>
          <w:sz w:val="20"/>
          <w:szCs w:val="20"/>
          <w:color w:val="auto"/>
        </w:rPr>
      </w:pPr>
      <w:r>
        <w:rPr>
          <w:rFonts w:ascii="Arial" w:cs="Arial" w:eastAsia="Arial" w:hAnsi="Arial"/>
          <w:sz w:val="16"/>
          <w:szCs w:val="16"/>
          <w:color w:val="auto"/>
        </w:rPr>
        <w:t>(6.6%) in U.S. Pawn and $4.5 million (10.5%) in Latin America Pawn (up $0.6 million, or 1% on a constant currency basis), compared to the prior-year quarter. Since March 31, 2020, the decline in pawn loan balances has accelerated and is continuing. The decline in pawn loan balances will have a negative impact on net revenues and earnings for the remainder of fiscal 2020 and future periods until we are able to rebuild the loan balances.</w:t>
      </w:r>
    </w:p>
    <w:p>
      <w:pPr>
        <w:spacing w:after="0" w:line="10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Offsetting the net revenue losses due to decreased loan originations, we have seen a strong increase in merchandise sales during March and continuing into April. As a result of this increased sales activity, combined with the decrease in loan originations and our liquidity initiatives described below, our cash balance has grown to $197.7 million at the end of the quarter, further increasing to greater than $250.0 million at the end of April.</w:t>
      </w:r>
    </w:p>
    <w:p>
      <w:pPr>
        <w:spacing w:after="0" w:line="1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order to maximize our ability to meet an expected increase in pawn loan originations, we have implemented several measures to increase liquidity. We have suspended repurchases of shares under our authorized stock repurchase program, have renegotiated certain supplier and vendor agreements, have slowed the pace of de novo store openings in Latin America, have delayed certain capital expenditures and, as a result of The Coronavirus Aid, Relief, and Economic Security (CARES) Act, are able to delay payments of certain taxes.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full extent and duration of the COVID-19 impact on the global economy generally, and on our business specifically, is currently unknown. We expect, however, that the pandemic will have an adverse effect on our net revenues and earnings in fiscal 2020, and if it continues, it may have an adverse effect on our results of operations, financial position and liquidity in future periods. See "Part II, Item 1A - Risk Factors."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 Impairment</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the current quarter, we concluded there was an indicator of impairment due to a decline in our market capitalization. We performed a quantitative analysis as of March 31, 2020 and determined the fair value of each of our reporting units was below its carrying value as a result of the impact of COVID-19, as discussed above. As a result of this analysis, we recorded an impairment charge of $41.3 million in the current quarter. We also (a) determined an impairment had occurred in the fair values of acquired trade names of previously acquired entities in our Mexico and GPMX reporting units and recorded a related impairment of $2.9 million and $1.7 million respectively, and (b) determined the carrying amount of certain long-lived asset groups were not recoverable and recorded a related impairment of $1.1 million. These impairments were recorded under "Impairment of goodwill and intangible assets" in the condensed consolidated statement of operations. See Note 2 of Notes to Interim Condensed Consolidated Financial Statements included in "Part I, Item 1 — Financial Statements."We remain confident in our businesses, as all business units were performing well prior to the COVID-19 related impacts.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Financial Highlights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EZCORP is a Delaware corporation headquartered in Austin, Texas. We are a leading provider of pawn loans in the United States and Latin America.</w:t>
      </w:r>
    </w:p>
    <w:p>
      <w:pPr>
        <w:spacing w:after="0" w:line="1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vision is to be the market leader in North America in responsibly and respectfully meeting our customers' desire for access to cash when they want it. That vision is supported by four key imperatives:</w:t>
      </w:r>
    </w:p>
    <w:p>
      <w:pPr>
        <w:spacing w:after="0" w:line="11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Leading Customer Satisfaction;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Exceptional Staff Engagement;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Most Efficient Provider of Cash;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Attractive Shareholder Returns.</w:t>
      </w:r>
    </w:p>
    <w:p>
      <w:pPr>
        <w:spacing w:after="0" w:line="171"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At our pawn stores, we offer pawn loans, which are nonrecourse loans collateralized by tangible personal property, and sell merchandise to customers looking for good value. The merchandise we sell consists of second-hand collateral forfeited from our pawn lending activities or purchased from customers.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320" w:top="121" w:right="37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remain focused on optimizing our balance of pawn loans outstanding (“PLO”) and the resulting higher pawn service charges (“PSC”). The following charts present sources of net revenues, including PSC, merchandise sales gross profit ("Merchandise sales GP") and jewelry scrapping gross profit ("Jewelry scrapping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5846445" cy="4852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5846445" cy="4852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320" w:top="121" w:right="57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charts present sources of net revenues by geographic disbursement: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5846445" cy="4852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5846445" cy="4852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charts present store counts by geographic disbursement: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846445" cy="2374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584644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139"/>
          </w:cols>
          <w:pgMar w:left="320" w:top="121" w:right="1440"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Pawn Activities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our pawn stores, we offer pawn loans, which are typically small, nonrecourse loans collateralized by tangible personal property. We earn pawn service charges on our pawn loans, which varies by state and loan size. Collateral for our pawn loans consists of tangible personal property, generally jewelry, consumer electronics, tools, sporting goods and musical instruments. Security for our pawn loans is provided via the estimated resale value of the collateral and the perceived probability of the loan’s redemption.</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ability to offer quality second-hand goods at prices significantly lower than original retail prices attracts value-conscious customers. The gross profit on sales of inventory depends primarily on our assessment of the loan or purchase value at the time the property is either accepted as loan collateral or purchased and our ability to sell that merchandise in a timely manner. As a significant portion of our inventory and sales involve gold and jewelry, our results can be influenced by the market price of gold and diamonds.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and Expansion</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Or strategy is to expand the number of locations we operate through opening new (“de novo”) locations and through acquisitions in both Latin America and the United States and potential new markets. Our ability to add new stores is dependent on several variables, such as projected achievement of internal investment hurdles, the availability of acceptable sites or acquisition candidates, the alignment of acquirer/seller price expectations, the regulatory environment, local zoning ordinances, access to capital and the availability of qualified personnel. Given the environment which we currently operate, we have placed all de novo and acquisition activities on hold.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and Quarterly Results</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Historically, pawn service charges are highest in our fourth fiscal quarter (July through September) due to a higher average loan balance during the summer lending season in the United States and lowest in our third fiscal quarter (April through June) following the tax refund season in the United States. Merchandise sales are highest in our first and second fiscal quarters (October through March) due to the holiday season, jewelry sales in the United States surrounding Valentine’s Day and the availability of tax refunds in the United States. Most of our customers in Latin America receive additional compensation from their employers in December, and many receive additional compensation in June or July, applying downward pressure on loan balances and fueling some merchandise sales in those periods. As a net effect of these and other factors and excluding discrete charges, our consolidated profit before tax is generally highest in our first fiscal quarter (October through December) and lowest in our third fiscal quarter (April through June).</w:t>
      </w:r>
    </w:p>
    <w:p>
      <w:pPr>
        <w:spacing w:after="0" w:line="112"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We expect the COVID-19 pandemic to negatively impact our financial results for fiscal 2020, and such impact is unknown. This uncertainty is dependent upon the longevity and severity of the pandemic and the pace of the business reopening and rebound, including the impact of government responses. The pandemic could also be material to our longer-term financial results and condition based upon the same factors.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7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During the first quarter of fiscal 2020, we revised the financial information our chief operating decision maker (currently our chief executive officer) reviews for operational decision-making purposes and for allocation of capital to include the separate financial results of our Lana business. Our historical segment results have been recast to conform to current presentation. We currently report our segments as follows: U.S. Pawn - all pawn activities in the United States; Latin America Pawn - all pawn activities in Mexico and other parts of Latin America; Lana - our customer-centric digital engagement platform; and Other International - primarily our equity interest in the net income of Cash Converters International and consumer finance activities in Canada. While we expect the operations of the Lana segment to have a positive impact on our pawn loan redemption rates and therefore our pawn service charges and yield, the pawn service charges will all be reported in our pawn segments rather than allocated to the Lana segment. Only discrete revenues related to the Lana segment will be reported in the Lana segment results. As a digital offering, Lana has no separate physical store locations.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October 1, 2019, we adopted Accounting Standards Codification ("ASC") Topic 842, Leases (Topic 842). Topic 842 required companies to generally recognize on the balance sheet operating and financing lease liabilities and corresponding right-of-use assets. We recorded a net right-of-use asset of $237.5 million and a net lease liability of $246.0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Data by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Three Months Ended March 31, 2020</w:t>
            </w:r>
          </w:p>
        </w:tc>
        <w:tc>
          <w:tcPr>
            <w:tcW w:w="1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156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13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Pawn</w:t>
            </w:r>
          </w:p>
        </w:tc>
        <w:tc>
          <w:tcPr>
            <w:tcW w:w="1560" w:type="dxa"/>
            <w:vAlign w:val="bottom"/>
            <w:gridSpan w:val="4"/>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1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2019</w:t>
            </w:r>
          </w:p>
        </w:tc>
        <w:tc>
          <w:tcPr>
            <w:tcW w:w="278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512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31, 2020</w:t>
            </w:r>
          </w:p>
        </w:tc>
        <w:tc>
          <w:tcPr>
            <w:tcW w:w="1780" w:type="dxa"/>
            <w:vAlign w:val="bottom"/>
            <w:tcBorders>
              <w:bottom w:val="single" w:sz="8" w:color="CCEEFF"/>
            </w:tcBorders>
            <w:gridSpan w:val="2"/>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Three Months Ended March 31, 2019</w:t>
            </w: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156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13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Pawn</w:t>
            </w:r>
          </w:p>
        </w:tc>
        <w:tc>
          <w:tcPr>
            <w:tcW w:w="1560" w:type="dxa"/>
            <w:vAlign w:val="bottom"/>
            <w:gridSpan w:val="4"/>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1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2018</w:t>
            </w:r>
          </w:p>
        </w:tc>
        <w:tc>
          <w:tcPr>
            <w:tcW w:w="278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508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sold, combined or closed</w:t>
            </w:r>
          </w:p>
        </w:tc>
        <w:tc>
          <w:tcPr>
            <w:tcW w:w="17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4180" w:type="dxa"/>
            <w:vAlign w:val="bottom"/>
          </w:tcPr>
          <w:p>
            <w:pPr>
              <w:ind w:left="40"/>
              <w:spacing w:after="0"/>
              <w:rPr>
                <w:sz w:val="20"/>
                <w:szCs w:val="20"/>
                <w:color w:val="auto"/>
              </w:rPr>
            </w:pPr>
            <w:r>
              <w:rPr>
                <w:rFonts w:ascii="Arial" w:cs="Arial" w:eastAsia="Arial" w:hAnsi="Arial"/>
                <w:sz w:val="18"/>
                <w:szCs w:val="18"/>
                <w:color w:val="auto"/>
              </w:rPr>
              <w:t>As of March 31, 2019</w:t>
            </w:r>
          </w:p>
        </w:tc>
        <w:tc>
          <w:tcPr>
            <w:tcW w:w="1780" w:type="dxa"/>
            <w:vAlign w:val="bottom"/>
            <w:gridSpan w:val="2"/>
          </w:tcPr>
          <w:p>
            <w:pPr>
              <w:spacing w:after="0"/>
              <w:rPr>
                <w:sz w:val="20"/>
                <w:szCs w:val="20"/>
                <w:color w:val="auto"/>
              </w:rPr>
            </w:pPr>
          </w:p>
        </w:tc>
        <w:tc>
          <w:tcPr>
            <w:tcW w:w="10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508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rPr>
              <w:t>Six Months Ended March 31, 2020</w:t>
            </w:r>
          </w:p>
        </w:tc>
        <w:tc>
          <w:tcPr>
            <w:tcW w:w="11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4"/>
          </w:tcPr>
          <w:p>
            <w:pPr>
              <w:ind w:left="140"/>
              <w:spacing w:after="0" w:line="153" w:lineRule="exact"/>
              <w:rPr>
                <w:sz w:val="20"/>
                <w:szCs w:val="20"/>
                <w:color w:val="auto"/>
              </w:rPr>
            </w:pPr>
            <w:r>
              <w:rPr>
                <w:rFonts w:ascii="Arial" w:cs="Arial" w:eastAsia="Arial" w:hAnsi="Arial"/>
                <w:sz w:val="14"/>
                <w:szCs w:val="14"/>
                <w:b w:val="1"/>
                <w:bCs w:val="1"/>
                <w:color w:val="auto"/>
              </w:rPr>
              <w:t>Latin America</w:t>
            </w:r>
          </w:p>
        </w:tc>
        <w:tc>
          <w:tcPr>
            <w:tcW w:w="15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Other International</w:t>
            </w:r>
          </w:p>
        </w:tc>
        <w:tc>
          <w:tcPr>
            <w:tcW w:w="12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1360" w:type="dxa"/>
            <w:vAlign w:val="bottom"/>
            <w:gridSpan w:val="4"/>
          </w:tcPr>
          <w:p>
            <w:pPr>
              <w:ind w:left="420"/>
              <w:spacing w:after="0"/>
              <w:rPr>
                <w:sz w:val="20"/>
                <w:szCs w:val="20"/>
                <w:color w:val="auto"/>
              </w:rPr>
            </w:pPr>
            <w:r>
              <w:rPr>
                <w:rFonts w:ascii="Arial" w:cs="Arial" w:eastAsia="Arial" w:hAnsi="Arial"/>
                <w:sz w:val="14"/>
                <w:szCs w:val="14"/>
                <w:b w:val="1"/>
                <w:bCs w:val="1"/>
                <w:color w:val="auto"/>
              </w:rPr>
              <w:t>Pawn</w:t>
            </w:r>
          </w:p>
        </w:tc>
        <w:tc>
          <w:tcPr>
            <w:tcW w:w="1560" w:type="dxa"/>
            <w:vAlign w:val="bottom"/>
            <w:gridSpan w:val="4"/>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1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2019</w:t>
            </w:r>
          </w:p>
        </w:tc>
        <w:tc>
          <w:tcPr>
            <w:tcW w:w="27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512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480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6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31, 2020</w:t>
            </w:r>
          </w:p>
        </w:tc>
        <w:tc>
          <w:tcPr>
            <w:tcW w:w="17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512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493</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rPr>
              <w:t>Six Months Ended March 31, 2019</w:t>
            </w:r>
          </w:p>
        </w:tc>
        <w:tc>
          <w:tcPr>
            <w:tcW w:w="11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4"/>
          </w:tcPr>
          <w:p>
            <w:pPr>
              <w:ind w:left="140"/>
              <w:spacing w:after="0" w:line="153" w:lineRule="exact"/>
              <w:rPr>
                <w:sz w:val="20"/>
                <w:szCs w:val="20"/>
                <w:color w:val="auto"/>
              </w:rPr>
            </w:pPr>
            <w:r>
              <w:rPr>
                <w:rFonts w:ascii="Arial" w:cs="Arial" w:eastAsia="Arial" w:hAnsi="Arial"/>
                <w:sz w:val="14"/>
                <w:szCs w:val="14"/>
                <w:b w:val="1"/>
                <w:bCs w:val="1"/>
                <w:color w:val="auto"/>
              </w:rPr>
              <w:t>Latin America</w:t>
            </w:r>
          </w:p>
        </w:tc>
        <w:tc>
          <w:tcPr>
            <w:tcW w:w="15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Other International</w:t>
            </w:r>
          </w:p>
        </w:tc>
        <w:tc>
          <w:tcPr>
            <w:tcW w:w="12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1360" w:type="dxa"/>
            <w:vAlign w:val="bottom"/>
            <w:gridSpan w:val="4"/>
          </w:tcPr>
          <w:p>
            <w:pPr>
              <w:ind w:left="420"/>
              <w:spacing w:after="0"/>
              <w:rPr>
                <w:sz w:val="20"/>
                <w:szCs w:val="20"/>
                <w:color w:val="auto"/>
              </w:rPr>
            </w:pPr>
            <w:r>
              <w:rPr>
                <w:rFonts w:ascii="Arial" w:cs="Arial" w:eastAsia="Arial" w:hAnsi="Arial"/>
                <w:sz w:val="14"/>
                <w:szCs w:val="14"/>
                <w:b w:val="1"/>
                <w:bCs w:val="1"/>
                <w:color w:val="auto"/>
              </w:rPr>
              <w:t>Pawn</w:t>
            </w:r>
          </w:p>
        </w:tc>
        <w:tc>
          <w:tcPr>
            <w:tcW w:w="1560" w:type="dxa"/>
            <w:vAlign w:val="bottom"/>
            <w:gridSpan w:val="4"/>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1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2018</w:t>
            </w:r>
          </w:p>
        </w:tc>
        <w:tc>
          <w:tcPr>
            <w:tcW w:w="27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508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453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6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gridSpan w:val="4"/>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gridSpan w:val="4"/>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acquired</w:t>
            </w:r>
          </w:p>
        </w:tc>
        <w:tc>
          <w:tcPr>
            <w:tcW w:w="17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Locations sold, combined or closed</w:t>
            </w:r>
          </w:p>
        </w:tc>
        <w:tc>
          <w:tcPr>
            <w:tcW w:w="1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31, 2019</w:t>
            </w:r>
          </w:p>
        </w:tc>
        <w:tc>
          <w:tcPr>
            <w:tcW w:w="27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508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466</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CCEEFF"/>
            </w:tcBorders>
            <w:vMerge w:val="restart"/>
          </w:tcPr>
          <w:p>
            <w:pPr>
              <w:jc w:val="right"/>
              <w:ind w:right="130"/>
              <w:spacing w:after="0"/>
              <w:rPr>
                <w:sz w:val="20"/>
                <w:szCs w:val="20"/>
                <w:color w:val="auto"/>
              </w:rPr>
            </w:pPr>
            <w:r>
              <w:rPr>
                <w:rFonts w:ascii="Arial" w:cs="Arial" w:eastAsia="Arial" w:hAnsi="Arial"/>
                <w:sz w:val="18"/>
                <w:szCs w:val="18"/>
                <w:color w:val="auto"/>
              </w:rPr>
              <w:t>27</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8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March 31, 2020 vs. Three Months Ended March 31, 2019</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These tables, as well as the discussion that follows, should be read with the accompanying condensed consolidated financial statements and related notes.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comparisons, unless otherwise noted, are to the prior-year quarter.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for the U.S. Pawn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63"/>
        </w:trPr>
        <w:tc>
          <w:tcPr>
            <w:tcW w:w="65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385"/>
        </w:trPr>
        <w:tc>
          <w:tcPr>
            <w:tcW w:w="6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61,700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61,798</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324"/>
        </w:trPr>
        <w:tc>
          <w:tcPr>
            <w:tcW w:w="6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102,447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96,632</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6%</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37,161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35,704</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4%</w:t>
            </w: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(100)bps</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324"/>
        </w:trPr>
        <w:tc>
          <w:tcPr>
            <w:tcW w:w="6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3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9,659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7,916</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22%</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1,859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1,345</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38%</w:t>
            </w: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200bps</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324"/>
        </w:trPr>
        <w:tc>
          <w:tcPr>
            <w:tcW w:w="6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43</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(28)%</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100,751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98,890</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2%</w:t>
            </w:r>
          </w:p>
        </w:tc>
      </w:tr>
      <w:tr>
        <w:trPr>
          <w:trHeight w:val="324"/>
        </w:trPr>
        <w:tc>
          <w:tcPr>
            <w:tcW w:w="6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3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67,619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67,475</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goodwill and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2,711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2,982</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(9)%</w:t>
            </w:r>
          </w:p>
        </w:tc>
      </w:tr>
      <w:tr>
        <w:trPr>
          <w:trHeight w:val="27"/>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63"/>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operating contribution</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20,421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28,433</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(28)%</w:t>
            </w:r>
          </w:p>
        </w:tc>
      </w:tr>
      <w:tr>
        <w:trPr>
          <w:trHeight w:val="318"/>
        </w:trPr>
        <w:tc>
          <w:tcPr>
            <w:tcW w:w="65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segment income</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(100)%</w:t>
            </w:r>
          </w:p>
        </w:tc>
      </w:tr>
      <w:tr>
        <w:trPr>
          <w:trHeight w:val="297"/>
        </w:trPr>
        <w:tc>
          <w:tcPr>
            <w:tcW w:w="65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Segment contribution</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20,421</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28,434</w:t>
            </w:r>
          </w:p>
        </w:tc>
        <w:tc>
          <w:tcPr>
            <w:tcW w:w="156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1"/>
              </w:rPr>
              <w:t>(28)%</w:t>
            </w:r>
          </w:p>
        </w:tc>
      </w:tr>
      <w:tr>
        <w:trPr>
          <w:trHeight w:val="311"/>
        </w:trPr>
        <w:tc>
          <w:tcPr>
            <w:tcW w:w="6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data:</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earning assets (a)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263,112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267,998</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(2)%</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Inventory turnover</w:t>
            </w:r>
          </w:p>
        </w:tc>
        <w:tc>
          <w:tcPr>
            <w:tcW w:w="3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1.9</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5%</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monthly ending pawn loan balance per store (b)</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280</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(3)%</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Monthly average yield on pawn loans outstanding</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6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Pawn loan redemption rate</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65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380" w:hanging="345"/>
        <w:spacing w:after="0"/>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42" w:lineRule="exact"/>
        <w:rPr>
          <w:sz w:val="20"/>
          <w:szCs w:val="20"/>
          <w:color w:val="auto"/>
        </w:rPr>
      </w:pPr>
    </w:p>
    <w:p>
      <w:pPr>
        <w:ind w:left="380" w:hanging="345"/>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181" w:lineRule="exact"/>
        <w:rPr>
          <w:sz w:val="20"/>
          <w:szCs w:val="20"/>
          <w:color w:val="auto"/>
        </w:rPr>
      </w:pPr>
    </w:p>
    <w:p>
      <w:pPr>
        <w:ind w:right="620"/>
        <w:spacing w:after="0" w:line="263" w:lineRule="auto"/>
        <w:rPr>
          <w:sz w:val="20"/>
          <w:szCs w:val="20"/>
          <w:color w:val="auto"/>
        </w:rPr>
      </w:pPr>
      <w:r>
        <w:rPr>
          <w:rFonts w:ascii="Arial" w:cs="Arial" w:eastAsia="Arial" w:hAnsi="Arial"/>
          <w:sz w:val="18"/>
          <w:szCs w:val="18"/>
          <w:color w:val="auto"/>
        </w:rPr>
        <w:t>Segment contribution decreased $8.0 million due to the goodwill impairment charge recorded during the quarter. Excluding that charge, segment contribution increased $1.9 million, or 7.0%, to $30.4 million. Net revenues increased 2% to $100.8 million while operations expenses were tightly managed and were flat to the prior-year quarter.</w:t>
      </w:r>
    </w:p>
    <w:p>
      <w:pPr>
        <w:sectPr>
          <w:pgSz w:w="11900" w:h="16838" w:orient="portrait"/>
          <w:cols w:equalWidth="0" w:num="1">
            <w:col w:w="11240"/>
          </w:cols>
          <w:pgMar w:left="320" w:top="121"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The change in net revenue attributable to same stores and new stores added since the prior-year quarter is summarized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Change in Net Revenue</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300" w:type="dxa"/>
            <w:vAlign w:val="bottom"/>
          </w:tcPr>
          <w:p>
            <w:pPr>
              <w:spacing w:after="0"/>
              <w:rPr>
                <w:sz w:val="13"/>
                <w:szCs w:val="13"/>
                <w:color w:val="auto"/>
              </w:rPr>
            </w:pPr>
          </w:p>
        </w:tc>
        <w:tc>
          <w:tcPr>
            <w:tcW w:w="16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w w:val="97"/>
              </w:rPr>
              <w:t>Pawn Service Charges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Merchandise Sales</w:t>
            </w:r>
          </w:p>
        </w:tc>
        <w:tc>
          <w:tcPr>
            <w:tcW w:w="360" w:type="dxa"/>
            <w:vAlign w:val="bottom"/>
          </w:tcPr>
          <w:p>
            <w:pPr>
              <w:spacing w:after="0"/>
              <w:rPr>
                <w:sz w:val="13"/>
                <w:szCs w:val="13"/>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Gross Profit</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6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6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Pawn service charges were flat as a higher yield offset a 3% decrease in average ending monthly pawn loan balances outstanding during the quarter. We have experienced a substantial decline in new loans activity and associated loan balances since mid-March 2020 and continuing as a result of a change in customer borrowing behaviors due to COVID-19. See "Impact of COVID-19" above.</w:t>
      </w:r>
    </w:p>
    <w:p>
      <w:pPr>
        <w:spacing w:after="0" w:line="13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Merchandise sales increased 6% with margins down 100 basis points to 36%, the low end of our target range, as we continue to focus on inventory management. As a result, merchandise sales gross profit increased 4% to $37.2 million.</w:t>
      </w:r>
    </w:p>
    <w:p>
      <w:pPr>
        <w:spacing w:after="0" w:line="11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Jewelry scrapping sales gross profit increased 38% to $1.9 million on higher volume and scrapping margins as a result of increased gold market prices, with margins up 200 basis points to 19%.</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Information</w:t>
      </w:r>
    </w:p>
    <w:p>
      <w:pPr>
        <w:spacing w:after="0" w:line="17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In addition to the financial information prepared in conformity with accounting principles generally accepted in the United States ("GAAP"), we provide certain other non-GAAP financial information on a constant currency basis ("constant currency"). We use constant currency results to evaluate our Latin America Pawn operations, which are denominated primarily in Mexican pesos, Guatemalan quetzals and other Latin American currencies. We believe that presentation of constant currency results is meaningful and useful in understanding the activities and business metrics of our Latin America Pawn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3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Our statement of operations constant currency results reflect the monthly exchange rate fluctuations and so are not directly calculable from the above rates. Constant currency results, where presented, also exclude the foreign currency gain or loss. The end-of-period and approximate average exchange rates for each applicable currency as compared to U.S. dollars as of and for the three and six months ended March 31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600" w:type="dxa"/>
            <w:vAlign w:val="bottom"/>
            <w:gridSpan w:val="3"/>
          </w:tcPr>
          <w:p>
            <w:pPr>
              <w:ind w:left="900"/>
              <w:spacing w:after="0"/>
              <w:rPr>
                <w:sz w:val="20"/>
                <w:szCs w:val="20"/>
                <w:color w:val="auto"/>
              </w:rPr>
            </w:pPr>
            <w:r>
              <w:rPr>
                <w:rFonts w:ascii="Arial" w:cs="Arial" w:eastAsia="Arial" w:hAnsi="Arial"/>
                <w:sz w:val="14"/>
                <w:szCs w:val="14"/>
                <w:b w:val="1"/>
                <w:bCs w:val="1"/>
                <w:color w:val="auto"/>
              </w:rPr>
              <w:t>March 31,</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3"/>
          </w:tcPr>
          <w:p>
            <w:pPr>
              <w:ind w:left="420"/>
              <w:spacing w:after="0"/>
              <w:rPr>
                <w:sz w:val="20"/>
                <w:szCs w:val="20"/>
                <w:color w:val="auto"/>
              </w:rPr>
            </w:pPr>
            <w:r>
              <w:rPr>
                <w:rFonts w:ascii="Arial" w:cs="Arial" w:eastAsia="Arial" w:hAnsi="Arial"/>
                <w:sz w:val="14"/>
                <w:szCs w:val="14"/>
                <w:b w:val="1"/>
                <w:bCs w:val="1"/>
                <w:color w:val="auto"/>
              </w:rPr>
              <w:t>Three Months Ended March 31,</w:t>
            </w:r>
          </w:p>
        </w:tc>
        <w:tc>
          <w:tcPr>
            <w:tcW w:w="2440" w:type="dxa"/>
            <w:vAlign w:val="bottom"/>
            <w:gridSpan w:val="3"/>
          </w:tcPr>
          <w:p>
            <w:pPr>
              <w:jc w:val="right"/>
              <w:ind w:right="214"/>
              <w:spacing w:after="0"/>
              <w:rPr>
                <w:sz w:val="20"/>
                <w:szCs w:val="20"/>
                <w:color w:val="auto"/>
              </w:rPr>
            </w:pPr>
            <w:r>
              <w:rPr>
                <w:rFonts w:ascii="Arial" w:cs="Arial" w:eastAsia="Arial" w:hAnsi="Arial"/>
                <w:sz w:val="14"/>
                <w:szCs w:val="14"/>
                <w:b w:val="1"/>
                <w:bCs w:val="1"/>
                <w:color w:val="auto"/>
              </w:rPr>
              <w:t>Six Months Ended March 31,</w:t>
            </w:r>
          </w:p>
        </w:tc>
      </w:tr>
      <w:tr>
        <w:trPr>
          <w:trHeight w:val="263"/>
        </w:trPr>
        <w:tc>
          <w:tcPr>
            <w:tcW w:w="34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r>
      <w:tr>
        <w:trPr>
          <w:trHeight w:val="121"/>
        </w:trPr>
        <w:tc>
          <w:tcPr>
            <w:tcW w:w="34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Mexican peso</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20.0</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Guatemalan quetzal</w:t>
            </w: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600" w:type="dxa"/>
            <w:vAlign w:val="bottom"/>
          </w:tcPr>
          <w:p>
            <w:pPr>
              <w:jc w:val="right"/>
              <w:ind w:right="276"/>
              <w:spacing w:after="0"/>
              <w:rPr>
                <w:sz w:val="20"/>
                <w:szCs w:val="20"/>
                <w:color w:val="auto"/>
              </w:rPr>
            </w:pPr>
            <w:r>
              <w:rPr>
                <w:rFonts w:ascii="Arial" w:cs="Arial" w:eastAsia="Arial" w:hAnsi="Arial"/>
                <w:sz w:val="18"/>
                <w:szCs w:val="18"/>
                <w:color w:val="auto"/>
              </w:rPr>
              <w:t>7.5</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7.6</w:t>
            </w:r>
          </w:p>
        </w:tc>
      </w:tr>
      <w:tr>
        <w:trPr>
          <w:trHeight w:val="27"/>
        </w:trPr>
        <w:tc>
          <w:tcPr>
            <w:tcW w:w="3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Honduran lempira</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24.3</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Peruvian sol</w:t>
            </w: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600" w:type="dxa"/>
            <w:vAlign w:val="bottom"/>
          </w:tcPr>
          <w:p>
            <w:pPr>
              <w:jc w:val="right"/>
              <w:ind w:right="276"/>
              <w:spacing w:after="0"/>
              <w:rPr>
                <w:sz w:val="20"/>
                <w:szCs w:val="20"/>
                <w:color w:val="auto"/>
              </w:rPr>
            </w:pPr>
            <w:r>
              <w:rPr>
                <w:rFonts w:ascii="Arial" w:cs="Arial" w:eastAsia="Arial" w:hAnsi="Arial"/>
                <w:sz w:val="18"/>
                <w:szCs w:val="18"/>
                <w:color w:val="auto"/>
              </w:rPr>
              <w:t>3.4</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3.3</w:t>
            </w:r>
          </w:p>
        </w:tc>
      </w:tr>
      <w:tr>
        <w:trPr>
          <w:trHeight w:val="459"/>
        </w:trPr>
        <w:tc>
          <w:tcPr>
            <w:tcW w:w="3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 Pawn</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presents selected summary financial data for the Latin America Pawn segment, including constant currency results, after translation to U.S. dollars from its functional currencies noted above under “Results of Operations — Non-GAAP Financial Information."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6"/>
          </w:tcPr>
          <w:p>
            <w:pPr>
              <w:jc w:val="right"/>
              <w:ind w:right="732"/>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9"/>
              </w:rPr>
              <w:t>2020 (GAAP)</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9"/>
              </w:rPr>
              <w:t>2019 (GAAP)</w:t>
            </w:r>
          </w:p>
        </w:tc>
        <w:tc>
          <w:tcPr>
            <w:tcW w:w="10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Change (GAAP)</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52"/>
              <w:spacing w:after="0" w:line="153" w:lineRule="exact"/>
              <w:rPr>
                <w:sz w:val="20"/>
                <w:szCs w:val="20"/>
                <w:color w:val="auto"/>
              </w:rPr>
            </w:pPr>
            <w:r>
              <w:rPr>
                <w:rFonts w:ascii="Arial" w:cs="Arial" w:eastAsia="Arial" w:hAnsi="Arial"/>
                <w:sz w:val="14"/>
                <w:szCs w:val="14"/>
                <w:b w:val="1"/>
                <w:bCs w:val="1"/>
                <w:color w:val="auto"/>
                <w:w w:val="91"/>
              </w:rPr>
              <w:t>2020 (Constant</w:t>
            </w:r>
          </w:p>
        </w:tc>
        <w:tc>
          <w:tcPr>
            <w:tcW w:w="120" w:type="dxa"/>
            <w:vAlign w:val="bottom"/>
          </w:tcPr>
          <w:p>
            <w:pPr>
              <w:spacing w:after="0"/>
              <w:rPr>
                <w:sz w:val="13"/>
                <w:szCs w:val="13"/>
                <w:color w:val="auto"/>
              </w:rPr>
            </w:pP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Change (Constant</w:t>
            </w:r>
          </w:p>
        </w:tc>
        <w:tc>
          <w:tcPr>
            <w:tcW w:w="0" w:type="dxa"/>
            <w:vAlign w:val="bottom"/>
          </w:tcPr>
          <w:p>
            <w:pPr>
              <w:spacing w:after="0"/>
              <w:rPr>
                <w:sz w:val="1"/>
                <w:szCs w:val="1"/>
                <w:color w:val="auto"/>
              </w:rPr>
            </w:pPr>
          </w:p>
        </w:tc>
      </w:tr>
      <w:tr>
        <w:trPr>
          <w:trHeight w:val="192"/>
        </w:trPr>
        <w:tc>
          <w:tcPr>
            <w:tcW w:w="4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6"/>
              </w:rPr>
              <w:t>Currency)</w:t>
            </w: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Currency)</w:t>
            </w:r>
          </w:p>
        </w:tc>
        <w:tc>
          <w:tcPr>
            <w:tcW w:w="0" w:type="dxa"/>
            <w:vAlign w:val="bottom"/>
          </w:tcPr>
          <w:p>
            <w:pPr>
              <w:spacing w:after="0"/>
              <w:rPr>
                <w:sz w:val="1"/>
                <w:szCs w:val="1"/>
                <w:color w:val="auto"/>
              </w:rPr>
            </w:pPr>
          </w:p>
        </w:tc>
      </w:tr>
      <w:tr>
        <w:trPr>
          <w:trHeight w:val="385"/>
        </w:trPr>
        <w:tc>
          <w:tcPr>
            <w:tcW w:w="4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gridSpan w:val="4"/>
          </w:tcPr>
          <w:p>
            <w:pPr>
              <w:jc w:val="right"/>
              <w:ind w:right="572"/>
              <w:spacing w:after="0"/>
              <w:rPr>
                <w:sz w:val="20"/>
                <w:szCs w:val="20"/>
                <w:color w:val="auto"/>
              </w:rPr>
            </w:pPr>
            <w:r>
              <w:rPr>
                <w:rFonts w:ascii="Arial" w:cs="Arial" w:eastAsia="Arial" w:hAnsi="Arial"/>
                <w:sz w:val="14"/>
                <w:szCs w:val="14"/>
                <w:i w:val="1"/>
                <w:iCs w:val="1"/>
                <w:color w:val="auto"/>
              </w:rPr>
              <w:t>(in USD thousands)</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i w:val="1"/>
                <w:iCs w:val="1"/>
                <w:color w:val="auto"/>
                <w:w w:val="94"/>
              </w:rPr>
              <w:t>(in USD thousands)</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18,522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20,001</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18,866</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(6)%</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27,383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24,628</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28,032</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14%</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6,893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7,756</w:t>
            </w:r>
          </w:p>
        </w:tc>
        <w:tc>
          <w:tcPr>
            <w:tcW w:w="13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7,037</w:t>
            </w:r>
          </w:p>
        </w:tc>
        <w:tc>
          <w:tcPr>
            <w:tcW w:w="15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43"/>
        </w:trPr>
        <w:tc>
          <w:tcPr>
            <w:tcW w:w="444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(600)bps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(600)bps</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2,464</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2,259</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(8)%</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202</w:t>
            </w:r>
          </w:p>
        </w:tc>
        <w:tc>
          <w:tcPr>
            <w:tcW w:w="13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400</w:t>
            </w:r>
          </w:p>
        </w:tc>
        <w:tc>
          <w:tcPr>
            <w:tcW w:w="15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98%</w:t>
            </w:r>
          </w:p>
        </w:tc>
        <w:tc>
          <w:tcPr>
            <w:tcW w:w="0" w:type="dxa"/>
            <w:vAlign w:val="bottom"/>
          </w:tcPr>
          <w:p>
            <w:pPr>
              <w:spacing w:after="0"/>
              <w:rPr>
                <w:sz w:val="1"/>
                <w:szCs w:val="1"/>
                <w:color w:val="auto"/>
              </w:rPr>
            </w:pPr>
          </w:p>
        </w:tc>
      </w:tr>
      <w:tr>
        <w:trPr>
          <w:trHeight w:val="243"/>
        </w:trPr>
        <w:tc>
          <w:tcPr>
            <w:tcW w:w="444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1,000bps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1,000bps</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Other revenues, net</w:t>
            </w:r>
          </w:p>
        </w:tc>
        <w:tc>
          <w:tcPr>
            <w:tcW w:w="16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25</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25,805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27,984</w:t>
            </w:r>
          </w:p>
        </w:tc>
        <w:tc>
          <w:tcPr>
            <w:tcW w:w="13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26,292</w:t>
            </w:r>
          </w:p>
        </w:tc>
        <w:tc>
          <w:tcPr>
            <w:tcW w:w="15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(6)%</w:t>
            </w: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18,469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18,223</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19,043</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goodwill and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35,936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37,055</w:t>
            </w:r>
          </w:p>
        </w:tc>
        <w:tc>
          <w:tcPr>
            <w:tcW w:w="15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1,495</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1,989</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33%</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operating (loss) contribution</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(30,540)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8,266</w:t>
            </w:r>
          </w:p>
        </w:tc>
        <w:tc>
          <w:tcPr>
            <w:tcW w:w="13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(469)%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(31,795)</w:t>
            </w:r>
          </w:p>
        </w:tc>
        <w:tc>
          <w:tcPr>
            <w:tcW w:w="15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(485)%</w:t>
            </w:r>
          </w:p>
        </w:tc>
        <w:tc>
          <w:tcPr>
            <w:tcW w:w="0" w:type="dxa"/>
            <w:vAlign w:val="bottom"/>
          </w:tcPr>
          <w:p>
            <w:pPr>
              <w:spacing w:after="0"/>
              <w:rPr>
                <w:sz w:val="1"/>
                <w:szCs w:val="1"/>
                <w:color w:val="auto"/>
              </w:rPr>
            </w:pPr>
          </w:p>
        </w:tc>
      </w:tr>
      <w:tr>
        <w:trPr>
          <w:trHeight w:val="263"/>
        </w:trPr>
        <w:tc>
          <w:tcPr>
            <w:tcW w:w="44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segment income (a)</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(1,190)</w:t>
            </w:r>
          </w:p>
        </w:tc>
        <w:tc>
          <w:tcPr>
            <w:tcW w:w="13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(66)%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5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(95)%</w:t>
            </w:r>
          </w:p>
        </w:tc>
        <w:tc>
          <w:tcPr>
            <w:tcW w:w="0" w:type="dxa"/>
            <w:vAlign w:val="bottom"/>
          </w:tcPr>
          <w:p>
            <w:pPr>
              <w:spacing w:after="0"/>
              <w:rPr>
                <w:sz w:val="1"/>
                <w:szCs w:val="1"/>
                <w:color w:val="auto"/>
              </w:rPr>
            </w:pPr>
          </w:p>
        </w:tc>
      </w:tr>
      <w:tr>
        <w:trPr>
          <w:trHeight w:val="297"/>
        </w:trPr>
        <w:tc>
          <w:tcPr>
            <w:tcW w:w="44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Segment (loss) contribution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(30,141)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9,456</w:t>
            </w:r>
          </w:p>
        </w:tc>
        <w:tc>
          <w:tcPr>
            <w:tcW w:w="130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2"/>
              </w:rPr>
              <w:t>(419)%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(31,736)</w:t>
            </w:r>
          </w:p>
        </w:tc>
        <w:tc>
          <w:tcPr>
            <w:tcW w:w="154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2"/>
              </w:rPr>
              <w:t>(436)%</w:t>
            </w:r>
          </w:p>
        </w:tc>
        <w:tc>
          <w:tcPr>
            <w:tcW w:w="0" w:type="dxa"/>
            <w:vAlign w:val="bottom"/>
          </w:tcPr>
          <w:p>
            <w:pPr>
              <w:spacing w:after="0"/>
              <w:rPr>
                <w:sz w:val="1"/>
                <w:szCs w:val="1"/>
                <w:color w:val="auto"/>
              </w:rPr>
            </w:pPr>
          </w:p>
        </w:tc>
      </w:tr>
      <w:tr>
        <w:trPr>
          <w:trHeight w:val="284"/>
        </w:trPr>
        <w:tc>
          <w:tcPr>
            <w:tcW w:w="4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Other data:</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earning assets (b)</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70,318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78,488</w:t>
            </w:r>
          </w:p>
        </w:tc>
        <w:tc>
          <w:tcPr>
            <w:tcW w:w="13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79,874</w:t>
            </w:r>
          </w:p>
        </w:tc>
        <w:tc>
          <w:tcPr>
            <w:tcW w:w="15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Inventory turnover</w:t>
            </w:r>
          </w:p>
        </w:tc>
        <w:tc>
          <w:tcPr>
            <w:tcW w:w="16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2.3</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2.5</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Average monthly ending pawn loan balance per store (c)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90</w:t>
            </w:r>
          </w:p>
        </w:tc>
        <w:tc>
          <w:tcPr>
            <w:tcW w:w="13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87</w:t>
            </w:r>
          </w:p>
        </w:tc>
        <w:tc>
          <w:tcPr>
            <w:tcW w:w="15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Monthly average yield on pawn loans outstanding</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(100)bps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(100)bps</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Pawn loan redemption rate (d)</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(100)bps</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(100)bps</w:t>
            </w:r>
          </w:p>
        </w:tc>
        <w:tc>
          <w:tcPr>
            <w:tcW w:w="0" w:type="dxa"/>
            <w:vAlign w:val="bottom"/>
          </w:tcPr>
          <w:p>
            <w:pPr>
              <w:spacing w:after="0"/>
              <w:rPr>
                <w:sz w:val="1"/>
                <w:szCs w:val="1"/>
                <w:color w:val="auto"/>
              </w:rPr>
            </w:pPr>
          </w:p>
        </w:tc>
      </w:tr>
      <w:tr>
        <w:trPr>
          <w:trHeight w:val="27"/>
        </w:trPr>
        <w:tc>
          <w:tcPr>
            <w:tcW w:w="4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80" w:hanging="345"/>
        <w:spacing w:after="0"/>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42" w:lineRule="exact"/>
        <w:rPr>
          <w:sz w:val="20"/>
          <w:szCs w:val="20"/>
          <w:color w:val="auto"/>
        </w:rPr>
      </w:pPr>
    </w:p>
    <w:p>
      <w:pPr>
        <w:ind w:left="380" w:right="200" w:hanging="345"/>
        <w:spacing w:after="0" w:line="253" w:lineRule="auto"/>
        <w:tabs>
          <w:tab w:leader="none" w:pos="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Fiscal 2020 constant currency amount excludes net GAAP basis foreign currency transaction gains of $0.3 million resulting from movement in exchange rates. The net foreign currency transaction gains for fiscal 2019 of $0.1 million are included in the above results.</w:t>
      </w:r>
    </w:p>
    <w:p>
      <w:pPr>
        <w:spacing w:after="0" w:line="11" w:lineRule="exact"/>
        <w:rPr>
          <w:rFonts w:ascii="Arial" w:cs="Arial" w:eastAsia="Arial" w:hAnsi="Arial"/>
          <w:sz w:val="14"/>
          <w:szCs w:val="14"/>
          <w:color w:val="auto"/>
        </w:rPr>
      </w:pPr>
    </w:p>
    <w:p>
      <w:pPr>
        <w:ind w:left="380" w:hanging="345"/>
        <w:spacing w:after="0"/>
        <w:tabs>
          <w:tab w:leader="none" w:pos="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Rate is solely inclusive of results from Mexico Pawn.</w:t>
      </w: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320" w:top="121" w:right="39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In the current quarter, our Latin America pawn segment opened nine de novo stores.</w:t>
      </w:r>
    </w:p>
    <w:p>
      <w:pPr>
        <w:spacing w:after="0" w:line="17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Segment contribution decreased $39.6 million, or 419%, to $(30.1) million (436% on a constant currency basis) primarily due to the goodwill impairment charges recorded during the quarter. Excluding those charges, segment contribution decreased $3.7 million, or 39%, to $5.8 million (44% on a constant currency basis) with a net revenue decline of $2.2 million, or 8% ($1.7 million, or 6%, on a constant currency basis), to $25.8 million. Operations expenses were tightly managed with an increase of $0.2 million, or 1% ($0.8 million, or 4% on a constant currency basis), to $18.5 million.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change in net revenue attributable to same stores and new stores added since the prior-year quarter is summarized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Change in Net Revenue</w:t>
            </w: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300" w:type="dxa"/>
            <w:vAlign w:val="bottom"/>
          </w:tcPr>
          <w:p>
            <w:pPr>
              <w:spacing w:after="0"/>
              <w:rPr>
                <w:sz w:val="13"/>
                <w:szCs w:val="13"/>
                <w:color w:val="auto"/>
              </w:rPr>
            </w:pPr>
          </w:p>
        </w:tc>
        <w:tc>
          <w:tcPr>
            <w:tcW w:w="1600" w:type="dxa"/>
            <w:vAlign w:val="bottom"/>
            <w:gridSpan w:val="2"/>
            <w:vMerge w:val="restart"/>
          </w:tcPr>
          <w:p>
            <w:pPr>
              <w:jc w:val="right"/>
              <w:ind w:right="33"/>
              <w:spacing w:after="0"/>
              <w:rPr>
                <w:sz w:val="20"/>
                <w:szCs w:val="20"/>
                <w:color w:val="auto"/>
              </w:rPr>
            </w:pPr>
            <w:r>
              <w:rPr>
                <w:rFonts w:ascii="Arial" w:cs="Arial" w:eastAsia="Arial" w:hAnsi="Arial"/>
                <w:sz w:val="14"/>
                <w:szCs w:val="14"/>
                <w:b w:val="1"/>
                <w:bCs w:val="1"/>
                <w:color w:val="auto"/>
                <w:w w:val="97"/>
              </w:rPr>
              <w:t>Pawn Service Charges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Merchandise Sales</w:t>
            </w:r>
          </w:p>
        </w:tc>
        <w:tc>
          <w:tcPr>
            <w:tcW w:w="560" w:type="dxa"/>
            <w:vAlign w:val="bottom"/>
          </w:tcPr>
          <w:p>
            <w:pPr>
              <w:spacing w:after="0"/>
              <w:rPr>
                <w:sz w:val="13"/>
                <w:szCs w:val="13"/>
                <w:color w:val="auto"/>
              </w:rPr>
            </w:pPr>
          </w:p>
        </w:tc>
        <w:tc>
          <w:tcPr>
            <w:tcW w:w="10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Gross Profit</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rPr>
              <w:t>(in millions)</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60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3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6"/>
          </w:tcPr>
          <w:p>
            <w:pPr>
              <w:jc w:val="center"/>
              <w:ind w:left="333"/>
              <w:spacing w:after="0"/>
              <w:rPr>
                <w:sz w:val="20"/>
                <w:szCs w:val="20"/>
                <w:color w:val="auto"/>
              </w:rPr>
            </w:pPr>
            <w:r>
              <w:rPr>
                <w:rFonts w:ascii="Arial" w:cs="Arial" w:eastAsia="Arial" w:hAnsi="Arial"/>
                <w:sz w:val="14"/>
                <w:szCs w:val="14"/>
                <w:b w:val="1"/>
                <w:bCs w:val="1"/>
                <w:color w:val="auto"/>
                <w:w w:val="93"/>
              </w:rPr>
              <w:t>Change in Net Revenue (Constant Currency)</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300" w:type="dxa"/>
            <w:vAlign w:val="bottom"/>
          </w:tcPr>
          <w:p>
            <w:pPr>
              <w:spacing w:after="0"/>
              <w:rPr>
                <w:sz w:val="13"/>
                <w:szCs w:val="13"/>
                <w:color w:val="auto"/>
              </w:rPr>
            </w:pPr>
          </w:p>
        </w:tc>
        <w:tc>
          <w:tcPr>
            <w:tcW w:w="1600" w:type="dxa"/>
            <w:vAlign w:val="bottom"/>
            <w:gridSpan w:val="2"/>
            <w:vMerge w:val="restart"/>
          </w:tcPr>
          <w:p>
            <w:pPr>
              <w:jc w:val="right"/>
              <w:ind w:right="33"/>
              <w:spacing w:after="0"/>
              <w:rPr>
                <w:sz w:val="20"/>
                <w:szCs w:val="20"/>
                <w:color w:val="auto"/>
              </w:rPr>
            </w:pPr>
            <w:r>
              <w:rPr>
                <w:rFonts w:ascii="Arial" w:cs="Arial" w:eastAsia="Arial" w:hAnsi="Arial"/>
                <w:sz w:val="14"/>
                <w:szCs w:val="14"/>
                <w:b w:val="1"/>
                <w:bCs w:val="1"/>
                <w:color w:val="auto"/>
                <w:w w:val="97"/>
              </w:rPr>
              <w:t>Pawn Service Charges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Merchandise Sales</w:t>
            </w:r>
          </w:p>
        </w:tc>
        <w:tc>
          <w:tcPr>
            <w:tcW w:w="560" w:type="dxa"/>
            <w:vAlign w:val="bottom"/>
          </w:tcPr>
          <w:p>
            <w:pPr>
              <w:spacing w:after="0"/>
              <w:rPr>
                <w:sz w:val="13"/>
                <w:szCs w:val="13"/>
                <w:color w:val="auto"/>
              </w:rPr>
            </w:pPr>
          </w:p>
        </w:tc>
        <w:tc>
          <w:tcPr>
            <w:tcW w:w="10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Gross Profit</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rPr>
              <w:t>(in millions)</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60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Pawn service charges decreased 7% (6% on a constant currency basis). The average ending monthly pawn loan balance outstanding during the current quarter was down 8% (3% on a constant currency basis). We have experienced a substantial decline in new loans activity and associated loan balances since mid-March 2020 and continuing as a result of a change in customer borrowing behaviors due to COVID-19.</w:t>
      </w:r>
    </w:p>
    <w:p>
      <w:pPr>
        <w:spacing w:after="0" w:line="1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Merchandise sales increased 11% (14% on a constant currency basis) with margins down 600 basis point as we continue with efforts to reduce aged general merchandise. As a result of these factors and foreign currency impacts, merchandise sales gross profit was down 11% to $6.9 million (9% to $7.0 million on a constant currency basis).</w:t>
      </w:r>
    </w:p>
    <w:p>
      <w:pPr>
        <w:spacing w:after="0" w:line="130"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Jewelry scrapping sales decreased 10% (8% on a constant currency basis) as airport closings limited many stores ability to scrap and export their gold, however with a 1,000 basis point increase in margin to 18% as we benefited from an overall increase in gold market prices.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data for the Lana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496"/>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68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vMerge w:val="restart"/>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385"/>
        </w:trPr>
        <w:tc>
          <w:tcPr>
            <w:tcW w:w="6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 expense and other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1,098</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1,523</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(28)%</w:t>
            </w:r>
          </w:p>
        </w:tc>
        <w:tc>
          <w:tcPr>
            <w:tcW w:w="0" w:type="dxa"/>
            <w:vAlign w:val="bottom"/>
          </w:tcPr>
          <w:p>
            <w:pPr>
              <w:spacing w:after="0"/>
              <w:rPr>
                <w:sz w:val="1"/>
                <w:szCs w:val="1"/>
                <w:color w:val="auto"/>
              </w:rPr>
            </w:pPr>
          </w:p>
        </w:tc>
      </w:tr>
      <w:tr>
        <w:trPr>
          <w:trHeight w:val="257"/>
        </w:trPr>
        <w:tc>
          <w:tcPr>
            <w:tcW w:w="6860" w:type="dxa"/>
            <w:vAlign w:val="bottom"/>
          </w:tcPr>
          <w:p>
            <w:pPr>
              <w:ind w:left="280"/>
              <w:spacing w:after="0"/>
              <w:rPr>
                <w:sz w:val="20"/>
                <w:szCs w:val="20"/>
                <w:color w:val="auto"/>
              </w:rPr>
            </w:pPr>
            <w:r>
              <w:rPr>
                <w:rFonts w:ascii="Arial" w:cs="Arial" w:eastAsia="Arial" w:hAnsi="Arial"/>
                <w:sz w:val="18"/>
                <w:szCs w:val="18"/>
                <w:color w:val="auto"/>
              </w:rPr>
              <w:t>Segment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(28)%</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launched our customer-centric digital engagement platform (“Lana”) in the prior quarter, initially serving customers in selected Florida locations. This platform currently offers the ability for customers at selected locations to remotely extend their pawn loans through digital payments using their Lana account, and will allow us to leverage our existing store and pawn customer base to expand customer acquisition and retention and enable rapid deployment of new products. Discrete revenues to date are minimal as the product offering launched late in the first quarter of fiscal 2020, and all fees from pawn loan extensions, including those made through the Lana platform, are reported in the pawn segments.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International</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presents selected financial data for the Other International segment after translation to U.S. dollars from its functional currency of primarily Australian and Canadian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6860" w:type="dxa"/>
            <w:vAlign w:val="bottom"/>
          </w:tcPr>
          <w:p>
            <w:pPr>
              <w:spacing w:after="0"/>
              <w:rPr>
                <w:sz w:val="6"/>
                <w:szCs w:val="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385"/>
        </w:trPr>
        <w:tc>
          <w:tcPr>
            <w:tcW w:w="6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0" w:type="dxa"/>
            <w:vAlign w:val="bottom"/>
            <w:gridSpan w:val="3"/>
          </w:tcPr>
          <w:p>
            <w:pPr>
              <w:jc w:val="right"/>
              <w:ind w:right="496"/>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Consumer loan fees, interest and other</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21"/>
                <w:szCs w:val="21"/>
                <w:color w:val="auto"/>
              </w:rPr>
            </w:pP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1,223</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bad debt</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37"/>
        </w:trPr>
        <w:tc>
          <w:tcPr>
            <w:tcW w:w="686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816</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Segment operating expenses:</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expenses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2,622</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(40)%</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Impairment of goodwill and intangible assets</w:t>
            </w:r>
          </w:p>
        </w:tc>
        <w:tc>
          <w:tcPr>
            <w:tcW w:w="98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1,124</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in net income of unconsolidated affiliates</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(1,184)</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175%</w:t>
            </w:r>
          </w:p>
        </w:tc>
        <w:tc>
          <w:tcPr>
            <w:tcW w:w="0" w:type="dxa"/>
            <w:vAlign w:val="bottom"/>
          </w:tcPr>
          <w:p>
            <w:pPr>
              <w:spacing w:after="0"/>
              <w:rPr>
                <w:sz w:val="1"/>
                <w:szCs w:val="1"/>
                <w:color w:val="auto"/>
              </w:rPr>
            </w:pPr>
          </w:p>
        </w:tc>
      </w:tr>
      <w:tr>
        <w:trPr>
          <w:trHeight w:val="237"/>
        </w:trPr>
        <w:tc>
          <w:tcPr>
            <w:tcW w:w="6860" w:type="dxa"/>
            <w:vAlign w:val="bottom"/>
          </w:tcPr>
          <w:p>
            <w:pPr>
              <w:ind w:left="500"/>
              <w:spacing w:after="0"/>
              <w:rPr>
                <w:sz w:val="20"/>
                <w:szCs w:val="20"/>
                <w:color w:val="auto"/>
              </w:rPr>
            </w:pPr>
            <w:r>
              <w:rPr>
                <w:rFonts w:ascii="Arial" w:cs="Arial" w:eastAsia="Arial" w:hAnsi="Arial"/>
                <w:sz w:val="18"/>
                <w:szCs w:val="18"/>
                <w:color w:val="auto"/>
              </w:rPr>
              <w:t>Segment operating income (loss)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(1,375)</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8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Other segment expense</w:t>
            </w:r>
          </w:p>
        </w:tc>
        <w:tc>
          <w:tcPr>
            <w:tcW w:w="98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6,861</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(97)%</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 (loss)</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(8,236)</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60" w:hanging="225"/>
        <w:spacing w:after="0"/>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Segment contribution was $(0.9) million, an improvement of $7.3 million from the prior-year quarter primarily due to:</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$6.5 million impairment of Cash Converters International in the prior-year quarter with no impairment in the current quarter; and</w:t>
      </w:r>
    </w:p>
    <w:p>
      <w:pPr>
        <w:spacing w:after="0" w:line="171"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in operating expenses of $0.9 million subsequent to the deconsolidation of a previously consolidated variable interest entity ("RDC") in mid-fiscal 2019;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impairment of $1.1 million of certain long-lived assets in the current quarter.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 including items that affect our consolidated financial results but are not allocated among segments: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7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385"/>
        </w:trPr>
        <w:tc>
          <w:tcPr>
            <w:tcW w:w="7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28,131</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(142)%</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Corporate expenses (income):</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14,964</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2,711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2,458</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Loss on sale or disposal of assets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5,325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8,407</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(37)%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(79)%</w:t>
            </w:r>
          </w:p>
        </w:tc>
        <w:tc>
          <w:tcPr>
            <w:tcW w:w="0" w:type="dxa"/>
            <w:vAlign w:val="bottom"/>
          </w:tcPr>
          <w:p>
            <w:pPr>
              <w:spacing w:after="0"/>
              <w:rPr>
                <w:sz w:val="1"/>
                <w:szCs w:val="1"/>
                <w:color w:val="auto"/>
              </w:rPr>
            </w:pP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1"/>
              </w:rPr>
              <w:t>227%</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income from continuing operations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5,019</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(780)%</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6,749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2,360</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1"/>
              </w:rPr>
              <w:t>186%</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continuing operations,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2,659</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(1,636)%</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2,641</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(1,648)%</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(753)</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(100)%</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EZCORP,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3,394</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(1,304)%</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60" w:hanging="225"/>
        <w:spacing w:after="0"/>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18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Segment contribution decreased 142% over the prior-year quarter, including the goodwill and intangible assets impairment of $47.1 million recorded in the current quarter and a $6.5 million prior-year quarter impairment related to our investment in Cash Converters International, offset by mixed results in our US Pawn and Latin America Pawn segments partially as a result of the COVID-19 pandemic.</w:t>
      </w:r>
    </w:p>
    <w:p>
      <w:pPr>
        <w:spacing w:after="0" w:line="13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Interest expense decreased $3.1 million, or 37%, primarily due to the reduction of interest expense on our </w:t>
      </w:r>
      <w:r>
        <w:rPr>
          <w:rFonts w:ascii="Arial" w:cs="Arial" w:eastAsia="Arial" w:hAnsi="Arial"/>
          <w:sz w:val="17"/>
          <w:szCs w:val="17"/>
          <w:color w:val="252525"/>
        </w:rPr>
        <w:t>2.125% Cash Convertible Senior</w:t>
      </w:r>
      <w:r>
        <w:rPr>
          <w:rFonts w:ascii="Arial" w:cs="Arial" w:eastAsia="Arial" w:hAnsi="Arial"/>
          <w:sz w:val="17"/>
          <w:szCs w:val="17"/>
          <w:color w:val="auto"/>
        </w:rPr>
        <w:t xml:space="preserve"> Notes Due 2019 ("2019 Convertible Notes") which were repaid in June 2019. Prior to repayment, the principal amount of these notes was $195.0 million.</w:t>
      </w:r>
    </w:p>
    <w:p>
      <w:pPr>
        <w:spacing w:after="0" w:line="9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Interest income decreased $2.1 million, or 79%, primarily due to the declining principal balance on the Prestaciones Finmart, S.A.P.I. de C.V., SOFOM, E.N.R. ("Grupo Finmart") notes receivable as they are repaid in accordance with their agreed amortization schedule, in addition to the reduction of interest earned on outstanding cash balances after our 2019 Convertible Notes were repaid in June 2019. The March 2020 payment on the Grupo Finmart notes was paid into an escrow account pending resolution of an outstanding indemnity claim for pre-closing taxes.</w:t>
      </w:r>
    </w:p>
    <w:p>
      <w:pPr>
        <w:spacing w:after="0" w:line="117" w:lineRule="exact"/>
        <w:rPr>
          <w:sz w:val="20"/>
          <w:szCs w:val="20"/>
          <w:color w:val="auto"/>
        </w:rPr>
      </w:pPr>
    </w:p>
    <w:p>
      <w:pPr>
        <w:jc w:val="both"/>
        <w:ind w:right="160"/>
        <w:spacing w:after="0" w:line="301" w:lineRule="auto"/>
        <w:rPr>
          <w:sz w:val="20"/>
          <w:szCs w:val="20"/>
          <w:color w:val="auto"/>
        </w:rPr>
      </w:pPr>
      <w:r>
        <w:rPr>
          <w:rFonts w:ascii="Arial" w:cs="Arial" w:eastAsia="Arial" w:hAnsi="Arial"/>
          <w:sz w:val="16"/>
          <w:szCs w:val="16"/>
          <w:color w:val="auto"/>
        </w:rPr>
        <w:t>Income tax expense increased $4.4 million due primarily to a $39 million decrease in income from continuing operations before income taxes offset by a $20 million increase resulting from non-deductible goodwill impairments and $1.6 million to correct the calculation of certain transaction tax liabilities in prior periods. Income tax expense includes other items that do not necessarily correspond to pre-tax earnings and create volatility in our effective tax rate. These items include the net effect of state taxes, non-deductible items and changes in valuation allowances for certain foreign operations.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March 31, 2020 vs. Six Months Ended March 31, 2019</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These tables, as well as the discussion that follows, should be read with the accompanying condensed consolidated financial statements and related notes.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comparisons, unless otherwise noted, are to the prior year-to-date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for the U.S. Pawn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March 31,</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63"/>
        </w:trPr>
        <w:tc>
          <w:tcPr>
            <w:tcW w:w="65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385"/>
        </w:trPr>
        <w:tc>
          <w:tcPr>
            <w:tcW w:w="6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6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6"/>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125,790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126,023</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324"/>
        </w:trPr>
        <w:tc>
          <w:tcPr>
            <w:tcW w:w="65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197,801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191,735</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3%</w:t>
            </w: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71,151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71,659</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w:t>
            </w:r>
          </w:p>
        </w:tc>
      </w:tr>
      <w:tr>
        <w:trPr>
          <w:trHeight w:val="243"/>
        </w:trPr>
        <w:tc>
          <w:tcPr>
            <w:tcW w:w="650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(100)bps</w:t>
            </w: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324"/>
        </w:trPr>
        <w:tc>
          <w:tcPr>
            <w:tcW w:w="65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15,776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14,468</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9%</w:t>
            </w: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3,221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2,387</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35%</w:t>
            </w:r>
          </w:p>
        </w:tc>
      </w:tr>
      <w:tr>
        <w:trPr>
          <w:trHeight w:val="243"/>
        </w:trPr>
        <w:tc>
          <w:tcPr>
            <w:tcW w:w="650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400bps</w:t>
            </w: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324"/>
        </w:trPr>
        <w:tc>
          <w:tcPr>
            <w:tcW w:w="65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91</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(26)%</w:t>
            </w: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200,229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200,160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324"/>
        </w:trPr>
        <w:tc>
          <w:tcPr>
            <w:tcW w:w="6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135,678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135,435</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goodwill and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5,576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6,017</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(7)%</w:t>
            </w:r>
          </w:p>
        </w:tc>
      </w:tr>
      <w:tr>
        <w:trPr>
          <w:trHeight w:val="27"/>
        </w:trPr>
        <w:tc>
          <w:tcPr>
            <w:tcW w:w="65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63"/>
        </w:trPr>
        <w:tc>
          <w:tcPr>
            <w:tcW w:w="6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operating contribution</w:t>
            </w: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48,975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58,708</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(17)%</w:t>
            </w:r>
          </w:p>
        </w:tc>
      </w:tr>
      <w:tr>
        <w:trPr>
          <w:trHeight w:val="318"/>
        </w:trPr>
        <w:tc>
          <w:tcPr>
            <w:tcW w:w="65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segment expense</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2,852</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(100)%</w:t>
            </w:r>
          </w:p>
        </w:tc>
      </w:tr>
      <w:tr>
        <w:trPr>
          <w:trHeight w:val="297"/>
        </w:trPr>
        <w:tc>
          <w:tcPr>
            <w:tcW w:w="65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Segment contribution</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48,975</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55,856</w:t>
            </w:r>
          </w:p>
        </w:tc>
        <w:tc>
          <w:tcPr>
            <w:tcW w:w="156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1"/>
              </w:rPr>
              <w:t>(12)%</w:t>
            </w:r>
          </w:p>
        </w:tc>
      </w:tr>
      <w:tr>
        <w:trPr>
          <w:trHeight w:val="311"/>
        </w:trPr>
        <w:tc>
          <w:tcPr>
            <w:tcW w:w="65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Other data:</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monthly ending pawn loan balance per store (a)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292</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(2)%</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Monthly average yield on pawn loans outstanding</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Pawn loan redemption rate</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200bps</w:t>
            </w:r>
          </w:p>
        </w:tc>
      </w:tr>
      <w:tr>
        <w:trPr>
          <w:trHeight w:val="27"/>
        </w:trPr>
        <w:tc>
          <w:tcPr>
            <w:tcW w:w="65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380" w:hanging="345"/>
        <w:spacing w:after="0"/>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42" w:lineRule="exact"/>
        <w:rPr>
          <w:sz w:val="20"/>
          <w:szCs w:val="20"/>
          <w:color w:val="auto"/>
        </w:rPr>
      </w:pPr>
    </w:p>
    <w:p>
      <w:pPr>
        <w:ind w:left="380" w:hanging="345"/>
        <w:spacing w:after="0"/>
        <w:tabs>
          <w:tab w:leader="none" w:pos="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18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Segment contribution decreased $7.0 million due to the goodwill impairment charge recorded during the quarter. Excluding that charge, segment contribution decreased $3.1 million, or 6%, to $59.0 million. While net revenue was flat at $200.2 million, total expenses decreased $3.1 million to $141.3 million due primarily a $2.9 million prior-period recognition of an uncollectible receivable balance from a bankrupt refining partner with no comparable charge in the current period. Excluding the impairment, operations expenses were tightly managed and were flat to the prior-year six-months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The change in net revenue attributable to same stores and new stores added since the prior-year is summarized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Change in Net Revenue</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300" w:type="dxa"/>
            <w:vAlign w:val="bottom"/>
          </w:tcPr>
          <w:p>
            <w:pPr>
              <w:spacing w:after="0"/>
              <w:rPr>
                <w:sz w:val="13"/>
                <w:szCs w:val="13"/>
                <w:color w:val="auto"/>
              </w:rPr>
            </w:pPr>
          </w:p>
        </w:tc>
        <w:tc>
          <w:tcPr>
            <w:tcW w:w="16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w w:val="97"/>
              </w:rPr>
              <w:t>Pawn Service Charges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Merchandise Sales</w:t>
            </w:r>
          </w:p>
        </w:tc>
        <w:tc>
          <w:tcPr>
            <w:tcW w:w="360" w:type="dxa"/>
            <w:vAlign w:val="bottom"/>
          </w:tcPr>
          <w:p>
            <w:pPr>
              <w:spacing w:after="0"/>
              <w:rPr>
                <w:sz w:val="13"/>
                <w:szCs w:val="13"/>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Gross Profit</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6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6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Pawn service charges were flat as a higher yield offset a 2% decrease in average ending monthly pawn loan balances outstanding during the current six-months. We have experienced a substantial decline in new loans activity and associated loan balances since mid-March 2020 and continuing as a result of a change in customer borrowing behaviors due to COVID-19.</w:t>
      </w:r>
    </w:p>
    <w:p>
      <w:pPr>
        <w:spacing w:after="0" w:line="130" w:lineRule="exact"/>
        <w:rPr>
          <w:sz w:val="20"/>
          <w:szCs w:val="20"/>
          <w:color w:val="auto"/>
        </w:rPr>
      </w:pPr>
    </w:p>
    <w:p>
      <w:pPr>
        <w:jc w:val="both"/>
        <w:ind w:right="600"/>
        <w:spacing w:after="0" w:line="263" w:lineRule="auto"/>
        <w:rPr>
          <w:sz w:val="20"/>
          <w:szCs w:val="20"/>
          <w:color w:val="auto"/>
        </w:rPr>
      </w:pPr>
      <w:r>
        <w:rPr>
          <w:rFonts w:ascii="Arial" w:cs="Arial" w:eastAsia="Arial" w:hAnsi="Arial"/>
          <w:sz w:val="18"/>
          <w:szCs w:val="18"/>
          <w:color w:val="auto"/>
        </w:rPr>
        <w:t>Merchandise sales increased 3% with margins down 100 basis points to 36%, the low end of our target range, as we continue to focus on inventory management. As a result of the net impact of the increase in sales offset by decreased margin, merchandise sales gross profit decreased 1% to $71.2 million.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Jewelry scrapping sales gross profit increased 35% to $3.2 million due primarily to higher scrapping margins as a result of increased gold market prices.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Scrap sales margins increased 400 basis points to 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 Pawn</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selected summary financial data for the Latin America Pawn segment, including constant currency results, after translation to U.S. dollars from functional currencies. See “Results of Operations — Non-GAAP Financial Information” above.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832"/>
              <w:spacing w:after="0"/>
              <w:rPr>
                <w:sz w:val="20"/>
                <w:szCs w:val="20"/>
                <w:color w:val="auto"/>
              </w:rPr>
            </w:pPr>
            <w:r>
              <w:rPr>
                <w:rFonts w:ascii="Arial" w:cs="Arial" w:eastAsia="Arial" w:hAnsi="Arial"/>
                <w:sz w:val="14"/>
                <w:szCs w:val="14"/>
                <w:b w:val="1"/>
                <w:bCs w:val="1"/>
                <w:color w:val="auto"/>
                <w:w w:val="94"/>
              </w:rPr>
              <w:t>Six Months Ended March 31,</w:t>
            </w: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9"/>
              </w:rPr>
              <w:t>2020 (GAAP)</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9"/>
              </w:rPr>
              <w:t>2019 (GAAP)</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Change (GAAP)</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72"/>
              <w:spacing w:after="0" w:line="153" w:lineRule="exact"/>
              <w:rPr>
                <w:sz w:val="20"/>
                <w:szCs w:val="20"/>
                <w:color w:val="auto"/>
              </w:rPr>
            </w:pPr>
            <w:r>
              <w:rPr>
                <w:rFonts w:ascii="Arial" w:cs="Arial" w:eastAsia="Arial" w:hAnsi="Arial"/>
                <w:sz w:val="14"/>
                <w:szCs w:val="14"/>
                <w:b w:val="1"/>
                <w:bCs w:val="1"/>
                <w:color w:val="auto"/>
                <w:w w:val="93"/>
              </w:rPr>
              <w:t>2020 (Constant</w:t>
            </w:r>
          </w:p>
        </w:tc>
        <w:tc>
          <w:tcPr>
            <w:tcW w:w="100" w:type="dxa"/>
            <w:vAlign w:val="bottom"/>
          </w:tcPr>
          <w:p>
            <w:pPr>
              <w:spacing w:after="0"/>
              <w:rPr>
                <w:sz w:val="13"/>
                <w:szCs w:val="13"/>
                <w:color w:val="auto"/>
              </w:rPr>
            </w:pP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Change (Constant</w:t>
            </w:r>
          </w:p>
        </w:tc>
        <w:tc>
          <w:tcPr>
            <w:tcW w:w="0" w:type="dxa"/>
            <w:vAlign w:val="bottom"/>
          </w:tcPr>
          <w:p>
            <w:pPr>
              <w:spacing w:after="0"/>
              <w:rPr>
                <w:sz w:val="1"/>
                <w:szCs w:val="1"/>
                <w:color w:val="auto"/>
              </w:rPr>
            </w:pPr>
          </w:p>
        </w:tc>
      </w:tr>
      <w:tr>
        <w:trPr>
          <w:trHeight w:val="192"/>
        </w:trPr>
        <w:tc>
          <w:tcPr>
            <w:tcW w:w="4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6"/>
              </w:rPr>
              <w:t>Currency)</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Currency)</w:t>
            </w:r>
          </w:p>
        </w:tc>
        <w:tc>
          <w:tcPr>
            <w:tcW w:w="0" w:type="dxa"/>
            <w:vAlign w:val="bottom"/>
          </w:tcPr>
          <w:p>
            <w:pPr>
              <w:spacing w:after="0"/>
              <w:rPr>
                <w:sz w:val="1"/>
                <w:szCs w:val="1"/>
                <w:color w:val="auto"/>
              </w:rPr>
            </w:pPr>
          </w:p>
        </w:tc>
      </w:tr>
      <w:tr>
        <w:trPr>
          <w:trHeight w:val="385"/>
        </w:trPr>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4"/>
          </w:tcPr>
          <w:p>
            <w:pPr>
              <w:jc w:val="right"/>
              <w:ind w:right="551"/>
              <w:spacing w:after="0"/>
              <w:rPr>
                <w:sz w:val="20"/>
                <w:szCs w:val="20"/>
                <w:color w:val="auto"/>
              </w:rPr>
            </w:pPr>
            <w:r>
              <w:rPr>
                <w:rFonts w:ascii="Arial" w:cs="Arial" w:eastAsia="Arial" w:hAnsi="Arial"/>
                <w:sz w:val="14"/>
                <w:szCs w:val="14"/>
                <w:i w:val="1"/>
                <w:iCs w:val="1"/>
                <w:color w:val="auto"/>
              </w:rPr>
              <w:t>(in USD thousands)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i w:val="1"/>
                <w:iCs w:val="1"/>
                <w:color w:val="auto"/>
                <w:w w:val="93"/>
              </w:rPr>
              <w:t>(in USD thousands)</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39,157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39,295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39,063</w:t>
            </w:r>
          </w:p>
        </w:tc>
        <w:tc>
          <w:tcPr>
            <w:tcW w:w="152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58,757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50,549</w:t>
            </w:r>
          </w:p>
        </w:tc>
        <w:tc>
          <w:tcPr>
            <w:tcW w:w="1340" w:type="dxa"/>
            <w:vAlign w:val="bottom"/>
            <w:gridSpan w:val="3"/>
          </w:tcPr>
          <w:p>
            <w:pPr>
              <w:jc w:val="center"/>
              <w:ind w:left="52"/>
              <w:spacing w:after="0"/>
              <w:rPr>
                <w:sz w:val="20"/>
                <w:szCs w:val="20"/>
                <w:color w:val="auto"/>
              </w:rPr>
            </w:pPr>
            <w:r>
              <w:rPr>
                <w:rFonts w:ascii="Arial" w:cs="Arial" w:eastAsia="Arial" w:hAnsi="Arial"/>
                <w:sz w:val="18"/>
                <w:szCs w:val="18"/>
                <w:color w:val="auto"/>
                <w:w w:val="88"/>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58,557</w:t>
            </w:r>
          </w:p>
        </w:tc>
        <w:tc>
          <w:tcPr>
            <w:tcW w:w="15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16%</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15,555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15,713</w:t>
            </w:r>
          </w:p>
        </w:tc>
        <w:tc>
          <w:tcPr>
            <w:tcW w:w="1340" w:type="dxa"/>
            <w:vAlign w:val="bottom"/>
            <w:tcBorders>
              <w:bottom w:val="single" w:sz="8" w:color="CCEEFF"/>
            </w:tcBorders>
            <w:gridSpan w:val="3"/>
            <w:shd w:val="clear" w:color="auto" w:fill="CCEEFF"/>
          </w:tcPr>
          <w:p>
            <w:pPr>
              <w:jc w:val="center"/>
              <w:ind w:left="52"/>
              <w:spacing w:after="0"/>
              <w:rPr>
                <w:sz w:val="20"/>
                <w:szCs w:val="20"/>
                <w:color w:val="auto"/>
              </w:rPr>
            </w:pPr>
            <w:r>
              <w:rPr>
                <w:rFonts w:ascii="Arial" w:cs="Arial" w:eastAsia="Arial" w:hAnsi="Arial"/>
                <w:sz w:val="18"/>
                <w:szCs w:val="18"/>
                <w:color w:val="auto"/>
                <w:w w:val="94"/>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15,469</w:t>
            </w:r>
          </w:p>
        </w:tc>
        <w:tc>
          <w:tcPr>
            <w:tcW w:w="15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43"/>
        </w:trPr>
        <w:tc>
          <w:tcPr>
            <w:tcW w:w="442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(500)bps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(500)bps</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5,630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5,193</w:t>
            </w:r>
          </w:p>
        </w:tc>
        <w:tc>
          <w:tcPr>
            <w:tcW w:w="1340" w:type="dxa"/>
            <w:vAlign w:val="bottom"/>
            <w:gridSpan w:val="3"/>
          </w:tcPr>
          <w:p>
            <w:pPr>
              <w:jc w:val="center"/>
              <w:ind w:left="52"/>
              <w:spacing w:after="0"/>
              <w:rPr>
                <w:sz w:val="20"/>
                <w:szCs w:val="20"/>
                <w:color w:val="auto"/>
              </w:rPr>
            </w:pPr>
            <w:r>
              <w:rPr>
                <w:rFonts w:ascii="Arial" w:cs="Arial" w:eastAsia="Arial" w:hAnsi="Arial"/>
                <w:sz w:val="18"/>
                <w:szCs w:val="18"/>
                <w:color w:val="auto"/>
                <w:w w:val="92"/>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5,624</w:t>
            </w:r>
          </w:p>
        </w:tc>
        <w:tc>
          <w:tcPr>
            <w:tcW w:w="152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391</w:t>
            </w:r>
          </w:p>
        </w:tc>
        <w:tc>
          <w:tcPr>
            <w:tcW w:w="1340" w:type="dxa"/>
            <w:vAlign w:val="bottom"/>
            <w:tcBorders>
              <w:bottom w:val="single" w:sz="8" w:color="CCEEFF"/>
            </w:tcBorders>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91"/>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806</w:t>
            </w:r>
          </w:p>
        </w:tc>
        <w:tc>
          <w:tcPr>
            <w:tcW w:w="15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106%</w:t>
            </w:r>
          </w:p>
        </w:tc>
        <w:tc>
          <w:tcPr>
            <w:tcW w:w="0" w:type="dxa"/>
            <w:vAlign w:val="bottom"/>
          </w:tcPr>
          <w:p>
            <w:pPr>
              <w:spacing w:after="0"/>
              <w:rPr>
                <w:sz w:val="1"/>
                <w:szCs w:val="1"/>
                <w:color w:val="auto"/>
              </w:rPr>
            </w:pPr>
          </w:p>
        </w:tc>
      </w:tr>
      <w:tr>
        <w:trPr>
          <w:trHeight w:val="243"/>
        </w:trPr>
        <w:tc>
          <w:tcPr>
            <w:tcW w:w="442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600bps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600bps</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280"/>
              <w:spacing w:after="0"/>
              <w:rPr>
                <w:sz w:val="20"/>
                <w:szCs w:val="20"/>
                <w:color w:val="auto"/>
              </w:rPr>
            </w:pPr>
            <w:r>
              <w:rPr>
                <w:rFonts w:ascii="Arial" w:cs="Arial" w:eastAsia="Arial" w:hAnsi="Arial"/>
                <w:sz w:val="18"/>
                <w:szCs w:val="18"/>
                <w:color w:val="auto"/>
              </w:rPr>
              <w:t>Other revenues, net</w:t>
            </w:r>
          </w:p>
        </w:tc>
        <w:tc>
          <w:tcPr>
            <w:tcW w:w="16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67</w:t>
            </w:r>
          </w:p>
        </w:tc>
        <w:tc>
          <w:tcPr>
            <w:tcW w:w="1340" w:type="dxa"/>
            <w:vAlign w:val="bottom"/>
            <w:gridSpan w:val="3"/>
          </w:tcPr>
          <w:p>
            <w:pPr>
              <w:jc w:val="center"/>
              <w:ind w:left="52"/>
              <w:spacing w:after="0"/>
              <w:rPr>
                <w:sz w:val="20"/>
                <w:szCs w:val="20"/>
                <w:color w:val="auto"/>
              </w:rPr>
            </w:pPr>
            <w:r>
              <w:rPr>
                <w:rFonts w:ascii="Arial" w:cs="Arial" w:eastAsia="Arial" w:hAnsi="Arial"/>
                <w:sz w:val="18"/>
                <w:szCs w:val="18"/>
                <w:color w:val="auto"/>
                <w:w w:val="91"/>
              </w:rPr>
              <w:t>(81)%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14</w:t>
            </w:r>
          </w:p>
        </w:tc>
        <w:tc>
          <w:tcPr>
            <w:tcW w:w="15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(79)%</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55,539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55,466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55,352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97"/>
        </w:trPr>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38,452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36,419</w:t>
            </w:r>
          </w:p>
        </w:tc>
        <w:tc>
          <w:tcPr>
            <w:tcW w:w="1340" w:type="dxa"/>
            <w:vAlign w:val="bottom"/>
            <w:gridSpan w:val="3"/>
          </w:tcPr>
          <w:p>
            <w:pPr>
              <w:jc w:val="center"/>
              <w:ind w:left="52"/>
              <w:spacing w:after="0"/>
              <w:rPr>
                <w:sz w:val="20"/>
                <w:szCs w:val="20"/>
                <w:color w:val="auto"/>
              </w:rPr>
            </w:pPr>
            <w:r>
              <w:rPr>
                <w:rFonts w:ascii="Arial" w:cs="Arial" w:eastAsia="Arial" w:hAnsi="Arial"/>
                <w:sz w:val="18"/>
                <w:szCs w:val="18"/>
                <w:color w:val="auto"/>
                <w:w w:val="92"/>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39,115</w:t>
            </w:r>
          </w:p>
        </w:tc>
        <w:tc>
          <w:tcPr>
            <w:tcW w:w="152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goodwill and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35,936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3"/>
            <w:shd w:val="clear" w:color="auto" w:fill="CCEEFF"/>
          </w:tcPr>
          <w:p>
            <w:pPr>
              <w:jc w:val="center"/>
              <w:ind w:left="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36,556</w:t>
            </w:r>
          </w:p>
        </w:tc>
        <w:tc>
          <w:tcPr>
            <w:tcW w:w="15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3,829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2,917</w:t>
            </w:r>
          </w:p>
        </w:tc>
        <w:tc>
          <w:tcPr>
            <w:tcW w:w="1340" w:type="dxa"/>
            <w:vAlign w:val="bottom"/>
            <w:gridSpan w:val="3"/>
          </w:tcPr>
          <w:p>
            <w:pPr>
              <w:jc w:val="center"/>
              <w:ind w:left="52"/>
              <w:spacing w:after="0"/>
              <w:rPr>
                <w:sz w:val="20"/>
                <w:szCs w:val="20"/>
                <w:color w:val="auto"/>
              </w:rPr>
            </w:pPr>
            <w:r>
              <w:rPr>
                <w:rFonts w:ascii="Arial" w:cs="Arial" w:eastAsia="Arial" w:hAnsi="Arial"/>
                <w:sz w:val="18"/>
                <w:szCs w:val="18"/>
                <w:color w:val="auto"/>
                <w:w w:val="88"/>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3,823</w:t>
            </w:r>
          </w:p>
        </w:tc>
        <w:tc>
          <w:tcPr>
            <w:tcW w:w="15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31%</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operating (loss) contribution</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(22,678)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16,130</w:t>
            </w:r>
          </w:p>
        </w:tc>
        <w:tc>
          <w:tcPr>
            <w:tcW w:w="1340" w:type="dxa"/>
            <w:vAlign w:val="bottom"/>
            <w:tcBorders>
              <w:bottom w:val="single" w:sz="8" w:color="CCEEFF"/>
            </w:tcBorders>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92"/>
              </w:rPr>
              <w:t>(241)%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(24,142)</w:t>
            </w:r>
          </w:p>
        </w:tc>
        <w:tc>
          <w:tcPr>
            <w:tcW w:w="15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(250)%</w:t>
            </w:r>
          </w:p>
        </w:tc>
        <w:tc>
          <w:tcPr>
            <w:tcW w:w="0" w:type="dxa"/>
            <w:vAlign w:val="bottom"/>
          </w:tcPr>
          <w:p>
            <w:pPr>
              <w:spacing w:after="0"/>
              <w:rPr>
                <w:sz w:val="1"/>
                <w:szCs w:val="1"/>
                <w:color w:val="auto"/>
              </w:rPr>
            </w:pPr>
          </w:p>
        </w:tc>
      </w:tr>
      <w:tr>
        <w:trPr>
          <w:trHeight w:val="290"/>
        </w:trPr>
        <w:tc>
          <w:tcPr>
            <w:tcW w:w="44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segment income (a)</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1340" w:type="dxa"/>
            <w:vAlign w:val="bottom"/>
            <w:tcBorders>
              <w:bottom w:val="single" w:sz="8" w:color="CCEEFF"/>
            </w:tcBorders>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91"/>
              </w:rPr>
              <w:t>468%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w:t>
            </w:r>
          </w:p>
        </w:tc>
        <w:tc>
          <w:tcPr>
            <w:tcW w:w="15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6"/>
              </w:rPr>
              <w:t>117%</w:t>
            </w:r>
          </w:p>
        </w:tc>
        <w:tc>
          <w:tcPr>
            <w:tcW w:w="0" w:type="dxa"/>
            <w:vAlign w:val="bottom"/>
          </w:tcPr>
          <w:p>
            <w:pPr>
              <w:spacing w:after="0"/>
              <w:rPr>
                <w:sz w:val="1"/>
                <w:szCs w:val="1"/>
                <w:color w:val="auto"/>
              </w:rPr>
            </w:pPr>
          </w:p>
        </w:tc>
      </w:tr>
      <w:tr>
        <w:trPr>
          <w:trHeight w:val="297"/>
        </w:trPr>
        <w:tc>
          <w:tcPr>
            <w:tcW w:w="44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Segment (loss) contribution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(22,014)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16,247</w:t>
            </w:r>
          </w:p>
        </w:tc>
        <w:tc>
          <w:tcPr>
            <w:tcW w:w="20" w:type="dxa"/>
            <w:vAlign w:val="bottom"/>
            <w:tcBorders>
              <w:top w:val="single" w:sz="8" w:color="auto"/>
              <w:bottom w:val="single" w:sz="8" w:color="auto"/>
            </w:tcBorders>
          </w:tcPr>
          <w:p>
            <w:pPr>
              <w:spacing w:after="0"/>
              <w:rPr>
                <w:sz w:val="24"/>
                <w:szCs w:val="24"/>
                <w:color w:val="auto"/>
              </w:rPr>
            </w:pPr>
          </w:p>
        </w:tc>
        <w:tc>
          <w:tcPr>
            <w:tcW w:w="132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2"/>
              </w:rPr>
              <w:t>(235)%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(23,888)</w:t>
            </w:r>
          </w:p>
        </w:tc>
        <w:tc>
          <w:tcPr>
            <w:tcW w:w="152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2"/>
              </w:rPr>
              <w:t>(247)%</w:t>
            </w:r>
          </w:p>
        </w:tc>
        <w:tc>
          <w:tcPr>
            <w:tcW w:w="0" w:type="dxa"/>
            <w:vAlign w:val="bottom"/>
          </w:tcPr>
          <w:p>
            <w:pPr>
              <w:spacing w:after="0"/>
              <w:rPr>
                <w:sz w:val="1"/>
                <w:szCs w:val="1"/>
                <w:color w:val="auto"/>
              </w:rPr>
            </w:pPr>
          </w:p>
        </w:tc>
      </w:tr>
      <w:tr>
        <w:trPr>
          <w:trHeight w:val="284"/>
        </w:trPr>
        <w:tc>
          <w:tcPr>
            <w:tcW w:w="4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Other data:</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1"/>
              </w:rPr>
              <w:t>Average monthly ending pawn loan balance per store (b) $</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w:t>
            </w:r>
          </w:p>
        </w:tc>
        <w:tc>
          <w:tcPr>
            <w:tcW w:w="1340" w:type="dxa"/>
            <w:vAlign w:val="bottom"/>
            <w:tcBorders>
              <w:bottom w:val="single" w:sz="8" w:color="CCEEFF"/>
            </w:tcBorders>
            <w:gridSpan w:val="3"/>
            <w:shd w:val="clear" w:color="auto" w:fill="CCEEFF"/>
          </w:tcPr>
          <w:p>
            <w:pPr>
              <w:jc w:val="center"/>
              <w:ind w:left="52"/>
              <w:spacing w:after="0"/>
              <w:rPr>
                <w:sz w:val="20"/>
                <w:szCs w:val="20"/>
                <w:color w:val="auto"/>
              </w:rPr>
            </w:pPr>
            <w:r>
              <w:rPr>
                <w:rFonts w:ascii="Arial" w:cs="Arial" w:eastAsia="Arial" w:hAnsi="Arial"/>
                <w:sz w:val="18"/>
                <w:szCs w:val="18"/>
                <w:color w:val="auto"/>
                <w:w w:val="94"/>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86</w:t>
            </w:r>
          </w:p>
        </w:tc>
        <w:tc>
          <w:tcPr>
            <w:tcW w:w="15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43"/>
        </w:trPr>
        <w:tc>
          <w:tcPr>
            <w:tcW w:w="4420" w:type="dxa"/>
            <w:vAlign w:val="bottom"/>
          </w:tcPr>
          <w:p>
            <w:pPr>
              <w:ind w:left="280"/>
              <w:spacing w:after="0"/>
              <w:rPr>
                <w:sz w:val="20"/>
                <w:szCs w:val="20"/>
                <w:color w:val="auto"/>
              </w:rPr>
            </w:pPr>
            <w:r>
              <w:rPr>
                <w:rFonts w:ascii="Arial" w:cs="Arial" w:eastAsia="Arial" w:hAnsi="Arial"/>
                <w:sz w:val="18"/>
                <w:szCs w:val="18"/>
                <w:color w:val="auto"/>
              </w:rPr>
              <w:t>Monthly average yield on pawn loans outstanding</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Pawn loan redemption rate</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(100)bps</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(100)bps</w:t>
            </w:r>
          </w:p>
        </w:tc>
        <w:tc>
          <w:tcPr>
            <w:tcW w:w="0" w:type="dxa"/>
            <w:vAlign w:val="bottom"/>
          </w:tcPr>
          <w:p>
            <w:pPr>
              <w:spacing w:after="0"/>
              <w:rPr>
                <w:sz w:val="1"/>
                <w:szCs w:val="1"/>
                <w:color w:val="auto"/>
              </w:rPr>
            </w:pPr>
          </w:p>
        </w:tc>
      </w:tr>
      <w:tr>
        <w:trPr>
          <w:trHeight w:val="27"/>
        </w:trPr>
        <w:tc>
          <w:tcPr>
            <w:tcW w:w="44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80" w:right="360" w:hanging="345"/>
        <w:spacing w:after="0" w:line="253" w:lineRule="auto"/>
        <w:tabs>
          <w:tab w:leader="none" w:pos="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Fiscal 2020 constant currency amount excludes net GAAP basis foreign currency transaction gains of $0.4 million gains resulting from movement in exchange rates. The net foreign currency transaction gains for fiscal 2019 were nominal and are included in the above results.</w:t>
      </w:r>
    </w:p>
    <w:p>
      <w:pPr>
        <w:spacing w:after="0" w:line="11" w:lineRule="exact"/>
        <w:rPr>
          <w:rFonts w:ascii="Arial" w:cs="Arial" w:eastAsia="Arial" w:hAnsi="Arial"/>
          <w:sz w:val="14"/>
          <w:szCs w:val="14"/>
          <w:color w:val="auto"/>
        </w:rPr>
      </w:pPr>
    </w:p>
    <w:p>
      <w:pPr>
        <w:ind w:left="380" w:hanging="345"/>
        <w:spacing w:after="0"/>
        <w:tabs>
          <w:tab w:leader="none" w:pos="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the current-year six-months, our Latin America pawn segment opened 13 de novo stores.</w:t>
      </w:r>
    </w:p>
    <w:p>
      <w:pPr>
        <w:spacing w:after="0" w:line="171"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Segment contribution decreased $38.3 million, or 235%, to $22.0 million (247% on a constant currency basis) primarily due to the goodwill impairment charges recorded during the quarter. Excluding those charges, segment contribution decreased $2.3 million, or 14%, to $13.9 million (22% on a constant currency basis) with flat net revenue. Operations expense were tightly managed and increased $2.0 million, or 6% (7% on a constant currency basis), to $38.5 million due primarily to new store openings, along with relocations and expansions of existing stores.</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121" w:right="4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The change in net revenue attributable to same stores and new stores added since the prior-year is summarized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Change in Net Revenue</w:t>
            </w: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300" w:type="dxa"/>
            <w:vAlign w:val="bottom"/>
          </w:tcPr>
          <w:p>
            <w:pPr>
              <w:spacing w:after="0"/>
              <w:rPr>
                <w:sz w:val="13"/>
                <w:szCs w:val="13"/>
                <w:color w:val="auto"/>
              </w:rPr>
            </w:pPr>
          </w:p>
        </w:tc>
        <w:tc>
          <w:tcPr>
            <w:tcW w:w="1600" w:type="dxa"/>
            <w:vAlign w:val="bottom"/>
            <w:gridSpan w:val="2"/>
            <w:vMerge w:val="restart"/>
          </w:tcPr>
          <w:p>
            <w:pPr>
              <w:jc w:val="right"/>
              <w:ind w:right="33"/>
              <w:spacing w:after="0"/>
              <w:rPr>
                <w:sz w:val="20"/>
                <w:szCs w:val="20"/>
                <w:color w:val="auto"/>
              </w:rPr>
            </w:pPr>
            <w:r>
              <w:rPr>
                <w:rFonts w:ascii="Arial" w:cs="Arial" w:eastAsia="Arial" w:hAnsi="Arial"/>
                <w:sz w:val="14"/>
                <w:szCs w:val="14"/>
                <w:b w:val="1"/>
                <w:bCs w:val="1"/>
                <w:color w:val="auto"/>
                <w:w w:val="97"/>
              </w:rPr>
              <w:t>Pawn Service Charges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Merchandise Sales</w:t>
            </w:r>
          </w:p>
        </w:tc>
        <w:tc>
          <w:tcPr>
            <w:tcW w:w="560" w:type="dxa"/>
            <w:vAlign w:val="bottom"/>
          </w:tcPr>
          <w:p>
            <w:pPr>
              <w:spacing w:after="0"/>
              <w:rPr>
                <w:sz w:val="13"/>
                <w:szCs w:val="13"/>
                <w:color w:val="auto"/>
              </w:rPr>
            </w:pPr>
          </w:p>
        </w:tc>
        <w:tc>
          <w:tcPr>
            <w:tcW w:w="10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Gross Profit</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rPr>
              <w:t>(in millions)</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60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3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6"/>
          </w:tcPr>
          <w:p>
            <w:pPr>
              <w:jc w:val="center"/>
              <w:ind w:left="333"/>
              <w:spacing w:after="0"/>
              <w:rPr>
                <w:sz w:val="20"/>
                <w:szCs w:val="20"/>
                <w:color w:val="auto"/>
              </w:rPr>
            </w:pPr>
            <w:r>
              <w:rPr>
                <w:rFonts w:ascii="Arial" w:cs="Arial" w:eastAsia="Arial" w:hAnsi="Arial"/>
                <w:sz w:val="14"/>
                <w:szCs w:val="14"/>
                <w:b w:val="1"/>
                <w:bCs w:val="1"/>
                <w:color w:val="auto"/>
                <w:w w:val="93"/>
              </w:rPr>
              <w:t>Change in Net Revenue (Constant Currency)</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300" w:type="dxa"/>
            <w:vAlign w:val="bottom"/>
          </w:tcPr>
          <w:p>
            <w:pPr>
              <w:spacing w:after="0"/>
              <w:rPr>
                <w:sz w:val="13"/>
                <w:szCs w:val="13"/>
                <w:color w:val="auto"/>
              </w:rPr>
            </w:pPr>
          </w:p>
        </w:tc>
        <w:tc>
          <w:tcPr>
            <w:tcW w:w="1600" w:type="dxa"/>
            <w:vAlign w:val="bottom"/>
            <w:gridSpan w:val="2"/>
            <w:vMerge w:val="restart"/>
          </w:tcPr>
          <w:p>
            <w:pPr>
              <w:jc w:val="right"/>
              <w:ind w:right="33"/>
              <w:spacing w:after="0"/>
              <w:rPr>
                <w:sz w:val="20"/>
                <w:szCs w:val="20"/>
                <w:color w:val="auto"/>
              </w:rPr>
            </w:pPr>
            <w:r>
              <w:rPr>
                <w:rFonts w:ascii="Arial" w:cs="Arial" w:eastAsia="Arial" w:hAnsi="Arial"/>
                <w:sz w:val="14"/>
                <w:szCs w:val="14"/>
                <w:b w:val="1"/>
                <w:bCs w:val="1"/>
                <w:color w:val="auto"/>
                <w:w w:val="97"/>
              </w:rPr>
              <w:t>Pawn Service Charges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Merchandise Sales</w:t>
            </w:r>
          </w:p>
        </w:tc>
        <w:tc>
          <w:tcPr>
            <w:tcW w:w="560" w:type="dxa"/>
            <w:vAlign w:val="bottom"/>
          </w:tcPr>
          <w:p>
            <w:pPr>
              <w:spacing w:after="0"/>
              <w:rPr>
                <w:sz w:val="13"/>
                <w:szCs w:val="13"/>
                <w:color w:val="auto"/>
              </w:rPr>
            </w:pPr>
          </w:p>
        </w:tc>
        <w:tc>
          <w:tcPr>
            <w:tcW w:w="10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Gross Profit</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rPr>
              <w:t>(in millions)</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60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Pawn service charges were flat (down 1% on a constant currency basis). The average ending monthly pawn loan balance outstanding during the current-year six-months was down 4% on a GAAP and constant currency basis, offset by the addition of new stores since the prior-year. We have experienced a substantial decline in new loans activity and associated loan balances since mid-March 2020 and continuing as a result of a change in customer borrowing behaviors due to COVID-19.</w:t>
      </w:r>
    </w:p>
    <w:p>
      <w:pPr>
        <w:spacing w:after="0" w:line="13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Merchandise sales increased 16% on a GAAP and constant currency basis as we continue with efforts to reduce aged general merchandise at a higher cost basis, with an offsetting 500 basis point decline in margins. As a result of these factors and foreign currency impacts, merchandise sales gross profit was down 1% to $15.6 million (2% to $15.5 million on a constant currency basis).</w:t>
      </w:r>
    </w:p>
    <w:p>
      <w:pPr>
        <w:spacing w:after="0" w:line="1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Jewelry scrapping sales increased 8% on a GAAP and constant currency basis, with a 600 basis point increase in margin to 14% as we benefited from an overall increase in gold market prices.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data for the Lana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Six Months Ended March 31,</w:t>
            </w:r>
          </w:p>
        </w:tc>
        <w:tc>
          <w:tcPr>
            <w:tcW w:w="100" w:type="dxa"/>
            <w:vAlign w:val="bottom"/>
          </w:tcPr>
          <w:p>
            <w:pPr>
              <w:spacing w:after="0"/>
              <w:rPr>
                <w:sz w:val="16"/>
                <w:szCs w:val="16"/>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68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vMerge w:val="restart"/>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385"/>
        </w:trPr>
        <w:tc>
          <w:tcPr>
            <w:tcW w:w="6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6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 expense and other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2,423</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3,613</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(33)%</w:t>
            </w:r>
          </w:p>
        </w:tc>
        <w:tc>
          <w:tcPr>
            <w:tcW w:w="0" w:type="dxa"/>
            <w:vAlign w:val="bottom"/>
          </w:tcPr>
          <w:p>
            <w:pPr>
              <w:spacing w:after="0"/>
              <w:rPr>
                <w:sz w:val="1"/>
                <w:szCs w:val="1"/>
                <w:color w:val="auto"/>
              </w:rPr>
            </w:pPr>
          </w:p>
        </w:tc>
      </w:tr>
      <w:tr>
        <w:trPr>
          <w:trHeight w:val="257"/>
        </w:trPr>
        <w:tc>
          <w:tcPr>
            <w:tcW w:w="6860" w:type="dxa"/>
            <w:vAlign w:val="bottom"/>
          </w:tcPr>
          <w:p>
            <w:pPr>
              <w:ind w:left="280"/>
              <w:spacing w:after="0"/>
              <w:rPr>
                <w:sz w:val="20"/>
                <w:szCs w:val="20"/>
                <w:color w:val="auto"/>
              </w:rPr>
            </w:pPr>
            <w:r>
              <w:rPr>
                <w:rFonts w:ascii="Arial" w:cs="Arial" w:eastAsia="Arial" w:hAnsi="Arial"/>
                <w:sz w:val="18"/>
                <w:szCs w:val="18"/>
                <w:color w:val="auto"/>
              </w:rPr>
              <w:t>Segment loss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(2,423)</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(3,613)</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(33)%</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Discrete revenues to date are minimal as the product offering launched late in the first quarter of fiscal 2020, and all fees from pawn loan extensions, including those made through the Lana platform, are reported in the pawn segments.</w:t>
      </w:r>
    </w:p>
    <w:p>
      <w:pPr>
        <w:spacing w:after="0" w:line="1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Operations expense decreased $1.2 million from the prior-year six-months primarily as a result of the capitalization of costs related to the Lana platform during and subsequent to the development stage.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International</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presents selected financial data from continuing operations for the Other International segment after translation to U.S. dollars from its functional currency of primarily Australian and Canadian dollars: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3140" w:type="dxa"/>
            <w:vAlign w:val="bottom"/>
            <w:tcBorders>
              <w:bottom w:val="single" w:sz="8" w:color="auto"/>
            </w:tcBorders>
            <w:gridSpan w:val="5"/>
          </w:tcPr>
          <w:p>
            <w:pPr>
              <w:jc w:val="right"/>
              <w:ind w:right="572"/>
              <w:spacing w:after="0"/>
              <w:rPr>
                <w:sz w:val="20"/>
                <w:szCs w:val="20"/>
                <w:color w:val="auto"/>
              </w:rPr>
            </w:pPr>
            <w:r>
              <w:rPr>
                <w:rFonts w:ascii="Arial" w:cs="Arial" w:eastAsia="Arial" w:hAnsi="Arial"/>
                <w:sz w:val="14"/>
                <w:szCs w:val="14"/>
                <w:b w:val="1"/>
                <w:bCs w:val="1"/>
                <w:color w:val="auto"/>
              </w:rPr>
              <w:t>Six Months Ended March 31,</w:t>
            </w:r>
          </w:p>
        </w:tc>
        <w:tc>
          <w:tcPr>
            <w:tcW w:w="100" w:type="dxa"/>
            <w:vAlign w:val="bottom"/>
          </w:tcPr>
          <w:p>
            <w:pPr>
              <w:spacing w:after="0"/>
              <w:rPr>
                <w:sz w:val="16"/>
                <w:szCs w:val="16"/>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6820" w:type="dxa"/>
            <w:vAlign w:val="bottom"/>
          </w:tcPr>
          <w:p>
            <w:pPr>
              <w:spacing w:after="0"/>
              <w:rPr>
                <w:sz w:val="6"/>
                <w:szCs w:val="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82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385"/>
        </w:trPr>
        <w:tc>
          <w:tcPr>
            <w:tcW w:w="6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260"/>
              <w:spacing w:after="0"/>
              <w:rPr>
                <w:sz w:val="20"/>
                <w:szCs w:val="20"/>
                <w:color w:val="auto"/>
              </w:rPr>
            </w:pPr>
            <w:r>
              <w:rPr>
                <w:rFonts w:ascii="Arial" w:cs="Arial" w:eastAsia="Arial" w:hAnsi="Arial"/>
                <w:sz w:val="18"/>
                <w:szCs w:val="18"/>
                <w:color w:val="auto"/>
              </w:rPr>
              <w:t>Consumer loan fees, interest and other</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2,686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3,004</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(11)%</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Consumer loan bad debt</w:t>
            </w:r>
          </w:p>
        </w:tc>
        <w:tc>
          <w:tcPr>
            <w:tcW w:w="9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(1,024)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237"/>
        </w:trPr>
        <w:tc>
          <w:tcPr>
            <w:tcW w:w="6820" w:type="dxa"/>
            <w:vAlign w:val="bottom"/>
          </w:tcPr>
          <w:p>
            <w:pPr>
              <w:ind w:left="480"/>
              <w:spacing w:after="0"/>
              <w:rPr>
                <w:sz w:val="20"/>
                <w:szCs w:val="20"/>
                <w:color w:val="auto"/>
              </w:rPr>
            </w:pPr>
            <w:r>
              <w:rPr>
                <w:rFonts w:ascii="Arial" w:cs="Arial" w:eastAsia="Arial" w:hAnsi="Arial"/>
                <w:sz w:val="18"/>
                <w:szCs w:val="18"/>
                <w:color w:val="auto"/>
              </w:rPr>
              <w:t>Net revenues</w:t>
            </w:r>
          </w:p>
        </w:tc>
        <w:tc>
          <w:tcPr>
            <w:tcW w:w="9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2,113</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(21)%</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8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Segment operating expenses:</w:t>
            </w: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expenses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5,293</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(46)%</w:t>
            </w:r>
          </w:p>
        </w:tc>
        <w:tc>
          <w:tcPr>
            <w:tcW w:w="0" w:type="dxa"/>
            <w:vAlign w:val="bottom"/>
          </w:tcPr>
          <w:p>
            <w:pPr>
              <w:spacing w:after="0"/>
              <w:rPr>
                <w:sz w:val="1"/>
                <w:szCs w:val="1"/>
                <w:color w:val="auto"/>
              </w:rPr>
            </w:pPr>
          </w:p>
        </w:tc>
      </w:tr>
      <w:tr>
        <w:trPr>
          <w:trHeight w:val="243"/>
        </w:trPr>
        <w:tc>
          <w:tcPr>
            <w:tcW w:w="6820" w:type="dxa"/>
            <w:vAlign w:val="bottom"/>
          </w:tcPr>
          <w:p>
            <w:pPr>
              <w:ind w:left="260"/>
              <w:spacing w:after="0"/>
              <w:rPr>
                <w:sz w:val="20"/>
                <w:szCs w:val="20"/>
                <w:color w:val="auto"/>
              </w:rPr>
            </w:pPr>
            <w:r>
              <w:rPr>
                <w:rFonts w:ascii="Arial" w:cs="Arial" w:eastAsia="Arial" w:hAnsi="Arial"/>
                <w:sz w:val="18"/>
                <w:szCs w:val="18"/>
                <w:color w:val="auto"/>
              </w:rPr>
              <w:t>Impairment of goodwill and intangible assets</w:t>
            </w:r>
          </w:p>
        </w:tc>
        <w:tc>
          <w:tcPr>
            <w:tcW w:w="96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Equity in net loss of unconsolidated affiliates</w:t>
            </w:r>
          </w:p>
        </w:tc>
        <w:tc>
          <w:tcPr>
            <w:tcW w:w="9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4,713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688</w:t>
            </w:r>
          </w:p>
        </w:tc>
        <w:tc>
          <w:tcPr>
            <w:tcW w:w="12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585%</w:t>
            </w:r>
          </w:p>
        </w:tc>
        <w:tc>
          <w:tcPr>
            <w:tcW w:w="0" w:type="dxa"/>
            <w:vAlign w:val="bottom"/>
          </w:tcPr>
          <w:p>
            <w:pPr>
              <w:spacing w:after="0"/>
              <w:rPr>
                <w:sz w:val="1"/>
                <w:szCs w:val="1"/>
                <w:color w:val="auto"/>
              </w:rPr>
            </w:pPr>
          </w:p>
        </w:tc>
      </w:tr>
      <w:tr>
        <w:trPr>
          <w:trHeight w:val="237"/>
        </w:trPr>
        <w:tc>
          <w:tcPr>
            <w:tcW w:w="6820" w:type="dxa"/>
            <w:vAlign w:val="bottom"/>
          </w:tcPr>
          <w:p>
            <w:pPr>
              <w:ind w:left="480"/>
              <w:spacing w:after="0"/>
              <w:rPr>
                <w:sz w:val="20"/>
                <w:szCs w:val="20"/>
                <w:color w:val="auto"/>
              </w:rPr>
            </w:pPr>
            <w:r>
              <w:rPr>
                <w:rFonts w:ascii="Arial" w:cs="Arial" w:eastAsia="Arial" w:hAnsi="Arial"/>
                <w:sz w:val="18"/>
                <w:szCs w:val="18"/>
                <w:color w:val="auto"/>
              </w:rPr>
              <w:t>Segment operating loss</w:t>
            </w:r>
          </w:p>
        </w:tc>
        <w:tc>
          <w:tcPr>
            <w:tcW w:w="9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(7,025)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(3,868)</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82%</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8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Other segment expense</w:t>
            </w:r>
          </w:p>
        </w:tc>
        <w:tc>
          <w:tcPr>
            <w:tcW w:w="96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20,229</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(98)%</w:t>
            </w:r>
          </w:p>
        </w:tc>
        <w:tc>
          <w:tcPr>
            <w:tcW w:w="0" w:type="dxa"/>
            <w:vAlign w:val="bottom"/>
          </w:tcPr>
          <w:p>
            <w:pPr>
              <w:spacing w:after="0"/>
              <w:rPr>
                <w:sz w:val="1"/>
                <w:szCs w:val="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Segment loss</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(7,368)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(24,097)</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(69)%</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300" w:hanging="238"/>
        <w:spacing w:after="0"/>
        <w:tabs>
          <w:tab w:leader="none" w:pos="3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Segment loss was $7.4 million, an improvement of $16.7 million from the prior-year primarily due to:</w:t>
      </w:r>
    </w:p>
    <w:p>
      <w:pPr>
        <w:spacing w:after="0" w:line="17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$19.7 million impairment of Cash Converters International in the prior-year with no impairment in the current-year six-months; and</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 in operating expenses of $2.5 million related to the deconsolidation of a previously consolidated variable interest entity ("RDC") in mid-fiscal 2019;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impairment of $1.1 million of certain long-lived assets in the current quarter; and</w:t>
      </w:r>
    </w:p>
    <w:p>
      <w:pPr>
        <w:spacing w:after="0" w:line="171"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$7.1 million charge, ($10.1 million, net of a $3.0 million tax benefit) in the first quarter of fiscal 2020 for our share of the Cash Converters International settlement of a class action lawsuit.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122" w:right="35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 including items that affect our consolidated financial results but are not allocated among segments: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Six Months Ended March 31,</w:t>
            </w:r>
          </w:p>
        </w:tc>
        <w:tc>
          <w:tcPr>
            <w:tcW w:w="100" w:type="dxa"/>
            <w:vAlign w:val="bottom"/>
          </w:tcPr>
          <w:p>
            <w:pPr>
              <w:spacing w:after="0"/>
              <w:rPr>
                <w:sz w:val="16"/>
                <w:szCs w:val="16"/>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7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385"/>
        </w:trPr>
        <w:tc>
          <w:tcPr>
            <w:tcW w:w="7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17,170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44,393</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(61)%</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Corporate expenses (income):</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32,109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28,129</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14%</w:t>
            </w:r>
          </w:p>
        </w:tc>
        <w:tc>
          <w:tcPr>
            <w:tcW w:w="0" w:type="dxa"/>
            <w:vAlign w:val="bottom"/>
          </w:tcPr>
          <w:p>
            <w:pPr>
              <w:spacing w:after="0"/>
              <w:rPr>
                <w:sz w:val="1"/>
                <w:szCs w:val="1"/>
                <w:color w:val="auto"/>
              </w:rPr>
            </w:pP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5,644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4,808</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Loss on sale or disposal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10,492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17,097</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(39)%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(5,615)</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(82)%</w:t>
            </w:r>
          </w:p>
        </w:tc>
        <w:tc>
          <w:tcPr>
            <w:tcW w:w="0" w:type="dxa"/>
            <w:vAlign w:val="bottom"/>
          </w:tcPr>
          <w:p>
            <w:pPr>
              <w:spacing w:after="0"/>
              <w:rPr>
                <w:sz w:val="1"/>
                <w:szCs w:val="1"/>
                <w:color w:val="auto"/>
              </w:rPr>
            </w:pP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(304)</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(78)%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Income from continuing operations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(11,280)%</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8,508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1,279</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1"/>
              </w:rPr>
              <w:t>565%</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(39,589)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(77)%</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(1,230)</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(100)%</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EZCORP,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(141,657)%</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60" w:hanging="225"/>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18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Segment contribution decreased 61% over the prior-year, primarily related to the goodwill and intangible asset impairment of $47.1 million recorded in the second quarter, mixed results in our US Pawn and Latin America Pawn segments partially as a result of the COVID-19 pandemic, partially offset by a $19.7 million prior-year quarter impairment related to our investment in Cash Converters International.</w:t>
      </w:r>
    </w:p>
    <w:p>
      <w:pPr>
        <w:spacing w:after="0" w:line="13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Administrative expenses increased $4.1 million primarily as a result of higher labor, including severance costs, cloud computing costs and professional fees. Professional fees include costs related to the remediation of the material weakness in our information technology general controls, fees related to the current quarter adoption of a new lease accounting standard, and other smaller items.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Loss on sale or disposal of assets and other includes $1.1 million due to the termination of non-core software projects.</w:t>
      </w:r>
    </w:p>
    <w:p>
      <w:pPr>
        <w:spacing w:after="0" w:line="17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Interest expense decreased $6.6 million, or 39%, primarily due to the reduction of interest expense on our </w:t>
      </w:r>
      <w:r>
        <w:rPr>
          <w:rFonts w:ascii="Arial" w:cs="Arial" w:eastAsia="Arial" w:hAnsi="Arial"/>
          <w:sz w:val="17"/>
          <w:szCs w:val="17"/>
          <w:color w:val="252525"/>
        </w:rPr>
        <w:t>2.125% Cash Convertible Senior</w:t>
      </w:r>
      <w:r>
        <w:rPr>
          <w:rFonts w:ascii="Arial" w:cs="Arial" w:eastAsia="Arial" w:hAnsi="Arial"/>
          <w:sz w:val="17"/>
          <w:szCs w:val="17"/>
          <w:color w:val="auto"/>
        </w:rPr>
        <w:t xml:space="preserve"> Notes Due 2019 ("2019 Convertible Notes") which were repaid June 17, 2019. Prior to repayment, the principal amount of these notes was $195.0 million.</w:t>
      </w:r>
    </w:p>
    <w:p>
      <w:pPr>
        <w:spacing w:after="0" w:line="92"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Interest income decreased $4.6 million, or 82%, primarily due to the declining principal balance on the Prestaciones Finmart, S.A.P.I. de C.V., SOFOM, E.N.R. ("Grupo Finmart") notes receivable, in addition to the reduction of interest earned on outstanding cash balances after our 2019 Convertible Notes were repaid in June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increased $7.2 million due primarily to:</w:t>
      </w:r>
    </w:p>
    <w:p>
      <w:pPr>
        <w:spacing w:after="0" w:line="171" w:lineRule="exact"/>
        <w:rPr>
          <w:sz w:val="20"/>
          <w:szCs w:val="20"/>
          <w:color w:val="auto"/>
        </w:rPr>
      </w:pPr>
    </w:p>
    <w:p>
      <w:pPr>
        <w:ind w:left="660" w:right="1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$31 million decrease in income from continuing operations before income taxes offset by a $20 million increase resulting from non-deductible goodwill impairments;</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$0.7 million reduction in tax benefit from the December 2019 vesting of restricted stock units compared to the prior estimates of the related tax benefit that was recorded over their 3-year vesting period;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$1.6 million to reverse the calculation of certain transaction tax liabilities in prior periods.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Income tax expense includes other items that do not necessarily correspond to pre-tax earnings and create volatility in our effective tax rate. These items include the net effect of state taxes, non-deductible items and changes in valuation allowances for certain foreign operations.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and discussion below present a summary of the selected sources and uses of our cash:</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Six Months Ended March 31,</w:t>
            </w:r>
          </w:p>
        </w:tc>
        <w:tc>
          <w:tcPr>
            <w:tcW w:w="100" w:type="dxa"/>
            <w:vAlign w:val="bottom"/>
          </w:tcPr>
          <w:p>
            <w:pPr>
              <w:spacing w:after="0"/>
              <w:rPr>
                <w:sz w:val="16"/>
                <w:szCs w:val="16"/>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6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385"/>
        </w:trPr>
        <w:tc>
          <w:tcPr>
            <w:tcW w:w="6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21,271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50,623</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58%</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28,636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14,915</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(92)%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(166)%</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(7,364)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(599)</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(1,129)%</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in cash, cash equivalents and restricted cash</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35,287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62,208</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43%</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100"/>
        <w:spacing w:after="0" w:line="396" w:lineRule="auto"/>
        <w:rPr>
          <w:sz w:val="20"/>
          <w:szCs w:val="20"/>
          <w:color w:val="auto"/>
        </w:rPr>
      </w:pPr>
      <w:r>
        <w:rPr>
          <w:rFonts w:ascii="Arial" w:cs="Arial" w:eastAsia="Arial" w:hAnsi="Arial"/>
          <w:sz w:val="16"/>
          <w:szCs w:val="16"/>
          <w:i w:val="1"/>
          <w:iCs w:val="1"/>
          <w:color w:val="auto"/>
        </w:rPr>
        <w:t xml:space="preserve">Change in Cash and Cash Equivalents and Restricted Cash for the Six Months Ended March 31, 2020 vs. Six Months Ended March 31, 2019 </w:t>
      </w:r>
      <w:r>
        <w:rPr>
          <w:rFonts w:ascii="Arial" w:cs="Arial" w:eastAsia="Arial" w:hAnsi="Arial"/>
          <w:sz w:val="16"/>
          <w:szCs w:val="16"/>
          <w:color w:val="auto"/>
        </w:rPr>
        <w:t>The decrease in cash flows from operating activities year-over-year was due to $34.7 million of changes in working capital, offset by a $5.4</w:t>
      </w:r>
    </w:p>
    <w:p>
      <w:pPr>
        <w:spacing w:after="0" w:line="1"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million increase in net income, exclusive of non-cash items. Changes in working capital included certain required prepayments and payments of accounts payable, including certain discrete items, accrued as of September 30, 2019.</w:t>
      </w:r>
    </w:p>
    <w:p>
      <w:pPr>
        <w:spacing w:after="0" w:line="13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increase in cash flows from investing activities year-over-year was primarily due to a $22.0 million net decrease in investment in customer loan growth, partially offset by a $10.6 million net decrease in principal collections on notes receivable.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cash flows used in financing activities year-over-year was primarily due to $5.2 million in common stock repurchases.</w:t>
      </w:r>
    </w:p>
    <w:p>
      <w:pPr>
        <w:spacing w:after="0" w:line="17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net effect of these and other smaller items was a $35.3 million increase in cash on hand during the current year-to-date period, resulting in a $197.7 million ending cash and restricted cash balance. Of the ending cash balance at March 31, 2020, $34.9 million was unavailable to fund domestic operations as we intend to permanently reinvest those funds in our foreign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December 2019, our Board of Directors authorized a stock repurchase program that will allow us to repurchase up to $60 million of our Class A Non-voting Common Stock over three years. On March 20, 2020, we suspended the repurchase of shares under the program in order to preserve current liquidity given the uncertainty of the impact of the COVID-19 pandemic to our operations. The resumption of our stock repurchase program and the amount and timing of purchases will be dependent on a variety of factors. These factors include the return to normal business conditions, stock price, trading volume, general market conditions, legal and regulatory requirements, the level of cash flows, and corporate considerations determined by management and the Board, such as liquidity and capital needs and the availability of attractive alternative investment opportunities. The Board of Directors has reserved the right to modify, suspend or terminate the program at any time. During the three and six months ended March 31, 2020, we repurchased and retired 800,740 and 943,149 shares of our Class A Common Stock for $4.2 million and $5.2 million, respectively.</w:t>
      </w:r>
    </w:p>
    <w:p>
      <w:pPr>
        <w:spacing w:after="0" w:line="12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We anticipate that cash flow from operations and cash on hand will be adequate to fund any future stock repurchases, our contractual obligations, planned de novo store growth, capital expenditures and working capital requirements through fiscal 2020. We continue to explore accretive acquisition opportunities, both large and small, and may choose to pursue additional debt, equity or equity-linked financings in the future should the need arise. </w:t>
      </w:r>
      <w:r>
        <w:rPr>
          <w:rFonts w:ascii="Arial" w:cs="Arial" w:eastAsia="Arial" w:hAnsi="Arial"/>
          <w:sz w:val="17"/>
          <w:szCs w:val="17"/>
          <w:color w:val="212529"/>
        </w:rPr>
        <w:t>Given</w:t>
      </w:r>
      <w:r>
        <w:rPr>
          <w:rFonts w:ascii="Arial" w:cs="Arial" w:eastAsia="Arial" w:hAnsi="Arial"/>
          <w:sz w:val="17"/>
          <w:szCs w:val="17"/>
          <w:color w:val="auto"/>
        </w:rPr>
        <w:t xml:space="preserve"> </w:t>
      </w:r>
      <w:r>
        <w:rPr>
          <w:rFonts w:ascii="Arial" w:cs="Arial" w:eastAsia="Arial" w:hAnsi="Arial"/>
          <w:sz w:val="17"/>
          <w:szCs w:val="17"/>
          <w:color w:val="212529"/>
        </w:rPr>
        <w:t>the current uncertainty related to the COVID-19 pandemic, we may adjust our capital or other expenditures.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right="260"/>
        <w:spacing w:after="0" w:line="277" w:lineRule="auto"/>
        <w:rPr>
          <w:rFonts w:ascii="Arial" w:cs="Arial" w:eastAsia="Arial" w:hAnsi="Arial"/>
          <w:sz w:val="18"/>
          <w:szCs w:val="18"/>
          <w:color w:val="0000EE"/>
        </w:rPr>
      </w:pPr>
      <w:hyperlink r:id="rId21">
        <w:r>
          <w:rPr>
            <w:rFonts w:ascii="Arial" w:cs="Arial" w:eastAsia="Arial" w:hAnsi="Arial"/>
            <w:sz w:val="18"/>
            <w:szCs w:val="18"/>
            <w:color w:val="auto"/>
          </w:rPr>
          <w:t xml:space="preserve">In </w:t>
        </w:r>
        <w:r>
          <w:rPr>
            <w:rFonts w:ascii="Arial" w:cs="Arial" w:eastAsia="Arial" w:hAnsi="Arial"/>
            <w:sz w:val="18"/>
            <w:szCs w:val="18"/>
            <w:u w:val="single" w:color="auto"/>
            <w:color w:val="0000EE"/>
          </w:rPr>
          <w:t>"Part II, Item 7 — Management's Discussion and Analysis of Financial Condition and Results of Operations" of our Annual Report on Form 10-K for</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EE"/>
          </w:rPr>
          <w:t>the year ended September 30, 2019</w:t>
        </w:r>
        <w:r>
          <w:rPr>
            <w:rFonts w:ascii="Arial" w:cs="Arial" w:eastAsia="Arial" w:hAnsi="Arial"/>
            <w:sz w:val="18"/>
            <w:szCs w:val="18"/>
            <w:color w:val="000000"/>
          </w:rPr>
          <w:t>, we reported that we had $631.7 million in total contractual</w:t>
        </w:r>
      </w:hyperlink>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obligations as of September 30, 2019 There have been no material changes to this total obligation since September 30, 2020, other than changes as the result of adoption of accounting standards as further discussed in Note 1 of Notes to Interim Condensed Consolidated Financial Statements included in "Part I, Item 1 — Financial Statements."</w:t>
      </w:r>
    </w:p>
    <w:p>
      <w:pPr>
        <w:spacing w:after="0" w:line="13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We are responsible for the maintenance, property taxes and insurance at most of our locations. In the fiscal year ended September 30, 2019, these collectively amounted to $22.5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Policies and Recently Issued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1 of Notes to Interim Condensed Consolidated Financial Statements included in "Part I, Item 1 —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Risks and Uncertainties that May Affect Future Results</w:t>
      </w:r>
    </w:p>
    <w:p>
      <w:pPr>
        <w:spacing w:after="0" w:line="175" w:lineRule="exact"/>
        <w:rPr>
          <w:sz w:val="20"/>
          <w:szCs w:val="20"/>
          <w:color w:val="auto"/>
        </w:rPr>
      </w:pPr>
    </w:p>
    <w:p>
      <w:pPr>
        <w:ind w:right="20"/>
        <w:spacing w:after="0" w:line="268" w:lineRule="auto"/>
        <w:rPr>
          <w:rFonts w:ascii="Arial" w:cs="Arial" w:eastAsia="Arial" w:hAnsi="Arial"/>
          <w:sz w:val="17"/>
          <w:szCs w:val="17"/>
          <w:color w:val="0000EE"/>
        </w:rPr>
      </w:pPr>
      <w:r>
        <w:rPr>
          <w:rFonts w:ascii="Arial" w:cs="Arial" w:eastAsia="Arial" w:hAnsi="Arial"/>
          <w:sz w:val="17"/>
          <w:szCs w:val="17"/>
          <w:color w:val="auto"/>
        </w:rPr>
        <w:t xml:space="preserve">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and described in </w:t>
      </w:r>
      <w:hyperlink r:id="rId17">
        <w:r>
          <w:rPr>
            <w:rFonts w:ascii="Arial" w:cs="Arial" w:eastAsia="Arial" w:hAnsi="Arial"/>
            <w:sz w:val="17"/>
            <w:szCs w:val="17"/>
            <w:u w:val="single" w:color="auto"/>
            <w:color w:val="0000EE"/>
          </w:rPr>
          <w:t>"Part I, Item 1A — Risk Factors" of our Annual Report on Form 10-K for the year ended September 30, 2019</w:t>
        </w:r>
        <w:r>
          <w:rPr>
            <w:rFonts w:ascii="Arial" w:cs="Arial" w:eastAsia="Arial" w:hAnsi="Arial"/>
            <w:sz w:val="17"/>
            <w:szCs w:val="17"/>
            <w:color w:val="0000EE"/>
          </w:rPr>
          <w:t xml:space="preserve"> </w:t>
        </w:r>
      </w:hyperlink>
      <w:r>
        <w:rPr>
          <w:rFonts w:ascii="Arial" w:cs="Arial" w:eastAsia="Arial" w:hAnsi="Arial"/>
          <w:sz w:val="17"/>
          <w:szCs w:val="17"/>
          <w:color w:val="000000"/>
        </w:rPr>
        <w:t>and</w:t>
      </w:r>
      <w:r>
        <w:rPr>
          <w:rFonts w:ascii="Arial" w:cs="Arial" w:eastAsia="Arial" w:hAnsi="Arial"/>
          <w:sz w:val="17"/>
          <w:szCs w:val="17"/>
          <w:color w:val="0000EE"/>
        </w:rPr>
        <w:t xml:space="preserve"> </w:t>
      </w:r>
      <w:r>
        <w:rPr>
          <w:rFonts w:ascii="Arial" w:cs="Arial" w:eastAsia="Arial" w:hAnsi="Arial"/>
          <w:sz w:val="17"/>
          <w:szCs w:val="17"/>
          <w:color w:val="000000"/>
        </w:rPr>
        <w:t>"Part II, Item 1A — Risk Factors" of this</w:t>
      </w:r>
      <w:r>
        <w:rPr>
          <w:rFonts w:ascii="Arial" w:cs="Arial" w:eastAsia="Arial" w:hAnsi="Arial"/>
          <w:sz w:val="17"/>
          <w:szCs w:val="17"/>
          <w:color w:val="0000EE"/>
        </w:rPr>
        <w:t xml:space="preserve"> </w:t>
      </w:r>
      <w:r>
        <w:rPr>
          <w:rFonts w:ascii="Arial" w:cs="Arial" w:eastAsia="Arial" w:hAnsi="Arial"/>
          <w:sz w:val="17"/>
          <w:szCs w:val="17"/>
          <w:color w:val="000000"/>
        </w:rPr>
        <w:t>Report.</w:t>
      </w:r>
    </w:p>
    <w:p>
      <w:pPr>
        <w:spacing w:after="0" w:line="13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0"/>
        <w:spacing w:after="0" w:line="301" w:lineRule="auto"/>
        <w:rPr>
          <w:rFonts w:ascii="Arial" w:cs="Arial" w:eastAsia="Arial" w:hAnsi="Arial"/>
          <w:sz w:val="16"/>
          <w:szCs w:val="16"/>
          <w:color w:val="0000EE"/>
        </w:rPr>
      </w:pPr>
      <w:r>
        <w:rPr>
          <w:rFonts w:ascii="Arial" w:cs="Arial" w:eastAsia="Arial" w:hAnsi="Arial"/>
          <w:sz w:val="16"/>
          <w:szCs w:val="16"/>
          <w:color w:val="auto"/>
        </w:rPr>
        <w:t xml:space="preserve">Market risks relating to our operations result primarily from changes in interest rates, gold values and foreign currency exchange rates, and are described in </w:t>
      </w:r>
      <w:hyperlink r:id="rId22">
        <w:r>
          <w:rPr>
            <w:rFonts w:ascii="Arial" w:cs="Arial" w:eastAsia="Arial" w:hAnsi="Arial"/>
            <w:sz w:val="16"/>
            <w:szCs w:val="16"/>
            <w:color w:val="auto"/>
          </w:rPr>
          <w:t xml:space="preserve">detail in </w:t>
        </w:r>
        <w:r>
          <w:rPr>
            <w:rFonts w:ascii="Arial" w:cs="Arial" w:eastAsia="Arial" w:hAnsi="Arial"/>
            <w:sz w:val="16"/>
            <w:szCs w:val="16"/>
            <w:u w:val="single" w:color="auto"/>
            <w:color w:val="0000EE"/>
          </w:rPr>
          <w:t>"Part II, Item 7A — Quantitative and Qualitative Disclosures about Market Risk" of our Annual Report on Form 10-K for the year ended</w:t>
        </w:r>
      </w:hyperlink>
      <w:r>
        <w:rPr>
          <w:rFonts w:ascii="Arial" w:cs="Arial" w:eastAsia="Arial" w:hAnsi="Arial"/>
          <w:sz w:val="16"/>
          <w:szCs w:val="16"/>
          <w:color w:val="auto"/>
        </w:rPr>
        <w:t xml:space="preserve"> </w:t>
      </w:r>
      <w:hyperlink r:id="rId22">
        <w:r>
          <w:rPr>
            <w:rFonts w:ascii="Arial" w:cs="Arial" w:eastAsia="Arial" w:hAnsi="Arial"/>
            <w:sz w:val="16"/>
            <w:szCs w:val="16"/>
            <w:u w:val="single" w:color="auto"/>
            <w:color w:val="0000EE"/>
          </w:rPr>
          <w:t>September 30, 2019</w:t>
        </w:r>
        <w:r>
          <w:rPr>
            <w:rFonts w:ascii="Arial" w:cs="Arial" w:eastAsia="Arial" w:hAnsi="Arial"/>
            <w:sz w:val="16"/>
            <w:szCs w:val="16"/>
            <w:color w:val="000000"/>
          </w:rPr>
          <w:t xml:space="preserve">. With the exception of the impacts of COVID-19, which are discussed elsewhere in this Report, there have been no material </w:t>
        </w:r>
      </w:hyperlink>
      <w:r>
        <w:rPr>
          <w:rFonts w:ascii="Arial" w:cs="Arial" w:eastAsia="Arial" w:hAnsi="Arial"/>
          <w:sz w:val="16"/>
          <w:szCs w:val="16"/>
          <w:color w:val="0000EE"/>
        </w:rPr>
        <w:t xml:space="preserve">changes </w:t>
      </w:r>
      <w:r>
        <w:rPr>
          <w:rFonts w:ascii="Arial" w:cs="Arial" w:eastAsia="Arial" w:hAnsi="Arial"/>
          <w:sz w:val="16"/>
          <w:szCs w:val="16"/>
          <w:color w:val="000000"/>
        </w:rPr>
        <w:t>in</w:t>
      </w:r>
      <w:r>
        <w:rPr>
          <w:rFonts w:ascii="Arial" w:cs="Arial" w:eastAsia="Arial" w:hAnsi="Arial"/>
          <w:sz w:val="16"/>
          <w:szCs w:val="16"/>
          <w:color w:val="0000EE"/>
        </w:rPr>
        <w:t xml:space="preserve"> </w:t>
      </w:r>
      <w:r>
        <w:rPr>
          <w:rFonts w:ascii="Arial" w:cs="Arial" w:eastAsia="Arial" w:hAnsi="Arial"/>
          <w:sz w:val="16"/>
          <w:szCs w:val="16"/>
          <w:color w:val="000000"/>
        </w:rPr>
        <w:t>our reported market risks or risk management policies since the filing of our Annual Report on Form 10-K for the year ended September 30,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jc w:val="both"/>
        <w:ind w:right="240"/>
        <w:spacing w:after="0" w:line="279" w:lineRule="auto"/>
        <w:rPr>
          <w:sz w:val="20"/>
          <w:szCs w:val="20"/>
          <w:color w:val="auto"/>
        </w:rPr>
      </w:pPr>
      <w:r>
        <w:rPr>
          <w:rFonts w:ascii="Arial" w:cs="Arial" w:eastAsia="Arial" w:hAnsi="Arial"/>
          <w:sz w:val="17"/>
          <w:szCs w:val="17"/>
          <w:color w:val="auto"/>
        </w:rPr>
        <w:t>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w:t>
      </w:r>
    </w:p>
    <w:p>
      <w:pPr>
        <w:spacing w:after="0" w:line="11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Under the supervision and with the participation of our Chief Executive Officer and Chief Financial Officer, our management evaluated the effectiveness of the design and operation of our disclosure controls and procedures as of March 31, 2020. Based on that evaluation, our Chief Executive Officer and Chief Financial Officer concluded that our disclosure controls and procedures were not effective as of March 31, 2020 due to the continuing existence of a material weakness in internal control over financial reporting described below (which we view as an integral part of our disclosure controls and procedures). Based on the performance of additional procedures designed to ensure the reliability of our financial reporting, we believe that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condensed consolidated financial statements included in this Quarterly Report on Form 10-Q fairly present, in all material respects, our financial position, results of operations and cash flows as of the dates, and for the periods, presented, in conformity with GAAP.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212529"/>
        </w:rPr>
        <w:t>We implemented internal controls to ensure we adequately evaluated our leases and properly assessed the impact of Topic 842 on our financial statements upon adoption on October 1, 2019. There were no significant changes to our internal control over financial reporting due to the adoption of the new standard.</w:t>
      </w:r>
    </w:p>
    <w:p>
      <w:pPr>
        <w:spacing w:after="0" w:line="13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the second quarter of fiscal 2019, we identified deficiencies in our information technology general controls (ITGCs) that are designed to prevent or detect unauthorized access or changes to certain information technology (IT) systems that support our financial reporting processes. Our related IT dependent manual and application controls that are impacted by the affected ITGCs were also deemed ineffective as they rely on reports generated by the IT systems subject to ITGCs, resulting in our inability to place reliance on internal controls over related financial statement accounts and assertions. At that time, we determined that the ITGC deficiencies represent a material weakness in our internal control over financial reporting and reported that material weakness in our Quarterly Report on Form 10-Q for the quarter ended March 31, 2019. Because we have not fully remediated that material weakness as of March 31, 2020, we have concluded that our internal control over financial reporting was not effective as of that date.</w:t>
      </w:r>
    </w:p>
    <w:p>
      <w:pPr>
        <w:spacing w:after="0" w:line="1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quarter ended March 31, 2020, we have continued to implement, manage and monitor a remediation plan focused on IT control enhancements across our logical access and change management processes, including the evaluation of automation tools, where applicable, and database monitoring activities. Management believes it is taking the appropriate steps to remediate the underlying ITGC deficiencies, including allowing the controls to operate for a time period to produce sufficient testing sample sizes.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Limitations on Internal Controls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p>
      <w:pPr>
        <w:spacing w:after="0" w:line="111" w:lineRule="exact"/>
        <w:rPr>
          <w:sz w:val="20"/>
          <w:szCs w:val="20"/>
          <w:color w:val="auto"/>
        </w:rPr>
      </w:pPr>
    </w:p>
    <w:p>
      <w:pPr>
        <w:ind w:left="360" w:hanging="325"/>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Judgments in decision-making can be faulty, and control and process breakdowns can occur because of simple errors or mistakes.</w:t>
      </w:r>
    </w:p>
    <w:p>
      <w:pPr>
        <w:spacing w:after="0" w:line="171" w:lineRule="exact"/>
        <w:rPr>
          <w:rFonts w:ascii="Arial" w:cs="Arial" w:eastAsia="Arial" w:hAnsi="Arial"/>
          <w:sz w:val="18"/>
          <w:szCs w:val="18"/>
          <w:color w:val="auto"/>
        </w:rPr>
      </w:pPr>
    </w:p>
    <w:p>
      <w:pPr>
        <w:ind w:left="360" w:hanging="325"/>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Controls can be circumvented by individuals, acting alone or in collusion with others, or by management override.</w:t>
      </w:r>
    </w:p>
    <w:p>
      <w:pPr>
        <w:spacing w:after="0" w:line="171" w:lineRule="exact"/>
        <w:rPr>
          <w:rFonts w:ascii="Arial" w:cs="Arial" w:eastAsia="Arial" w:hAnsi="Arial"/>
          <w:sz w:val="18"/>
          <w:szCs w:val="18"/>
          <w:color w:val="auto"/>
        </w:rPr>
      </w:pPr>
    </w:p>
    <w:p>
      <w:pPr>
        <w:ind w:left="360" w:right="180" w:hanging="325"/>
        <w:spacing w:after="0" w:line="277"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16" w:lineRule="exact"/>
        <w:rPr>
          <w:rFonts w:ascii="Arial" w:cs="Arial" w:eastAsia="Arial" w:hAnsi="Arial"/>
          <w:sz w:val="18"/>
          <w:szCs w:val="18"/>
          <w:color w:val="auto"/>
        </w:rPr>
      </w:pPr>
    </w:p>
    <w:p>
      <w:pPr>
        <w:ind w:left="360" w:right="120" w:hanging="325"/>
        <w:spacing w:after="0" w:line="277"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 time, controls may become inadequate because of changes in conditions or deterioration in the degree of compliance with associated policies or procedures.</w:t>
      </w:r>
    </w:p>
    <w:p>
      <w:pPr>
        <w:spacing w:after="0" w:line="116" w:lineRule="exact"/>
        <w:rPr>
          <w:rFonts w:ascii="Arial" w:cs="Arial" w:eastAsia="Arial" w:hAnsi="Arial"/>
          <w:sz w:val="18"/>
          <w:szCs w:val="18"/>
          <w:color w:val="auto"/>
        </w:rPr>
      </w:pPr>
    </w:p>
    <w:p>
      <w:pPr>
        <w:ind w:left="360" w:right="360" w:hanging="325"/>
        <w:spacing w:after="0" w:line="277"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 of a control system must reflect the fact that resources are constrained, and the benefits of controls must be considered relative to their costs.</w:t>
      </w:r>
    </w:p>
    <w:p>
      <w:pPr>
        <w:spacing w:after="0" w:line="1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Because of the inherent limitations in all control systems, no evaluation of controls can provide absolute assurance that all control issues and instances of fraud, if any, have been detected.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11 of Notes to Interim Condensed Consolidated Financial Statements included in "Part I, Item 1 —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122" w:right="35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8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Important risk factors that could affect our operations and financial performance, or that could cause results or events to differ from current expectations, are described in </w:t>
      </w:r>
      <w:hyperlink r:id="rId17">
        <w:r>
          <w:rPr>
            <w:rFonts w:ascii="Arial" w:cs="Arial" w:eastAsia="Arial" w:hAnsi="Arial"/>
            <w:sz w:val="18"/>
            <w:szCs w:val="18"/>
            <w:u w:val="single" w:color="auto"/>
            <w:color w:val="0000EE"/>
          </w:rPr>
          <w:t>"Part I, Item 1A — Risk Factors" of our Annual Report on Form 10-K for the year ended September 30, 2019</w:t>
        </w:r>
      </w:hyperlink>
      <w:r>
        <w:rPr>
          <w:rFonts w:ascii="Arial" w:cs="Arial" w:eastAsia="Arial" w:hAnsi="Arial"/>
          <w:sz w:val="18"/>
          <w:szCs w:val="18"/>
          <w:color w:val="auto"/>
        </w:rPr>
        <w:t>, as supplemented by the information set forth below.</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Public health issues, including the current COVID-19 pandemic, could adversely affect our financial condition, results of operations or liquidity.</w:t>
      </w:r>
    </w:p>
    <w:p>
      <w:pPr>
        <w:spacing w:after="0" w:line="1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business may be impacted by public health issues, including pandemics and the spread of contagious diseases. Such public health issues, and the government and consumer responses thereto, may (i) limit our ability to supply products and services to our customers as a result of store closures, reduced access to or foot traffic in our stores, or labor shortages, (ii) adversely affect the demand for our products and services or (iii) cause other unforeseen negative developments. Any of these factors may adversely affect our financial condition, results of operations or liquidity.</w:t>
      </w:r>
    </w:p>
    <w:p>
      <w:pPr>
        <w:spacing w:after="0" w:line="11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outbreak of COVID-19 has affected our operations beginning primarily in March 2020. Governmental fiscal stimulus response, stay-at-home orders and business restrictions, health agency guidance regarding social distancing and public perceptions of the risks associated with the COVID-19 pandemic have resulted in a reduction in the demand for pawn loans with a resulting significant decline in pawn loan balances. See “Part I, Item 2 — Management’s Discussion and Analysis of Results of Operations and Financial Condition - Impact of COVID-19.” The decline in pawn loan balances will negatively impact our financial performance for the remainder of fiscal 2020 and may impact our results of operations, financial condition and liquidity in future periods. The extent of the impact is dependent upon a number of factors, including the longevity and severity of the pandemic, the pace of business reopenings and rebound, the impact of government responses and the degree to which customer behaviors return to historical norms.</w:t>
      </w:r>
    </w:p>
    <w:p>
      <w:pPr>
        <w:spacing w:after="0" w:line="11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191C1F"/>
        </w:rPr>
        <w:t>Goodwill comprises a significant portion of our total assets. We assess goodwill for impairment at least annually, which could result in a material, non-cash write-down and could have a material adverse effect on our results of operations and financial condition.</w:t>
      </w:r>
    </w:p>
    <w:p>
      <w:pPr>
        <w:spacing w:after="0" w:line="9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191C1F"/>
        </w:rPr>
        <w:t xml:space="preserve">As discussed in Note 2 </w:t>
      </w:r>
      <w:r>
        <w:rPr>
          <w:rFonts w:ascii="Arial" w:cs="Arial" w:eastAsia="Arial" w:hAnsi="Arial"/>
          <w:sz w:val="17"/>
          <w:szCs w:val="17"/>
          <w:color w:val="000000"/>
        </w:rPr>
        <w:t>of Notes to Interim Condensed Consolidated Financial Statements included in "Part I, Item 1 — Financial Statements," during the</w:t>
      </w:r>
      <w:r>
        <w:rPr>
          <w:rFonts w:ascii="Arial" w:cs="Arial" w:eastAsia="Arial" w:hAnsi="Arial"/>
          <w:sz w:val="17"/>
          <w:szCs w:val="17"/>
          <w:color w:val="191C1F"/>
        </w:rPr>
        <w:t xml:space="preserve"> </w:t>
      </w:r>
      <w:r>
        <w:rPr>
          <w:rFonts w:ascii="Arial" w:cs="Arial" w:eastAsia="Arial" w:hAnsi="Arial"/>
          <w:sz w:val="17"/>
          <w:szCs w:val="17"/>
          <w:color w:val="000000"/>
        </w:rPr>
        <w:t>current quarter, we recorded significant impairment charges to goodwill, the fair value an acquired trade name and the carrying amount of certain long-lived asset groups. In light of these impairment charges, specific reference is made to the risk factor regarding goodwill and other intangible asset impairments on page 16 of our Annual Report on Form 10-K for the year ended September 30, 2019.</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320" w:top="122" w:right="37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table below provides certain information about our repurchase of shares of Class A Non-voting Common Stock during the quarter ended March 31, 2020. On March 20, 2020, we suspended the repurchase of shares in order to preserve current liquidity as a result of the uncertainties regarding the impact of the COVID-19 pandemic. All repurchases to date were made in open market transactions at prevailing market prices and were executed pursuant to a trading plan under Rule 10b5-1 under the Securities Exchange Act of 1934.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Total Price</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Total Number of Shares</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Maximum Approximate</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Paid for</w:t>
            </w:r>
          </w:p>
        </w:tc>
        <w:tc>
          <w:tcPr>
            <w:tcW w:w="120" w:type="dxa"/>
            <w:vAlign w:val="bottom"/>
          </w:tcPr>
          <w:p>
            <w:pPr>
              <w:spacing w:after="0"/>
              <w:rPr>
                <w:sz w:val="12"/>
                <w:szCs w:val="12"/>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Price</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14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20" w:type="dxa"/>
            <w:vAlign w:val="bottom"/>
          </w:tcPr>
          <w:p>
            <w:pPr>
              <w:spacing w:after="0"/>
              <w:rPr>
                <w:sz w:val="12"/>
                <w:szCs w:val="12"/>
                <w:color w:val="auto"/>
              </w:rPr>
            </w:pPr>
          </w:p>
        </w:tc>
        <w:tc>
          <w:tcPr>
            <w:tcW w:w="14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40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Shares Purchased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6"/>
              </w:rPr>
              <w:t>Purchased</w:t>
            </w:r>
          </w:p>
        </w:tc>
        <w:tc>
          <w:tcPr>
            <w:tcW w:w="120" w:type="dxa"/>
            <w:vAlign w:val="bottom"/>
          </w:tcPr>
          <w:p>
            <w:pPr>
              <w:spacing w:after="0"/>
              <w:rPr>
                <w:sz w:val="16"/>
                <w:szCs w:val="16"/>
                <w:color w:val="auto"/>
              </w:rPr>
            </w:pPr>
          </w:p>
        </w:tc>
        <w:tc>
          <w:tcPr>
            <w:tcW w:w="112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20" w:type="dxa"/>
            <w:vAlign w:val="bottom"/>
          </w:tcPr>
          <w:p>
            <w:pPr>
              <w:spacing w:after="0"/>
              <w:rPr>
                <w:sz w:val="16"/>
                <w:szCs w:val="16"/>
                <w:color w:val="auto"/>
              </w:rPr>
            </w:pPr>
          </w:p>
        </w:tc>
        <w:tc>
          <w:tcPr>
            <w:tcW w:w="156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w w:val="98"/>
              </w:rPr>
              <w:t>Plans or Programs (1)</w:t>
            </w:r>
          </w:p>
        </w:tc>
        <w:tc>
          <w:tcPr>
            <w:tcW w:w="0" w:type="dxa"/>
            <w:vAlign w:val="bottom"/>
          </w:tcPr>
          <w:p>
            <w:pPr>
              <w:spacing w:after="0"/>
              <w:rPr>
                <w:sz w:val="1"/>
                <w:szCs w:val="1"/>
                <w:color w:val="auto"/>
              </w:rPr>
            </w:pPr>
          </w:p>
        </w:tc>
      </w:tr>
      <w:tr>
        <w:trPr>
          <w:trHeight w:val="385"/>
        </w:trPr>
        <w:tc>
          <w:tcPr>
            <w:tcW w:w="4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80" w:type="dxa"/>
            <w:vAlign w:val="bottom"/>
            <w:gridSpan w:val="7"/>
          </w:tcPr>
          <w:p>
            <w:pPr>
              <w:jc w:val="right"/>
              <w:ind w:right="220"/>
              <w:spacing w:after="0"/>
              <w:rPr>
                <w:sz w:val="20"/>
                <w:szCs w:val="20"/>
                <w:color w:val="auto"/>
              </w:rPr>
            </w:pPr>
            <w:r>
              <w:rPr>
                <w:rFonts w:ascii="Arial" w:cs="Arial" w:eastAsia="Arial" w:hAnsi="Arial"/>
                <w:sz w:val="14"/>
                <w:szCs w:val="14"/>
                <w:i w:val="1"/>
                <w:iCs w:val="1"/>
                <w:color w:val="auto"/>
              </w:rPr>
              <w:t>(in thousands, except average price paid per share data)</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2020 through January 31, 2020</w:t>
            </w:r>
          </w:p>
        </w:tc>
        <w:tc>
          <w:tcPr>
            <w:tcW w:w="1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1,662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57,375</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February 1, 2020 through February 29, 2020</w:t>
            </w:r>
          </w:p>
        </w:tc>
        <w:tc>
          <w:tcPr>
            <w:tcW w:w="1260" w:type="dxa"/>
            <w:vAlign w:val="bottom"/>
          </w:tcPr>
          <w:p>
            <w:pPr>
              <w:jc w:val="right"/>
              <w:ind w:right="56"/>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8"/>
                <w:szCs w:val="18"/>
                <w:color w:val="auto"/>
              </w:rPr>
              <w:t>1,504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1560" w:type="dxa"/>
            <w:vAlign w:val="bottom"/>
          </w:tcPr>
          <w:p>
            <w:pPr>
              <w:jc w:val="right"/>
              <w:ind w:right="19"/>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55,871</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 2020 through March 31, 2020</w:t>
            </w:r>
          </w:p>
        </w:tc>
        <w:tc>
          <w:tcPr>
            <w:tcW w:w="1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1,029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54,841</w:t>
            </w:r>
          </w:p>
        </w:tc>
        <w:tc>
          <w:tcPr>
            <w:tcW w:w="0" w:type="dxa"/>
            <w:vAlign w:val="bottom"/>
          </w:tcPr>
          <w:p>
            <w:pPr>
              <w:spacing w:after="0"/>
              <w:rPr>
                <w:sz w:val="1"/>
                <w:szCs w:val="1"/>
                <w:color w:val="auto"/>
              </w:rPr>
            </w:pPr>
          </w:p>
        </w:tc>
      </w:tr>
      <w:tr>
        <w:trPr>
          <w:trHeight w:val="237"/>
        </w:trPr>
        <w:tc>
          <w:tcPr>
            <w:tcW w:w="4400" w:type="dxa"/>
            <w:vAlign w:val="bottom"/>
          </w:tcPr>
          <w:p>
            <w:pPr>
              <w:ind w:left="28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4,195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54,841</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20" w:right="2140" w:hanging="285"/>
        <w:spacing w:after="0" w:line="245" w:lineRule="auto"/>
        <w:tabs>
          <w:tab w:leader="none" w:pos="3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On December 2, 2019, our Board of Directors approved a program to repurchase up to $60.0 million of our Class A Non-voting Common Stock over three years. Under the stock repurchase program, we may purchase Class A Non-voting common stock from time to time at management's discretion in accordance with applicable securities laws, including through open market transactions, block or privately negotiated transactions, or any combination thereof. In addition, we may purchase shares pursuant to a trading plan meeting the requirements of Rule 10b5-1 under the Securities Exchange Act of 1934. 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of Directors, such as liquidity and capital needs and the availability of attractive alternative investment opportunities. The Board of Directors has reserved the right to modify, suspend or terminate the program at any time.</w:t>
      </w:r>
    </w:p>
    <w:p>
      <w:pPr>
        <w:spacing w:after="0" w:line="1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table below provides certain information about our repurchase of shares of Class A Non-voting Common Stock during the six months ended March 31, 2020.</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Dollar Amount</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Dollar Amount</w:t>
            </w:r>
          </w:p>
        </w:tc>
        <w:tc>
          <w:tcPr>
            <w:tcW w:w="160" w:type="dxa"/>
            <w:vAlign w:val="bottom"/>
          </w:tcPr>
          <w:p>
            <w:pPr>
              <w:spacing w:after="0"/>
              <w:rPr>
                <w:sz w:val="14"/>
                <w:szCs w:val="14"/>
                <w:color w:val="auto"/>
              </w:rPr>
            </w:pPr>
          </w:p>
        </w:tc>
        <w:tc>
          <w:tcPr>
            <w:tcW w:w="1300" w:type="dxa"/>
            <w:vAlign w:val="bottom"/>
          </w:tcPr>
          <w:p>
            <w:pPr>
              <w:jc w:val="right"/>
              <w:ind w:right="96"/>
              <w:spacing w:after="0"/>
              <w:rPr>
                <w:sz w:val="20"/>
                <w:szCs w:val="20"/>
                <w:color w:val="auto"/>
              </w:rPr>
            </w:pPr>
            <w:r>
              <w:rPr>
                <w:rFonts w:ascii="Arial" w:cs="Arial" w:eastAsia="Arial" w:hAnsi="Arial"/>
                <w:sz w:val="14"/>
                <w:szCs w:val="14"/>
                <w:b w:val="1"/>
                <w:bCs w:val="1"/>
                <w:color w:val="auto"/>
                <w:w w:val="95"/>
              </w:rPr>
              <w:t>Remaining Dollar</w:t>
            </w:r>
          </w:p>
        </w:tc>
        <w:tc>
          <w:tcPr>
            <w:tcW w:w="0" w:type="dxa"/>
            <w:vAlign w:val="bottom"/>
          </w:tcPr>
          <w:p>
            <w:pPr>
              <w:spacing w:after="0"/>
              <w:rPr>
                <w:sz w:val="1"/>
                <w:szCs w:val="1"/>
                <w:color w:val="auto"/>
              </w:rPr>
            </w:pPr>
          </w:p>
        </w:tc>
      </w:tr>
      <w:tr>
        <w:trPr>
          <w:trHeight w:val="148"/>
        </w:trPr>
        <w:tc>
          <w:tcPr>
            <w:tcW w:w="3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Authorization Date</w:t>
            </w:r>
          </w:p>
        </w:tc>
        <w:tc>
          <w:tcPr>
            <w:tcW w:w="120" w:type="dxa"/>
            <w:vAlign w:val="bottom"/>
            <w:vMerge w:val="restart"/>
          </w:tcPr>
          <w:p>
            <w:pPr>
              <w:spacing w:after="0"/>
              <w:rPr>
                <w:sz w:val="12"/>
                <w:szCs w:val="12"/>
                <w:color w:val="auto"/>
              </w:rPr>
            </w:pPr>
          </w:p>
        </w:tc>
        <w:tc>
          <w:tcPr>
            <w:tcW w:w="19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Plan Completion Date</w:t>
            </w:r>
          </w:p>
        </w:tc>
        <w:tc>
          <w:tcPr>
            <w:tcW w:w="1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Purchased in</w:t>
            </w:r>
          </w:p>
        </w:tc>
        <w:tc>
          <w:tcPr>
            <w:tcW w:w="12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Purchased in Fiscal</w:t>
            </w:r>
          </w:p>
        </w:tc>
        <w:tc>
          <w:tcPr>
            <w:tcW w:w="1460" w:type="dxa"/>
            <w:vAlign w:val="bottom"/>
            <w:gridSpan w:val="2"/>
          </w:tcPr>
          <w:p>
            <w:pPr>
              <w:jc w:val="right"/>
              <w:ind w:right="36"/>
              <w:spacing w:after="0" w:line="149" w:lineRule="exact"/>
              <w:rPr>
                <w:sz w:val="20"/>
                <w:szCs w:val="20"/>
                <w:color w:val="auto"/>
              </w:rPr>
            </w:pPr>
            <w:r>
              <w:rPr>
                <w:rFonts w:ascii="Arial" w:cs="Arial" w:eastAsia="Arial" w:hAnsi="Arial"/>
                <w:sz w:val="14"/>
                <w:szCs w:val="14"/>
                <w:b w:val="1"/>
                <w:bCs w:val="1"/>
                <w:color w:val="auto"/>
              </w:rPr>
              <w:t>Amount Authorized</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8"/>
              </w:rPr>
              <w:t>Authorized</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Fiscal 2020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for Future Purchases</w:t>
            </w:r>
          </w:p>
        </w:tc>
        <w:tc>
          <w:tcPr>
            <w:tcW w:w="0" w:type="dxa"/>
            <w:vAlign w:val="bottom"/>
          </w:tcPr>
          <w:p>
            <w:pPr>
              <w:spacing w:after="0"/>
              <w:rPr>
                <w:sz w:val="1"/>
                <w:szCs w:val="1"/>
                <w:color w:val="auto"/>
              </w:rPr>
            </w:pPr>
          </w:p>
        </w:tc>
      </w:tr>
      <w:tr>
        <w:trPr>
          <w:trHeight w:val="385"/>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920" w:type="dxa"/>
            <w:vAlign w:val="bottom"/>
            <w:gridSpan w:val="9"/>
          </w:tcPr>
          <w:p>
            <w:pPr>
              <w:ind w:left="100"/>
              <w:spacing w:after="0"/>
              <w:rPr>
                <w:sz w:val="20"/>
                <w:szCs w:val="20"/>
                <w:color w:val="auto"/>
              </w:rPr>
            </w:pPr>
            <w:r>
              <w:rPr>
                <w:rFonts w:ascii="Arial" w:cs="Arial" w:eastAsia="Arial" w:hAnsi="Arial"/>
                <w:sz w:val="14"/>
                <w:szCs w:val="14"/>
                <w:i w:val="1"/>
                <w:iCs w:val="1"/>
                <w:color w:val="auto"/>
              </w:rPr>
              <w:t>(in thousands, except average price paid per share data)</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2, 2019</w:t>
            </w:r>
          </w:p>
        </w:tc>
        <w:tc>
          <w:tcPr>
            <w:tcW w:w="192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w w:val="97"/>
              </w:rPr>
              <w:t>Currently Active</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60,000</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5,159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54,841</w:t>
            </w:r>
          </w:p>
        </w:tc>
        <w:tc>
          <w:tcPr>
            <w:tcW w:w="0" w:type="dxa"/>
            <w:vAlign w:val="bottom"/>
          </w:tcPr>
          <w:p>
            <w:pPr>
              <w:spacing w:after="0"/>
              <w:rPr>
                <w:sz w:val="1"/>
                <w:szCs w:val="1"/>
                <w:color w:val="auto"/>
              </w:rPr>
            </w:pPr>
          </w:p>
        </w:tc>
      </w:tr>
      <w:tr>
        <w:trPr>
          <w:trHeight w:val="237"/>
        </w:trPr>
        <w:tc>
          <w:tcPr>
            <w:tcW w:w="394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41"/>
              <w:spacing w:after="0"/>
              <w:rPr>
                <w:sz w:val="20"/>
                <w:szCs w:val="20"/>
                <w:color w:val="auto"/>
              </w:rPr>
            </w:pPr>
            <w:r>
              <w:rPr>
                <w:rFonts w:ascii="Arial" w:cs="Arial" w:eastAsia="Arial" w:hAnsi="Arial"/>
                <w:sz w:val="18"/>
                <w:szCs w:val="18"/>
                <w:color w:val="auto"/>
              </w:rPr>
              <w:t>5,159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54,841</w:t>
            </w:r>
          </w:p>
        </w:tc>
        <w:tc>
          <w:tcPr>
            <w:tcW w:w="0" w:type="dxa"/>
            <w:vAlign w:val="bottom"/>
          </w:tcPr>
          <w:p>
            <w:pPr>
              <w:spacing w:after="0"/>
              <w:rPr>
                <w:sz w:val="1"/>
                <w:szCs w:val="1"/>
                <w:color w:val="auto"/>
              </w:rPr>
            </w:pPr>
          </w:p>
        </w:tc>
      </w:tr>
      <w:tr>
        <w:trPr>
          <w:trHeight w:val="459"/>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jc w:val="right"/>
              <w:ind w:right="56"/>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or incorporated by reference into, this report.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Exhibit No.</w:t>
            </w:r>
          </w:p>
        </w:tc>
        <w:tc>
          <w:tcPr>
            <w:tcW w:w="20" w:type="dxa"/>
            <w:vAlign w:val="bottom"/>
          </w:tcPr>
          <w:p>
            <w:pPr>
              <w:spacing w:after="0"/>
              <w:rPr>
                <w:sz w:val="16"/>
                <w:szCs w:val="16"/>
                <w:color w:val="auto"/>
              </w:rPr>
            </w:pPr>
          </w:p>
        </w:tc>
        <w:tc>
          <w:tcPr>
            <w:tcW w:w="9860" w:type="dxa"/>
            <w:vAlign w:val="bottom"/>
            <w:gridSpan w:val="9"/>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121"/>
        </w:trPr>
        <w:tc>
          <w:tcPr>
            <w:tcW w:w="12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3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7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r>
      <w:tr>
        <w:trPr>
          <w:trHeight w:val="203"/>
        </w:trPr>
        <w:tc>
          <w:tcPr>
            <w:tcW w:w="1360" w:type="dxa"/>
            <w:vAlign w:val="bottom"/>
            <w:gridSpan w:val="2"/>
            <w:shd w:val="clear" w:color="auto" w:fill="CCEEFF"/>
          </w:tcPr>
          <w:p>
            <w:pPr>
              <w:jc w:val="center"/>
              <w:ind w:right="120"/>
              <w:spacing w:after="0"/>
              <w:rPr>
                <w:rFonts w:ascii="Arial" w:cs="Arial" w:eastAsia="Arial" w:hAnsi="Arial"/>
                <w:sz w:val="16"/>
                <w:szCs w:val="16"/>
                <w:u w:val="single" w:color="auto"/>
                <w:color w:val="0000FF"/>
                <w:w w:val="89"/>
              </w:rPr>
            </w:pPr>
            <w:hyperlink w:anchor="page49">
              <w:r>
                <w:rPr>
                  <w:rFonts w:ascii="Arial" w:cs="Arial" w:eastAsia="Arial" w:hAnsi="Arial"/>
                  <w:sz w:val="16"/>
                  <w:szCs w:val="16"/>
                  <w:u w:val="single" w:color="auto"/>
                  <w:color w:val="0000FF"/>
                  <w:w w:val="89"/>
                </w:rPr>
                <w:t>10.1†</w:t>
              </w:r>
            </w:hyperlink>
          </w:p>
        </w:tc>
        <w:tc>
          <w:tcPr>
            <w:tcW w:w="20" w:type="dxa"/>
            <w:vAlign w:val="bottom"/>
            <w:shd w:val="clear" w:color="auto" w:fill="CCEEFF"/>
          </w:tcPr>
          <w:p>
            <w:pPr>
              <w:spacing w:after="0"/>
              <w:rPr>
                <w:sz w:val="17"/>
                <w:szCs w:val="17"/>
                <w:color w:val="auto"/>
              </w:rPr>
            </w:pPr>
          </w:p>
        </w:tc>
        <w:tc>
          <w:tcPr>
            <w:tcW w:w="9860" w:type="dxa"/>
            <w:vAlign w:val="bottom"/>
            <w:gridSpan w:val="9"/>
            <w:shd w:val="clear" w:color="auto" w:fill="CCEEFF"/>
          </w:tcPr>
          <w:p>
            <w:pPr>
              <w:spacing w:after="0" w:line="202" w:lineRule="exact"/>
              <w:rPr>
                <w:rFonts w:ascii="Arial" w:cs="Arial" w:eastAsia="Arial" w:hAnsi="Arial"/>
                <w:sz w:val="18"/>
                <w:szCs w:val="18"/>
                <w:color w:val="0000FF"/>
                <w:w w:val="94"/>
              </w:rPr>
            </w:pPr>
            <w:hyperlink w:anchor="page49">
              <w:r>
                <w:rPr>
                  <w:rFonts w:ascii="Arial" w:cs="Arial" w:eastAsia="Arial" w:hAnsi="Arial"/>
                  <w:sz w:val="18"/>
                  <w:szCs w:val="18"/>
                  <w:color w:val="0000FF"/>
                  <w:w w:val="94"/>
                </w:rPr>
                <w:t>Separation Agreement and Release, dated February 24, 2020, between the Company and Daniel M. Chism (former Chief Financial</w:t>
              </w:r>
            </w:hyperlink>
          </w:p>
        </w:tc>
      </w:tr>
      <w:tr>
        <w:trPr>
          <w:trHeight w:val="196"/>
        </w:trPr>
        <w:tc>
          <w:tcPr>
            <w:tcW w:w="1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420" w:type="dxa"/>
            <w:vAlign w:val="bottom"/>
            <w:tcBorders>
              <w:top w:val="single" w:sz="8" w:color="0000FF"/>
            </w:tcBorders>
            <w:gridSpan w:val="5"/>
            <w:shd w:val="clear" w:color="auto" w:fill="CCEEFF"/>
          </w:tcPr>
          <w:p>
            <w:pPr>
              <w:spacing w:after="0" w:line="196" w:lineRule="exact"/>
              <w:rPr>
                <w:rFonts w:ascii="Arial" w:cs="Arial" w:eastAsia="Arial" w:hAnsi="Arial"/>
                <w:sz w:val="18"/>
                <w:szCs w:val="18"/>
                <w:color w:val="0000FF"/>
              </w:rPr>
            </w:pPr>
            <w:hyperlink w:anchor="page49">
              <w:r>
                <w:rPr>
                  <w:rFonts w:ascii="Arial" w:cs="Arial" w:eastAsia="Arial" w:hAnsi="Arial"/>
                  <w:sz w:val="18"/>
                  <w:szCs w:val="18"/>
                  <w:color w:val="0000FF"/>
                </w:rPr>
                <w:t>Officer)</w:t>
              </w:r>
            </w:hyperlink>
          </w:p>
        </w:tc>
        <w:tc>
          <w:tcPr>
            <w:tcW w:w="440" w:type="dxa"/>
            <w:vAlign w:val="bottom"/>
            <w:tcBorders>
              <w:top w:val="single" w:sz="8" w:color="CCEEFF"/>
            </w:tcBorders>
            <w:gridSpan w:val="4"/>
            <w:shd w:val="clear" w:color="auto" w:fill="CCEEFF"/>
          </w:tcPr>
          <w:p>
            <w:pPr>
              <w:spacing w:after="0"/>
              <w:rPr>
                <w:sz w:val="17"/>
                <w:szCs w:val="17"/>
                <w:color w:val="auto"/>
              </w:rPr>
            </w:pPr>
          </w:p>
        </w:tc>
      </w:tr>
      <w:tr>
        <w:trPr>
          <w:trHeight w:val="48"/>
        </w:trPr>
        <w:tc>
          <w:tcPr>
            <w:tcW w:w="1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43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27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03"/>
        </w:trPr>
        <w:tc>
          <w:tcPr>
            <w:tcW w:w="1360" w:type="dxa"/>
            <w:vAlign w:val="bottom"/>
            <w:gridSpan w:val="2"/>
          </w:tcPr>
          <w:p>
            <w:pPr>
              <w:jc w:val="center"/>
              <w:ind w:right="120"/>
              <w:spacing w:after="0" w:line="202" w:lineRule="exact"/>
              <w:rPr>
                <w:rFonts w:ascii="Arial" w:cs="Arial" w:eastAsia="Arial" w:hAnsi="Arial"/>
                <w:sz w:val="18"/>
                <w:szCs w:val="18"/>
                <w:u w:val="single" w:color="auto"/>
                <w:color w:val="0000FF"/>
                <w:w w:val="88"/>
              </w:rPr>
            </w:pPr>
            <w:hyperlink w:anchor="page1">
              <w:r>
                <w:rPr>
                  <w:rFonts w:ascii="Arial" w:cs="Arial" w:eastAsia="Arial" w:hAnsi="Arial"/>
                  <w:sz w:val="18"/>
                  <w:szCs w:val="18"/>
                  <w:u w:val="single" w:color="auto"/>
                  <w:color w:val="0000FF"/>
                  <w:w w:val="88"/>
                </w:rPr>
                <w:t>31.1†</w:t>
              </w:r>
            </w:hyperlink>
          </w:p>
        </w:tc>
        <w:tc>
          <w:tcPr>
            <w:tcW w:w="20" w:type="dxa"/>
            <w:vAlign w:val="bottom"/>
          </w:tcPr>
          <w:p>
            <w:pPr>
              <w:spacing w:after="0"/>
              <w:rPr>
                <w:sz w:val="17"/>
                <w:szCs w:val="17"/>
                <w:color w:val="auto"/>
              </w:rPr>
            </w:pPr>
          </w:p>
        </w:tc>
        <w:tc>
          <w:tcPr>
            <w:tcW w:w="9860" w:type="dxa"/>
            <w:vAlign w:val="bottom"/>
            <w:gridSpan w:val="9"/>
          </w:tcPr>
          <w:p>
            <w:pPr>
              <w:spacing w:after="0" w:line="202" w:lineRule="exact"/>
              <w:rPr>
                <w:rFonts w:ascii="Arial" w:cs="Arial" w:eastAsia="Arial" w:hAnsi="Arial"/>
                <w:sz w:val="18"/>
                <w:szCs w:val="18"/>
                <w:color w:val="0000FF"/>
                <w:w w:val="92"/>
              </w:rPr>
            </w:pPr>
            <w:hyperlink w:anchor="page53">
              <w:r>
                <w:rPr>
                  <w:rFonts w:ascii="Arial" w:cs="Arial" w:eastAsia="Arial" w:hAnsi="Arial"/>
                  <w:sz w:val="18"/>
                  <w:szCs w:val="18"/>
                  <w:color w:val="0000FF"/>
                  <w:w w:val="92"/>
                </w:rPr>
                <w:t>Certification of Stuart I. Grimshaw, Chief Executive Officer, pursuant to Rule 13a-14(a) under the Securities Exchange Act of 1934, as</w:t>
              </w:r>
            </w:hyperlink>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2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53">
              <w:r>
                <w:rPr>
                  <w:rFonts w:ascii="Arial" w:cs="Arial" w:eastAsia="Arial" w:hAnsi="Arial"/>
                  <w:sz w:val="18"/>
                  <w:szCs w:val="18"/>
                  <w:color w:val="0000FF"/>
                </w:rPr>
                <w:t>adopted pursuant to Section 302 of the Sarbanes-Oxley Act of 2002</w:t>
              </w:r>
            </w:hyperlink>
          </w:p>
        </w:tc>
        <w:tc>
          <w:tcPr>
            <w:tcW w:w="140" w:type="dxa"/>
            <w:vAlign w:val="bottom"/>
            <w:gridSpan w:val="3"/>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300" w:type="dxa"/>
            <w:vAlign w:val="bottom"/>
            <w:tcBorders>
              <w:top w:val="single" w:sz="8" w:color="0000FF"/>
            </w:tcBorders>
          </w:tcPr>
          <w:p>
            <w:pPr>
              <w:spacing w:after="0"/>
              <w:rPr>
                <w:sz w:val="4"/>
                <w:szCs w:val="4"/>
                <w:color w:val="auto"/>
              </w:rPr>
            </w:pPr>
          </w:p>
        </w:tc>
        <w:tc>
          <w:tcPr>
            <w:tcW w:w="6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3"/>
        </w:trPr>
        <w:tc>
          <w:tcPr>
            <w:tcW w:w="1360" w:type="dxa"/>
            <w:vAlign w:val="bottom"/>
            <w:gridSpan w:val="2"/>
            <w:shd w:val="clear" w:color="auto" w:fill="CCEEFF"/>
          </w:tcPr>
          <w:p>
            <w:pPr>
              <w:jc w:val="center"/>
              <w:ind w:right="120"/>
              <w:spacing w:after="0" w:line="202" w:lineRule="exact"/>
              <w:rPr>
                <w:rFonts w:ascii="Arial" w:cs="Arial" w:eastAsia="Arial" w:hAnsi="Arial"/>
                <w:sz w:val="18"/>
                <w:szCs w:val="18"/>
                <w:u w:val="single" w:color="auto"/>
                <w:color w:val="0000FF"/>
                <w:w w:val="88"/>
              </w:rPr>
            </w:pPr>
            <w:hyperlink w:anchor="page54">
              <w:r>
                <w:rPr>
                  <w:rFonts w:ascii="Arial" w:cs="Arial" w:eastAsia="Arial" w:hAnsi="Arial"/>
                  <w:sz w:val="18"/>
                  <w:szCs w:val="18"/>
                  <w:u w:val="single" w:color="auto"/>
                  <w:color w:val="0000FF"/>
                  <w:w w:val="88"/>
                </w:rPr>
                <w:t>31.2†</w:t>
              </w:r>
            </w:hyperlink>
          </w:p>
        </w:tc>
        <w:tc>
          <w:tcPr>
            <w:tcW w:w="20" w:type="dxa"/>
            <w:vAlign w:val="bottom"/>
            <w:shd w:val="clear" w:color="auto" w:fill="CCEEFF"/>
          </w:tcPr>
          <w:p>
            <w:pPr>
              <w:spacing w:after="0"/>
              <w:rPr>
                <w:sz w:val="17"/>
                <w:szCs w:val="17"/>
                <w:color w:val="auto"/>
              </w:rPr>
            </w:pPr>
          </w:p>
        </w:tc>
        <w:tc>
          <w:tcPr>
            <w:tcW w:w="9860" w:type="dxa"/>
            <w:vAlign w:val="bottom"/>
            <w:gridSpan w:val="9"/>
            <w:shd w:val="clear" w:color="auto" w:fill="CCEEFF"/>
          </w:tcPr>
          <w:p>
            <w:pPr>
              <w:spacing w:after="0" w:line="202" w:lineRule="exact"/>
              <w:rPr>
                <w:rFonts w:ascii="Arial" w:cs="Arial" w:eastAsia="Arial" w:hAnsi="Arial"/>
                <w:sz w:val="18"/>
                <w:szCs w:val="18"/>
                <w:color w:val="0000FF"/>
                <w:w w:val="92"/>
              </w:rPr>
            </w:pPr>
            <w:hyperlink w:anchor="page54">
              <w:r>
                <w:rPr>
                  <w:rFonts w:ascii="Arial" w:cs="Arial" w:eastAsia="Arial" w:hAnsi="Arial"/>
                  <w:sz w:val="18"/>
                  <w:szCs w:val="18"/>
                  <w:color w:val="0000FF"/>
                  <w:w w:val="92"/>
                </w:rPr>
                <w:t>Certification of Jason A. Kulas, President and Chief Financial Officer, pursuant to Rule 13a-14(a) under the Securities Exchange Act of</w:t>
              </w:r>
            </w:hyperlink>
          </w:p>
        </w:tc>
      </w:tr>
      <w:tr>
        <w:trPr>
          <w:trHeight w:val="196"/>
        </w:trPr>
        <w:tc>
          <w:tcPr>
            <w:tcW w:w="1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760" w:type="dxa"/>
            <w:vAlign w:val="bottom"/>
            <w:tcBorders>
              <w:top w:val="single" w:sz="8" w:color="0000FF"/>
            </w:tcBorders>
            <w:gridSpan w:val="7"/>
            <w:shd w:val="clear" w:color="auto" w:fill="CCEEFF"/>
          </w:tcPr>
          <w:p>
            <w:pPr>
              <w:spacing w:after="0" w:line="196" w:lineRule="exact"/>
              <w:rPr>
                <w:rFonts w:ascii="Arial" w:cs="Arial" w:eastAsia="Arial" w:hAnsi="Arial"/>
                <w:sz w:val="18"/>
                <w:szCs w:val="18"/>
                <w:color w:val="0000FF"/>
              </w:rPr>
            </w:pPr>
            <w:hyperlink w:anchor="page54">
              <w:r>
                <w:rPr>
                  <w:rFonts w:ascii="Arial" w:cs="Arial" w:eastAsia="Arial" w:hAnsi="Arial"/>
                  <w:sz w:val="18"/>
                  <w:szCs w:val="18"/>
                  <w:color w:val="0000FF"/>
                </w:rPr>
                <w:t>1934, as adopted pursuant to Section 302 of the Sarbanes-Oxley Act of 2002</w:t>
              </w:r>
            </w:hyperlink>
          </w:p>
        </w:tc>
        <w:tc>
          <w:tcPr>
            <w:tcW w:w="100" w:type="dxa"/>
            <w:vAlign w:val="bottom"/>
            <w:tcBorders>
              <w:top w:val="single" w:sz="8" w:color="CCEEFF"/>
            </w:tcBorders>
            <w:gridSpan w:val="2"/>
            <w:shd w:val="clear" w:color="auto" w:fill="CCEEFF"/>
          </w:tcPr>
          <w:p>
            <w:pPr>
              <w:spacing w:after="0"/>
              <w:rPr>
                <w:sz w:val="17"/>
                <w:szCs w:val="17"/>
                <w:color w:val="auto"/>
              </w:rPr>
            </w:pPr>
          </w:p>
        </w:tc>
      </w:tr>
      <w:tr>
        <w:trPr>
          <w:trHeight w:val="48"/>
        </w:trPr>
        <w:tc>
          <w:tcPr>
            <w:tcW w:w="1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430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27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03"/>
        </w:trPr>
        <w:tc>
          <w:tcPr>
            <w:tcW w:w="1360" w:type="dxa"/>
            <w:vAlign w:val="bottom"/>
            <w:gridSpan w:val="2"/>
          </w:tcPr>
          <w:p>
            <w:pPr>
              <w:jc w:val="center"/>
              <w:ind w:right="140"/>
              <w:spacing w:after="0" w:line="202" w:lineRule="exact"/>
              <w:rPr>
                <w:rFonts w:ascii="Arial" w:cs="Arial" w:eastAsia="Arial" w:hAnsi="Arial"/>
                <w:sz w:val="18"/>
                <w:szCs w:val="18"/>
                <w:u w:val="single" w:color="auto"/>
                <w:color w:val="0000FF"/>
                <w:w w:val="90"/>
              </w:rPr>
            </w:pPr>
            <w:hyperlink w:anchor="page55">
              <w:r>
                <w:rPr>
                  <w:rFonts w:ascii="Arial" w:cs="Arial" w:eastAsia="Arial" w:hAnsi="Arial"/>
                  <w:sz w:val="18"/>
                  <w:szCs w:val="18"/>
                  <w:u w:val="single" w:color="auto"/>
                  <w:color w:val="0000FF"/>
                  <w:w w:val="90"/>
                </w:rPr>
                <w:t>32.1††</w:t>
              </w:r>
            </w:hyperlink>
          </w:p>
        </w:tc>
        <w:tc>
          <w:tcPr>
            <w:tcW w:w="20" w:type="dxa"/>
            <w:vAlign w:val="bottom"/>
          </w:tcPr>
          <w:p>
            <w:pPr>
              <w:spacing w:after="0"/>
              <w:rPr>
                <w:sz w:val="17"/>
                <w:szCs w:val="17"/>
                <w:color w:val="auto"/>
              </w:rPr>
            </w:pPr>
          </w:p>
        </w:tc>
        <w:tc>
          <w:tcPr>
            <w:tcW w:w="9780" w:type="dxa"/>
            <w:vAlign w:val="bottom"/>
            <w:tcBorders>
              <w:bottom w:val="single" w:sz="8" w:color="0000FF"/>
            </w:tcBorders>
            <w:gridSpan w:val="8"/>
          </w:tcPr>
          <w:p>
            <w:pPr>
              <w:spacing w:after="0" w:line="202" w:lineRule="exact"/>
              <w:rPr>
                <w:rFonts w:ascii="Arial" w:cs="Arial" w:eastAsia="Arial" w:hAnsi="Arial"/>
                <w:sz w:val="18"/>
                <w:szCs w:val="18"/>
                <w:color w:val="0000FF"/>
                <w:w w:val="91"/>
              </w:rPr>
            </w:pPr>
            <w:hyperlink w:anchor="page55">
              <w:r>
                <w:rPr>
                  <w:rFonts w:ascii="Arial" w:cs="Arial" w:eastAsia="Arial" w:hAnsi="Arial"/>
                  <w:sz w:val="18"/>
                  <w:szCs w:val="18"/>
                  <w:color w:val="0000FF"/>
                  <w:w w:val="91"/>
                </w:rPr>
                <w:t>Certifications of Stuart I. Grimshaw, Chief Executive Officer, and Jason A. Kulas, President and Chief Financial Officer, pursuant to 18</w:t>
              </w:r>
            </w:hyperlink>
          </w:p>
        </w:tc>
        <w:tc>
          <w:tcPr>
            <w:tcW w:w="8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9"/>
          </w:tcPr>
          <w:p>
            <w:pPr>
              <w:spacing w:after="0" w:line="196" w:lineRule="exact"/>
              <w:rPr>
                <w:rFonts w:ascii="Arial" w:cs="Arial" w:eastAsia="Arial" w:hAnsi="Arial"/>
                <w:sz w:val="18"/>
                <w:szCs w:val="18"/>
                <w:color w:val="0000FF"/>
              </w:rPr>
            </w:pPr>
            <w:hyperlink w:anchor="page55">
              <w:r>
                <w:rPr>
                  <w:rFonts w:ascii="Arial" w:cs="Arial" w:eastAsia="Arial" w:hAnsi="Arial"/>
                  <w:sz w:val="18"/>
                  <w:szCs w:val="18"/>
                  <w:color w:val="0000FF"/>
                </w:rPr>
                <w:t>U.S.C. Section 1350, as adopted pursuant to Section 906 of the Sarbanes-Oxley Act of 2002</w:t>
              </w:r>
            </w:hyperlink>
          </w:p>
        </w:tc>
      </w:tr>
      <w:tr>
        <w:trPr>
          <w:trHeight w:val="48"/>
        </w:trPr>
        <w:tc>
          <w:tcPr>
            <w:tcW w:w="1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30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2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0"/>
        </w:trPr>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101.INS†††</w:t>
            </w:r>
          </w:p>
        </w:tc>
        <w:tc>
          <w:tcPr>
            <w:tcW w:w="20" w:type="dxa"/>
            <w:vAlign w:val="bottom"/>
            <w:tcBorders>
              <w:bottom w:val="single" w:sz="8" w:color="CCEEFF"/>
            </w:tcBorders>
            <w:shd w:val="clear" w:color="auto" w:fill="CCEEFF"/>
          </w:tcPr>
          <w:p>
            <w:pPr>
              <w:spacing w:after="0"/>
              <w:rPr>
                <w:sz w:val="21"/>
                <w:szCs w:val="21"/>
                <w:color w:val="auto"/>
              </w:rPr>
            </w:pPr>
          </w:p>
        </w:tc>
        <w:tc>
          <w:tcPr>
            <w:tcW w:w="986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43"/>
        </w:trPr>
        <w:tc>
          <w:tcPr>
            <w:tcW w:w="13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101.SCH†††</w:t>
            </w:r>
          </w:p>
        </w:tc>
        <w:tc>
          <w:tcPr>
            <w:tcW w:w="20" w:type="dxa"/>
            <w:vAlign w:val="bottom"/>
          </w:tcPr>
          <w:p>
            <w:pPr>
              <w:spacing w:after="0"/>
              <w:rPr>
                <w:sz w:val="21"/>
                <w:szCs w:val="21"/>
                <w:color w:val="auto"/>
              </w:rPr>
            </w:pPr>
          </w:p>
        </w:tc>
        <w:tc>
          <w:tcPr>
            <w:tcW w:w="986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
        </w:trPr>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3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101.CAL†††</w:t>
            </w:r>
          </w:p>
        </w:tc>
        <w:tc>
          <w:tcPr>
            <w:tcW w:w="20" w:type="dxa"/>
            <w:vAlign w:val="bottom"/>
            <w:tcBorders>
              <w:bottom w:val="single" w:sz="8" w:color="CCEEFF"/>
            </w:tcBorders>
            <w:shd w:val="clear" w:color="auto" w:fill="CCEEFF"/>
          </w:tcPr>
          <w:p>
            <w:pPr>
              <w:spacing w:after="0"/>
              <w:rPr>
                <w:sz w:val="21"/>
                <w:szCs w:val="21"/>
                <w:color w:val="auto"/>
              </w:rPr>
            </w:pPr>
          </w:p>
        </w:tc>
        <w:tc>
          <w:tcPr>
            <w:tcW w:w="986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43"/>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101.DEF†††</w:t>
            </w:r>
          </w:p>
        </w:tc>
        <w:tc>
          <w:tcPr>
            <w:tcW w:w="20" w:type="dxa"/>
            <w:vAlign w:val="bottom"/>
          </w:tcPr>
          <w:p>
            <w:pPr>
              <w:spacing w:after="0"/>
              <w:rPr>
                <w:sz w:val="21"/>
                <w:szCs w:val="21"/>
                <w:color w:val="auto"/>
              </w:rPr>
            </w:pPr>
          </w:p>
        </w:tc>
        <w:tc>
          <w:tcPr>
            <w:tcW w:w="986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
        </w:trPr>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3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4"/>
              </w:rPr>
              <w:t>101.LAB†††</w:t>
            </w:r>
          </w:p>
        </w:tc>
        <w:tc>
          <w:tcPr>
            <w:tcW w:w="20" w:type="dxa"/>
            <w:vAlign w:val="bottom"/>
            <w:tcBorders>
              <w:bottom w:val="single" w:sz="8" w:color="CCEEFF"/>
            </w:tcBorders>
            <w:shd w:val="clear" w:color="auto" w:fill="CCEEFF"/>
          </w:tcPr>
          <w:p>
            <w:pPr>
              <w:spacing w:after="0"/>
              <w:rPr>
                <w:sz w:val="21"/>
                <w:szCs w:val="21"/>
                <w:color w:val="auto"/>
              </w:rPr>
            </w:pPr>
          </w:p>
        </w:tc>
        <w:tc>
          <w:tcPr>
            <w:tcW w:w="986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XBRL Taxonomy Label Linkbase Document</w:t>
            </w:r>
          </w:p>
        </w:tc>
      </w:tr>
      <w:tr>
        <w:trPr>
          <w:trHeight w:val="243"/>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101.PRE†††</w:t>
            </w:r>
          </w:p>
        </w:tc>
        <w:tc>
          <w:tcPr>
            <w:tcW w:w="20" w:type="dxa"/>
            <w:vAlign w:val="bottom"/>
          </w:tcPr>
          <w:p>
            <w:pPr>
              <w:spacing w:after="0"/>
              <w:rPr>
                <w:sz w:val="21"/>
                <w:szCs w:val="21"/>
                <w:color w:val="auto"/>
              </w:rPr>
            </w:pPr>
          </w:p>
        </w:tc>
        <w:tc>
          <w:tcPr>
            <w:tcW w:w="986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75" w:lineRule="exact"/>
        <w:rPr>
          <w:sz w:val="20"/>
          <w:szCs w:val="20"/>
          <w:color w:val="auto"/>
        </w:rPr>
      </w:pPr>
    </w:p>
    <w:p>
      <w:pPr>
        <w:ind w:left="500" w:hanging="465"/>
        <w:spacing w:after="0"/>
        <w:tabs>
          <w:tab w:leader="none" w:pos="500" w:val="left"/>
        </w:tabs>
        <w:numPr>
          <w:ilvl w:val="0"/>
          <w:numId w:val="24"/>
        </w:numPr>
        <w:rPr>
          <w:rFonts w:ascii="Arial" w:cs="Arial" w:eastAsia="Arial" w:hAnsi="Arial"/>
          <w:sz w:val="16"/>
          <w:szCs w:val="16"/>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500" w:hanging="465"/>
        <w:spacing w:after="0"/>
        <w:tabs>
          <w:tab w:leader="none" w:pos="500" w:val="left"/>
        </w:tabs>
        <w:numPr>
          <w:ilvl w:val="0"/>
          <w:numId w:val="25"/>
        </w:numPr>
        <w:rPr>
          <w:rFonts w:ascii="Arial" w:cs="Arial" w:eastAsia="Arial" w:hAnsi="Arial"/>
          <w:sz w:val="16"/>
          <w:szCs w:val="16"/>
          <w:color w:val="auto"/>
        </w:rPr>
      </w:pPr>
      <w:r>
        <w:rPr>
          <w:rFonts w:ascii="Arial" w:cs="Arial" w:eastAsia="Arial" w:hAnsi="Arial"/>
          <w:sz w:val="18"/>
          <w:szCs w:val="18"/>
          <w:color w:val="auto"/>
        </w:rPr>
        <w:t>Furnished herewith.</w:t>
      </w:r>
    </w:p>
    <w:p>
      <w:pPr>
        <w:spacing w:after="0" w:line="63" w:lineRule="exact"/>
        <w:rPr>
          <w:sz w:val="20"/>
          <w:szCs w:val="20"/>
          <w:color w:val="auto"/>
        </w:rPr>
      </w:pPr>
    </w:p>
    <w:p>
      <w:pPr>
        <w:ind w:left="500" w:right="40" w:hanging="465"/>
        <w:spacing w:after="0" w:line="293" w:lineRule="auto"/>
        <w:tabs>
          <w:tab w:leader="none" w:pos="500" w:val="left"/>
        </w:tabs>
        <w:numPr>
          <w:ilvl w:val="0"/>
          <w:numId w:val="26"/>
        </w:numPr>
        <w:rPr>
          <w:rFonts w:ascii="Arial" w:cs="Arial" w:eastAsia="Arial" w:hAnsi="Arial"/>
          <w:sz w:val="14"/>
          <w:szCs w:val="14"/>
          <w:color w:val="auto"/>
        </w:rPr>
      </w:pPr>
      <w:r>
        <w:rPr>
          <w:rFonts w:ascii="Arial" w:cs="Arial" w:eastAsia="Arial" w:hAnsi="Arial"/>
          <w:sz w:val="16"/>
          <w:szCs w:val="16"/>
          <w:color w:val="auto"/>
        </w:rPr>
        <w:t>Filed herewith as Exhibit 101 to this report are the following formatted in XBRL (Extensible Business Reporting Language): (i) Condensed Consolidated Balance Sheets as of March 31, 2020, March 31, 2019 and September 30, 2019; (ii) Condensed Consolidated Statements of Operations for the three and six months ended March 31, 2020 and March 31, 2010; (iii) Condensed Consolidated Statements of Comprehensive (Loss) Income for the three and six months ended March 31, 2020 and March 31, 2019; (iv) Condensed Consolidated Statements of Stockholders' Equity for the periods ended March 31, 2020 and March 31, 2019; (v) Condensed Consolidated Statements of Cash Flows for the six months ended March 31, 2020 and March 31, 2019; and (vi) Notes to Interim Condensed Consolidated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EZCORP, INC.</w:t>
      </w:r>
    </w:p>
    <w:p>
      <w:pPr>
        <w:spacing w:after="0" w:line="333" w:lineRule="exact"/>
        <w:rPr>
          <w:sz w:val="20"/>
          <w:szCs w:val="20"/>
          <w:color w:val="auto"/>
        </w:rPr>
      </w:pPr>
    </w:p>
    <w:p>
      <w:pPr>
        <w:ind w:left="160"/>
        <w:spacing w:after="0"/>
        <w:tabs>
          <w:tab w:leader="none" w:pos="596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6"/>
          <w:szCs w:val="16"/>
          <w:color w:val="auto"/>
        </w:rPr>
        <w:t>/s/ Jason A. Kulas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31750</wp:posOffset>
            </wp:positionV>
            <wp:extent cx="33432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Jason A. Kulas,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President and Chief Financial Officer</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320" w:top="122" w:right="37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color w:val="0A0A0A"/>
        </w:rPr>
        <w:t xml:space="preserve">SEPARATION </w:t>
      </w:r>
      <w:r>
        <w:rPr>
          <w:rFonts w:ascii="Arial" w:cs="Arial" w:eastAsia="Arial" w:hAnsi="Arial"/>
          <w:sz w:val="18"/>
          <w:szCs w:val="18"/>
          <w:b w:val="1"/>
          <w:bCs w:val="1"/>
          <w:color w:val="161616"/>
        </w:rPr>
        <w:t>AGREEMENT</w:t>
      </w:r>
      <w:r>
        <w:rPr>
          <w:rFonts w:ascii="Arial" w:cs="Arial" w:eastAsia="Arial" w:hAnsi="Arial"/>
          <w:sz w:val="18"/>
          <w:szCs w:val="18"/>
          <w:b w:val="1"/>
          <w:bCs w:val="1"/>
          <w:color w:val="0A0A0A"/>
        </w:rPr>
        <w:t xml:space="preserve"> </w:t>
      </w:r>
      <w:r>
        <w:rPr>
          <w:rFonts w:ascii="Arial" w:cs="Arial" w:eastAsia="Arial" w:hAnsi="Arial"/>
          <w:sz w:val="18"/>
          <w:szCs w:val="18"/>
          <w:b w:val="1"/>
          <w:bCs w:val="1"/>
          <w:color w:val="1C1C1C"/>
        </w:rPr>
        <w:t>AND</w:t>
      </w:r>
      <w:r>
        <w:rPr>
          <w:rFonts w:ascii="Arial" w:cs="Arial" w:eastAsia="Arial" w:hAnsi="Arial"/>
          <w:sz w:val="18"/>
          <w:szCs w:val="18"/>
          <w:b w:val="1"/>
          <w:bCs w:val="1"/>
          <w:color w:val="0A0A0A"/>
        </w:rPr>
        <w:t xml:space="preserve"> </w:t>
      </w:r>
      <w:r>
        <w:rPr>
          <w:rFonts w:ascii="Arial" w:cs="Arial" w:eastAsia="Arial" w:hAnsi="Arial"/>
          <w:sz w:val="18"/>
          <w:szCs w:val="18"/>
          <w:b w:val="1"/>
          <w:bCs w:val="1"/>
          <w:color w:val="181818"/>
        </w:rPr>
        <w:t>RELEASE</w:t>
      </w:r>
    </w:p>
    <w:p>
      <w:pPr>
        <w:spacing w:after="0" w:line="200" w:lineRule="exact"/>
        <w:rPr>
          <w:sz w:val="20"/>
          <w:szCs w:val="20"/>
          <w:color w:val="auto"/>
        </w:rPr>
      </w:pPr>
    </w:p>
    <w:p>
      <w:pPr>
        <w:spacing w:after="0" w:line="20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0F0F0F"/>
        </w:rPr>
        <w:t xml:space="preserve">This </w:t>
      </w:r>
      <w:r>
        <w:rPr>
          <w:rFonts w:ascii="Arial" w:cs="Arial" w:eastAsia="Arial" w:hAnsi="Arial"/>
          <w:sz w:val="18"/>
          <w:szCs w:val="18"/>
          <w:color w:val="0E0E0E"/>
        </w:rPr>
        <w:t>Separation</w:t>
      </w:r>
      <w:r>
        <w:rPr>
          <w:rFonts w:ascii="Arial" w:cs="Arial" w:eastAsia="Arial" w:hAnsi="Arial"/>
          <w:sz w:val="18"/>
          <w:szCs w:val="18"/>
          <w:color w:val="0F0F0F"/>
        </w:rPr>
        <w:t xml:space="preserve"> </w:t>
      </w:r>
      <w:r>
        <w:rPr>
          <w:rFonts w:ascii="Arial" w:cs="Arial" w:eastAsia="Arial" w:hAnsi="Arial"/>
          <w:sz w:val="18"/>
          <w:szCs w:val="18"/>
          <w:color w:val="131313"/>
        </w:rPr>
        <w:t>Agreement</w:t>
      </w:r>
      <w:r>
        <w:rPr>
          <w:rFonts w:ascii="Arial" w:cs="Arial" w:eastAsia="Arial" w:hAnsi="Arial"/>
          <w:sz w:val="18"/>
          <w:szCs w:val="18"/>
          <w:color w:val="0F0F0F"/>
        </w:rPr>
        <w:t xml:space="preserve"> </w:t>
      </w:r>
      <w:r>
        <w:rPr>
          <w:rFonts w:ascii="Arial" w:cs="Arial" w:eastAsia="Arial" w:hAnsi="Arial"/>
          <w:sz w:val="18"/>
          <w:szCs w:val="18"/>
          <w:color w:val="0E0E0E"/>
        </w:rPr>
        <w:t>and</w:t>
      </w:r>
      <w:r>
        <w:rPr>
          <w:rFonts w:ascii="Arial" w:cs="Arial" w:eastAsia="Arial" w:hAnsi="Arial"/>
          <w:sz w:val="18"/>
          <w:szCs w:val="18"/>
          <w:color w:val="0F0F0F"/>
        </w:rPr>
        <w:t xml:space="preserve"> </w:t>
      </w:r>
      <w:r>
        <w:rPr>
          <w:rFonts w:ascii="Arial" w:cs="Arial" w:eastAsia="Arial" w:hAnsi="Arial"/>
          <w:sz w:val="18"/>
          <w:szCs w:val="18"/>
          <w:color w:val="111111"/>
        </w:rPr>
        <w:t>Release</w:t>
      </w:r>
      <w:r>
        <w:rPr>
          <w:rFonts w:ascii="Arial" w:cs="Arial" w:eastAsia="Arial" w:hAnsi="Arial"/>
          <w:sz w:val="18"/>
          <w:szCs w:val="18"/>
          <w:color w:val="0F0F0F"/>
        </w:rPr>
        <w:t xml:space="preserve"> </w:t>
      </w:r>
      <w:r>
        <w:rPr>
          <w:rFonts w:ascii="Arial" w:cs="Arial" w:eastAsia="Arial" w:hAnsi="Arial"/>
          <w:sz w:val="18"/>
          <w:szCs w:val="18"/>
          <w:color w:val="181818"/>
        </w:rPr>
        <w:t>(this</w:t>
      </w:r>
      <w:r>
        <w:rPr>
          <w:rFonts w:ascii="Arial" w:cs="Arial" w:eastAsia="Arial" w:hAnsi="Arial"/>
          <w:sz w:val="18"/>
          <w:szCs w:val="18"/>
          <w:color w:val="0F0F0F"/>
        </w:rPr>
        <w:t xml:space="preserve"> </w:t>
      </w:r>
      <w:r>
        <w:rPr>
          <w:rFonts w:ascii="Arial" w:cs="Arial" w:eastAsia="Arial" w:hAnsi="Arial"/>
          <w:sz w:val="18"/>
          <w:szCs w:val="18"/>
          <w:color w:val="131313"/>
        </w:rPr>
        <w:t>“</w:t>
      </w:r>
      <w:r>
        <w:rPr>
          <w:rFonts w:ascii="Arial" w:cs="Arial" w:eastAsia="Arial" w:hAnsi="Arial"/>
          <w:sz w:val="18"/>
          <w:szCs w:val="18"/>
          <w:b w:val="1"/>
          <w:bCs w:val="1"/>
          <w:i w:val="1"/>
          <w:iCs w:val="1"/>
          <w:color w:val="131313"/>
        </w:rPr>
        <w:t>Agreement</w:t>
      </w:r>
      <w:r>
        <w:rPr>
          <w:rFonts w:ascii="Arial" w:cs="Arial" w:eastAsia="Arial" w:hAnsi="Arial"/>
          <w:sz w:val="18"/>
          <w:szCs w:val="18"/>
          <w:color w:val="131313"/>
        </w:rPr>
        <w:t>"),</w:t>
      </w:r>
      <w:r>
        <w:rPr>
          <w:rFonts w:ascii="Arial" w:cs="Arial" w:eastAsia="Arial" w:hAnsi="Arial"/>
          <w:sz w:val="18"/>
          <w:szCs w:val="18"/>
          <w:color w:val="0F0F0F"/>
        </w:rPr>
        <w:t xml:space="preserve"> </w:t>
      </w:r>
      <w:r>
        <w:rPr>
          <w:rFonts w:ascii="Arial" w:cs="Arial" w:eastAsia="Arial" w:hAnsi="Arial"/>
          <w:sz w:val="18"/>
          <w:szCs w:val="18"/>
          <w:color w:val="151515"/>
        </w:rPr>
        <w:t>dated February 24,</w:t>
      </w:r>
      <w:r>
        <w:rPr>
          <w:rFonts w:ascii="Arial" w:cs="Arial" w:eastAsia="Arial" w:hAnsi="Arial"/>
          <w:sz w:val="18"/>
          <w:szCs w:val="18"/>
          <w:color w:val="0F0F0F"/>
        </w:rPr>
        <w:t xml:space="preserve"> </w:t>
      </w:r>
      <w:r>
        <w:rPr>
          <w:rFonts w:ascii="Arial" w:cs="Arial" w:eastAsia="Arial" w:hAnsi="Arial"/>
          <w:sz w:val="18"/>
          <w:szCs w:val="18"/>
          <w:color w:val="181818"/>
        </w:rPr>
        <w:t>2020,</w:t>
      </w:r>
      <w:r>
        <w:rPr>
          <w:rFonts w:ascii="Arial" w:cs="Arial" w:eastAsia="Arial" w:hAnsi="Arial"/>
          <w:sz w:val="18"/>
          <w:szCs w:val="18"/>
          <w:color w:val="0F0F0F"/>
        </w:rPr>
        <w:t xml:space="preserve"> </w:t>
      </w:r>
      <w:r>
        <w:rPr>
          <w:rFonts w:ascii="Arial" w:cs="Arial" w:eastAsia="Arial" w:hAnsi="Arial"/>
          <w:sz w:val="18"/>
          <w:szCs w:val="18"/>
          <w:color w:val="1A1A1A"/>
        </w:rPr>
        <w:t>sets</w:t>
      </w:r>
      <w:r>
        <w:rPr>
          <w:rFonts w:ascii="Arial" w:cs="Arial" w:eastAsia="Arial" w:hAnsi="Arial"/>
          <w:sz w:val="18"/>
          <w:szCs w:val="18"/>
          <w:color w:val="0F0F0F"/>
        </w:rPr>
        <w:t xml:space="preserve"> </w:t>
      </w:r>
      <w:r>
        <w:rPr>
          <w:rFonts w:ascii="Arial" w:cs="Arial" w:eastAsia="Arial" w:hAnsi="Arial"/>
          <w:sz w:val="18"/>
          <w:szCs w:val="18"/>
          <w:color w:val="1D1D1D"/>
        </w:rPr>
        <w:t>forth</w:t>
      </w:r>
      <w:r>
        <w:rPr>
          <w:rFonts w:ascii="Arial" w:cs="Arial" w:eastAsia="Arial" w:hAnsi="Arial"/>
          <w:sz w:val="18"/>
          <w:szCs w:val="18"/>
          <w:color w:val="0F0F0F"/>
        </w:rPr>
        <w:t xml:space="preserve"> </w:t>
      </w:r>
      <w:r>
        <w:rPr>
          <w:rFonts w:ascii="Arial" w:cs="Arial" w:eastAsia="Arial" w:hAnsi="Arial"/>
          <w:sz w:val="18"/>
          <w:szCs w:val="18"/>
          <w:color w:val="0C0C0C"/>
        </w:rPr>
        <w:t>the</w:t>
      </w:r>
      <w:r>
        <w:rPr>
          <w:rFonts w:ascii="Arial" w:cs="Arial" w:eastAsia="Arial" w:hAnsi="Arial"/>
          <w:sz w:val="18"/>
          <w:szCs w:val="18"/>
          <w:color w:val="0F0F0F"/>
        </w:rPr>
        <w:t xml:space="preserve"> </w:t>
      </w:r>
      <w:r>
        <w:rPr>
          <w:rFonts w:ascii="Arial" w:cs="Arial" w:eastAsia="Arial" w:hAnsi="Arial"/>
          <w:sz w:val="18"/>
          <w:szCs w:val="18"/>
          <w:color w:val="111111"/>
        </w:rPr>
        <w:t>mutual</w:t>
      </w:r>
      <w:r>
        <w:rPr>
          <w:rFonts w:ascii="Arial" w:cs="Arial" w:eastAsia="Arial" w:hAnsi="Arial"/>
          <w:sz w:val="18"/>
          <w:szCs w:val="18"/>
          <w:color w:val="0F0F0F"/>
        </w:rPr>
        <w:t xml:space="preserve"> </w:t>
      </w:r>
      <w:r>
        <w:rPr>
          <w:rFonts w:ascii="Arial" w:cs="Arial" w:eastAsia="Arial" w:hAnsi="Arial"/>
          <w:sz w:val="18"/>
          <w:szCs w:val="18"/>
          <w:color w:val="0C0C0C"/>
        </w:rPr>
        <w:t>agreement</w:t>
      </w:r>
      <w:r>
        <w:rPr>
          <w:rFonts w:ascii="Arial" w:cs="Arial" w:eastAsia="Arial" w:hAnsi="Arial"/>
          <w:sz w:val="18"/>
          <w:szCs w:val="18"/>
          <w:color w:val="0F0F0F"/>
        </w:rPr>
        <w:t xml:space="preserve"> </w:t>
      </w:r>
      <w:r>
        <w:rPr>
          <w:rFonts w:ascii="Arial" w:cs="Arial" w:eastAsia="Arial" w:hAnsi="Arial"/>
          <w:sz w:val="18"/>
          <w:szCs w:val="18"/>
          <w:color w:val="2A2A2A"/>
        </w:rPr>
        <w:t>of</w:t>
      </w:r>
      <w:r>
        <w:rPr>
          <w:rFonts w:ascii="Arial" w:cs="Arial" w:eastAsia="Arial" w:hAnsi="Arial"/>
          <w:sz w:val="18"/>
          <w:szCs w:val="18"/>
          <w:color w:val="0F0F0F"/>
        </w:rPr>
        <w:t xml:space="preserve"> </w:t>
      </w:r>
      <w:r>
        <w:rPr>
          <w:rFonts w:ascii="Arial" w:cs="Arial" w:eastAsia="Arial" w:hAnsi="Arial"/>
          <w:sz w:val="18"/>
          <w:szCs w:val="18"/>
          <w:color w:val="0E0E0E"/>
        </w:rPr>
        <w:t>Texas</w:t>
      </w:r>
      <w:r>
        <w:rPr>
          <w:rFonts w:ascii="Arial" w:cs="Arial" w:eastAsia="Arial" w:hAnsi="Arial"/>
          <w:sz w:val="18"/>
          <w:szCs w:val="18"/>
          <w:color w:val="0F0F0F"/>
        </w:rPr>
        <w:t xml:space="preserve"> </w:t>
      </w:r>
      <w:r>
        <w:rPr>
          <w:rFonts w:ascii="Arial" w:cs="Arial" w:eastAsia="Arial" w:hAnsi="Arial"/>
          <w:sz w:val="18"/>
          <w:szCs w:val="18"/>
          <w:color w:val="1F1F1F"/>
        </w:rPr>
        <w:t>E</w:t>
      </w:r>
      <w:r>
        <w:rPr>
          <w:rFonts w:ascii="Arial" w:cs="Arial" w:eastAsia="Arial" w:hAnsi="Arial"/>
          <w:sz w:val="18"/>
          <w:szCs w:val="18"/>
          <w:color w:val="1A1A1A"/>
        </w:rPr>
        <w:t>ZPAWN,</w:t>
      </w:r>
      <w:r>
        <w:rPr>
          <w:rFonts w:ascii="Arial" w:cs="Arial" w:eastAsia="Arial" w:hAnsi="Arial"/>
          <w:sz w:val="18"/>
          <w:szCs w:val="18"/>
          <w:color w:val="0F0F0F"/>
        </w:rPr>
        <w:t xml:space="preserve"> </w:t>
      </w:r>
      <w:r>
        <w:rPr>
          <w:rFonts w:ascii="Arial" w:cs="Arial" w:eastAsia="Arial" w:hAnsi="Arial"/>
          <w:sz w:val="18"/>
          <w:szCs w:val="18"/>
          <w:color w:val="262626"/>
        </w:rPr>
        <w:t>L.</w:t>
      </w:r>
      <w:r>
        <w:rPr>
          <w:rFonts w:ascii="Arial" w:cs="Arial" w:eastAsia="Arial" w:hAnsi="Arial"/>
          <w:sz w:val="18"/>
          <w:szCs w:val="18"/>
          <w:color w:val="181818"/>
        </w:rPr>
        <w:t>P.,</w:t>
      </w:r>
      <w:r>
        <w:rPr>
          <w:rFonts w:ascii="Arial" w:cs="Arial" w:eastAsia="Arial" w:hAnsi="Arial"/>
          <w:sz w:val="18"/>
          <w:szCs w:val="18"/>
          <w:color w:val="0F0F0F"/>
        </w:rPr>
        <w:t xml:space="preserve"> </w:t>
      </w:r>
      <w:r>
        <w:rPr>
          <w:rFonts w:ascii="Arial" w:cs="Arial" w:eastAsia="Arial" w:hAnsi="Arial"/>
          <w:sz w:val="18"/>
          <w:szCs w:val="18"/>
          <w:color w:val="1A1A1A"/>
        </w:rPr>
        <w:t>for</w:t>
      </w:r>
      <w:r>
        <w:rPr>
          <w:rFonts w:ascii="Arial" w:cs="Arial" w:eastAsia="Arial" w:hAnsi="Arial"/>
          <w:sz w:val="18"/>
          <w:szCs w:val="18"/>
          <w:color w:val="0F0F0F"/>
        </w:rPr>
        <w:t xml:space="preserve"> </w:t>
      </w:r>
      <w:r>
        <w:rPr>
          <w:rFonts w:ascii="Arial" w:cs="Arial" w:eastAsia="Arial" w:hAnsi="Arial"/>
          <w:sz w:val="18"/>
          <w:szCs w:val="18"/>
          <w:color w:val="181818"/>
        </w:rPr>
        <w:t>itself</w:t>
      </w:r>
      <w:r>
        <w:rPr>
          <w:rFonts w:ascii="Arial" w:cs="Arial" w:eastAsia="Arial" w:hAnsi="Arial"/>
          <w:sz w:val="18"/>
          <w:szCs w:val="18"/>
          <w:color w:val="0F0F0F"/>
        </w:rPr>
        <w:t xml:space="preserve"> </w:t>
      </w:r>
      <w:r>
        <w:rPr>
          <w:rFonts w:ascii="Arial" w:cs="Arial" w:eastAsia="Arial" w:hAnsi="Arial"/>
          <w:sz w:val="18"/>
          <w:szCs w:val="18"/>
          <w:color w:val="1A1A1A"/>
        </w:rPr>
        <w:t xml:space="preserve">and </w:t>
      </w:r>
      <w:r>
        <w:rPr>
          <w:rFonts w:ascii="Arial" w:cs="Arial" w:eastAsia="Arial" w:hAnsi="Arial"/>
          <w:sz w:val="18"/>
          <w:szCs w:val="18"/>
          <w:color w:val="282828"/>
        </w:rPr>
        <w:t>its</w:t>
      </w:r>
      <w:r>
        <w:rPr>
          <w:rFonts w:ascii="Arial" w:cs="Arial" w:eastAsia="Arial" w:hAnsi="Arial"/>
          <w:sz w:val="18"/>
          <w:szCs w:val="18"/>
          <w:color w:val="1A1A1A"/>
        </w:rPr>
        <w:t xml:space="preserve"> </w:t>
      </w:r>
      <w:r>
        <w:rPr>
          <w:rFonts w:ascii="Arial" w:cs="Arial" w:eastAsia="Arial" w:hAnsi="Arial"/>
          <w:sz w:val="18"/>
          <w:szCs w:val="18"/>
          <w:color w:val="111111"/>
        </w:rPr>
        <w:t>parent,</w:t>
      </w:r>
      <w:r>
        <w:rPr>
          <w:rFonts w:ascii="Arial" w:cs="Arial" w:eastAsia="Arial" w:hAnsi="Arial"/>
          <w:sz w:val="18"/>
          <w:szCs w:val="18"/>
          <w:color w:val="1A1A1A"/>
        </w:rPr>
        <w:t xml:space="preserve"> </w:t>
      </w:r>
      <w:r>
        <w:rPr>
          <w:rFonts w:ascii="Arial" w:cs="Arial" w:eastAsia="Arial" w:hAnsi="Arial"/>
          <w:sz w:val="18"/>
          <w:szCs w:val="18"/>
          <w:color w:val="0C0C0C"/>
        </w:rPr>
        <w:t>EZCORP,</w:t>
      </w:r>
      <w:r>
        <w:rPr>
          <w:rFonts w:ascii="Arial" w:cs="Arial" w:eastAsia="Arial" w:hAnsi="Arial"/>
          <w:sz w:val="18"/>
          <w:szCs w:val="18"/>
          <w:color w:val="1A1A1A"/>
        </w:rPr>
        <w:t xml:space="preserve"> </w:t>
      </w:r>
      <w:r>
        <w:rPr>
          <w:rFonts w:ascii="Arial" w:cs="Arial" w:eastAsia="Arial" w:hAnsi="Arial"/>
          <w:sz w:val="18"/>
          <w:szCs w:val="18"/>
          <w:color w:val="161616"/>
        </w:rPr>
        <w:t>Inc., and</w:t>
      </w:r>
      <w:r>
        <w:rPr>
          <w:rFonts w:ascii="Arial" w:cs="Arial" w:eastAsia="Arial" w:hAnsi="Arial"/>
          <w:sz w:val="18"/>
          <w:szCs w:val="18"/>
          <w:color w:val="1A1A1A"/>
        </w:rPr>
        <w:t xml:space="preserve"> </w:t>
      </w:r>
      <w:r>
        <w:rPr>
          <w:rFonts w:ascii="Arial" w:cs="Arial" w:eastAsia="Arial" w:hAnsi="Arial"/>
          <w:sz w:val="18"/>
          <w:szCs w:val="18"/>
          <w:color w:val="0C0C0C"/>
        </w:rPr>
        <w:t>affiliates</w:t>
      </w:r>
      <w:r>
        <w:rPr>
          <w:rFonts w:ascii="Arial" w:cs="Arial" w:eastAsia="Arial" w:hAnsi="Arial"/>
          <w:sz w:val="18"/>
          <w:szCs w:val="18"/>
          <w:color w:val="1A1A1A"/>
        </w:rPr>
        <w:t xml:space="preserve"> </w:t>
      </w:r>
      <w:r>
        <w:rPr>
          <w:rFonts w:ascii="Arial" w:cs="Arial" w:eastAsia="Arial" w:hAnsi="Arial"/>
          <w:sz w:val="18"/>
          <w:szCs w:val="18"/>
          <w:color w:val="0F0F0F"/>
        </w:rPr>
        <w:t>(collectively,</w:t>
      </w:r>
      <w:r>
        <w:rPr>
          <w:rFonts w:ascii="Arial" w:cs="Arial" w:eastAsia="Arial" w:hAnsi="Arial"/>
          <w:sz w:val="18"/>
          <w:szCs w:val="18"/>
          <w:color w:val="1A1A1A"/>
        </w:rPr>
        <w:t xml:space="preserve"> </w:t>
      </w:r>
      <w:r>
        <w:rPr>
          <w:rFonts w:ascii="Arial" w:cs="Arial" w:eastAsia="Arial" w:hAnsi="Arial"/>
          <w:sz w:val="18"/>
          <w:szCs w:val="18"/>
          <w:color w:val="212121"/>
        </w:rPr>
        <w:t>the</w:t>
      </w:r>
      <w:r>
        <w:rPr>
          <w:rFonts w:ascii="Arial" w:cs="Arial" w:eastAsia="Arial" w:hAnsi="Arial"/>
          <w:sz w:val="18"/>
          <w:szCs w:val="18"/>
          <w:color w:val="1A1A1A"/>
        </w:rPr>
        <w:t xml:space="preserve"> </w:t>
      </w:r>
      <w:r>
        <w:rPr>
          <w:rFonts w:ascii="Arial" w:cs="Arial" w:eastAsia="Arial" w:hAnsi="Arial"/>
          <w:sz w:val="18"/>
          <w:szCs w:val="18"/>
          <w:color w:val="0A0A0A"/>
        </w:rPr>
        <w:t>“</w:t>
      </w:r>
      <w:r>
        <w:rPr>
          <w:rFonts w:ascii="Arial" w:cs="Arial" w:eastAsia="Arial" w:hAnsi="Arial"/>
          <w:sz w:val="18"/>
          <w:szCs w:val="18"/>
          <w:b w:val="1"/>
          <w:bCs w:val="1"/>
          <w:i w:val="1"/>
          <w:iCs w:val="1"/>
          <w:color w:val="0A0A0A"/>
        </w:rPr>
        <w:t>Company</w:t>
      </w:r>
      <w:r>
        <w:rPr>
          <w:rFonts w:ascii="Arial" w:cs="Arial" w:eastAsia="Arial" w:hAnsi="Arial"/>
          <w:sz w:val="18"/>
          <w:szCs w:val="18"/>
          <w:color w:val="0A0A0A"/>
        </w:rPr>
        <w:t>"),</w:t>
      </w:r>
      <w:r>
        <w:rPr>
          <w:rFonts w:ascii="Arial" w:cs="Arial" w:eastAsia="Arial" w:hAnsi="Arial"/>
          <w:sz w:val="18"/>
          <w:szCs w:val="18"/>
          <w:color w:val="1A1A1A"/>
        </w:rPr>
        <w:t xml:space="preserve"> and Daniel M. Chism </w:t>
      </w:r>
      <w:r>
        <w:rPr>
          <w:rFonts w:ascii="Arial" w:cs="Arial" w:eastAsia="Arial" w:hAnsi="Arial"/>
          <w:sz w:val="18"/>
          <w:szCs w:val="18"/>
          <w:color w:val="000000"/>
        </w:rPr>
        <w:t>(“</w:t>
      </w:r>
      <w:r>
        <w:rPr>
          <w:rFonts w:ascii="Arial" w:cs="Arial" w:eastAsia="Arial" w:hAnsi="Arial"/>
          <w:sz w:val="18"/>
          <w:szCs w:val="18"/>
          <w:b w:val="1"/>
          <w:bCs w:val="1"/>
          <w:i w:val="1"/>
          <w:iCs w:val="1"/>
          <w:color w:val="000000"/>
        </w:rPr>
        <w:t>Executive</w:t>
      </w:r>
      <w:r>
        <w:rPr>
          <w:rFonts w:ascii="Arial" w:cs="Arial" w:eastAsia="Arial" w:hAnsi="Arial"/>
          <w:sz w:val="18"/>
          <w:szCs w:val="18"/>
          <w:color w:val="000000"/>
        </w:rPr>
        <w:t>”)</w:t>
      </w:r>
      <w:r>
        <w:rPr>
          <w:rFonts w:ascii="Arial" w:cs="Arial" w:eastAsia="Arial" w:hAnsi="Arial"/>
          <w:sz w:val="18"/>
          <w:szCs w:val="18"/>
          <w:color w:val="1A1A1A"/>
        </w:rPr>
        <w:t xml:space="preserve"> </w:t>
      </w:r>
      <w:r>
        <w:rPr>
          <w:rFonts w:ascii="Arial" w:cs="Arial" w:eastAsia="Arial" w:hAnsi="Arial"/>
          <w:sz w:val="18"/>
          <w:szCs w:val="18"/>
          <w:color w:val="0E0E0E"/>
        </w:rPr>
        <w:t>regarding</w:t>
      </w:r>
      <w:r>
        <w:rPr>
          <w:rFonts w:ascii="Arial" w:cs="Arial" w:eastAsia="Arial" w:hAnsi="Arial"/>
          <w:sz w:val="18"/>
          <w:szCs w:val="18"/>
          <w:color w:val="1A1A1A"/>
        </w:rPr>
        <w:t xml:space="preserve"> </w:t>
      </w:r>
      <w:r>
        <w:rPr>
          <w:rFonts w:ascii="Arial" w:cs="Arial" w:eastAsia="Arial" w:hAnsi="Arial"/>
          <w:sz w:val="18"/>
          <w:szCs w:val="18"/>
          <w:color w:val="131313"/>
        </w:rPr>
        <w:t>Executive’s</w:t>
      </w:r>
      <w:r>
        <w:rPr>
          <w:rFonts w:ascii="Arial" w:cs="Arial" w:eastAsia="Arial" w:hAnsi="Arial"/>
          <w:sz w:val="18"/>
          <w:szCs w:val="18"/>
          <w:color w:val="1A1A1A"/>
        </w:rPr>
        <w:t xml:space="preserve"> </w:t>
      </w:r>
      <w:r>
        <w:rPr>
          <w:rFonts w:ascii="Arial" w:cs="Arial" w:eastAsia="Arial" w:hAnsi="Arial"/>
          <w:sz w:val="18"/>
          <w:szCs w:val="18"/>
          <w:color w:val="1C1C1C"/>
        </w:rPr>
        <w:t>separation</w:t>
      </w:r>
      <w:r>
        <w:rPr>
          <w:rFonts w:ascii="Arial" w:cs="Arial" w:eastAsia="Arial" w:hAnsi="Arial"/>
          <w:sz w:val="18"/>
          <w:szCs w:val="18"/>
          <w:color w:val="1A1A1A"/>
        </w:rPr>
        <w:t xml:space="preserve"> </w:t>
      </w:r>
      <w:r>
        <w:rPr>
          <w:rFonts w:ascii="Arial" w:cs="Arial" w:eastAsia="Arial" w:hAnsi="Arial"/>
          <w:sz w:val="18"/>
          <w:szCs w:val="18"/>
          <w:color w:val="111111"/>
        </w:rPr>
        <w:t>from</w:t>
      </w:r>
      <w:r>
        <w:rPr>
          <w:rFonts w:ascii="Arial" w:cs="Arial" w:eastAsia="Arial" w:hAnsi="Arial"/>
          <w:sz w:val="18"/>
          <w:szCs w:val="18"/>
          <w:color w:val="1A1A1A"/>
        </w:rPr>
        <w:t xml:space="preserve"> </w:t>
      </w:r>
      <w:r>
        <w:rPr>
          <w:rFonts w:ascii="Arial" w:cs="Arial" w:eastAsia="Arial" w:hAnsi="Arial"/>
          <w:sz w:val="18"/>
          <w:szCs w:val="18"/>
          <w:color w:val="0A0A0A"/>
        </w:rPr>
        <w:t xml:space="preserve">employment </w:t>
      </w:r>
      <w:r>
        <w:rPr>
          <w:rFonts w:ascii="Arial" w:cs="Arial" w:eastAsia="Arial" w:hAnsi="Arial"/>
          <w:sz w:val="18"/>
          <w:szCs w:val="18"/>
          <w:color w:val="181818"/>
        </w:rPr>
        <w:t>with</w:t>
      </w:r>
      <w:r>
        <w:rPr>
          <w:rFonts w:ascii="Arial" w:cs="Arial" w:eastAsia="Arial" w:hAnsi="Arial"/>
          <w:sz w:val="18"/>
          <w:szCs w:val="18"/>
          <w:color w:val="0A0A0A"/>
        </w:rPr>
        <w:t xml:space="preserve"> </w:t>
      </w:r>
      <w:r>
        <w:rPr>
          <w:rFonts w:ascii="Arial" w:cs="Arial" w:eastAsia="Arial" w:hAnsi="Arial"/>
          <w:sz w:val="18"/>
          <w:szCs w:val="18"/>
          <w:color w:val="232323"/>
        </w:rPr>
        <w:t>the</w:t>
      </w:r>
      <w:r>
        <w:rPr>
          <w:rFonts w:ascii="Arial" w:cs="Arial" w:eastAsia="Arial" w:hAnsi="Arial"/>
          <w:sz w:val="18"/>
          <w:szCs w:val="18"/>
          <w:color w:val="0A0A0A"/>
        </w:rPr>
        <w:t xml:space="preserve"> </w:t>
      </w:r>
      <w:r>
        <w:rPr>
          <w:rFonts w:ascii="Arial" w:cs="Arial" w:eastAsia="Arial" w:hAnsi="Arial"/>
          <w:sz w:val="18"/>
          <w:szCs w:val="18"/>
          <w:color w:val="131313"/>
        </w:rPr>
        <w:t>Company.</w:t>
      </w:r>
    </w:p>
    <w:p>
      <w:pPr>
        <w:spacing w:after="0" w:line="184" w:lineRule="exact"/>
        <w:rPr>
          <w:sz w:val="20"/>
          <w:szCs w:val="20"/>
          <w:color w:val="auto"/>
        </w:rPr>
      </w:pPr>
    </w:p>
    <w:p>
      <w:pPr>
        <w:ind w:left="660" w:right="20" w:hanging="652"/>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111111"/>
        </w:rPr>
        <w:t xml:space="preserve">Termination </w:t>
      </w:r>
      <w:r>
        <w:rPr>
          <w:rFonts w:ascii="Arial" w:cs="Arial" w:eastAsia="Arial" w:hAnsi="Arial"/>
          <w:sz w:val="18"/>
          <w:szCs w:val="18"/>
          <w:b w:val="1"/>
          <w:bCs w:val="1"/>
          <w:i w:val="1"/>
          <w:iCs w:val="1"/>
          <w:color w:val="1A1A1A"/>
        </w:rPr>
        <w:t>of Employment</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81818"/>
        </w:rPr>
        <w:t>-</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232323"/>
        </w:rPr>
        <w:t>The</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C1C1C"/>
        </w:rPr>
        <w:t>Company</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212121"/>
        </w:rPr>
        <w:t>and</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11111"/>
        </w:rPr>
        <w:t>Executive</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080808"/>
        </w:rPr>
        <w:t>acknowledge</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A1A1A"/>
        </w:rPr>
        <w:t>that</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0C0C0C"/>
        </w:rPr>
        <w:t>Executive’s</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0F0F0F"/>
        </w:rPr>
        <w:t>employment</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81818"/>
        </w:rPr>
        <w:t>with</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C1C1C"/>
        </w:rPr>
        <w:t>the</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31313"/>
        </w:rPr>
        <w:t>Company,</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81818"/>
        </w:rPr>
        <w:t>and his position</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0C0C0C"/>
        </w:rPr>
        <w:t>as</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D1D1D"/>
        </w:rPr>
        <w:t>the</w:t>
      </w:r>
      <w:r>
        <w:rPr>
          <w:rFonts w:ascii="Arial" w:cs="Arial" w:eastAsia="Arial" w:hAnsi="Arial"/>
          <w:sz w:val="18"/>
          <w:szCs w:val="18"/>
          <w:b w:val="1"/>
          <w:bCs w:val="1"/>
          <w:i w:val="1"/>
          <w:iCs w:val="1"/>
          <w:color w:val="111111"/>
        </w:rPr>
        <w:t xml:space="preserve"> </w:t>
      </w:r>
      <w:r>
        <w:rPr>
          <w:rFonts w:ascii="Arial" w:cs="Arial" w:eastAsia="Arial" w:hAnsi="Arial"/>
          <w:sz w:val="18"/>
          <w:szCs w:val="18"/>
          <w:color w:val="161616"/>
        </w:rPr>
        <w:t xml:space="preserve">Company’s Chief Financial Officer, will </w:t>
      </w:r>
      <w:r>
        <w:rPr>
          <w:rFonts w:ascii="Arial" w:cs="Arial" w:eastAsia="Arial" w:hAnsi="Arial"/>
          <w:sz w:val="18"/>
          <w:szCs w:val="18"/>
          <w:color w:val="232323"/>
        </w:rPr>
        <w:t>terminate</w:t>
      </w:r>
      <w:r>
        <w:rPr>
          <w:rFonts w:ascii="Arial" w:cs="Arial" w:eastAsia="Arial" w:hAnsi="Arial"/>
          <w:sz w:val="18"/>
          <w:szCs w:val="18"/>
          <w:color w:val="161616"/>
        </w:rPr>
        <w:t xml:space="preserve"> effective February 28, </w:t>
      </w:r>
      <w:r>
        <w:rPr>
          <w:rFonts w:ascii="Arial" w:cs="Arial" w:eastAsia="Arial" w:hAnsi="Arial"/>
          <w:sz w:val="18"/>
          <w:szCs w:val="18"/>
          <w:color w:val="151515"/>
        </w:rPr>
        <w:t>2020</w:t>
      </w:r>
      <w:r>
        <w:rPr>
          <w:rFonts w:ascii="Arial" w:cs="Arial" w:eastAsia="Arial" w:hAnsi="Arial"/>
          <w:sz w:val="18"/>
          <w:szCs w:val="18"/>
          <w:color w:val="161616"/>
        </w:rPr>
        <w:t xml:space="preserve"> </w:t>
      </w:r>
      <w:r>
        <w:rPr>
          <w:rFonts w:ascii="Arial" w:cs="Arial" w:eastAsia="Arial" w:hAnsi="Arial"/>
          <w:sz w:val="18"/>
          <w:szCs w:val="18"/>
          <w:color w:val="181818"/>
        </w:rPr>
        <w:t>(the</w:t>
      </w:r>
      <w:r>
        <w:rPr>
          <w:rFonts w:ascii="Arial" w:cs="Arial" w:eastAsia="Arial" w:hAnsi="Arial"/>
          <w:sz w:val="18"/>
          <w:szCs w:val="18"/>
          <w:color w:val="161616"/>
        </w:rPr>
        <w:t xml:space="preserve"> </w:t>
      </w:r>
      <w:r>
        <w:rPr>
          <w:rFonts w:ascii="Arial" w:cs="Arial" w:eastAsia="Arial" w:hAnsi="Arial"/>
          <w:sz w:val="18"/>
          <w:szCs w:val="18"/>
          <w:b w:val="1"/>
          <w:bCs w:val="1"/>
          <w:color w:val="161616"/>
        </w:rPr>
        <w:t>"</w:t>
      </w:r>
      <w:r>
        <w:rPr>
          <w:rFonts w:ascii="Arial" w:cs="Arial" w:eastAsia="Arial" w:hAnsi="Arial"/>
          <w:sz w:val="18"/>
          <w:szCs w:val="18"/>
          <w:b w:val="1"/>
          <w:bCs w:val="1"/>
          <w:i w:val="1"/>
          <w:iCs w:val="1"/>
          <w:color w:val="000000"/>
        </w:rPr>
        <w:t>Termination</w:t>
      </w:r>
      <w:r>
        <w:rPr>
          <w:rFonts w:ascii="Arial" w:cs="Arial" w:eastAsia="Arial" w:hAnsi="Arial"/>
          <w:sz w:val="18"/>
          <w:szCs w:val="18"/>
          <w:color w:val="161616"/>
        </w:rPr>
        <w:t xml:space="preserve"> </w:t>
      </w:r>
      <w:r>
        <w:rPr>
          <w:rFonts w:ascii="Arial" w:cs="Arial" w:eastAsia="Arial" w:hAnsi="Arial"/>
          <w:sz w:val="18"/>
          <w:szCs w:val="18"/>
          <w:b w:val="1"/>
          <w:bCs w:val="1"/>
          <w:i w:val="1"/>
          <w:iCs w:val="1"/>
          <w:color w:val="0F0F0F"/>
        </w:rPr>
        <w:t>Date</w:t>
      </w:r>
      <w:r>
        <w:rPr>
          <w:rFonts w:ascii="Arial" w:cs="Arial" w:eastAsia="Arial" w:hAnsi="Arial"/>
          <w:sz w:val="18"/>
          <w:szCs w:val="18"/>
          <w:b w:val="1"/>
          <w:bCs w:val="1"/>
          <w:color w:val="0F0F0F"/>
        </w:rPr>
        <w:t>").</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0A0A0A"/>
        </w:rPr>
        <w:t xml:space="preserve">Severance </w:t>
      </w:r>
      <w:r>
        <w:rPr>
          <w:rFonts w:ascii="Arial" w:cs="Arial" w:eastAsia="Arial" w:hAnsi="Arial"/>
          <w:sz w:val="18"/>
          <w:szCs w:val="18"/>
          <w:b w:val="1"/>
          <w:bCs w:val="1"/>
          <w:i w:val="1"/>
          <w:iCs w:val="1"/>
          <w:color w:val="161616"/>
        </w:rPr>
        <w:t>Benefits</w:t>
      </w:r>
      <w:r>
        <w:rPr>
          <w:rFonts w:ascii="Arial" w:cs="Arial" w:eastAsia="Arial" w:hAnsi="Arial"/>
          <w:sz w:val="18"/>
          <w:szCs w:val="18"/>
          <w:b w:val="1"/>
          <w:bCs w:val="1"/>
          <w:i w:val="1"/>
          <w:iCs w:val="1"/>
          <w:color w:val="0A0A0A"/>
        </w:rPr>
        <w:t xml:space="preserve"> </w:t>
      </w:r>
      <w:r>
        <w:rPr>
          <w:rFonts w:ascii="Arial" w:cs="Arial" w:eastAsia="Arial" w:hAnsi="Arial"/>
          <w:sz w:val="18"/>
          <w:szCs w:val="18"/>
          <w:color w:val="1C1C1C"/>
        </w:rPr>
        <w:t>-</w:t>
      </w:r>
      <w:r>
        <w:rPr>
          <w:rFonts w:ascii="Arial" w:cs="Arial" w:eastAsia="Arial" w:hAnsi="Arial"/>
          <w:sz w:val="18"/>
          <w:szCs w:val="18"/>
          <w:b w:val="1"/>
          <w:bCs w:val="1"/>
          <w:i w:val="1"/>
          <w:iCs w:val="1"/>
          <w:color w:val="0A0A0A"/>
        </w:rPr>
        <w:t xml:space="preserve"> </w:t>
      </w:r>
      <w:r>
        <w:rPr>
          <w:rFonts w:ascii="Arial" w:cs="Arial" w:eastAsia="Arial" w:hAnsi="Arial"/>
          <w:sz w:val="18"/>
          <w:szCs w:val="18"/>
          <w:color w:val="1F1F1F"/>
        </w:rPr>
        <w:t>In</w:t>
      </w:r>
      <w:r>
        <w:rPr>
          <w:rFonts w:ascii="Arial" w:cs="Arial" w:eastAsia="Arial" w:hAnsi="Arial"/>
          <w:sz w:val="18"/>
          <w:szCs w:val="18"/>
          <w:b w:val="1"/>
          <w:bCs w:val="1"/>
          <w:i w:val="1"/>
          <w:iCs w:val="1"/>
          <w:color w:val="0A0A0A"/>
        </w:rPr>
        <w:t xml:space="preserve"> </w:t>
      </w:r>
      <w:r>
        <w:rPr>
          <w:rFonts w:ascii="Arial" w:cs="Arial" w:eastAsia="Arial" w:hAnsi="Arial"/>
          <w:sz w:val="18"/>
          <w:szCs w:val="18"/>
          <w:color w:val="1C1C1C"/>
        </w:rPr>
        <w:t>connection</w:t>
      </w:r>
      <w:r>
        <w:rPr>
          <w:rFonts w:ascii="Arial" w:cs="Arial" w:eastAsia="Arial" w:hAnsi="Arial"/>
          <w:sz w:val="18"/>
          <w:szCs w:val="18"/>
          <w:b w:val="1"/>
          <w:bCs w:val="1"/>
          <w:i w:val="1"/>
          <w:iCs w:val="1"/>
          <w:color w:val="0A0A0A"/>
        </w:rPr>
        <w:t xml:space="preserve"> </w:t>
      </w:r>
      <w:r>
        <w:rPr>
          <w:rFonts w:ascii="Arial" w:cs="Arial" w:eastAsia="Arial" w:hAnsi="Arial"/>
          <w:sz w:val="18"/>
          <w:szCs w:val="18"/>
          <w:color w:val="181818"/>
        </w:rPr>
        <w:t>with</w:t>
      </w:r>
      <w:r>
        <w:rPr>
          <w:rFonts w:ascii="Arial" w:cs="Arial" w:eastAsia="Arial" w:hAnsi="Arial"/>
          <w:sz w:val="18"/>
          <w:szCs w:val="18"/>
          <w:b w:val="1"/>
          <w:bCs w:val="1"/>
          <w:i w:val="1"/>
          <w:iCs w:val="1"/>
          <w:color w:val="0A0A0A"/>
        </w:rPr>
        <w:t xml:space="preserve"> </w:t>
      </w:r>
      <w:r>
        <w:rPr>
          <w:rFonts w:ascii="Arial" w:cs="Arial" w:eastAsia="Arial" w:hAnsi="Arial"/>
          <w:sz w:val="18"/>
          <w:szCs w:val="18"/>
          <w:color w:val="1A1A1A"/>
        </w:rPr>
        <w:t>Executive’s</w:t>
      </w:r>
      <w:r>
        <w:rPr>
          <w:rFonts w:ascii="Arial" w:cs="Arial" w:eastAsia="Arial" w:hAnsi="Arial"/>
          <w:sz w:val="18"/>
          <w:szCs w:val="18"/>
          <w:b w:val="1"/>
          <w:bCs w:val="1"/>
          <w:i w:val="1"/>
          <w:iCs w:val="1"/>
          <w:color w:val="0A0A0A"/>
        </w:rPr>
        <w:t xml:space="preserve"> </w:t>
      </w:r>
      <w:r>
        <w:rPr>
          <w:rFonts w:ascii="Arial" w:cs="Arial" w:eastAsia="Arial" w:hAnsi="Arial"/>
          <w:sz w:val="18"/>
          <w:szCs w:val="18"/>
          <w:color w:val="161616"/>
        </w:rPr>
        <w:t>termination</w:t>
      </w:r>
      <w:r>
        <w:rPr>
          <w:rFonts w:ascii="Arial" w:cs="Arial" w:eastAsia="Arial" w:hAnsi="Arial"/>
          <w:sz w:val="18"/>
          <w:szCs w:val="18"/>
          <w:b w:val="1"/>
          <w:bCs w:val="1"/>
          <w:i w:val="1"/>
          <w:iCs w:val="1"/>
          <w:color w:val="0A0A0A"/>
        </w:rPr>
        <w:t xml:space="preserve"> </w:t>
      </w:r>
      <w:r>
        <w:rPr>
          <w:rFonts w:ascii="Arial" w:cs="Arial" w:eastAsia="Arial" w:hAnsi="Arial"/>
          <w:sz w:val="18"/>
          <w:szCs w:val="18"/>
          <w:color w:val="212121"/>
        </w:rPr>
        <w:t>of</w:t>
      </w:r>
      <w:r>
        <w:rPr>
          <w:rFonts w:ascii="Arial" w:cs="Arial" w:eastAsia="Arial" w:hAnsi="Arial"/>
          <w:sz w:val="18"/>
          <w:szCs w:val="18"/>
          <w:b w:val="1"/>
          <w:bCs w:val="1"/>
          <w:i w:val="1"/>
          <w:iCs w:val="1"/>
          <w:color w:val="0A0A0A"/>
        </w:rPr>
        <w:t xml:space="preserve"> </w:t>
      </w:r>
      <w:r>
        <w:rPr>
          <w:rFonts w:ascii="Arial" w:cs="Arial" w:eastAsia="Arial" w:hAnsi="Arial"/>
          <w:sz w:val="18"/>
          <w:szCs w:val="18"/>
          <w:color w:val="1C1C1C"/>
        </w:rPr>
        <w:t>employment</w:t>
      </w:r>
      <w:r>
        <w:rPr>
          <w:rFonts w:ascii="Arial" w:cs="Arial" w:eastAsia="Arial" w:hAnsi="Arial"/>
          <w:sz w:val="18"/>
          <w:szCs w:val="18"/>
          <w:b w:val="1"/>
          <w:bCs w:val="1"/>
          <w:i w:val="1"/>
          <w:iCs w:val="1"/>
          <w:color w:val="0A0A0A"/>
        </w:rPr>
        <w:t xml:space="preserve"> </w:t>
      </w:r>
      <w:r>
        <w:rPr>
          <w:rFonts w:ascii="Arial" w:cs="Arial" w:eastAsia="Arial" w:hAnsi="Arial"/>
          <w:sz w:val="18"/>
          <w:szCs w:val="18"/>
          <w:color w:val="1F1F1F"/>
        </w:rPr>
        <w:t>with the</w:t>
      </w:r>
      <w:r>
        <w:rPr>
          <w:rFonts w:ascii="Arial" w:cs="Arial" w:eastAsia="Arial" w:hAnsi="Arial"/>
          <w:sz w:val="18"/>
          <w:szCs w:val="18"/>
          <w:b w:val="1"/>
          <w:bCs w:val="1"/>
          <w:i w:val="1"/>
          <w:iCs w:val="1"/>
          <w:color w:val="0A0A0A"/>
        </w:rPr>
        <w:t xml:space="preserve"> </w:t>
      </w:r>
      <w:r>
        <w:rPr>
          <w:rFonts w:ascii="Arial" w:cs="Arial" w:eastAsia="Arial" w:hAnsi="Arial"/>
          <w:sz w:val="18"/>
          <w:szCs w:val="18"/>
          <w:color w:val="111111"/>
        </w:rPr>
        <w:t>Company,</w:t>
      </w:r>
      <w:r>
        <w:rPr>
          <w:rFonts w:ascii="Arial" w:cs="Arial" w:eastAsia="Arial" w:hAnsi="Arial"/>
          <w:sz w:val="18"/>
          <w:szCs w:val="18"/>
          <w:b w:val="1"/>
          <w:bCs w:val="1"/>
          <w:i w:val="1"/>
          <w:iCs w:val="1"/>
          <w:color w:val="0A0A0A"/>
        </w:rPr>
        <w:t xml:space="preserve"> </w:t>
      </w:r>
      <w:r>
        <w:rPr>
          <w:rFonts w:ascii="Arial" w:cs="Arial" w:eastAsia="Arial" w:hAnsi="Arial"/>
          <w:sz w:val="18"/>
          <w:szCs w:val="18"/>
          <w:color w:val="262626"/>
        </w:rPr>
        <w:t>the</w:t>
      </w:r>
      <w:r>
        <w:rPr>
          <w:rFonts w:ascii="Arial" w:cs="Arial" w:eastAsia="Arial" w:hAnsi="Arial"/>
          <w:sz w:val="18"/>
          <w:szCs w:val="18"/>
          <w:b w:val="1"/>
          <w:bCs w:val="1"/>
          <w:i w:val="1"/>
          <w:iCs w:val="1"/>
          <w:color w:val="0A0A0A"/>
        </w:rPr>
        <w:t xml:space="preserve"> </w:t>
      </w:r>
      <w:r>
        <w:rPr>
          <w:rFonts w:ascii="Arial" w:cs="Arial" w:eastAsia="Arial" w:hAnsi="Arial"/>
          <w:sz w:val="18"/>
          <w:szCs w:val="18"/>
          <w:color w:val="212121"/>
        </w:rPr>
        <w:t>Company</w:t>
      </w:r>
      <w:r>
        <w:rPr>
          <w:rFonts w:ascii="Arial" w:cs="Arial" w:eastAsia="Arial" w:hAnsi="Arial"/>
          <w:sz w:val="18"/>
          <w:szCs w:val="18"/>
          <w:b w:val="1"/>
          <w:bCs w:val="1"/>
          <w:i w:val="1"/>
          <w:iCs w:val="1"/>
          <w:color w:val="0A0A0A"/>
        </w:rPr>
        <w:t xml:space="preserve"> </w:t>
      </w:r>
      <w:r>
        <w:rPr>
          <w:rFonts w:ascii="Arial" w:cs="Arial" w:eastAsia="Arial" w:hAnsi="Arial"/>
          <w:sz w:val="18"/>
          <w:szCs w:val="18"/>
          <w:color w:val="242424"/>
        </w:rPr>
        <w:t>will</w:t>
      </w:r>
      <w:r>
        <w:rPr>
          <w:rFonts w:ascii="Arial" w:cs="Arial" w:eastAsia="Arial" w:hAnsi="Arial"/>
          <w:sz w:val="18"/>
          <w:szCs w:val="18"/>
          <w:b w:val="1"/>
          <w:bCs w:val="1"/>
          <w:i w:val="1"/>
          <w:iCs w:val="1"/>
          <w:color w:val="0A0A0A"/>
        </w:rPr>
        <w:t xml:space="preserve"> </w:t>
      </w:r>
      <w:r>
        <w:rPr>
          <w:rFonts w:ascii="Arial" w:cs="Arial" w:eastAsia="Arial" w:hAnsi="Arial"/>
          <w:sz w:val="18"/>
          <w:szCs w:val="18"/>
          <w:color w:val="232323"/>
        </w:rPr>
        <w:t>provide</w:t>
      </w:r>
      <w:r>
        <w:rPr>
          <w:rFonts w:ascii="Arial" w:cs="Arial" w:eastAsia="Arial" w:hAnsi="Arial"/>
          <w:sz w:val="18"/>
          <w:szCs w:val="18"/>
          <w:b w:val="1"/>
          <w:bCs w:val="1"/>
          <w:i w:val="1"/>
          <w:iCs w:val="1"/>
          <w:color w:val="0A0A0A"/>
        </w:rPr>
        <w:t xml:space="preserve"> </w:t>
      </w:r>
      <w:r>
        <w:rPr>
          <w:rFonts w:ascii="Arial" w:cs="Arial" w:eastAsia="Arial" w:hAnsi="Arial"/>
          <w:sz w:val="18"/>
          <w:szCs w:val="18"/>
          <w:color w:val="1A1A1A"/>
        </w:rPr>
        <w:t>Executive</w:t>
      </w:r>
      <w:r>
        <w:rPr>
          <w:rFonts w:ascii="Arial" w:cs="Arial" w:eastAsia="Arial" w:hAnsi="Arial"/>
          <w:sz w:val="18"/>
          <w:szCs w:val="18"/>
          <w:b w:val="1"/>
          <w:bCs w:val="1"/>
          <w:i w:val="1"/>
          <w:iCs w:val="1"/>
          <w:color w:val="0A0A0A"/>
        </w:rPr>
        <w:t xml:space="preserve"> </w:t>
      </w:r>
      <w:r>
        <w:rPr>
          <w:rFonts w:ascii="Arial" w:cs="Arial" w:eastAsia="Arial" w:hAnsi="Arial"/>
          <w:sz w:val="18"/>
          <w:szCs w:val="18"/>
          <w:color w:val="1F1F1F"/>
        </w:rPr>
        <w:t>with</w:t>
      </w:r>
      <w:r>
        <w:rPr>
          <w:rFonts w:ascii="Arial" w:cs="Arial" w:eastAsia="Arial" w:hAnsi="Arial"/>
          <w:sz w:val="18"/>
          <w:szCs w:val="18"/>
          <w:b w:val="1"/>
          <w:bCs w:val="1"/>
          <w:i w:val="1"/>
          <w:iCs w:val="1"/>
          <w:color w:val="0A0A0A"/>
        </w:rPr>
        <w:t xml:space="preserve"> </w:t>
      </w:r>
      <w:r>
        <w:rPr>
          <w:rFonts w:ascii="Arial" w:cs="Arial" w:eastAsia="Arial" w:hAnsi="Arial"/>
          <w:sz w:val="18"/>
          <w:szCs w:val="18"/>
          <w:color w:val="0C0C0C"/>
        </w:rPr>
        <w:t>the</w:t>
      </w:r>
      <w:r>
        <w:rPr>
          <w:rFonts w:ascii="Arial" w:cs="Arial" w:eastAsia="Arial" w:hAnsi="Arial"/>
          <w:sz w:val="18"/>
          <w:szCs w:val="18"/>
          <w:b w:val="1"/>
          <w:bCs w:val="1"/>
          <w:i w:val="1"/>
          <w:iCs w:val="1"/>
          <w:color w:val="0A0A0A"/>
        </w:rPr>
        <w:t xml:space="preserve"> </w:t>
      </w:r>
      <w:r>
        <w:rPr>
          <w:rFonts w:ascii="Arial" w:cs="Arial" w:eastAsia="Arial" w:hAnsi="Arial"/>
          <w:sz w:val="18"/>
          <w:szCs w:val="18"/>
          <w:color w:val="0A0A0A"/>
        </w:rPr>
        <w:t xml:space="preserve">following </w:t>
      </w:r>
      <w:r>
        <w:rPr>
          <w:rFonts w:ascii="Arial" w:cs="Arial" w:eastAsia="Arial" w:hAnsi="Arial"/>
          <w:sz w:val="18"/>
          <w:szCs w:val="18"/>
          <w:color w:val="070707"/>
        </w:rPr>
        <w:t>severance</w:t>
      </w:r>
      <w:r>
        <w:rPr>
          <w:rFonts w:ascii="Arial" w:cs="Arial" w:eastAsia="Arial" w:hAnsi="Arial"/>
          <w:sz w:val="18"/>
          <w:szCs w:val="18"/>
          <w:color w:val="0A0A0A"/>
        </w:rPr>
        <w:t xml:space="preserve"> </w:t>
      </w:r>
      <w:r>
        <w:rPr>
          <w:rFonts w:ascii="Arial" w:cs="Arial" w:eastAsia="Arial" w:hAnsi="Arial"/>
          <w:sz w:val="18"/>
          <w:szCs w:val="18"/>
          <w:color w:val="0F0F0F"/>
        </w:rPr>
        <w:t>benefits:</w:t>
      </w:r>
    </w:p>
    <w:p>
      <w:pPr>
        <w:spacing w:after="0" w:line="170" w:lineRule="exact"/>
        <w:rPr>
          <w:rFonts w:ascii="Arial" w:cs="Arial" w:eastAsia="Arial" w:hAnsi="Arial"/>
          <w:sz w:val="18"/>
          <w:szCs w:val="18"/>
          <w:color w:val="auto"/>
        </w:rPr>
      </w:pPr>
    </w:p>
    <w:p>
      <w:pPr>
        <w:ind w:left="1300" w:right="140" w:hanging="644"/>
        <w:spacing w:after="0" w:line="263"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181818"/>
        </w:rPr>
        <w:t xml:space="preserve">Severance </w:t>
      </w:r>
      <w:r>
        <w:rPr>
          <w:rFonts w:ascii="Arial" w:cs="Arial" w:eastAsia="Arial" w:hAnsi="Arial"/>
          <w:sz w:val="18"/>
          <w:szCs w:val="18"/>
          <w:i w:val="1"/>
          <w:iCs w:val="1"/>
          <w:color w:val="0C0C0C"/>
        </w:rPr>
        <w:t>Payment</w:t>
      </w:r>
      <w:r>
        <w:rPr>
          <w:rFonts w:ascii="Arial" w:cs="Arial" w:eastAsia="Arial" w:hAnsi="Arial"/>
          <w:sz w:val="18"/>
          <w:szCs w:val="18"/>
          <w:i w:val="1"/>
          <w:iCs w:val="1"/>
          <w:color w:val="181818"/>
        </w:rPr>
        <w:t xml:space="preserve"> </w:t>
      </w:r>
      <w:r>
        <w:rPr>
          <w:rFonts w:ascii="Arial" w:cs="Arial" w:eastAsia="Arial" w:hAnsi="Arial"/>
          <w:sz w:val="18"/>
          <w:szCs w:val="18"/>
          <w:color w:val="333333"/>
        </w:rPr>
        <w:t>-</w:t>
      </w:r>
      <w:r>
        <w:rPr>
          <w:rFonts w:ascii="Arial" w:cs="Arial" w:eastAsia="Arial" w:hAnsi="Arial"/>
          <w:sz w:val="18"/>
          <w:szCs w:val="18"/>
          <w:i w:val="1"/>
          <w:iCs w:val="1"/>
          <w:color w:val="181818"/>
        </w:rPr>
        <w:t xml:space="preserve"> </w:t>
      </w:r>
      <w:r>
        <w:rPr>
          <w:rFonts w:ascii="Arial" w:cs="Arial" w:eastAsia="Arial" w:hAnsi="Arial"/>
          <w:sz w:val="18"/>
          <w:szCs w:val="18"/>
          <w:color w:val="212121"/>
        </w:rPr>
        <w:t>The</w:t>
      </w:r>
      <w:r>
        <w:rPr>
          <w:rFonts w:ascii="Arial" w:cs="Arial" w:eastAsia="Arial" w:hAnsi="Arial"/>
          <w:sz w:val="18"/>
          <w:szCs w:val="18"/>
          <w:i w:val="1"/>
          <w:iCs w:val="1"/>
          <w:color w:val="181818"/>
        </w:rPr>
        <w:t xml:space="preserve"> </w:t>
      </w:r>
      <w:r>
        <w:rPr>
          <w:rFonts w:ascii="Arial" w:cs="Arial" w:eastAsia="Arial" w:hAnsi="Arial"/>
          <w:sz w:val="18"/>
          <w:szCs w:val="18"/>
          <w:color w:val="0F0F0F"/>
        </w:rPr>
        <w:t>Company</w:t>
      </w:r>
      <w:r>
        <w:rPr>
          <w:rFonts w:ascii="Arial" w:cs="Arial" w:eastAsia="Arial" w:hAnsi="Arial"/>
          <w:sz w:val="18"/>
          <w:szCs w:val="18"/>
          <w:i w:val="1"/>
          <w:iCs w:val="1"/>
          <w:color w:val="181818"/>
        </w:rPr>
        <w:t xml:space="preserve"> </w:t>
      </w:r>
      <w:r>
        <w:rPr>
          <w:rFonts w:ascii="Arial" w:cs="Arial" w:eastAsia="Arial" w:hAnsi="Arial"/>
          <w:sz w:val="18"/>
          <w:szCs w:val="18"/>
          <w:color w:val="181818"/>
        </w:rPr>
        <w:t>will</w:t>
      </w:r>
      <w:r>
        <w:rPr>
          <w:rFonts w:ascii="Arial" w:cs="Arial" w:eastAsia="Arial" w:hAnsi="Arial"/>
          <w:sz w:val="18"/>
          <w:szCs w:val="18"/>
          <w:i w:val="1"/>
          <w:iCs w:val="1"/>
          <w:color w:val="181818"/>
        </w:rPr>
        <w:t xml:space="preserve"> </w:t>
      </w:r>
      <w:r>
        <w:rPr>
          <w:rFonts w:ascii="Arial" w:cs="Arial" w:eastAsia="Arial" w:hAnsi="Arial"/>
          <w:sz w:val="18"/>
          <w:szCs w:val="18"/>
          <w:color w:val="1A1A1A"/>
        </w:rPr>
        <w:t>make</w:t>
      </w:r>
      <w:r>
        <w:rPr>
          <w:rFonts w:ascii="Arial" w:cs="Arial" w:eastAsia="Arial" w:hAnsi="Arial"/>
          <w:sz w:val="18"/>
          <w:szCs w:val="18"/>
          <w:i w:val="1"/>
          <w:iCs w:val="1"/>
          <w:color w:val="181818"/>
        </w:rPr>
        <w:t xml:space="preserve"> </w:t>
      </w:r>
      <w:r>
        <w:rPr>
          <w:rFonts w:ascii="Arial" w:cs="Arial" w:eastAsia="Arial" w:hAnsi="Arial"/>
          <w:sz w:val="18"/>
          <w:szCs w:val="18"/>
          <w:color w:val="1D1D1D"/>
        </w:rPr>
        <w:t>a cash</w:t>
      </w:r>
      <w:r>
        <w:rPr>
          <w:rFonts w:ascii="Arial" w:cs="Arial" w:eastAsia="Arial" w:hAnsi="Arial"/>
          <w:sz w:val="18"/>
          <w:szCs w:val="18"/>
          <w:i w:val="1"/>
          <w:iCs w:val="1"/>
          <w:color w:val="181818"/>
        </w:rPr>
        <w:t xml:space="preserve"> </w:t>
      </w:r>
      <w:r>
        <w:rPr>
          <w:rFonts w:ascii="Arial" w:cs="Arial" w:eastAsia="Arial" w:hAnsi="Arial"/>
          <w:sz w:val="18"/>
          <w:szCs w:val="18"/>
          <w:color w:val="000000"/>
        </w:rPr>
        <w:t>payment</w:t>
      </w:r>
      <w:r>
        <w:rPr>
          <w:rFonts w:ascii="Arial" w:cs="Arial" w:eastAsia="Arial" w:hAnsi="Arial"/>
          <w:sz w:val="18"/>
          <w:szCs w:val="18"/>
          <w:i w:val="1"/>
          <w:iCs w:val="1"/>
          <w:color w:val="181818"/>
        </w:rPr>
        <w:t xml:space="preserve"> </w:t>
      </w:r>
      <w:r>
        <w:rPr>
          <w:rFonts w:ascii="Arial" w:cs="Arial" w:eastAsia="Arial" w:hAnsi="Arial"/>
          <w:sz w:val="18"/>
          <w:szCs w:val="18"/>
          <w:color w:val="111111"/>
        </w:rPr>
        <w:t>to</w:t>
      </w:r>
      <w:r>
        <w:rPr>
          <w:rFonts w:ascii="Arial" w:cs="Arial" w:eastAsia="Arial" w:hAnsi="Arial"/>
          <w:sz w:val="18"/>
          <w:szCs w:val="18"/>
          <w:i w:val="1"/>
          <w:iCs w:val="1"/>
          <w:color w:val="181818"/>
        </w:rPr>
        <w:t xml:space="preserve"> </w:t>
      </w:r>
      <w:r>
        <w:rPr>
          <w:rFonts w:ascii="Arial" w:cs="Arial" w:eastAsia="Arial" w:hAnsi="Arial"/>
          <w:sz w:val="18"/>
          <w:szCs w:val="18"/>
          <w:color w:val="0A0A0A"/>
        </w:rPr>
        <w:t>Executive</w:t>
      </w:r>
      <w:r>
        <w:rPr>
          <w:rFonts w:ascii="Arial" w:cs="Arial" w:eastAsia="Arial" w:hAnsi="Arial"/>
          <w:sz w:val="18"/>
          <w:szCs w:val="18"/>
          <w:i w:val="1"/>
          <w:iCs w:val="1"/>
          <w:color w:val="181818"/>
        </w:rPr>
        <w:t xml:space="preserve"> </w:t>
      </w:r>
      <w:r>
        <w:rPr>
          <w:rFonts w:ascii="Arial" w:cs="Arial" w:eastAsia="Arial" w:hAnsi="Arial"/>
          <w:sz w:val="18"/>
          <w:szCs w:val="18"/>
          <w:color w:val="1F1F1F"/>
        </w:rPr>
        <w:t>in</w:t>
      </w:r>
      <w:r>
        <w:rPr>
          <w:rFonts w:ascii="Arial" w:cs="Arial" w:eastAsia="Arial" w:hAnsi="Arial"/>
          <w:sz w:val="18"/>
          <w:szCs w:val="18"/>
          <w:i w:val="1"/>
          <w:iCs w:val="1"/>
          <w:color w:val="181818"/>
        </w:rPr>
        <w:t xml:space="preserve"> </w:t>
      </w:r>
      <w:r>
        <w:rPr>
          <w:rFonts w:ascii="Arial" w:cs="Arial" w:eastAsia="Arial" w:hAnsi="Arial"/>
          <w:sz w:val="18"/>
          <w:szCs w:val="18"/>
          <w:color w:val="1A1A1A"/>
        </w:rPr>
        <w:t>the amount</w:t>
      </w:r>
      <w:r>
        <w:rPr>
          <w:rFonts w:ascii="Arial" w:cs="Arial" w:eastAsia="Arial" w:hAnsi="Arial"/>
          <w:sz w:val="18"/>
          <w:szCs w:val="18"/>
          <w:i w:val="1"/>
          <w:iCs w:val="1"/>
          <w:color w:val="181818"/>
        </w:rPr>
        <w:t xml:space="preserve"> </w:t>
      </w:r>
      <w:r>
        <w:rPr>
          <w:rFonts w:ascii="Arial" w:cs="Arial" w:eastAsia="Arial" w:hAnsi="Arial"/>
          <w:sz w:val="18"/>
          <w:szCs w:val="18"/>
          <w:color w:val="212121"/>
        </w:rPr>
        <w:t>of</w:t>
      </w:r>
      <w:r>
        <w:rPr>
          <w:rFonts w:ascii="Arial" w:cs="Arial" w:eastAsia="Arial" w:hAnsi="Arial"/>
          <w:sz w:val="18"/>
          <w:szCs w:val="18"/>
          <w:i w:val="1"/>
          <w:iCs w:val="1"/>
          <w:color w:val="181818"/>
        </w:rPr>
        <w:t xml:space="preserve"> </w:t>
      </w:r>
      <w:r>
        <w:rPr>
          <w:rFonts w:ascii="Arial" w:cs="Arial" w:eastAsia="Arial" w:hAnsi="Arial"/>
          <w:sz w:val="18"/>
          <w:szCs w:val="18"/>
          <w:color w:val="0C0C0C"/>
        </w:rPr>
        <w:t>$450,000</w:t>
      </w:r>
      <w:r>
        <w:rPr>
          <w:rFonts w:ascii="Arial" w:cs="Arial" w:eastAsia="Arial" w:hAnsi="Arial"/>
          <w:sz w:val="18"/>
          <w:szCs w:val="18"/>
          <w:i w:val="1"/>
          <w:iCs w:val="1"/>
          <w:color w:val="181818"/>
        </w:rPr>
        <w:t xml:space="preserve"> </w:t>
      </w:r>
      <w:r>
        <w:rPr>
          <w:rFonts w:ascii="Arial" w:cs="Arial" w:eastAsia="Arial" w:hAnsi="Arial"/>
          <w:sz w:val="18"/>
          <w:szCs w:val="18"/>
          <w:color w:val="080808"/>
        </w:rPr>
        <w:t>(subject</w:t>
      </w:r>
      <w:r>
        <w:rPr>
          <w:rFonts w:ascii="Arial" w:cs="Arial" w:eastAsia="Arial" w:hAnsi="Arial"/>
          <w:sz w:val="18"/>
          <w:szCs w:val="18"/>
          <w:i w:val="1"/>
          <w:iCs w:val="1"/>
          <w:color w:val="181818"/>
        </w:rPr>
        <w:t xml:space="preserve"> </w:t>
      </w:r>
      <w:r>
        <w:rPr>
          <w:rFonts w:ascii="Arial" w:cs="Arial" w:eastAsia="Arial" w:hAnsi="Arial"/>
          <w:sz w:val="18"/>
          <w:szCs w:val="18"/>
          <w:color w:val="232323"/>
        </w:rPr>
        <w:t>to</w:t>
      </w:r>
      <w:r>
        <w:rPr>
          <w:rFonts w:ascii="Arial" w:cs="Arial" w:eastAsia="Arial" w:hAnsi="Arial"/>
          <w:sz w:val="18"/>
          <w:szCs w:val="18"/>
          <w:i w:val="1"/>
          <w:iCs w:val="1"/>
          <w:color w:val="181818"/>
        </w:rPr>
        <w:t xml:space="preserve"> </w:t>
      </w:r>
      <w:r>
        <w:rPr>
          <w:rFonts w:ascii="Arial" w:cs="Arial" w:eastAsia="Arial" w:hAnsi="Arial"/>
          <w:sz w:val="18"/>
          <w:szCs w:val="18"/>
          <w:color w:val="000000"/>
        </w:rPr>
        <w:t>applicable</w:t>
      </w:r>
      <w:r>
        <w:rPr>
          <w:rFonts w:ascii="Arial" w:cs="Arial" w:eastAsia="Arial" w:hAnsi="Arial"/>
          <w:sz w:val="18"/>
          <w:szCs w:val="18"/>
          <w:i w:val="1"/>
          <w:iCs w:val="1"/>
          <w:color w:val="181818"/>
        </w:rPr>
        <w:t xml:space="preserve"> </w:t>
      </w:r>
      <w:r>
        <w:rPr>
          <w:rFonts w:ascii="Arial" w:cs="Arial" w:eastAsia="Arial" w:hAnsi="Arial"/>
          <w:sz w:val="18"/>
          <w:szCs w:val="18"/>
          <w:color w:val="1A1A1A"/>
        </w:rPr>
        <w:t>tax</w:t>
      </w:r>
      <w:r>
        <w:rPr>
          <w:rFonts w:ascii="Arial" w:cs="Arial" w:eastAsia="Arial" w:hAnsi="Arial"/>
          <w:sz w:val="18"/>
          <w:szCs w:val="18"/>
          <w:i w:val="1"/>
          <w:iCs w:val="1"/>
          <w:color w:val="181818"/>
        </w:rPr>
        <w:t xml:space="preserve"> </w:t>
      </w:r>
      <w:r>
        <w:rPr>
          <w:rFonts w:ascii="Arial" w:cs="Arial" w:eastAsia="Arial" w:hAnsi="Arial"/>
          <w:sz w:val="18"/>
          <w:szCs w:val="18"/>
          <w:color w:val="131313"/>
        </w:rPr>
        <w:t>and</w:t>
      </w:r>
      <w:r>
        <w:rPr>
          <w:rFonts w:ascii="Arial" w:cs="Arial" w:eastAsia="Arial" w:hAnsi="Arial"/>
          <w:sz w:val="18"/>
          <w:szCs w:val="18"/>
          <w:i w:val="1"/>
          <w:iCs w:val="1"/>
          <w:color w:val="181818"/>
        </w:rPr>
        <w:t xml:space="preserve"> </w:t>
      </w:r>
      <w:r>
        <w:rPr>
          <w:rFonts w:ascii="Arial" w:cs="Arial" w:eastAsia="Arial" w:hAnsi="Arial"/>
          <w:sz w:val="18"/>
          <w:szCs w:val="18"/>
          <w:color w:val="111111"/>
        </w:rPr>
        <w:t xml:space="preserve">other </w:t>
      </w:r>
      <w:r>
        <w:rPr>
          <w:rFonts w:ascii="Arial" w:cs="Arial" w:eastAsia="Arial" w:hAnsi="Arial"/>
          <w:sz w:val="18"/>
          <w:szCs w:val="18"/>
          <w:color w:val="151515"/>
        </w:rPr>
        <w:t>with</w:t>
      </w:r>
      <w:r>
        <w:rPr>
          <w:rFonts w:ascii="Arial" w:cs="Arial" w:eastAsia="Arial" w:hAnsi="Arial"/>
          <w:sz w:val="18"/>
          <w:szCs w:val="18"/>
          <w:color w:val="131313"/>
        </w:rPr>
        <w:t>holdings),</w:t>
      </w:r>
      <w:r>
        <w:rPr>
          <w:rFonts w:ascii="Arial" w:cs="Arial" w:eastAsia="Arial" w:hAnsi="Arial"/>
          <w:sz w:val="18"/>
          <w:szCs w:val="18"/>
          <w:color w:val="111111"/>
        </w:rPr>
        <w:t xml:space="preserve"> </w:t>
      </w:r>
      <w:r>
        <w:rPr>
          <w:rFonts w:ascii="Arial" w:cs="Arial" w:eastAsia="Arial" w:hAnsi="Arial"/>
          <w:sz w:val="18"/>
          <w:szCs w:val="18"/>
          <w:color w:val="232323"/>
        </w:rPr>
        <w:t>which</w:t>
      </w:r>
      <w:r>
        <w:rPr>
          <w:rFonts w:ascii="Arial" w:cs="Arial" w:eastAsia="Arial" w:hAnsi="Arial"/>
          <w:sz w:val="18"/>
          <w:szCs w:val="18"/>
          <w:color w:val="111111"/>
        </w:rPr>
        <w:t xml:space="preserve"> </w:t>
      </w:r>
      <w:r>
        <w:rPr>
          <w:rFonts w:ascii="Arial" w:cs="Arial" w:eastAsia="Arial" w:hAnsi="Arial"/>
          <w:sz w:val="18"/>
          <w:szCs w:val="18"/>
          <w:color w:val="181818"/>
        </w:rPr>
        <w:t>amount</w:t>
      </w:r>
      <w:r>
        <w:rPr>
          <w:rFonts w:ascii="Arial" w:cs="Arial" w:eastAsia="Arial" w:hAnsi="Arial"/>
          <w:sz w:val="18"/>
          <w:szCs w:val="18"/>
          <w:color w:val="111111"/>
        </w:rPr>
        <w:t xml:space="preserve"> </w:t>
      </w:r>
      <w:r>
        <w:rPr>
          <w:rFonts w:ascii="Arial" w:cs="Arial" w:eastAsia="Arial" w:hAnsi="Arial"/>
          <w:sz w:val="18"/>
          <w:szCs w:val="18"/>
          <w:color w:val="0E0E0E"/>
        </w:rPr>
        <w:t>represents</w:t>
      </w:r>
      <w:r>
        <w:rPr>
          <w:rFonts w:ascii="Arial" w:cs="Arial" w:eastAsia="Arial" w:hAnsi="Arial"/>
          <w:sz w:val="18"/>
          <w:szCs w:val="18"/>
          <w:color w:val="111111"/>
        </w:rPr>
        <w:t xml:space="preserve"> </w:t>
      </w:r>
      <w:r>
        <w:rPr>
          <w:rFonts w:ascii="Arial" w:cs="Arial" w:eastAsia="Arial" w:hAnsi="Arial"/>
          <w:sz w:val="18"/>
          <w:szCs w:val="18"/>
          <w:color w:val="1D1D1D"/>
        </w:rPr>
        <w:t>the</w:t>
      </w:r>
      <w:r>
        <w:rPr>
          <w:rFonts w:ascii="Arial" w:cs="Arial" w:eastAsia="Arial" w:hAnsi="Arial"/>
          <w:sz w:val="18"/>
          <w:szCs w:val="18"/>
          <w:color w:val="111111"/>
        </w:rPr>
        <w:t xml:space="preserve"> </w:t>
      </w:r>
      <w:r>
        <w:rPr>
          <w:rFonts w:ascii="Arial" w:cs="Arial" w:eastAsia="Arial" w:hAnsi="Arial"/>
          <w:sz w:val="18"/>
          <w:szCs w:val="18"/>
          <w:color w:val="1C1C1C"/>
        </w:rPr>
        <w:t>equivalent</w:t>
      </w:r>
      <w:r>
        <w:rPr>
          <w:rFonts w:ascii="Arial" w:cs="Arial" w:eastAsia="Arial" w:hAnsi="Arial"/>
          <w:sz w:val="18"/>
          <w:szCs w:val="18"/>
          <w:color w:val="111111"/>
        </w:rPr>
        <w:t xml:space="preserve"> </w:t>
      </w:r>
      <w:r>
        <w:rPr>
          <w:rFonts w:ascii="Arial" w:cs="Arial" w:eastAsia="Arial" w:hAnsi="Arial"/>
          <w:sz w:val="18"/>
          <w:szCs w:val="18"/>
          <w:color w:val="2D2D2D"/>
        </w:rPr>
        <w:t>of one year</w:t>
      </w:r>
      <w:r>
        <w:rPr>
          <w:rFonts w:ascii="Arial" w:cs="Arial" w:eastAsia="Arial" w:hAnsi="Arial"/>
          <w:sz w:val="18"/>
          <w:szCs w:val="18"/>
          <w:color w:val="111111"/>
        </w:rPr>
        <w:t xml:space="preserve"> </w:t>
      </w:r>
      <w:r>
        <w:rPr>
          <w:rFonts w:ascii="Arial" w:cs="Arial" w:eastAsia="Arial" w:hAnsi="Arial"/>
          <w:sz w:val="18"/>
          <w:szCs w:val="18"/>
          <w:color w:val="151515"/>
        </w:rPr>
        <w:t>of Executive’s</w:t>
      </w:r>
      <w:r>
        <w:rPr>
          <w:rFonts w:ascii="Arial" w:cs="Arial" w:eastAsia="Arial" w:hAnsi="Arial"/>
          <w:sz w:val="18"/>
          <w:szCs w:val="18"/>
          <w:color w:val="111111"/>
        </w:rPr>
        <w:t xml:space="preserve"> </w:t>
      </w:r>
      <w:r>
        <w:rPr>
          <w:rFonts w:ascii="Arial" w:cs="Arial" w:eastAsia="Arial" w:hAnsi="Arial"/>
          <w:sz w:val="18"/>
          <w:szCs w:val="18"/>
          <w:color w:val="050505"/>
        </w:rPr>
        <w:t>current</w:t>
      </w:r>
      <w:r>
        <w:rPr>
          <w:rFonts w:ascii="Arial" w:cs="Arial" w:eastAsia="Arial" w:hAnsi="Arial"/>
          <w:sz w:val="18"/>
          <w:szCs w:val="18"/>
          <w:color w:val="111111"/>
        </w:rPr>
        <w:t xml:space="preserve"> </w:t>
      </w:r>
      <w:r>
        <w:rPr>
          <w:rFonts w:ascii="Arial" w:cs="Arial" w:eastAsia="Arial" w:hAnsi="Arial"/>
          <w:sz w:val="18"/>
          <w:szCs w:val="18"/>
          <w:color w:val="1A1A1A"/>
        </w:rPr>
        <w:t>base</w:t>
      </w:r>
      <w:r>
        <w:rPr>
          <w:rFonts w:ascii="Arial" w:cs="Arial" w:eastAsia="Arial" w:hAnsi="Arial"/>
          <w:sz w:val="18"/>
          <w:szCs w:val="18"/>
          <w:color w:val="111111"/>
        </w:rPr>
        <w:t xml:space="preserve"> salary. </w:t>
      </w:r>
      <w:r>
        <w:rPr>
          <w:rFonts w:ascii="Arial" w:cs="Arial" w:eastAsia="Arial" w:hAnsi="Arial"/>
          <w:sz w:val="18"/>
          <w:szCs w:val="18"/>
          <w:color w:val="0E0E0E"/>
        </w:rPr>
        <w:t>Such</w:t>
      </w:r>
      <w:r>
        <w:rPr>
          <w:rFonts w:ascii="Arial" w:cs="Arial" w:eastAsia="Arial" w:hAnsi="Arial"/>
          <w:sz w:val="18"/>
          <w:szCs w:val="18"/>
          <w:color w:val="111111"/>
        </w:rPr>
        <w:t xml:space="preserve"> </w:t>
      </w:r>
      <w:r>
        <w:rPr>
          <w:rFonts w:ascii="Arial" w:cs="Arial" w:eastAsia="Arial" w:hAnsi="Arial"/>
          <w:sz w:val="18"/>
          <w:szCs w:val="18"/>
          <w:color w:val="000000"/>
        </w:rPr>
        <w:t>payment</w:t>
      </w:r>
      <w:r>
        <w:rPr>
          <w:rFonts w:ascii="Arial" w:cs="Arial" w:eastAsia="Arial" w:hAnsi="Arial"/>
          <w:sz w:val="18"/>
          <w:szCs w:val="18"/>
          <w:color w:val="111111"/>
        </w:rPr>
        <w:t xml:space="preserve"> </w:t>
      </w:r>
      <w:r>
        <w:rPr>
          <w:rFonts w:ascii="Arial" w:cs="Arial" w:eastAsia="Arial" w:hAnsi="Arial"/>
          <w:sz w:val="18"/>
          <w:szCs w:val="18"/>
          <w:color w:val="212121"/>
        </w:rPr>
        <w:t>will</w:t>
      </w:r>
      <w:r>
        <w:rPr>
          <w:rFonts w:ascii="Arial" w:cs="Arial" w:eastAsia="Arial" w:hAnsi="Arial"/>
          <w:sz w:val="18"/>
          <w:szCs w:val="18"/>
          <w:color w:val="111111"/>
        </w:rPr>
        <w:t xml:space="preserve"> </w:t>
      </w:r>
      <w:r>
        <w:rPr>
          <w:rFonts w:ascii="Arial" w:cs="Arial" w:eastAsia="Arial" w:hAnsi="Arial"/>
          <w:sz w:val="18"/>
          <w:szCs w:val="18"/>
          <w:color w:val="232323"/>
        </w:rPr>
        <w:t>be</w:t>
      </w:r>
      <w:r>
        <w:rPr>
          <w:rFonts w:ascii="Arial" w:cs="Arial" w:eastAsia="Arial" w:hAnsi="Arial"/>
          <w:sz w:val="18"/>
          <w:szCs w:val="18"/>
          <w:color w:val="111111"/>
        </w:rPr>
        <w:t xml:space="preserve"> </w:t>
      </w:r>
      <w:r>
        <w:rPr>
          <w:rFonts w:ascii="Arial" w:cs="Arial" w:eastAsia="Arial" w:hAnsi="Arial"/>
          <w:sz w:val="18"/>
          <w:szCs w:val="18"/>
          <w:color w:val="1A1A1A"/>
        </w:rPr>
        <w:t>made</w:t>
      </w:r>
      <w:r>
        <w:rPr>
          <w:rFonts w:ascii="Arial" w:cs="Arial" w:eastAsia="Arial" w:hAnsi="Arial"/>
          <w:sz w:val="18"/>
          <w:szCs w:val="18"/>
          <w:color w:val="111111"/>
        </w:rPr>
        <w:t xml:space="preserve"> </w:t>
      </w:r>
      <w:r>
        <w:rPr>
          <w:rFonts w:ascii="Arial" w:cs="Arial" w:eastAsia="Arial" w:hAnsi="Arial"/>
          <w:sz w:val="18"/>
          <w:szCs w:val="18"/>
          <w:color w:val="131313"/>
        </w:rPr>
        <w:t xml:space="preserve">on </w:t>
      </w:r>
      <w:r>
        <w:rPr>
          <w:rFonts w:ascii="Arial" w:cs="Arial" w:eastAsia="Arial" w:hAnsi="Arial"/>
          <w:sz w:val="18"/>
          <w:szCs w:val="18"/>
          <w:color w:val="1F1F1F"/>
        </w:rPr>
        <w:t>the</w:t>
      </w:r>
      <w:r>
        <w:rPr>
          <w:rFonts w:ascii="Arial" w:cs="Arial" w:eastAsia="Arial" w:hAnsi="Arial"/>
          <w:sz w:val="18"/>
          <w:szCs w:val="18"/>
          <w:color w:val="131313"/>
        </w:rPr>
        <w:t xml:space="preserve"> </w:t>
      </w:r>
      <w:r>
        <w:rPr>
          <w:rFonts w:ascii="Arial" w:cs="Arial" w:eastAsia="Arial" w:hAnsi="Arial"/>
          <w:sz w:val="18"/>
          <w:szCs w:val="18"/>
          <w:color w:val="181818"/>
        </w:rPr>
        <w:t>day</w:t>
      </w:r>
      <w:r>
        <w:rPr>
          <w:rFonts w:ascii="Arial" w:cs="Arial" w:eastAsia="Arial" w:hAnsi="Arial"/>
          <w:sz w:val="18"/>
          <w:szCs w:val="18"/>
          <w:color w:val="131313"/>
        </w:rPr>
        <w:t xml:space="preserve"> </w:t>
      </w:r>
      <w:r>
        <w:rPr>
          <w:rFonts w:ascii="Arial" w:cs="Arial" w:eastAsia="Arial" w:hAnsi="Arial"/>
          <w:sz w:val="18"/>
          <w:szCs w:val="18"/>
          <w:color w:val="1D1D1D"/>
        </w:rPr>
        <w:t>following</w:t>
      </w:r>
      <w:r>
        <w:rPr>
          <w:rFonts w:ascii="Arial" w:cs="Arial" w:eastAsia="Arial" w:hAnsi="Arial"/>
          <w:sz w:val="18"/>
          <w:szCs w:val="18"/>
          <w:color w:val="131313"/>
        </w:rPr>
        <w:t xml:space="preserve"> </w:t>
      </w:r>
      <w:r>
        <w:rPr>
          <w:rFonts w:ascii="Arial" w:cs="Arial" w:eastAsia="Arial" w:hAnsi="Arial"/>
          <w:sz w:val="18"/>
          <w:szCs w:val="18"/>
          <w:color w:val="0C0C0C"/>
        </w:rPr>
        <w:t>the</w:t>
      </w:r>
      <w:r>
        <w:rPr>
          <w:rFonts w:ascii="Arial" w:cs="Arial" w:eastAsia="Arial" w:hAnsi="Arial"/>
          <w:sz w:val="18"/>
          <w:szCs w:val="18"/>
          <w:color w:val="131313"/>
        </w:rPr>
        <w:t xml:space="preserve"> </w:t>
      </w:r>
      <w:r>
        <w:rPr>
          <w:rFonts w:ascii="Arial" w:cs="Arial" w:eastAsia="Arial" w:hAnsi="Arial"/>
          <w:sz w:val="18"/>
          <w:szCs w:val="18"/>
          <w:color w:val="232323"/>
        </w:rPr>
        <w:t>end</w:t>
      </w:r>
      <w:r>
        <w:rPr>
          <w:rFonts w:ascii="Arial" w:cs="Arial" w:eastAsia="Arial" w:hAnsi="Arial"/>
          <w:sz w:val="18"/>
          <w:szCs w:val="18"/>
          <w:color w:val="131313"/>
        </w:rPr>
        <w:t xml:space="preserve"> </w:t>
      </w:r>
      <w:r>
        <w:rPr>
          <w:rFonts w:ascii="Arial" w:cs="Arial" w:eastAsia="Arial" w:hAnsi="Arial"/>
          <w:sz w:val="18"/>
          <w:szCs w:val="18"/>
          <w:color w:val="1F1F1F"/>
        </w:rPr>
        <w:t>of</w:t>
      </w:r>
      <w:r>
        <w:rPr>
          <w:rFonts w:ascii="Arial" w:cs="Arial" w:eastAsia="Arial" w:hAnsi="Arial"/>
          <w:sz w:val="18"/>
          <w:szCs w:val="18"/>
          <w:color w:val="131313"/>
        </w:rPr>
        <w:t xml:space="preserve"> </w:t>
      </w:r>
      <w:r>
        <w:rPr>
          <w:rFonts w:ascii="Arial" w:cs="Arial" w:eastAsia="Arial" w:hAnsi="Arial"/>
          <w:sz w:val="18"/>
          <w:szCs w:val="18"/>
          <w:color w:val="1D1D1D"/>
        </w:rPr>
        <w:t>the</w:t>
      </w:r>
      <w:r>
        <w:rPr>
          <w:rFonts w:ascii="Arial" w:cs="Arial" w:eastAsia="Arial" w:hAnsi="Arial"/>
          <w:sz w:val="18"/>
          <w:szCs w:val="18"/>
          <w:color w:val="131313"/>
        </w:rPr>
        <w:t xml:space="preserve"> </w:t>
      </w:r>
      <w:r>
        <w:rPr>
          <w:rFonts w:ascii="Arial" w:cs="Arial" w:eastAsia="Arial" w:hAnsi="Arial"/>
          <w:sz w:val="18"/>
          <w:szCs w:val="18"/>
          <w:color w:val="0C0C0C"/>
        </w:rPr>
        <w:t>revocation</w:t>
      </w:r>
      <w:r>
        <w:rPr>
          <w:rFonts w:ascii="Arial" w:cs="Arial" w:eastAsia="Arial" w:hAnsi="Arial"/>
          <w:sz w:val="18"/>
          <w:szCs w:val="18"/>
          <w:color w:val="131313"/>
        </w:rPr>
        <w:t xml:space="preserve"> </w:t>
      </w:r>
      <w:r>
        <w:rPr>
          <w:rFonts w:ascii="Arial" w:cs="Arial" w:eastAsia="Arial" w:hAnsi="Arial"/>
          <w:sz w:val="18"/>
          <w:szCs w:val="18"/>
          <w:color w:val="0F0F0F"/>
        </w:rPr>
        <w:t>period</w:t>
      </w:r>
      <w:r>
        <w:rPr>
          <w:rFonts w:ascii="Arial" w:cs="Arial" w:eastAsia="Arial" w:hAnsi="Arial"/>
          <w:sz w:val="18"/>
          <w:szCs w:val="18"/>
          <w:color w:val="131313"/>
        </w:rPr>
        <w:t xml:space="preserve"> </w:t>
      </w:r>
      <w:r>
        <w:rPr>
          <w:rFonts w:ascii="Arial" w:cs="Arial" w:eastAsia="Arial" w:hAnsi="Arial"/>
          <w:sz w:val="18"/>
          <w:szCs w:val="18"/>
          <w:color w:val="111111"/>
        </w:rPr>
        <w:t>described</w:t>
      </w:r>
      <w:r>
        <w:rPr>
          <w:rFonts w:ascii="Arial" w:cs="Arial" w:eastAsia="Arial" w:hAnsi="Arial"/>
          <w:sz w:val="18"/>
          <w:szCs w:val="18"/>
          <w:color w:val="131313"/>
        </w:rPr>
        <w:t xml:space="preserve"> </w:t>
      </w:r>
      <w:r>
        <w:rPr>
          <w:rFonts w:ascii="Arial" w:cs="Arial" w:eastAsia="Arial" w:hAnsi="Arial"/>
          <w:sz w:val="18"/>
          <w:szCs w:val="18"/>
          <w:color w:val="1F1F1F"/>
        </w:rPr>
        <w:t>in</w:t>
      </w:r>
      <w:r>
        <w:rPr>
          <w:rFonts w:ascii="Arial" w:cs="Arial" w:eastAsia="Arial" w:hAnsi="Arial"/>
          <w:sz w:val="18"/>
          <w:szCs w:val="18"/>
          <w:color w:val="131313"/>
        </w:rPr>
        <w:t xml:space="preserve"> </w:t>
      </w:r>
      <w:r>
        <w:rPr>
          <w:rFonts w:ascii="Arial" w:cs="Arial" w:eastAsia="Arial" w:hAnsi="Arial"/>
          <w:sz w:val="18"/>
          <w:szCs w:val="18"/>
          <w:color w:val="212121"/>
        </w:rPr>
        <w:t>Paragraph</w:t>
      </w:r>
      <w:r>
        <w:rPr>
          <w:rFonts w:ascii="Arial" w:cs="Arial" w:eastAsia="Arial" w:hAnsi="Arial"/>
          <w:sz w:val="18"/>
          <w:szCs w:val="18"/>
          <w:color w:val="131313"/>
        </w:rPr>
        <w:t xml:space="preserve"> </w:t>
      </w:r>
      <w:r>
        <w:rPr>
          <w:rFonts w:ascii="Arial" w:cs="Arial" w:eastAsia="Arial" w:hAnsi="Arial"/>
          <w:sz w:val="18"/>
          <w:szCs w:val="18"/>
          <w:color w:val="343434"/>
        </w:rPr>
        <w:t>15</w:t>
      </w:r>
      <w:r>
        <w:rPr>
          <w:rFonts w:ascii="Arial" w:cs="Arial" w:eastAsia="Arial" w:hAnsi="Arial"/>
          <w:sz w:val="18"/>
          <w:szCs w:val="18"/>
          <w:color w:val="131313"/>
        </w:rPr>
        <w:t xml:space="preserve"> below.</w:t>
      </w:r>
    </w:p>
    <w:p>
      <w:pPr>
        <w:spacing w:after="0" w:line="143" w:lineRule="exact"/>
        <w:rPr>
          <w:rFonts w:ascii="Arial" w:cs="Arial" w:eastAsia="Arial" w:hAnsi="Arial"/>
          <w:sz w:val="18"/>
          <w:szCs w:val="18"/>
          <w:color w:val="auto"/>
        </w:rPr>
      </w:pPr>
    </w:p>
    <w:p>
      <w:pPr>
        <w:jc w:val="both"/>
        <w:ind w:left="1300" w:right="320" w:hanging="644"/>
        <w:spacing w:after="0" w:line="263" w:lineRule="auto"/>
        <w:tabs>
          <w:tab w:leader="none" w:pos="1300" w:val="left"/>
        </w:tabs>
        <w:numPr>
          <w:ilvl w:val="1"/>
          <w:numId w:val="27"/>
        </w:numPr>
        <w:rPr>
          <w:rFonts w:ascii="Arial" w:cs="Arial" w:eastAsia="Arial" w:hAnsi="Arial"/>
          <w:sz w:val="18"/>
          <w:szCs w:val="18"/>
          <w:color w:val="151515"/>
        </w:rPr>
      </w:pPr>
      <w:r>
        <w:rPr>
          <w:rFonts w:ascii="Arial" w:cs="Arial" w:eastAsia="Arial" w:hAnsi="Arial"/>
          <w:sz w:val="18"/>
          <w:szCs w:val="18"/>
          <w:i w:val="1"/>
          <w:iCs w:val="1"/>
          <w:color w:val="0C0C0C"/>
        </w:rPr>
        <w:t xml:space="preserve">Healthcare </w:t>
      </w:r>
      <w:r>
        <w:rPr>
          <w:rFonts w:ascii="Arial" w:cs="Arial" w:eastAsia="Arial" w:hAnsi="Arial"/>
          <w:sz w:val="18"/>
          <w:szCs w:val="18"/>
          <w:i w:val="1"/>
          <w:iCs w:val="1"/>
          <w:color w:val="181818"/>
        </w:rPr>
        <w:t>Benefits</w:t>
      </w:r>
      <w:r>
        <w:rPr>
          <w:rFonts w:ascii="Arial" w:cs="Arial" w:eastAsia="Arial" w:hAnsi="Arial"/>
          <w:sz w:val="18"/>
          <w:szCs w:val="18"/>
          <w:i w:val="1"/>
          <w:iCs w:val="1"/>
          <w:color w:val="0C0C0C"/>
        </w:rPr>
        <w:t xml:space="preserve"> </w:t>
      </w:r>
      <w:r>
        <w:rPr>
          <w:rFonts w:ascii="Arial" w:cs="Arial" w:eastAsia="Arial" w:hAnsi="Arial"/>
          <w:sz w:val="18"/>
          <w:szCs w:val="18"/>
          <w:color w:val="2D2D2D"/>
        </w:rPr>
        <w:t>-</w:t>
      </w:r>
      <w:r>
        <w:rPr>
          <w:rFonts w:ascii="Arial" w:cs="Arial" w:eastAsia="Arial" w:hAnsi="Arial"/>
          <w:sz w:val="18"/>
          <w:szCs w:val="18"/>
          <w:i w:val="1"/>
          <w:iCs w:val="1"/>
          <w:color w:val="0C0C0C"/>
        </w:rPr>
        <w:t xml:space="preserve"> </w:t>
      </w:r>
      <w:r>
        <w:rPr>
          <w:rFonts w:ascii="Arial" w:cs="Arial" w:eastAsia="Arial" w:hAnsi="Arial"/>
          <w:sz w:val="18"/>
          <w:szCs w:val="18"/>
          <w:color w:val="1D1D1D"/>
        </w:rPr>
        <w:t>The</w:t>
      </w:r>
      <w:r>
        <w:rPr>
          <w:rFonts w:ascii="Arial" w:cs="Arial" w:eastAsia="Arial" w:hAnsi="Arial"/>
          <w:sz w:val="18"/>
          <w:szCs w:val="18"/>
          <w:i w:val="1"/>
          <w:iCs w:val="1"/>
          <w:color w:val="0C0C0C"/>
        </w:rPr>
        <w:t xml:space="preserve"> </w:t>
      </w:r>
      <w:r>
        <w:rPr>
          <w:rFonts w:ascii="Arial" w:cs="Arial" w:eastAsia="Arial" w:hAnsi="Arial"/>
          <w:sz w:val="18"/>
          <w:szCs w:val="18"/>
          <w:color w:val="1A1A1A"/>
        </w:rPr>
        <w:t>Company</w:t>
      </w:r>
      <w:r>
        <w:rPr>
          <w:rFonts w:ascii="Arial" w:cs="Arial" w:eastAsia="Arial" w:hAnsi="Arial"/>
          <w:sz w:val="18"/>
          <w:szCs w:val="18"/>
          <w:i w:val="1"/>
          <w:iCs w:val="1"/>
          <w:color w:val="0C0C0C"/>
        </w:rPr>
        <w:t xml:space="preserve"> </w:t>
      </w:r>
      <w:r>
        <w:rPr>
          <w:rFonts w:ascii="Arial" w:cs="Arial" w:eastAsia="Arial" w:hAnsi="Arial"/>
          <w:sz w:val="18"/>
          <w:szCs w:val="18"/>
          <w:color w:val="161616"/>
        </w:rPr>
        <w:t>will</w:t>
      </w:r>
      <w:r>
        <w:rPr>
          <w:rFonts w:ascii="Arial" w:cs="Arial" w:eastAsia="Arial" w:hAnsi="Arial"/>
          <w:sz w:val="18"/>
          <w:szCs w:val="18"/>
          <w:i w:val="1"/>
          <w:iCs w:val="1"/>
          <w:color w:val="0C0C0C"/>
        </w:rPr>
        <w:t xml:space="preserve"> </w:t>
      </w:r>
      <w:r>
        <w:rPr>
          <w:rFonts w:ascii="Arial" w:cs="Arial" w:eastAsia="Arial" w:hAnsi="Arial"/>
          <w:sz w:val="18"/>
          <w:szCs w:val="18"/>
          <w:color w:val="151515"/>
        </w:rPr>
        <w:t>continue</w:t>
      </w:r>
      <w:r>
        <w:rPr>
          <w:rFonts w:ascii="Arial" w:cs="Arial" w:eastAsia="Arial" w:hAnsi="Arial"/>
          <w:sz w:val="18"/>
          <w:szCs w:val="18"/>
          <w:i w:val="1"/>
          <w:iCs w:val="1"/>
          <w:color w:val="0C0C0C"/>
        </w:rPr>
        <w:t xml:space="preserve"> </w:t>
      </w:r>
      <w:r>
        <w:rPr>
          <w:rFonts w:ascii="Arial" w:cs="Arial" w:eastAsia="Arial" w:hAnsi="Arial"/>
          <w:sz w:val="18"/>
          <w:szCs w:val="18"/>
          <w:color w:val="232323"/>
        </w:rPr>
        <w:t>to</w:t>
      </w:r>
      <w:r>
        <w:rPr>
          <w:rFonts w:ascii="Arial" w:cs="Arial" w:eastAsia="Arial" w:hAnsi="Arial"/>
          <w:sz w:val="18"/>
          <w:szCs w:val="18"/>
          <w:i w:val="1"/>
          <w:iCs w:val="1"/>
          <w:color w:val="0C0C0C"/>
        </w:rPr>
        <w:t xml:space="preserve"> </w:t>
      </w:r>
      <w:r>
        <w:rPr>
          <w:rFonts w:ascii="Arial" w:cs="Arial" w:eastAsia="Arial" w:hAnsi="Arial"/>
          <w:sz w:val="18"/>
          <w:szCs w:val="18"/>
          <w:color w:val="111111"/>
        </w:rPr>
        <w:t>provide</w:t>
      </w:r>
      <w:r>
        <w:rPr>
          <w:rFonts w:ascii="Arial" w:cs="Arial" w:eastAsia="Arial" w:hAnsi="Arial"/>
          <w:sz w:val="18"/>
          <w:szCs w:val="18"/>
          <w:i w:val="1"/>
          <w:iCs w:val="1"/>
          <w:color w:val="0C0C0C"/>
        </w:rPr>
        <w:t xml:space="preserve"> </w:t>
      </w:r>
      <w:r>
        <w:rPr>
          <w:rFonts w:ascii="Arial" w:cs="Arial" w:eastAsia="Arial" w:hAnsi="Arial"/>
          <w:sz w:val="18"/>
          <w:szCs w:val="18"/>
          <w:color w:val="131313"/>
        </w:rPr>
        <w:t>Executive</w:t>
      </w:r>
      <w:r>
        <w:rPr>
          <w:rFonts w:ascii="Arial" w:cs="Arial" w:eastAsia="Arial" w:hAnsi="Arial"/>
          <w:sz w:val="18"/>
          <w:szCs w:val="18"/>
          <w:i w:val="1"/>
          <w:iCs w:val="1"/>
          <w:color w:val="0C0C0C"/>
        </w:rPr>
        <w:t xml:space="preserve"> </w:t>
      </w:r>
      <w:r>
        <w:rPr>
          <w:rFonts w:ascii="Arial" w:cs="Arial" w:eastAsia="Arial" w:hAnsi="Arial"/>
          <w:sz w:val="18"/>
          <w:szCs w:val="18"/>
          <w:color w:val="232323"/>
        </w:rPr>
        <w:t>with</w:t>
      </w:r>
      <w:r>
        <w:rPr>
          <w:rFonts w:ascii="Arial" w:cs="Arial" w:eastAsia="Arial" w:hAnsi="Arial"/>
          <w:sz w:val="18"/>
          <w:szCs w:val="18"/>
          <w:i w:val="1"/>
          <w:iCs w:val="1"/>
          <w:color w:val="0C0C0C"/>
        </w:rPr>
        <w:t xml:space="preserve"> </w:t>
      </w:r>
      <w:r>
        <w:rPr>
          <w:rFonts w:ascii="Arial" w:cs="Arial" w:eastAsia="Arial" w:hAnsi="Arial"/>
          <w:sz w:val="18"/>
          <w:szCs w:val="18"/>
          <w:color w:val="111111"/>
        </w:rPr>
        <w:t>healthcare</w:t>
      </w:r>
      <w:r>
        <w:rPr>
          <w:rFonts w:ascii="Arial" w:cs="Arial" w:eastAsia="Arial" w:hAnsi="Arial"/>
          <w:sz w:val="18"/>
          <w:szCs w:val="18"/>
          <w:i w:val="1"/>
          <w:iCs w:val="1"/>
          <w:color w:val="0C0C0C"/>
        </w:rPr>
        <w:t xml:space="preserve"> </w:t>
      </w:r>
      <w:r>
        <w:rPr>
          <w:rFonts w:ascii="Arial" w:cs="Arial" w:eastAsia="Arial" w:hAnsi="Arial"/>
          <w:sz w:val="18"/>
          <w:szCs w:val="18"/>
          <w:color w:val="181818"/>
        </w:rPr>
        <w:t>benefits</w:t>
      </w:r>
      <w:r>
        <w:rPr>
          <w:rFonts w:ascii="Arial" w:cs="Arial" w:eastAsia="Arial" w:hAnsi="Arial"/>
          <w:sz w:val="18"/>
          <w:szCs w:val="18"/>
          <w:i w:val="1"/>
          <w:iCs w:val="1"/>
          <w:color w:val="0C0C0C"/>
        </w:rPr>
        <w:t xml:space="preserve"> </w:t>
      </w:r>
      <w:r>
        <w:rPr>
          <w:rFonts w:ascii="Arial" w:cs="Arial" w:eastAsia="Arial" w:hAnsi="Arial"/>
          <w:sz w:val="18"/>
          <w:szCs w:val="18"/>
          <w:color w:val="161616"/>
        </w:rPr>
        <w:t>through the end of March 2020.</w:t>
      </w:r>
      <w:r>
        <w:rPr>
          <w:rFonts w:ascii="Arial" w:cs="Arial" w:eastAsia="Arial" w:hAnsi="Arial"/>
          <w:sz w:val="18"/>
          <w:szCs w:val="18"/>
          <w:i w:val="1"/>
          <w:iCs w:val="1"/>
          <w:color w:val="0C0C0C"/>
        </w:rPr>
        <w:t xml:space="preserve"> </w:t>
      </w:r>
      <w:r>
        <w:rPr>
          <w:rFonts w:ascii="Arial" w:cs="Arial" w:eastAsia="Arial" w:hAnsi="Arial"/>
          <w:sz w:val="18"/>
          <w:szCs w:val="18"/>
          <w:color w:val="111111"/>
        </w:rPr>
        <w:t>The</w:t>
      </w:r>
      <w:r>
        <w:rPr>
          <w:rFonts w:ascii="Arial" w:cs="Arial" w:eastAsia="Arial" w:hAnsi="Arial"/>
          <w:sz w:val="18"/>
          <w:szCs w:val="18"/>
          <w:i w:val="1"/>
          <w:iCs w:val="1"/>
          <w:color w:val="0C0C0C"/>
        </w:rPr>
        <w:t xml:space="preserve"> </w:t>
      </w:r>
      <w:r>
        <w:rPr>
          <w:rFonts w:ascii="Arial" w:cs="Arial" w:eastAsia="Arial" w:hAnsi="Arial"/>
          <w:sz w:val="18"/>
          <w:szCs w:val="18"/>
          <w:color w:val="131313"/>
        </w:rPr>
        <w:t xml:space="preserve">Company </w:t>
      </w:r>
      <w:r>
        <w:rPr>
          <w:rFonts w:ascii="Arial" w:cs="Arial" w:eastAsia="Arial" w:hAnsi="Arial"/>
          <w:sz w:val="18"/>
          <w:szCs w:val="18"/>
          <w:color w:val="1C1C1C"/>
        </w:rPr>
        <w:t>will</w:t>
      </w:r>
      <w:r>
        <w:rPr>
          <w:rFonts w:ascii="Arial" w:cs="Arial" w:eastAsia="Arial" w:hAnsi="Arial"/>
          <w:sz w:val="18"/>
          <w:szCs w:val="18"/>
          <w:color w:val="131313"/>
        </w:rPr>
        <w:t xml:space="preserve"> </w:t>
      </w:r>
      <w:r>
        <w:rPr>
          <w:rFonts w:ascii="Arial" w:cs="Arial" w:eastAsia="Arial" w:hAnsi="Arial"/>
          <w:sz w:val="18"/>
          <w:szCs w:val="18"/>
          <w:color w:val="181818"/>
        </w:rPr>
        <w:t>satisfy</w:t>
      </w:r>
      <w:r>
        <w:rPr>
          <w:rFonts w:ascii="Arial" w:cs="Arial" w:eastAsia="Arial" w:hAnsi="Arial"/>
          <w:sz w:val="18"/>
          <w:szCs w:val="18"/>
          <w:color w:val="131313"/>
        </w:rPr>
        <w:t xml:space="preserve"> </w:t>
      </w:r>
      <w:r>
        <w:rPr>
          <w:rFonts w:ascii="Arial" w:cs="Arial" w:eastAsia="Arial" w:hAnsi="Arial"/>
          <w:sz w:val="18"/>
          <w:szCs w:val="18"/>
          <w:color w:val="212121"/>
        </w:rPr>
        <w:t>this</w:t>
      </w:r>
      <w:r>
        <w:rPr>
          <w:rFonts w:ascii="Arial" w:cs="Arial" w:eastAsia="Arial" w:hAnsi="Arial"/>
          <w:sz w:val="18"/>
          <w:szCs w:val="18"/>
          <w:color w:val="131313"/>
        </w:rPr>
        <w:t xml:space="preserve"> </w:t>
      </w:r>
      <w:r>
        <w:rPr>
          <w:rFonts w:ascii="Arial" w:cs="Arial" w:eastAsia="Arial" w:hAnsi="Arial"/>
          <w:sz w:val="18"/>
          <w:szCs w:val="18"/>
          <w:color w:val="0C0C0C"/>
        </w:rPr>
        <w:t>obligation</w:t>
      </w:r>
      <w:r>
        <w:rPr>
          <w:rFonts w:ascii="Arial" w:cs="Arial" w:eastAsia="Arial" w:hAnsi="Arial"/>
          <w:sz w:val="18"/>
          <w:szCs w:val="18"/>
          <w:color w:val="131313"/>
        </w:rPr>
        <w:t xml:space="preserve"> </w:t>
      </w:r>
      <w:r>
        <w:rPr>
          <w:rFonts w:ascii="Arial" w:cs="Arial" w:eastAsia="Arial" w:hAnsi="Arial"/>
          <w:sz w:val="18"/>
          <w:szCs w:val="18"/>
          <w:color w:val="1F1F1F"/>
        </w:rPr>
        <w:t>by</w:t>
      </w:r>
      <w:r>
        <w:rPr>
          <w:rFonts w:ascii="Arial" w:cs="Arial" w:eastAsia="Arial" w:hAnsi="Arial"/>
          <w:sz w:val="18"/>
          <w:szCs w:val="18"/>
          <w:color w:val="131313"/>
        </w:rPr>
        <w:t xml:space="preserve"> </w:t>
      </w:r>
      <w:r>
        <w:rPr>
          <w:rFonts w:ascii="Arial" w:cs="Arial" w:eastAsia="Arial" w:hAnsi="Arial"/>
          <w:sz w:val="18"/>
          <w:szCs w:val="18"/>
          <w:color w:val="242424"/>
        </w:rPr>
        <w:t>allowing</w:t>
      </w:r>
      <w:r>
        <w:rPr>
          <w:rFonts w:ascii="Arial" w:cs="Arial" w:eastAsia="Arial" w:hAnsi="Arial"/>
          <w:sz w:val="18"/>
          <w:szCs w:val="18"/>
          <w:color w:val="131313"/>
        </w:rPr>
        <w:t xml:space="preserve"> </w:t>
      </w:r>
      <w:r>
        <w:rPr>
          <w:rFonts w:ascii="Arial" w:cs="Arial" w:eastAsia="Arial" w:hAnsi="Arial"/>
          <w:sz w:val="18"/>
          <w:szCs w:val="18"/>
          <w:color w:val="1A1A1A"/>
        </w:rPr>
        <w:t>Executive</w:t>
      </w:r>
      <w:r>
        <w:rPr>
          <w:rFonts w:ascii="Arial" w:cs="Arial" w:eastAsia="Arial" w:hAnsi="Arial"/>
          <w:sz w:val="18"/>
          <w:szCs w:val="18"/>
          <w:color w:val="131313"/>
        </w:rPr>
        <w:t xml:space="preserve"> </w:t>
      </w:r>
      <w:r>
        <w:rPr>
          <w:rFonts w:ascii="Arial" w:cs="Arial" w:eastAsia="Arial" w:hAnsi="Arial"/>
          <w:sz w:val="18"/>
          <w:szCs w:val="18"/>
          <w:color w:val="111111"/>
        </w:rPr>
        <w:t>to</w:t>
      </w:r>
      <w:r>
        <w:rPr>
          <w:rFonts w:ascii="Arial" w:cs="Arial" w:eastAsia="Arial" w:hAnsi="Arial"/>
          <w:sz w:val="18"/>
          <w:szCs w:val="18"/>
          <w:color w:val="131313"/>
        </w:rPr>
        <w:t xml:space="preserve"> </w:t>
      </w:r>
      <w:r>
        <w:rPr>
          <w:rFonts w:ascii="Arial" w:cs="Arial" w:eastAsia="Arial" w:hAnsi="Arial"/>
          <w:sz w:val="18"/>
          <w:szCs w:val="18"/>
          <w:color w:val="1F1F1F"/>
        </w:rPr>
        <w:t>continue</w:t>
      </w:r>
      <w:r>
        <w:rPr>
          <w:rFonts w:ascii="Arial" w:cs="Arial" w:eastAsia="Arial" w:hAnsi="Arial"/>
          <w:sz w:val="18"/>
          <w:szCs w:val="18"/>
          <w:color w:val="131313"/>
        </w:rPr>
        <w:t xml:space="preserve"> </w:t>
      </w:r>
      <w:r>
        <w:rPr>
          <w:rFonts w:ascii="Arial" w:cs="Arial" w:eastAsia="Arial" w:hAnsi="Arial"/>
          <w:sz w:val="18"/>
          <w:szCs w:val="18"/>
          <w:color w:val="161616"/>
        </w:rPr>
        <w:t>to</w:t>
      </w:r>
      <w:r>
        <w:rPr>
          <w:rFonts w:ascii="Arial" w:cs="Arial" w:eastAsia="Arial" w:hAnsi="Arial"/>
          <w:sz w:val="18"/>
          <w:szCs w:val="18"/>
          <w:color w:val="131313"/>
        </w:rPr>
        <w:t xml:space="preserve"> participate </w:t>
      </w:r>
      <w:r>
        <w:rPr>
          <w:rFonts w:ascii="Arial" w:cs="Arial" w:eastAsia="Arial" w:hAnsi="Arial"/>
          <w:sz w:val="18"/>
          <w:szCs w:val="18"/>
          <w:color w:val="2D2D2D"/>
        </w:rPr>
        <w:t>in</w:t>
      </w:r>
      <w:r>
        <w:rPr>
          <w:rFonts w:ascii="Arial" w:cs="Arial" w:eastAsia="Arial" w:hAnsi="Arial"/>
          <w:sz w:val="18"/>
          <w:szCs w:val="18"/>
          <w:color w:val="131313"/>
        </w:rPr>
        <w:t xml:space="preserve"> </w:t>
      </w:r>
      <w:r>
        <w:rPr>
          <w:rFonts w:ascii="Arial" w:cs="Arial" w:eastAsia="Arial" w:hAnsi="Arial"/>
          <w:sz w:val="18"/>
          <w:szCs w:val="18"/>
          <w:color w:val="1F1F1F"/>
        </w:rPr>
        <w:t>the</w:t>
      </w:r>
      <w:r>
        <w:rPr>
          <w:rFonts w:ascii="Arial" w:cs="Arial" w:eastAsia="Arial" w:hAnsi="Arial"/>
          <w:sz w:val="18"/>
          <w:szCs w:val="18"/>
          <w:color w:val="131313"/>
        </w:rPr>
        <w:t xml:space="preserve"> </w:t>
      </w:r>
      <w:r>
        <w:rPr>
          <w:rFonts w:ascii="Arial" w:cs="Arial" w:eastAsia="Arial" w:hAnsi="Arial"/>
          <w:sz w:val="18"/>
          <w:szCs w:val="18"/>
          <w:color w:val="0E0E0E"/>
        </w:rPr>
        <w:t>Company’s</w:t>
      </w:r>
      <w:r>
        <w:rPr>
          <w:rFonts w:ascii="Arial" w:cs="Arial" w:eastAsia="Arial" w:hAnsi="Arial"/>
          <w:sz w:val="18"/>
          <w:szCs w:val="18"/>
          <w:color w:val="131313"/>
        </w:rPr>
        <w:t xml:space="preserve"> </w:t>
      </w:r>
      <w:r>
        <w:rPr>
          <w:rFonts w:ascii="Arial" w:cs="Arial" w:eastAsia="Arial" w:hAnsi="Arial"/>
          <w:sz w:val="18"/>
          <w:szCs w:val="18"/>
          <w:color w:val="000000"/>
        </w:rPr>
        <w:t>health</w:t>
      </w:r>
      <w:r>
        <w:rPr>
          <w:rFonts w:ascii="Arial" w:cs="Arial" w:eastAsia="Arial" w:hAnsi="Arial"/>
          <w:sz w:val="18"/>
          <w:szCs w:val="18"/>
          <w:color w:val="131313"/>
        </w:rPr>
        <w:t xml:space="preserve"> </w:t>
      </w:r>
      <w:r>
        <w:rPr>
          <w:rFonts w:ascii="Arial" w:cs="Arial" w:eastAsia="Arial" w:hAnsi="Arial"/>
          <w:sz w:val="18"/>
          <w:szCs w:val="18"/>
          <w:color w:val="0A0A0A"/>
        </w:rPr>
        <w:t>insurance</w:t>
      </w:r>
      <w:r>
        <w:rPr>
          <w:rFonts w:ascii="Arial" w:cs="Arial" w:eastAsia="Arial" w:hAnsi="Arial"/>
          <w:sz w:val="18"/>
          <w:szCs w:val="18"/>
          <w:color w:val="131313"/>
        </w:rPr>
        <w:t xml:space="preserve"> </w:t>
      </w:r>
      <w:r>
        <w:rPr>
          <w:rFonts w:ascii="Arial" w:cs="Arial" w:eastAsia="Arial" w:hAnsi="Arial"/>
          <w:sz w:val="18"/>
          <w:szCs w:val="18"/>
          <w:color w:val="1F1F1F"/>
        </w:rPr>
        <w:t>plans</w:t>
      </w:r>
      <w:r>
        <w:rPr>
          <w:rFonts w:ascii="Arial" w:cs="Arial" w:eastAsia="Arial" w:hAnsi="Arial"/>
          <w:sz w:val="18"/>
          <w:szCs w:val="18"/>
          <w:color w:val="131313"/>
        </w:rPr>
        <w:t xml:space="preserve"> </w:t>
      </w:r>
      <w:r>
        <w:rPr>
          <w:rFonts w:ascii="Arial" w:cs="Arial" w:eastAsia="Arial" w:hAnsi="Arial"/>
          <w:sz w:val="18"/>
          <w:szCs w:val="18"/>
          <w:color w:val="151515"/>
        </w:rPr>
        <w:t>on</w:t>
      </w:r>
      <w:r>
        <w:rPr>
          <w:rFonts w:ascii="Arial" w:cs="Arial" w:eastAsia="Arial" w:hAnsi="Arial"/>
          <w:sz w:val="18"/>
          <w:szCs w:val="18"/>
          <w:color w:val="131313"/>
        </w:rPr>
        <w:t xml:space="preserve"> </w:t>
      </w:r>
      <w:r>
        <w:rPr>
          <w:rFonts w:ascii="Arial" w:cs="Arial" w:eastAsia="Arial" w:hAnsi="Arial"/>
          <w:sz w:val="18"/>
          <w:szCs w:val="18"/>
          <w:color w:val="1A1A1A"/>
        </w:rPr>
        <w:t>the</w:t>
      </w:r>
      <w:r>
        <w:rPr>
          <w:rFonts w:ascii="Arial" w:cs="Arial" w:eastAsia="Arial" w:hAnsi="Arial"/>
          <w:sz w:val="18"/>
          <w:szCs w:val="18"/>
          <w:color w:val="131313"/>
        </w:rPr>
        <w:t xml:space="preserve"> </w:t>
      </w:r>
      <w:r>
        <w:rPr>
          <w:rFonts w:ascii="Arial" w:cs="Arial" w:eastAsia="Arial" w:hAnsi="Arial"/>
          <w:sz w:val="18"/>
          <w:szCs w:val="18"/>
          <w:color w:val="1D1D1D"/>
        </w:rPr>
        <w:t xml:space="preserve">same </w:t>
      </w:r>
      <w:r>
        <w:rPr>
          <w:rFonts w:ascii="Arial" w:cs="Arial" w:eastAsia="Arial" w:hAnsi="Arial"/>
          <w:sz w:val="18"/>
          <w:szCs w:val="18"/>
          <w:color w:val="181818"/>
        </w:rPr>
        <w:t>terms</w:t>
      </w:r>
      <w:r>
        <w:rPr>
          <w:rFonts w:ascii="Arial" w:cs="Arial" w:eastAsia="Arial" w:hAnsi="Arial"/>
          <w:sz w:val="18"/>
          <w:szCs w:val="18"/>
          <w:color w:val="1D1D1D"/>
        </w:rPr>
        <w:t xml:space="preserve"> </w:t>
      </w:r>
      <w:r>
        <w:rPr>
          <w:rFonts w:ascii="Arial" w:cs="Arial" w:eastAsia="Arial" w:hAnsi="Arial"/>
          <w:sz w:val="18"/>
          <w:szCs w:val="18"/>
          <w:color w:val="282828"/>
        </w:rPr>
        <w:t>as</w:t>
      </w:r>
      <w:r>
        <w:rPr>
          <w:rFonts w:ascii="Arial" w:cs="Arial" w:eastAsia="Arial" w:hAnsi="Arial"/>
          <w:sz w:val="18"/>
          <w:szCs w:val="18"/>
          <w:color w:val="1D1D1D"/>
        </w:rPr>
        <w:t xml:space="preserve"> </w:t>
      </w:r>
      <w:r>
        <w:rPr>
          <w:rFonts w:ascii="Arial" w:cs="Arial" w:eastAsia="Arial" w:hAnsi="Arial"/>
          <w:sz w:val="18"/>
          <w:szCs w:val="18"/>
          <w:color w:val="2D2D2D"/>
        </w:rPr>
        <w:t>he</w:t>
      </w:r>
      <w:r>
        <w:rPr>
          <w:rFonts w:ascii="Arial" w:cs="Arial" w:eastAsia="Arial" w:hAnsi="Arial"/>
          <w:sz w:val="18"/>
          <w:szCs w:val="18"/>
          <w:color w:val="1D1D1D"/>
        </w:rPr>
        <w:t xml:space="preserve"> </w:t>
      </w:r>
      <w:r>
        <w:rPr>
          <w:rFonts w:ascii="Arial" w:cs="Arial" w:eastAsia="Arial" w:hAnsi="Arial"/>
          <w:sz w:val="18"/>
          <w:szCs w:val="18"/>
          <w:color w:val="181818"/>
        </w:rPr>
        <w:t>was</w:t>
      </w:r>
      <w:r>
        <w:rPr>
          <w:rFonts w:ascii="Arial" w:cs="Arial" w:eastAsia="Arial" w:hAnsi="Arial"/>
          <w:sz w:val="18"/>
          <w:szCs w:val="18"/>
          <w:color w:val="1D1D1D"/>
        </w:rPr>
        <w:t xml:space="preserve"> </w:t>
      </w:r>
      <w:r>
        <w:rPr>
          <w:rFonts w:ascii="Arial" w:cs="Arial" w:eastAsia="Arial" w:hAnsi="Arial"/>
          <w:sz w:val="18"/>
          <w:szCs w:val="18"/>
          <w:color w:val="131313"/>
        </w:rPr>
        <w:t>participating</w:t>
      </w:r>
      <w:r>
        <w:rPr>
          <w:rFonts w:ascii="Arial" w:cs="Arial" w:eastAsia="Arial" w:hAnsi="Arial"/>
          <w:sz w:val="18"/>
          <w:szCs w:val="18"/>
          <w:color w:val="1D1D1D"/>
        </w:rPr>
        <w:t xml:space="preserve"> </w:t>
      </w:r>
      <w:r>
        <w:rPr>
          <w:rFonts w:ascii="Arial" w:cs="Arial" w:eastAsia="Arial" w:hAnsi="Arial"/>
          <w:sz w:val="18"/>
          <w:szCs w:val="18"/>
          <w:color w:val="181818"/>
        </w:rPr>
        <w:t>immediately</w:t>
      </w:r>
      <w:r>
        <w:rPr>
          <w:rFonts w:ascii="Arial" w:cs="Arial" w:eastAsia="Arial" w:hAnsi="Arial"/>
          <w:sz w:val="18"/>
          <w:szCs w:val="18"/>
          <w:color w:val="1D1D1D"/>
        </w:rPr>
        <w:t xml:space="preserve"> </w:t>
      </w:r>
      <w:r>
        <w:rPr>
          <w:rFonts w:ascii="Arial" w:cs="Arial" w:eastAsia="Arial" w:hAnsi="Arial"/>
          <w:sz w:val="18"/>
          <w:szCs w:val="18"/>
          <w:color w:val="151515"/>
        </w:rPr>
        <w:t>prior</w:t>
      </w:r>
      <w:r>
        <w:rPr>
          <w:rFonts w:ascii="Arial" w:cs="Arial" w:eastAsia="Arial" w:hAnsi="Arial"/>
          <w:sz w:val="18"/>
          <w:szCs w:val="18"/>
          <w:color w:val="1D1D1D"/>
        </w:rPr>
        <w:t xml:space="preserve"> </w:t>
      </w:r>
      <w:r>
        <w:rPr>
          <w:rFonts w:ascii="Arial" w:cs="Arial" w:eastAsia="Arial" w:hAnsi="Arial"/>
          <w:sz w:val="18"/>
          <w:szCs w:val="18"/>
          <w:color w:val="1A1A1A"/>
        </w:rPr>
        <w:t>to</w:t>
      </w:r>
      <w:r>
        <w:rPr>
          <w:rFonts w:ascii="Arial" w:cs="Arial" w:eastAsia="Arial" w:hAnsi="Arial"/>
          <w:sz w:val="18"/>
          <w:szCs w:val="18"/>
          <w:color w:val="1D1D1D"/>
        </w:rPr>
        <w:t xml:space="preserve"> </w:t>
      </w:r>
      <w:r>
        <w:rPr>
          <w:rFonts w:ascii="Arial" w:cs="Arial" w:eastAsia="Arial" w:hAnsi="Arial"/>
          <w:sz w:val="18"/>
          <w:szCs w:val="18"/>
          <w:color w:val="181818"/>
        </w:rPr>
        <w:t>the</w:t>
      </w:r>
      <w:r>
        <w:rPr>
          <w:rFonts w:ascii="Arial" w:cs="Arial" w:eastAsia="Arial" w:hAnsi="Arial"/>
          <w:sz w:val="18"/>
          <w:szCs w:val="18"/>
          <w:color w:val="1D1D1D"/>
        </w:rPr>
        <w:t xml:space="preserve"> </w:t>
      </w:r>
      <w:r>
        <w:rPr>
          <w:rFonts w:ascii="Arial" w:cs="Arial" w:eastAsia="Arial" w:hAnsi="Arial"/>
          <w:sz w:val="18"/>
          <w:szCs w:val="18"/>
          <w:color w:val="1A1A1A"/>
        </w:rPr>
        <w:t>Termination</w:t>
      </w:r>
      <w:r>
        <w:rPr>
          <w:rFonts w:ascii="Arial" w:cs="Arial" w:eastAsia="Arial" w:hAnsi="Arial"/>
          <w:sz w:val="18"/>
          <w:szCs w:val="18"/>
          <w:color w:val="1D1D1D"/>
        </w:rPr>
        <w:t xml:space="preserve"> </w:t>
      </w:r>
      <w:r>
        <w:rPr>
          <w:rFonts w:ascii="Arial" w:cs="Arial" w:eastAsia="Arial" w:hAnsi="Arial"/>
          <w:sz w:val="18"/>
          <w:szCs w:val="18"/>
          <w:color w:val="151515"/>
        </w:rPr>
        <w:t>Date.</w:t>
      </w:r>
    </w:p>
    <w:p>
      <w:pPr>
        <w:spacing w:after="0" w:line="143" w:lineRule="exact"/>
        <w:rPr>
          <w:sz w:val="20"/>
          <w:szCs w:val="20"/>
          <w:color w:val="auto"/>
        </w:rPr>
      </w:pPr>
    </w:p>
    <w:p>
      <w:pPr>
        <w:ind w:left="660" w:right="220"/>
        <w:spacing w:after="0" w:line="293" w:lineRule="auto"/>
        <w:rPr>
          <w:sz w:val="20"/>
          <w:szCs w:val="20"/>
          <w:color w:val="auto"/>
        </w:rPr>
      </w:pPr>
      <w:r>
        <w:rPr>
          <w:rFonts w:ascii="Arial" w:cs="Arial" w:eastAsia="Arial" w:hAnsi="Arial"/>
          <w:sz w:val="16"/>
          <w:szCs w:val="16"/>
          <w:color w:val="131313"/>
        </w:rPr>
        <w:t xml:space="preserve">Executive </w:t>
      </w:r>
      <w:r>
        <w:rPr>
          <w:rFonts w:ascii="Arial" w:cs="Arial" w:eastAsia="Arial" w:hAnsi="Arial"/>
          <w:sz w:val="16"/>
          <w:szCs w:val="16"/>
          <w:color w:val="181818"/>
        </w:rPr>
        <w:t>ag</w:t>
      </w:r>
      <w:r>
        <w:rPr>
          <w:rFonts w:ascii="Arial" w:cs="Arial" w:eastAsia="Arial" w:hAnsi="Arial"/>
          <w:sz w:val="16"/>
          <w:szCs w:val="16"/>
          <w:color w:val="111111"/>
        </w:rPr>
        <w:t>rees</w:t>
      </w:r>
      <w:r>
        <w:rPr>
          <w:rFonts w:ascii="Arial" w:cs="Arial" w:eastAsia="Arial" w:hAnsi="Arial"/>
          <w:sz w:val="16"/>
          <w:szCs w:val="16"/>
          <w:color w:val="131313"/>
        </w:rPr>
        <w:t xml:space="preserve"> </w:t>
      </w:r>
      <w:r>
        <w:rPr>
          <w:rFonts w:ascii="Arial" w:cs="Arial" w:eastAsia="Arial" w:hAnsi="Arial"/>
          <w:sz w:val="16"/>
          <w:szCs w:val="16"/>
          <w:color w:val="181818"/>
        </w:rPr>
        <w:t>that</w:t>
      </w:r>
      <w:r>
        <w:rPr>
          <w:rFonts w:ascii="Arial" w:cs="Arial" w:eastAsia="Arial" w:hAnsi="Arial"/>
          <w:sz w:val="16"/>
          <w:szCs w:val="16"/>
          <w:color w:val="131313"/>
        </w:rPr>
        <w:t xml:space="preserve"> </w:t>
      </w:r>
      <w:r>
        <w:rPr>
          <w:rFonts w:ascii="Arial" w:cs="Arial" w:eastAsia="Arial" w:hAnsi="Arial"/>
          <w:sz w:val="16"/>
          <w:szCs w:val="16"/>
          <w:color w:val="1D1D1D"/>
        </w:rPr>
        <w:t>the</w:t>
      </w:r>
      <w:r>
        <w:rPr>
          <w:rFonts w:ascii="Arial" w:cs="Arial" w:eastAsia="Arial" w:hAnsi="Arial"/>
          <w:sz w:val="16"/>
          <w:szCs w:val="16"/>
          <w:color w:val="131313"/>
        </w:rPr>
        <w:t xml:space="preserve"> </w:t>
      </w:r>
      <w:r>
        <w:rPr>
          <w:rFonts w:ascii="Arial" w:cs="Arial" w:eastAsia="Arial" w:hAnsi="Arial"/>
          <w:sz w:val="16"/>
          <w:szCs w:val="16"/>
          <w:color w:val="181818"/>
        </w:rPr>
        <w:t>payments</w:t>
      </w:r>
      <w:r>
        <w:rPr>
          <w:rFonts w:ascii="Arial" w:cs="Arial" w:eastAsia="Arial" w:hAnsi="Arial"/>
          <w:sz w:val="16"/>
          <w:szCs w:val="16"/>
          <w:color w:val="131313"/>
        </w:rPr>
        <w:t xml:space="preserve"> </w:t>
      </w:r>
      <w:r>
        <w:rPr>
          <w:rFonts w:ascii="Arial" w:cs="Arial" w:eastAsia="Arial" w:hAnsi="Arial"/>
          <w:sz w:val="16"/>
          <w:szCs w:val="16"/>
          <w:color w:val="1F1F1F"/>
        </w:rPr>
        <w:t>and</w:t>
      </w:r>
      <w:r>
        <w:rPr>
          <w:rFonts w:ascii="Arial" w:cs="Arial" w:eastAsia="Arial" w:hAnsi="Arial"/>
          <w:sz w:val="16"/>
          <w:szCs w:val="16"/>
          <w:color w:val="131313"/>
        </w:rPr>
        <w:t xml:space="preserve"> </w:t>
      </w:r>
      <w:r>
        <w:rPr>
          <w:rFonts w:ascii="Arial" w:cs="Arial" w:eastAsia="Arial" w:hAnsi="Arial"/>
          <w:sz w:val="16"/>
          <w:szCs w:val="16"/>
          <w:color w:val="1D1D1D"/>
        </w:rPr>
        <w:t>benefits</w:t>
      </w:r>
      <w:r>
        <w:rPr>
          <w:rFonts w:ascii="Arial" w:cs="Arial" w:eastAsia="Arial" w:hAnsi="Arial"/>
          <w:sz w:val="16"/>
          <w:szCs w:val="16"/>
          <w:color w:val="131313"/>
        </w:rPr>
        <w:t xml:space="preserve"> described </w:t>
      </w:r>
      <w:r>
        <w:rPr>
          <w:rFonts w:ascii="Arial" w:cs="Arial" w:eastAsia="Arial" w:hAnsi="Arial"/>
          <w:sz w:val="16"/>
          <w:szCs w:val="16"/>
          <w:color w:val="262626"/>
        </w:rPr>
        <w:t>in</w:t>
      </w:r>
      <w:r>
        <w:rPr>
          <w:rFonts w:ascii="Arial" w:cs="Arial" w:eastAsia="Arial" w:hAnsi="Arial"/>
          <w:sz w:val="16"/>
          <w:szCs w:val="16"/>
          <w:color w:val="131313"/>
        </w:rPr>
        <w:t xml:space="preserve"> </w:t>
      </w:r>
      <w:r>
        <w:rPr>
          <w:rFonts w:ascii="Arial" w:cs="Arial" w:eastAsia="Arial" w:hAnsi="Arial"/>
          <w:sz w:val="16"/>
          <w:szCs w:val="16"/>
          <w:color w:val="1D1D1D"/>
        </w:rPr>
        <w:t>this</w:t>
      </w:r>
      <w:r>
        <w:rPr>
          <w:rFonts w:ascii="Arial" w:cs="Arial" w:eastAsia="Arial" w:hAnsi="Arial"/>
          <w:sz w:val="16"/>
          <w:szCs w:val="16"/>
          <w:color w:val="131313"/>
        </w:rPr>
        <w:t xml:space="preserve"> </w:t>
      </w:r>
      <w:r>
        <w:rPr>
          <w:rFonts w:ascii="Arial" w:cs="Arial" w:eastAsia="Arial" w:hAnsi="Arial"/>
          <w:sz w:val="16"/>
          <w:szCs w:val="16"/>
          <w:color w:val="181818"/>
        </w:rPr>
        <w:t>Paragraph</w:t>
      </w:r>
      <w:r>
        <w:rPr>
          <w:rFonts w:ascii="Arial" w:cs="Arial" w:eastAsia="Arial" w:hAnsi="Arial"/>
          <w:sz w:val="16"/>
          <w:szCs w:val="16"/>
          <w:color w:val="131313"/>
        </w:rPr>
        <w:t xml:space="preserve"> </w:t>
      </w:r>
      <w:r>
        <w:rPr>
          <w:rFonts w:ascii="Arial" w:cs="Arial" w:eastAsia="Arial" w:hAnsi="Arial"/>
          <w:sz w:val="16"/>
          <w:szCs w:val="16"/>
          <w:color w:val="232323"/>
        </w:rPr>
        <w:t>2</w:t>
      </w:r>
      <w:r>
        <w:rPr>
          <w:rFonts w:ascii="Arial" w:cs="Arial" w:eastAsia="Arial" w:hAnsi="Arial"/>
          <w:sz w:val="16"/>
          <w:szCs w:val="16"/>
          <w:color w:val="131313"/>
        </w:rPr>
        <w:t xml:space="preserve"> </w:t>
      </w:r>
      <w:r>
        <w:rPr>
          <w:rFonts w:ascii="Arial" w:cs="Arial" w:eastAsia="Arial" w:hAnsi="Arial"/>
          <w:sz w:val="16"/>
          <w:szCs w:val="16"/>
          <w:color w:val="181818"/>
        </w:rPr>
        <w:t>fully</w:t>
      </w:r>
      <w:r>
        <w:rPr>
          <w:rFonts w:ascii="Arial" w:cs="Arial" w:eastAsia="Arial" w:hAnsi="Arial"/>
          <w:sz w:val="16"/>
          <w:szCs w:val="16"/>
          <w:color w:val="131313"/>
        </w:rPr>
        <w:t xml:space="preserve"> </w:t>
      </w:r>
      <w:r>
        <w:rPr>
          <w:rFonts w:ascii="Arial" w:cs="Arial" w:eastAsia="Arial" w:hAnsi="Arial"/>
          <w:sz w:val="16"/>
          <w:szCs w:val="16"/>
          <w:color w:val="0E0E0E"/>
        </w:rPr>
        <w:t>satisfy</w:t>
      </w:r>
      <w:r>
        <w:rPr>
          <w:rFonts w:ascii="Arial" w:cs="Arial" w:eastAsia="Arial" w:hAnsi="Arial"/>
          <w:sz w:val="16"/>
          <w:szCs w:val="16"/>
          <w:color w:val="131313"/>
        </w:rPr>
        <w:t xml:space="preserve"> </w:t>
      </w:r>
      <w:r>
        <w:rPr>
          <w:rFonts w:ascii="Arial" w:cs="Arial" w:eastAsia="Arial" w:hAnsi="Arial"/>
          <w:sz w:val="16"/>
          <w:szCs w:val="16"/>
          <w:color w:val="161616"/>
        </w:rPr>
        <w:t>the</w:t>
      </w:r>
      <w:r>
        <w:rPr>
          <w:rFonts w:ascii="Arial" w:cs="Arial" w:eastAsia="Arial" w:hAnsi="Arial"/>
          <w:sz w:val="16"/>
          <w:szCs w:val="16"/>
          <w:color w:val="131313"/>
        </w:rPr>
        <w:t xml:space="preserve"> </w:t>
      </w:r>
      <w:r>
        <w:rPr>
          <w:rFonts w:ascii="Arial" w:cs="Arial" w:eastAsia="Arial" w:hAnsi="Arial"/>
          <w:sz w:val="16"/>
          <w:szCs w:val="16"/>
          <w:color w:val="151515"/>
        </w:rPr>
        <w:t>Company’s</w:t>
      </w:r>
      <w:r>
        <w:rPr>
          <w:rFonts w:ascii="Arial" w:cs="Arial" w:eastAsia="Arial" w:hAnsi="Arial"/>
          <w:sz w:val="16"/>
          <w:szCs w:val="16"/>
          <w:color w:val="131313"/>
        </w:rPr>
        <w:t xml:space="preserve"> </w:t>
      </w:r>
      <w:r>
        <w:rPr>
          <w:rFonts w:ascii="Arial" w:cs="Arial" w:eastAsia="Arial" w:hAnsi="Arial"/>
          <w:sz w:val="16"/>
          <w:szCs w:val="16"/>
          <w:color w:val="161616"/>
        </w:rPr>
        <w:t>obligations</w:t>
      </w:r>
      <w:r>
        <w:rPr>
          <w:rFonts w:ascii="Arial" w:cs="Arial" w:eastAsia="Arial" w:hAnsi="Arial"/>
          <w:sz w:val="16"/>
          <w:szCs w:val="16"/>
          <w:color w:val="131313"/>
        </w:rPr>
        <w:t xml:space="preserve"> </w:t>
      </w:r>
      <w:r>
        <w:rPr>
          <w:rFonts w:ascii="Arial" w:cs="Arial" w:eastAsia="Arial" w:hAnsi="Arial"/>
          <w:sz w:val="16"/>
          <w:szCs w:val="16"/>
          <w:color w:val="1D1D1D"/>
        </w:rPr>
        <w:t>to</w:t>
      </w:r>
      <w:r>
        <w:rPr>
          <w:rFonts w:ascii="Arial" w:cs="Arial" w:eastAsia="Arial" w:hAnsi="Arial"/>
          <w:sz w:val="16"/>
          <w:szCs w:val="16"/>
          <w:color w:val="131313"/>
        </w:rPr>
        <w:t xml:space="preserve"> </w:t>
      </w:r>
      <w:r>
        <w:rPr>
          <w:rFonts w:ascii="Arial" w:cs="Arial" w:eastAsia="Arial" w:hAnsi="Arial"/>
          <w:sz w:val="16"/>
          <w:szCs w:val="16"/>
          <w:color w:val="242424"/>
        </w:rPr>
        <w:t>pay</w:t>
      </w:r>
      <w:r>
        <w:rPr>
          <w:rFonts w:ascii="Arial" w:cs="Arial" w:eastAsia="Arial" w:hAnsi="Arial"/>
          <w:sz w:val="16"/>
          <w:szCs w:val="16"/>
          <w:color w:val="131313"/>
        </w:rPr>
        <w:t xml:space="preserve"> </w:t>
      </w:r>
      <w:r>
        <w:rPr>
          <w:rFonts w:ascii="Arial" w:cs="Arial" w:eastAsia="Arial" w:hAnsi="Arial"/>
          <w:sz w:val="16"/>
          <w:szCs w:val="16"/>
          <w:color w:val="000000"/>
        </w:rPr>
        <w:t>severance</w:t>
      </w:r>
      <w:r>
        <w:rPr>
          <w:rFonts w:ascii="Arial" w:cs="Arial" w:eastAsia="Arial" w:hAnsi="Arial"/>
          <w:sz w:val="16"/>
          <w:szCs w:val="16"/>
          <w:color w:val="131313"/>
        </w:rPr>
        <w:t xml:space="preserve"> </w:t>
      </w:r>
      <w:r>
        <w:rPr>
          <w:rFonts w:ascii="Arial" w:cs="Arial" w:eastAsia="Arial" w:hAnsi="Arial"/>
          <w:sz w:val="16"/>
          <w:szCs w:val="16"/>
          <w:color w:val="2A2A2A"/>
        </w:rPr>
        <w:t>or</w:t>
      </w:r>
      <w:r>
        <w:rPr>
          <w:rFonts w:ascii="Arial" w:cs="Arial" w:eastAsia="Arial" w:hAnsi="Arial"/>
          <w:sz w:val="16"/>
          <w:szCs w:val="16"/>
          <w:color w:val="131313"/>
        </w:rPr>
        <w:t xml:space="preserve"> </w:t>
      </w:r>
      <w:r>
        <w:rPr>
          <w:rFonts w:ascii="Arial" w:cs="Arial" w:eastAsia="Arial" w:hAnsi="Arial"/>
          <w:sz w:val="16"/>
          <w:szCs w:val="16"/>
          <w:color w:val="161616"/>
        </w:rPr>
        <w:t>other</w:t>
      </w:r>
      <w:r>
        <w:rPr>
          <w:rFonts w:ascii="Arial" w:cs="Arial" w:eastAsia="Arial" w:hAnsi="Arial"/>
          <w:sz w:val="16"/>
          <w:szCs w:val="16"/>
          <w:color w:val="131313"/>
        </w:rPr>
        <w:t xml:space="preserve"> </w:t>
      </w:r>
      <w:r>
        <w:rPr>
          <w:rFonts w:ascii="Arial" w:cs="Arial" w:eastAsia="Arial" w:hAnsi="Arial"/>
          <w:sz w:val="16"/>
          <w:szCs w:val="16"/>
          <w:color w:val="161616"/>
        </w:rPr>
        <w:t xml:space="preserve">compensation </w:t>
      </w:r>
      <w:r>
        <w:rPr>
          <w:rFonts w:ascii="Arial" w:cs="Arial" w:eastAsia="Arial" w:hAnsi="Arial"/>
          <w:sz w:val="16"/>
          <w:szCs w:val="16"/>
          <w:color w:val="000000"/>
        </w:rPr>
        <w:t>to Executive,</w:t>
      </w:r>
      <w:r>
        <w:rPr>
          <w:rFonts w:ascii="Arial" w:cs="Arial" w:eastAsia="Arial" w:hAnsi="Arial"/>
          <w:sz w:val="16"/>
          <w:szCs w:val="16"/>
          <w:color w:val="161616"/>
        </w:rPr>
        <w:t xml:space="preserve"> </w:t>
      </w:r>
      <w:r>
        <w:rPr>
          <w:rFonts w:ascii="Arial" w:cs="Arial" w:eastAsia="Arial" w:hAnsi="Arial"/>
          <w:sz w:val="16"/>
          <w:szCs w:val="16"/>
          <w:color w:val="0A0A0A"/>
        </w:rPr>
        <w:t>including</w:t>
      </w:r>
      <w:r>
        <w:rPr>
          <w:rFonts w:ascii="Arial" w:cs="Arial" w:eastAsia="Arial" w:hAnsi="Arial"/>
          <w:sz w:val="16"/>
          <w:szCs w:val="16"/>
          <w:color w:val="161616"/>
        </w:rPr>
        <w:t xml:space="preserve"> </w:t>
      </w:r>
      <w:r>
        <w:rPr>
          <w:rFonts w:ascii="Arial" w:cs="Arial" w:eastAsia="Arial" w:hAnsi="Arial"/>
          <w:sz w:val="16"/>
          <w:szCs w:val="16"/>
          <w:color w:val="0C0C0C"/>
        </w:rPr>
        <w:t>(but</w:t>
      </w:r>
      <w:r>
        <w:rPr>
          <w:rFonts w:ascii="Arial" w:cs="Arial" w:eastAsia="Arial" w:hAnsi="Arial"/>
          <w:sz w:val="16"/>
          <w:szCs w:val="16"/>
          <w:color w:val="161616"/>
        </w:rPr>
        <w:t xml:space="preserve"> </w:t>
      </w:r>
      <w:r>
        <w:rPr>
          <w:rFonts w:ascii="Arial" w:cs="Arial" w:eastAsia="Arial" w:hAnsi="Arial"/>
          <w:sz w:val="16"/>
          <w:szCs w:val="16"/>
          <w:color w:val="0F0F0F"/>
        </w:rPr>
        <w:t>not</w:t>
      </w:r>
      <w:r>
        <w:rPr>
          <w:rFonts w:ascii="Arial" w:cs="Arial" w:eastAsia="Arial" w:hAnsi="Arial"/>
          <w:sz w:val="16"/>
          <w:szCs w:val="16"/>
          <w:color w:val="161616"/>
        </w:rPr>
        <w:t xml:space="preserve"> </w:t>
      </w:r>
      <w:r>
        <w:rPr>
          <w:rFonts w:ascii="Arial" w:cs="Arial" w:eastAsia="Arial" w:hAnsi="Arial"/>
          <w:sz w:val="16"/>
          <w:szCs w:val="16"/>
          <w:color w:val="181818"/>
        </w:rPr>
        <w:t>limited</w:t>
      </w:r>
      <w:r>
        <w:rPr>
          <w:rFonts w:ascii="Arial" w:cs="Arial" w:eastAsia="Arial" w:hAnsi="Arial"/>
          <w:sz w:val="16"/>
          <w:szCs w:val="16"/>
          <w:color w:val="161616"/>
        </w:rPr>
        <w:t xml:space="preserve"> </w:t>
      </w:r>
      <w:r>
        <w:rPr>
          <w:rFonts w:ascii="Arial" w:cs="Arial" w:eastAsia="Arial" w:hAnsi="Arial"/>
          <w:sz w:val="16"/>
          <w:szCs w:val="16"/>
          <w:color w:val="1F1F1F"/>
        </w:rPr>
        <w:t>to)</w:t>
      </w:r>
      <w:r>
        <w:rPr>
          <w:rFonts w:ascii="Arial" w:cs="Arial" w:eastAsia="Arial" w:hAnsi="Arial"/>
          <w:sz w:val="16"/>
          <w:szCs w:val="16"/>
          <w:color w:val="161616"/>
        </w:rPr>
        <w:t xml:space="preserve"> </w:t>
      </w:r>
      <w:r>
        <w:rPr>
          <w:rFonts w:ascii="Arial" w:cs="Arial" w:eastAsia="Arial" w:hAnsi="Arial"/>
          <w:sz w:val="16"/>
          <w:szCs w:val="16"/>
          <w:color w:val="1C1C1C"/>
        </w:rPr>
        <w:t>any</w:t>
      </w:r>
      <w:r>
        <w:rPr>
          <w:rFonts w:ascii="Arial" w:cs="Arial" w:eastAsia="Arial" w:hAnsi="Arial"/>
          <w:sz w:val="16"/>
          <w:szCs w:val="16"/>
          <w:color w:val="161616"/>
        </w:rPr>
        <w:t xml:space="preserve"> </w:t>
      </w:r>
      <w:r>
        <w:rPr>
          <w:rFonts w:ascii="Arial" w:cs="Arial" w:eastAsia="Arial" w:hAnsi="Arial"/>
          <w:sz w:val="16"/>
          <w:szCs w:val="16"/>
          <w:color w:val="0C0C0C"/>
        </w:rPr>
        <w:t>obligations</w:t>
      </w:r>
      <w:r>
        <w:rPr>
          <w:rFonts w:ascii="Arial" w:cs="Arial" w:eastAsia="Arial" w:hAnsi="Arial"/>
          <w:sz w:val="16"/>
          <w:szCs w:val="16"/>
          <w:color w:val="161616"/>
        </w:rPr>
        <w:t xml:space="preserve"> </w:t>
      </w:r>
      <w:r>
        <w:rPr>
          <w:rFonts w:ascii="Arial" w:cs="Arial" w:eastAsia="Arial" w:hAnsi="Arial"/>
          <w:sz w:val="16"/>
          <w:szCs w:val="16"/>
          <w:color w:val="0F0F0F"/>
        </w:rPr>
        <w:t>set</w:t>
      </w:r>
      <w:r>
        <w:rPr>
          <w:rFonts w:ascii="Arial" w:cs="Arial" w:eastAsia="Arial" w:hAnsi="Arial"/>
          <w:sz w:val="16"/>
          <w:szCs w:val="16"/>
          <w:color w:val="161616"/>
        </w:rPr>
        <w:t xml:space="preserve"> forth </w:t>
      </w:r>
      <w:r>
        <w:rPr>
          <w:rFonts w:ascii="Arial" w:cs="Arial" w:eastAsia="Arial" w:hAnsi="Arial"/>
          <w:sz w:val="16"/>
          <w:szCs w:val="16"/>
          <w:color w:val="1C1C1C"/>
        </w:rPr>
        <w:t>in</w:t>
      </w:r>
      <w:r>
        <w:rPr>
          <w:rFonts w:ascii="Arial" w:cs="Arial" w:eastAsia="Arial" w:hAnsi="Arial"/>
          <w:sz w:val="16"/>
          <w:szCs w:val="16"/>
          <w:color w:val="161616"/>
        </w:rPr>
        <w:t xml:space="preserve"> </w:t>
      </w:r>
      <w:r>
        <w:rPr>
          <w:rFonts w:ascii="Arial" w:cs="Arial" w:eastAsia="Arial" w:hAnsi="Arial"/>
          <w:sz w:val="16"/>
          <w:szCs w:val="16"/>
          <w:color w:val="000000"/>
        </w:rPr>
        <w:t>his</w:t>
      </w:r>
      <w:r>
        <w:rPr>
          <w:rFonts w:ascii="Arial" w:cs="Arial" w:eastAsia="Arial" w:hAnsi="Arial"/>
          <w:sz w:val="16"/>
          <w:szCs w:val="16"/>
          <w:color w:val="161616"/>
        </w:rPr>
        <w:t xml:space="preserve"> </w:t>
      </w:r>
      <w:r>
        <w:rPr>
          <w:rFonts w:ascii="Arial" w:cs="Arial" w:eastAsia="Arial" w:hAnsi="Arial"/>
          <w:sz w:val="16"/>
          <w:szCs w:val="16"/>
          <w:color w:val="111111"/>
        </w:rPr>
        <w:t>offer</w:t>
      </w:r>
      <w:r>
        <w:rPr>
          <w:rFonts w:ascii="Arial" w:cs="Arial" w:eastAsia="Arial" w:hAnsi="Arial"/>
          <w:sz w:val="16"/>
          <w:szCs w:val="16"/>
          <w:color w:val="161616"/>
        </w:rPr>
        <w:t xml:space="preserve"> of </w:t>
      </w:r>
      <w:r>
        <w:rPr>
          <w:rFonts w:ascii="Arial" w:cs="Arial" w:eastAsia="Arial" w:hAnsi="Arial"/>
          <w:sz w:val="16"/>
          <w:szCs w:val="16"/>
          <w:color w:val="131313"/>
        </w:rPr>
        <w:t>employment.</w:t>
      </w:r>
      <w:r>
        <w:rPr>
          <w:rFonts w:ascii="Arial" w:cs="Arial" w:eastAsia="Arial" w:hAnsi="Arial"/>
          <w:sz w:val="16"/>
          <w:szCs w:val="16"/>
          <w:color w:val="161616"/>
        </w:rPr>
        <w:t xml:space="preserve"> </w:t>
      </w:r>
      <w:r>
        <w:rPr>
          <w:rFonts w:ascii="Arial" w:cs="Arial" w:eastAsia="Arial" w:hAnsi="Arial"/>
          <w:sz w:val="16"/>
          <w:szCs w:val="16"/>
          <w:color w:val="0F0F0F"/>
        </w:rPr>
        <w:t>Executive</w:t>
      </w:r>
      <w:r>
        <w:rPr>
          <w:rFonts w:ascii="Arial" w:cs="Arial" w:eastAsia="Arial" w:hAnsi="Arial"/>
          <w:sz w:val="16"/>
          <w:szCs w:val="16"/>
          <w:color w:val="161616"/>
        </w:rPr>
        <w:t xml:space="preserve"> </w:t>
      </w:r>
      <w:r>
        <w:rPr>
          <w:rFonts w:ascii="Arial" w:cs="Arial" w:eastAsia="Arial" w:hAnsi="Arial"/>
          <w:sz w:val="16"/>
          <w:szCs w:val="16"/>
          <w:color w:val="1C1C1C"/>
        </w:rPr>
        <w:t>also</w:t>
      </w:r>
      <w:r>
        <w:rPr>
          <w:rFonts w:ascii="Arial" w:cs="Arial" w:eastAsia="Arial" w:hAnsi="Arial"/>
          <w:sz w:val="16"/>
          <w:szCs w:val="16"/>
          <w:color w:val="161616"/>
        </w:rPr>
        <w:t xml:space="preserve"> </w:t>
      </w:r>
      <w:r>
        <w:rPr>
          <w:rFonts w:ascii="Arial" w:cs="Arial" w:eastAsia="Arial" w:hAnsi="Arial"/>
          <w:sz w:val="16"/>
          <w:szCs w:val="16"/>
          <w:color w:val="0C0C0C"/>
        </w:rPr>
        <w:t>agrees</w:t>
      </w:r>
      <w:r>
        <w:rPr>
          <w:rFonts w:ascii="Arial" w:cs="Arial" w:eastAsia="Arial" w:hAnsi="Arial"/>
          <w:sz w:val="16"/>
          <w:szCs w:val="16"/>
          <w:color w:val="161616"/>
        </w:rPr>
        <w:t xml:space="preserve"> </w:t>
      </w:r>
      <w:r>
        <w:rPr>
          <w:rFonts w:ascii="Arial" w:cs="Arial" w:eastAsia="Arial" w:hAnsi="Arial"/>
          <w:sz w:val="16"/>
          <w:szCs w:val="16"/>
          <w:color w:val="242424"/>
        </w:rPr>
        <w:t>and</w:t>
      </w:r>
      <w:r>
        <w:rPr>
          <w:rFonts w:ascii="Arial" w:cs="Arial" w:eastAsia="Arial" w:hAnsi="Arial"/>
          <w:sz w:val="16"/>
          <w:szCs w:val="16"/>
          <w:color w:val="161616"/>
        </w:rPr>
        <w:t xml:space="preserve"> acknowledges </w:t>
      </w:r>
      <w:r>
        <w:rPr>
          <w:rFonts w:ascii="Arial" w:cs="Arial" w:eastAsia="Arial" w:hAnsi="Arial"/>
          <w:sz w:val="16"/>
          <w:szCs w:val="16"/>
          <w:color w:val="1C1C1C"/>
        </w:rPr>
        <w:t>that</w:t>
      </w:r>
      <w:r>
        <w:rPr>
          <w:rFonts w:ascii="Arial" w:cs="Arial" w:eastAsia="Arial" w:hAnsi="Arial"/>
          <w:sz w:val="16"/>
          <w:szCs w:val="16"/>
          <w:color w:val="161616"/>
        </w:rPr>
        <w:t xml:space="preserve"> </w:t>
      </w:r>
      <w:r>
        <w:rPr>
          <w:rFonts w:ascii="Arial" w:cs="Arial" w:eastAsia="Arial" w:hAnsi="Arial"/>
          <w:sz w:val="16"/>
          <w:szCs w:val="16"/>
          <w:color w:val="111111"/>
        </w:rPr>
        <w:t>such</w:t>
      </w:r>
      <w:r>
        <w:rPr>
          <w:rFonts w:ascii="Arial" w:cs="Arial" w:eastAsia="Arial" w:hAnsi="Arial"/>
          <w:sz w:val="16"/>
          <w:szCs w:val="16"/>
          <w:color w:val="161616"/>
        </w:rPr>
        <w:t xml:space="preserve"> </w:t>
      </w:r>
      <w:r>
        <w:rPr>
          <w:rFonts w:ascii="Arial" w:cs="Arial" w:eastAsia="Arial" w:hAnsi="Arial"/>
          <w:sz w:val="16"/>
          <w:szCs w:val="16"/>
          <w:color w:val="0C0C0C"/>
        </w:rPr>
        <w:t>payments</w:t>
      </w:r>
      <w:r>
        <w:rPr>
          <w:rFonts w:ascii="Arial" w:cs="Arial" w:eastAsia="Arial" w:hAnsi="Arial"/>
          <w:sz w:val="16"/>
          <w:szCs w:val="16"/>
          <w:color w:val="161616"/>
        </w:rPr>
        <w:t xml:space="preserve"> </w:t>
      </w:r>
      <w:r>
        <w:rPr>
          <w:rFonts w:ascii="Arial" w:cs="Arial" w:eastAsia="Arial" w:hAnsi="Arial"/>
          <w:sz w:val="16"/>
          <w:szCs w:val="16"/>
          <w:color w:val="0F0F0F"/>
        </w:rPr>
        <w:t>constitute</w:t>
      </w:r>
      <w:r>
        <w:rPr>
          <w:rFonts w:ascii="Arial" w:cs="Arial" w:eastAsia="Arial" w:hAnsi="Arial"/>
          <w:sz w:val="16"/>
          <w:szCs w:val="16"/>
          <w:color w:val="161616"/>
        </w:rPr>
        <w:t xml:space="preserve"> </w:t>
      </w:r>
      <w:r>
        <w:rPr>
          <w:rFonts w:ascii="Arial" w:cs="Arial" w:eastAsia="Arial" w:hAnsi="Arial"/>
          <w:sz w:val="16"/>
          <w:szCs w:val="16"/>
          <w:color w:val="131313"/>
        </w:rPr>
        <w:t>adequate and</w:t>
      </w:r>
      <w:r>
        <w:rPr>
          <w:rFonts w:ascii="Arial" w:cs="Arial" w:eastAsia="Arial" w:hAnsi="Arial"/>
          <w:sz w:val="16"/>
          <w:szCs w:val="16"/>
          <w:color w:val="161616"/>
        </w:rPr>
        <w:t xml:space="preserve"> </w:t>
      </w:r>
      <w:r>
        <w:rPr>
          <w:rFonts w:ascii="Arial" w:cs="Arial" w:eastAsia="Arial" w:hAnsi="Arial"/>
          <w:sz w:val="16"/>
          <w:szCs w:val="16"/>
          <w:color w:val="181818"/>
        </w:rPr>
        <w:t>sufficient</w:t>
      </w:r>
      <w:r>
        <w:rPr>
          <w:rFonts w:ascii="Arial" w:cs="Arial" w:eastAsia="Arial" w:hAnsi="Arial"/>
          <w:sz w:val="16"/>
          <w:szCs w:val="16"/>
          <w:color w:val="161616"/>
        </w:rPr>
        <w:t xml:space="preserve"> consideration </w:t>
      </w:r>
      <w:r>
        <w:rPr>
          <w:rFonts w:ascii="Arial" w:cs="Arial" w:eastAsia="Arial" w:hAnsi="Arial"/>
          <w:sz w:val="16"/>
          <w:szCs w:val="16"/>
          <w:color w:val="181818"/>
        </w:rPr>
        <w:t>for</w:t>
      </w:r>
      <w:r>
        <w:rPr>
          <w:rFonts w:ascii="Arial" w:cs="Arial" w:eastAsia="Arial" w:hAnsi="Arial"/>
          <w:sz w:val="16"/>
          <w:szCs w:val="16"/>
          <w:color w:val="161616"/>
        </w:rPr>
        <w:t xml:space="preserve"> </w:t>
      </w:r>
      <w:r>
        <w:rPr>
          <w:rFonts w:ascii="Arial" w:cs="Arial" w:eastAsia="Arial" w:hAnsi="Arial"/>
          <w:sz w:val="16"/>
          <w:szCs w:val="16"/>
          <w:color w:val="282828"/>
        </w:rPr>
        <w:t>the</w:t>
      </w:r>
      <w:r>
        <w:rPr>
          <w:rFonts w:ascii="Arial" w:cs="Arial" w:eastAsia="Arial" w:hAnsi="Arial"/>
          <w:sz w:val="16"/>
          <w:szCs w:val="16"/>
          <w:color w:val="161616"/>
        </w:rPr>
        <w:t xml:space="preserve"> </w:t>
      </w:r>
      <w:r>
        <w:rPr>
          <w:rFonts w:ascii="Arial" w:cs="Arial" w:eastAsia="Arial" w:hAnsi="Arial"/>
          <w:sz w:val="16"/>
          <w:szCs w:val="16"/>
          <w:color w:val="0C0C0C"/>
        </w:rPr>
        <w:t>release described</w:t>
      </w:r>
      <w:r>
        <w:rPr>
          <w:rFonts w:ascii="Arial" w:cs="Arial" w:eastAsia="Arial" w:hAnsi="Arial"/>
          <w:sz w:val="16"/>
          <w:szCs w:val="16"/>
          <w:color w:val="161616"/>
        </w:rPr>
        <w:t xml:space="preserve"> </w:t>
      </w:r>
      <w:r>
        <w:rPr>
          <w:rFonts w:ascii="Arial" w:cs="Arial" w:eastAsia="Arial" w:hAnsi="Arial"/>
          <w:sz w:val="16"/>
          <w:szCs w:val="16"/>
          <w:color w:val="232323"/>
        </w:rPr>
        <w:t>in</w:t>
      </w:r>
      <w:r>
        <w:rPr>
          <w:rFonts w:ascii="Arial" w:cs="Arial" w:eastAsia="Arial" w:hAnsi="Arial"/>
          <w:sz w:val="16"/>
          <w:szCs w:val="16"/>
          <w:color w:val="161616"/>
        </w:rPr>
        <w:t xml:space="preserve"> </w:t>
      </w:r>
      <w:r>
        <w:rPr>
          <w:rFonts w:ascii="Arial" w:cs="Arial" w:eastAsia="Arial" w:hAnsi="Arial"/>
          <w:sz w:val="16"/>
          <w:szCs w:val="16"/>
          <w:color w:val="080808"/>
        </w:rPr>
        <w:t>Paragraph</w:t>
      </w:r>
      <w:r>
        <w:rPr>
          <w:rFonts w:ascii="Arial" w:cs="Arial" w:eastAsia="Arial" w:hAnsi="Arial"/>
          <w:sz w:val="16"/>
          <w:szCs w:val="16"/>
          <w:color w:val="161616"/>
        </w:rPr>
        <w:t xml:space="preserve"> </w:t>
      </w:r>
      <w:r>
        <w:rPr>
          <w:rFonts w:ascii="Arial" w:cs="Arial" w:eastAsia="Arial" w:hAnsi="Arial"/>
          <w:sz w:val="16"/>
          <w:szCs w:val="16"/>
          <w:color w:val="262626"/>
        </w:rPr>
        <w:t>5</w:t>
      </w:r>
      <w:r>
        <w:rPr>
          <w:rFonts w:ascii="Arial" w:cs="Arial" w:eastAsia="Arial" w:hAnsi="Arial"/>
          <w:sz w:val="16"/>
          <w:szCs w:val="16"/>
          <w:color w:val="161616"/>
        </w:rPr>
        <w:t xml:space="preserve"> </w:t>
      </w:r>
      <w:r>
        <w:rPr>
          <w:rFonts w:ascii="Arial" w:cs="Arial" w:eastAsia="Arial" w:hAnsi="Arial"/>
          <w:sz w:val="16"/>
          <w:szCs w:val="16"/>
          <w:color w:val="131313"/>
        </w:rPr>
        <w:t>below,</w:t>
      </w:r>
      <w:r>
        <w:rPr>
          <w:rFonts w:ascii="Arial" w:cs="Arial" w:eastAsia="Arial" w:hAnsi="Arial"/>
          <w:sz w:val="16"/>
          <w:szCs w:val="16"/>
          <w:color w:val="161616"/>
        </w:rPr>
        <w:t xml:space="preserve"> </w:t>
      </w:r>
      <w:r>
        <w:rPr>
          <w:rFonts w:ascii="Arial" w:cs="Arial" w:eastAsia="Arial" w:hAnsi="Arial"/>
          <w:sz w:val="16"/>
          <w:szCs w:val="16"/>
          <w:color w:val="1D1D1D"/>
        </w:rPr>
        <w:t>as</w:t>
      </w:r>
      <w:r>
        <w:rPr>
          <w:rFonts w:ascii="Arial" w:cs="Arial" w:eastAsia="Arial" w:hAnsi="Arial"/>
          <w:sz w:val="16"/>
          <w:szCs w:val="16"/>
          <w:color w:val="161616"/>
        </w:rPr>
        <w:t xml:space="preserve"> </w:t>
      </w:r>
      <w:r>
        <w:rPr>
          <w:rFonts w:ascii="Arial" w:cs="Arial" w:eastAsia="Arial" w:hAnsi="Arial"/>
          <w:sz w:val="16"/>
          <w:szCs w:val="16"/>
          <w:color w:val="131313"/>
        </w:rPr>
        <w:t>well</w:t>
      </w:r>
      <w:r>
        <w:rPr>
          <w:rFonts w:ascii="Arial" w:cs="Arial" w:eastAsia="Arial" w:hAnsi="Arial"/>
          <w:sz w:val="16"/>
          <w:szCs w:val="16"/>
          <w:color w:val="161616"/>
        </w:rPr>
        <w:t xml:space="preserve"> </w:t>
      </w:r>
      <w:r>
        <w:rPr>
          <w:rFonts w:ascii="Arial" w:cs="Arial" w:eastAsia="Arial" w:hAnsi="Arial"/>
          <w:sz w:val="16"/>
          <w:szCs w:val="16"/>
          <w:color w:val="232323"/>
        </w:rPr>
        <w:t>as</w:t>
      </w:r>
      <w:r>
        <w:rPr>
          <w:rFonts w:ascii="Arial" w:cs="Arial" w:eastAsia="Arial" w:hAnsi="Arial"/>
          <w:sz w:val="16"/>
          <w:szCs w:val="16"/>
          <w:color w:val="161616"/>
        </w:rPr>
        <w:t xml:space="preserve"> </w:t>
      </w:r>
      <w:r>
        <w:rPr>
          <w:rFonts w:ascii="Arial" w:cs="Arial" w:eastAsia="Arial" w:hAnsi="Arial"/>
          <w:sz w:val="16"/>
          <w:szCs w:val="16"/>
          <w:color w:val="131313"/>
        </w:rPr>
        <w:t>the</w:t>
      </w:r>
      <w:r>
        <w:rPr>
          <w:rFonts w:ascii="Arial" w:cs="Arial" w:eastAsia="Arial" w:hAnsi="Arial"/>
          <w:sz w:val="16"/>
          <w:szCs w:val="16"/>
          <w:color w:val="161616"/>
        </w:rPr>
        <w:t xml:space="preserve"> </w:t>
      </w:r>
      <w:r>
        <w:rPr>
          <w:rFonts w:ascii="Arial" w:cs="Arial" w:eastAsia="Arial" w:hAnsi="Arial"/>
          <w:sz w:val="16"/>
          <w:szCs w:val="16"/>
          <w:color w:val="1A1A1A"/>
        </w:rPr>
        <w:t xml:space="preserve">other </w:t>
      </w:r>
      <w:r>
        <w:rPr>
          <w:rFonts w:ascii="Arial" w:cs="Arial" w:eastAsia="Arial" w:hAnsi="Arial"/>
          <w:sz w:val="16"/>
          <w:szCs w:val="16"/>
          <w:color w:val="0F0F0F"/>
        </w:rPr>
        <w:t>covenants</w:t>
      </w:r>
      <w:r>
        <w:rPr>
          <w:rFonts w:ascii="Arial" w:cs="Arial" w:eastAsia="Arial" w:hAnsi="Arial"/>
          <w:sz w:val="16"/>
          <w:szCs w:val="16"/>
          <w:color w:val="1A1A1A"/>
        </w:rPr>
        <w:t xml:space="preserve"> </w:t>
      </w:r>
      <w:r>
        <w:rPr>
          <w:rFonts w:ascii="Arial" w:cs="Arial" w:eastAsia="Arial" w:hAnsi="Arial"/>
          <w:sz w:val="16"/>
          <w:szCs w:val="16"/>
          <w:color w:val="181818"/>
        </w:rPr>
        <w:t>and</w:t>
      </w:r>
      <w:r>
        <w:rPr>
          <w:rFonts w:ascii="Arial" w:cs="Arial" w:eastAsia="Arial" w:hAnsi="Arial"/>
          <w:sz w:val="16"/>
          <w:szCs w:val="16"/>
          <w:color w:val="1A1A1A"/>
        </w:rPr>
        <w:t xml:space="preserve"> agreements </w:t>
      </w:r>
      <w:r>
        <w:rPr>
          <w:rFonts w:ascii="Arial" w:cs="Arial" w:eastAsia="Arial" w:hAnsi="Arial"/>
          <w:sz w:val="16"/>
          <w:szCs w:val="16"/>
          <w:color w:val="1C1C1C"/>
        </w:rPr>
        <w:t>made</w:t>
      </w:r>
      <w:r>
        <w:rPr>
          <w:rFonts w:ascii="Arial" w:cs="Arial" w:eastAsia="Arial" w:hAnsi="Arial"/>
          <w:sz w:val="16"/>
          <w:szCs w:val="16"/>
          <w:color w:val="1A1A1A"/>
        </w:rPr>
        <w:t xml:space="preserve"> </w:t>
      </w:r>
      <w:r>
        <w:rPr>
          <w:rFonts w:ascii="Arial" w:cs="Arial" w:eastAsia="Arial" w:hAnsi="Arial"/>
          <w:sz w:val="16"/>
          <w:szCs w:val="16"/>
          <w:color w:val="242424"/>
        </w:rPr>
        <w:t>by</w:t>
      </w:r>
      <w:r>
        <w:rPr>
          <w:rFonts w:ascii="Arial" w:cs="Arial" w:eastAsia="Arial" w:hAnsi="Arial"/>
          <w:sz w:val="16"/>
          <w:szCs w:val="16"/>
          <w:color w:val="1A1A1A"/>
        </w:rPr>
        <w:t xml:space="preserve"> </w:t>
      </w:r>
      <w:r>
        <w:rPr>
          <w:rFonts w:ascii="Arial" w:cs="Arial" w:eastAsia="Arial" w:hAnsi="Arial"/>
          <w:sz w:val="16"/>
          <w:szCs w:val="16"/>
          <w:color w:val="000000"/>
        </w:rPr>
        <w:t>Executive</w:t>
      </w:r>
      <w:r>
        <w:rPr>
          <w:rFonts w:ascii="Arial" w:cs="Arial" w:eastAsia="Arial" w:hAnsi="Arial"/>
          <w:sz w:val="16"/>
          <w:szCs w:val="16"/>
          <w:color w:val="1A1A1A"/>
        </w:rPr>
        <w:t xml:space="preserve"> </w:t>
      </w:r>
      <w:r>
        <w:rPr>
          <w:rFonts w:ascii="Arial" w:cs="Arial" w:eastAsia="Arial" w:hAnsi="Arial"/>
          <w:sz w:val="16"/>
          <w:szCs w:val="16"/>
          <w:color w:val="1D1D1D"/>
        </w:rPr>
        <w:t>in</w:t>
      </w:r>
      <w:r>
        <w:rPr>
          <w:rFonts w:ascii="Arial" w:cs="Arial" w:eastAsia="Arial" w:hAnsi="Arial"/>
          <w:sz w:val="16"/>
          <w:szCs w:val="16"/>
          <w:color w:val="1A1A1A"/>
        </w:rPr>
        <w:t xml:space="preserve"> </w:t>
      </w:r>
      <w:r>
        <w:rPr>
          <w:rFonts w:ascii="Arial" w:cs="Arial" w:eastAsia="Arial" w:hAnsi="Arial"/>
          <w:sz w:val="16"/>
          <w:szCs w:val="16"/>
          <w:color w:val="111111"/>
        </w:rPr>
        <w:t>this</w:t>
      </w:r>
      <w:r>
        <w:rPr>
          <w:rFonts w:ascii="Arial" w:cs="Arial" w:eastAsia="Arial" w:hAnsi="Arial"/>
          <w:sz w:val="16"/>
          <w:szCs w:val="16"/>
          <w:color w:val="1A1A1A"/>
        </w:rPr>
        <w:t xml:space="preserve"> </w:t>
      </w:r>
      <w:r>
        <w:rPr>
          <w:rFonts w:ascii="Arial" w:cs="Arial" w:eastAsia="Arial" w:hAnsi="Arial"/>
          <w:sz w:val="16"/>
          <w:szCs w:val="16"/>
          <w:color w:val="070707"/>
        </w:rPr>
        <w:t>Agreement.</w:t>
      </w:r>
      <w:r>
        <w:rPr>
          <w:rFonts w:ascii="Arial" w:cs="Arial" w:eastAsia="Arial" w:hAnsi="Arial"/>
          <w:sz w:val="16"/>
          <w:szCs w:val="16"/>
          <w:color w:val="1A1A1A"/>
        </w:rPr>
        <w:t xml:space="preserve"> </w:t>
      </w:r>
      <w:r>
        <w:rPr>
          <w:rFonts w:ascii="Arial" w:cs="Arial" w:eastAsia="Arial" w:hAnsi="Arial"/>
          <w:sz w:val="16"/>
          <w:szCs w:val="16"/>
          <w:color w:val="181818"/>
        </w:rPr>
        <w:t>Executive</w:t>
      </w:r>
      <w:r>
        <w:rPr>
          <w:rFonts w:ascii="Arial" w:cs="Arial" w:eastAsia="Arial" w:hAnsi="Arial"/>
          <w:sz w:val="16"/>
          <w:szCs w:val="16"/>
          <w:color w:val="1A1A1A"/>
        </w:rPr>
        <w:t xml:space="preserve"> </w:t>
      </w:r>
      <w:r>
        <w:rPr>
          <w:rFonts w:ascii="Arial" w:cs="Arial" w:eastAsia="Arial" w:hAnsi="Arial"/>
          <w:sz w:val="16"/>
          <w:szCs w:val="16"/>
          <w:color w:val="1F1F1F"/>
        </w:rPr>
        <w:t>further</w:t>
      </w:r>
      <w:r>
        <w:rPr>
          <w:rFonts w:ascii="Arial" w:cs="Arial" w:eastAsia="Arial" w:hAnsi="Arial"/>
          <w:sz w:val="16"/>
          <w:szCs w:val="16"/>
          <w:color w:val="1A1A1A"/>
        </w:rPr>
        <w:t xml:space="preserve"> </w:t>
      </w:r>
      <w:r>
        <w:rPr>
          <w:rFonts w:ascii="Arial" w:cs="Arial" w:eastAsia="Arial" w:hAnsi="Arial"/>
          <w:sz w:val="16"/>
          <w:szCs w:val="16"/>
          <w:color w:val="181818"/>
        </w:rPr>
        <w:t>agrees</w:t>
      </w:r>
      <w:r>
        <w:rPr>
          <w:rFonts w:ascii="Arial" w:cs="Arial" w:eastAsia="Arial" w:hAnsi="Arial"/>
          <w:sz w:val="16"/>
          <w:szCs w:val="16"/>
          <w:color w:val="1A1A1A"/>
        </w:rPr>
        <w:t xml:space="preserve"> </w:t>
      </w:r>
      <w:r>
        <w:rPr>
          <w:rFonts w:ascii="Arial" w:cs="Arial" w:eastAsia="Arial" w:hAnsi="Arial"/>
          <w:sz w:val="16"/>
          <w:szCs w:val="16"/>
          <w:color w:val="000000"/>
        </w:rPr>
        <w:t>and</w:t>
      </w:r>
      <w:r>
        <w:rPr>
          <w:rFonts w:ascii="Arial" w:cs="Arial" w:eastAsia="Arial" w:hAnsi="Arial"/>
          <w:sz w:val="16"/>
          <w:szCs w:val="16"/>
          <w:color w:val="1A1A1A"/>
        </w:rPr>
        <w:t xml:space="preserve"> </w:t>
      </w:r>
      <w:r>
        <w:rPr>
          <w:rFonts w:ascii="Arial" w:cs="Arial" w:eastAsia="Arial" w:hAnsi="Arial"/>
          <w:sz w:val="16"/>
          <w:szCs w:val="16"/>
          <w:color w:val="0F0F0F"/>
        </w:rPr>
        <w:t>acknowledges</w:t>
      </w:r>
      <w:r>
        <w:rPr>
          <w:rFonts w:ascii="Arial" w:cs="Arial" w:eastAsia="Arial" w:hAnsi="Arial"/>
          <w:sz w:val="16"/>
          <w:szCs w:val="16"/>
          <w:color w:val="1A1A1A"/>
        </w:rPr>
        <w:t xml:space="preserve"> </w:t>
      </w:r>
      <w:r>
        <w:rPr>
          <w:rFonts w:ascii="Arial" w:cs="Arial" w:eastAsia="Arial" w:hAnsi="Arial"/>
          <w:sz w:val="16"/>
          <w:szCs w:val="16"/>
          <w:color w:val="1C1C1C"/>
        </w:rPr>
        <w:t>that,</w:t>
      </w:r>
      <w:r>
        <w:rPr>
          <w:rFonts w:ascii="Arial" w:cs="Arial" w:eastAsia="Arial" w:hAnsi="Arial"/>
          <w:sz w:val="16"/>
          <w:szCs w:val="16"/>
          <w:color w:val="1A1A1A"/>
        </w:rPr>
        <w:t xml:space="preserve"> </w:t>
      </w:r>
      <w:r>
        <w:rPr>
          <w:rFonts w:ascii="Arial" w:cs="Arial" w:eastAsia="Arial" w:hAnsi="Arial"/>
          <w:sz w:val="16"/>
          <w:szCs w:val="16"/>
          <w:color w:val="111111"/>
        </w:rPr>
        <w:t>except</w:t>
      </w:r>
      <w:r>
        <w:rPr>
          <w:rFonts w:ascii="Arial" w:cs="Arial" w:eastAsia="Arial" w:hAnsi="Arial"/>
          <w:sz w:val="16"/>
          <w:szCs w:val="16"/>
          <w:color w:val="1A1A1A"/>
        </w:rPr>
        <w:t xml:space="preserve"> </w:t>
      </w:r>
      <w:r>
        <w:rPr>
          <w:rFonts w:ascii="Arial" w:cs="Arial" w:eastAsia="Arial" w:hAnsi="Arial"/>
          <w:sz w:val="16"/>
          <w:szCs w:val="16"/>
          <w:color w:val="1C1C1C"/>
        </w:rPr>
        <w:t>as</w:t>
      </w:r>
      <w:r>
        <w:rPr>
          <w:rFonts w:ascii="Arial" w:cs="Arial" w:eastAsia="Arial" w:hAnsi="Arial"/>
          <w:sz w:val="16"/>
          <w:szCs w:val="16"/>
          <w:color w:val="1A1A1A"/>
        </w:rPr>
        <w:t xml:space="preserve"> </w:t>
      </w:r>
      <w:r>
        <w:rPr>
          <w:rFonts w:ascii="Arial" w:cs="Arial" w:eastAsia="Arial" w:hAnsi="Arial"/>
          <w:sz w:val="16"/>
          <w:szCs w:val="16"/>
          <w:color w:val="0C0C0C"/>
        </w:rPr>
        <w:t>expressly</w:t>
      </w:r>
      <w:r>
        <w:rPr>
          <w:rFonts w:ascii="Arial" w:cs="Arial" w:eastAsia="Arial" w:hAnsi="Arial"/>
          <w:sz w:val="16"/>
          <w:szCs w:val="16"/>
          <w:color w:val="1A1A1A"/>
        </w:rPr>
        <w:t xml:space="preserve"> </w:t>
      </w:r>
      <w:r>
        <w:rPr>
          <w:rFonts w:ascii="Arial" w:cs="Arial" w:eastAsia="Arial" w:hAnsi="Arial"/>
          <w:sz w:val="16"/>
          <w:szCs w:val="16"/>
          <w:color w:val="111111"/>
        </w:rPr>
        <w:t>set</w:t>
      </w:r>
      <w:r>
        <w:rPr>
          <w:rFonts w:ascii="Arial" w:cs="Arial" w:eastAsia="Arial" w:hAnsi="Arial"/>
          <w:sz w:val="16"/>
          <w:szCs w:val="16"/>
          <w:color w:val="1A1A1A"/>
        </w:rPr>
        <w:t xml:space="preserve"> </w:t>
      </w:r>
      <w:r>
        <w:rPr>
          <w:rFonts w:ascii="Arial" w:cs="Arial" w:eastAsia="Arial" w:hAnsi="Arial"/>
          <w:sz w:val="16"/>
          <w:szCs w:val="16"/>
          <w:color w:val="181818"/>
        </w:rPr>
        <w:t xml:space="preserve">forth </w:t>
      </w:r>
      <w:r>
        <w:rPr>
          <w:rFonts w:ascii="Arial" w:cs="Arial" w:eastAsia="Arial" w:hAnsi="Arial"/>
          <w:sz w:val="16"/>
          <w:szCs w:val="16"/>
          <w:color w:val="282828"/>
        </w:rPr>
        <w:t>in</w:t>
      </w:r>
      <w:r>
        <w:rPr>
          <w:rFonts w:ascii="Arial" w:cs="Arial" w:eastAsia="Arial" w:hAnsi="Arial"/>
          <w:sz w:val="16"/>
          <w:szCs w:val="16"/>
          <w:color w:val="181818"/>
        </w:rPr>
        <w:t xml:space="preserve"> </w:t>
      </w:r>
      <w:r>
        <w:rPr>
          <w:rFonts w:ascii="Arial" w:cs="Arial" w:eastAsia="Arial" w:hAnsi="Arial"/>
          <w:sz w:val="16"/>
          <w:szCs w:val="16"/>
          <w:color w:val="161616"/>
        </w:rPr>
        <w:t>this</w:t>
      </w:r>
      <w:r>
        <w:rPr>
          <w:rFonts w:ascii="Arial" w:cs="Arial" w:eastAsia="Arial" w:hAnsi="Arial"/>
          <w:sz w:val="16"/>
          <w:szCs w:val="16"/>
          <w:color w:val="181818"/>
        </w:rPr>
        <w:t xml:space="preserve"> </w:t>
      </w:r>
      <w:r>
        <w:rPr>
          <w:rFonts w:ascii="Arial" w:cs="Arial" w:eastAsia="Arial" w:hAnsi="Arial"/>
          <w:sz w:val="16"/>
          <w:szCs w:val="16"/>
          <w:color w:val="0C0C0C"/>
        </w:rPr>
        <w:t>Agreement</w:t>
      </w:r>
      <w:r>
        <w:rPr>
          <w:rFonts w:ascii="Arial" w:cs="Arial" w:eastAsia="Arial" w:hAnsi="Arial"/>
          <w:sz w:val="16"/>
          <w:szCs w:val="16"/>
          <w:color w:val="181818"/>
        </w:rPr>
        <w:t xml:space="preserve"> </w:t>
      </w:r>
      <w:r>
        <w:rPr>
          <w:rFonts w:ascii="Arial" w:cs="Arial" w:eastAsia="Arial" w:hAnsi="Arial"/>
          <w:sz w:val="16"/>
          <w:szCs w:val="16"/>
          <w:color w:val="1C1C1C"/>
        </w:rPr>
        <w:t>or</w:t>
      </w:r>
      <w:r>
        <w:rPr>
          <w:rFonts w:ascii="Arial" w:cs="Arial" w:eastAsia="Arial" w:hAnsi="Arial"/>
          <w:sz w:val="16"/>
          <w:szCs w:val="16"/>
          <w:color w:val="181818"/>
        </w:rPr>
        <w:t xml:space="preserve"> </w:t>
      </w:r>
      <w:r>
        <w:rPr>
          <w:rFonts w:ascii="Arial" w:cs="Arial" w:eastAsia="Arial" w:hAnsi="Arial"/>
          <w:sz w:val="16"/>
          <w:szCs w:val="16"/>
          <w:color w:val="282828"/>
        </w:rPr>
        <w:t>in</w:t>
      </w:r>
      <w:r>
        <w:rPr>
          <w:rFonts w:ascii="Arial" w:cs="Arial" w:eastAsia="Arial" w:hAnsi="Arial"/>
          <w:sz w:val="16"/>
          <w:szCs w:val="16"/>
          <w:color w:val="181818"/>
        </w:rPr>
        <w:t xml:space="preserve"> </w:t>
      </w:r>
      <w:r>
        <w:rPr>
          <w:rFonts w:ascii="Arial" w:cs="Arial" w:eastAsia="Arial" w:hAnsi="Arial"/>
          <w:sz w:val="16"/>
          <w:szCs w:val="16"/>
          <w:color w:val="161616"/>
        </w:rPr>
        <w:t>the</w:t>
      </w:r>
      <w:r>
        <w:rPr>
          <w:rFonts w:ascii="Arial" w:cs="Arial" w:eastAsia="Arial" w:hAnsi="Arial"/>
          <w:sz w:val="16"/>
          <w:szCs w:val="16"/>
          <w:color w:val="181818"/>
        </w:rPr>
        <w:t xml:space="preserve"> </w:t>
      </w:r>
      <w:r>
        <w:rPr>
          <w:rFonts w:ascii="Arial" w:cs="Arial" w:eastAsia="Arial" w:hAnsi="Arial"/>
          <w:sz w:val="16"/>
          <w:szCs w:val="16"/>
          <w:color w:val="000000"/>
        </w:rPr>
        <w:t>Company’s</w:t>
      </w:r>
      <w:r>
        <w:rPr>
          <w:rFonts w:ascii="Arial" w:cs="Arial" w:eastAsia="Arial" w:hAnsi="Arial"/>
          <w:sz w:val="16"/>
          <w:szCs w:val="16"/>
          <w:color w:val="181818"/>
        </w:rPr>
        <w:t xml:space="preserve"> </w:t>
      </w:r>
      <w:r>
        <w:rPr>
          <w:rFonts w:ascii="Arial" w:cs="Arial" w:eastAsia="Arial" w:hAnsi="Arial"/>
          <w:sz w:val="16"/>
          <w:szCs w:val="16"/>
          <w:color w:val="0C0C0C"/>
        </w:rPr>
        <w:t>stock</w:t>
      </w:r>
      <w:r>
        <w:rPr>
          <w:rFonts w:ascii="Arial" w:cs="Arial" w:eastAsia="Arial" w:hAnsi="Arial"/>
          <w:sz w:val="16"/>
          <w:szCs w:val="16"/>
          <w:color w:val="181818"/>
        </w:rPr>
        <w:t xml:space="preserve"> </w:t>
      </w:r>
      <w:r>
        <w:rPr>
          <w:rFonts w:ascii="Arial" w:cs="Arial" w:eastAsia="Arial" w:hAnsi="Arial"/>
          <w:sz w:val="16"/>
          <w:szCs w:val="16"/>
          <w:color w:val="151515"/>
        </w:rPr>
        <w:t>or</w:t>
      </w:r>
      <w:r>
        <w:rPr>
          <w:rFonts w:ascii="Arial" w:cs="Arial" w:eastAsia="Arial" w:hAnsi="Arial"/>
          <w:sz w:val="16"/>
          <w:szCs w:val="16"/>
          <w:color w:val="181818"/>
        </w:rPr>
        <w:t xml:space="preserve"> </w:t>
      </w:r>
      <w:r>
        <w:rPr>
          <w:rFonts w:ascii="Arial" w:cs="Arial" w:eastAsia="Arial" w:hAnsi="Arial"/>
          <w:sz w:val="16"/>
          <w:szCs w:val="16"/>
          <w:color w:val="131313"/>
        </w:rPr>
        <w:t>benefit</w:t>
      </w:r>
      <w:r>
        <w:rPr>
          <w:rFonts w:ascii="Arial" w:cs="Arial" w:eastAsia="Arial" w:hAnsi="Arial"/>
          <w:sz w:val="16"/>
          <w:szCs w:val="16"/>
          <w:color w:val="181818"/>
        </w:rPr>
        <w:t xml:space="preserve"> </w:t>
      </w:r>
      <w:r>
        <w:rPr>
          <w:rFonts w:ascii="Arial" w:cs="Arial" w:eastAsia="Arial" w:hAnsi="Arial"/>
          <w:sz w:val="16"/>
          <w:szCs w:val="16"/>
          <w:color w:val="161616"/>
        </w:rPr>
        <w:t>plans,</w:t>
      </w:r>
      <w:r>
        <w:rPr>
          <w:rFonts w:ascii="Arial" w:cs="Arial" w:eastAsia="Arial" w:hAnsi="Arial"/>
          <w:sz w:val="16"/>
          <w:szCs w:val="16"/>
          <w:color w:val="181818"/>
        </w:rPr>
        <w:t xml:space="preserve"> Executive </w:t>
      </w:r>
      <w:r>
        <w:rPr>
          <w:rFonts w:ascii="Arial" w:cs="Arial" w:eastAsia="Arial" w:hAnsi="Arial"/>
          <w:sz w:val="16"/>
          <w:szCs w:val="16"/>
          <w:color w:val="1A1A1A"/>
        </w:rPr>
        <w:t>is</w:t>
      </w:r>
      <w:r>
        <w:rPr>
          <w:rFonts w:ascii="Arial" w:cs="Arial" w:eastAsia="Arial" w:hAnsi="Arial"/>
          <w:sz w:val="16"/>
          <w:szCs w:val="16"/>
          <w:color w:val="181818"/>
        </w:rPr>
        <w:t xml:space="preserve"> </w:t>
      </w:r>
      <w:r>
        <w:rPr>
          <w:rFonts w:ascii="Arial" w:cs="Arial" w:eastAsia="Arial" w:hAnsi="Arial"/>
          <w:sz w:val="16"/>
          <w:szCs w:val="16"/>
          <w:color w:val="1F1F1F"/>
        </w:rPr>
        <w:t>not</w:t>
      </w:r>
      <w:r>
        <w:rPr>
          <w:rFonts w:ascii="Arial" w:cs="Arial" w:eastAsia="Arial" w:hAnsi="Arial"/>
          <w:sz w:val="16"/>
          <w:szCs w:val="16"/>
          <w:color w:val="181818"/>
        </w:rPr>
        <w:t xml:space="preserve"> </w:t>
      </w:r>
      <w:r>
        <w:rPr>
          <w:rFonts w:ascii="Arial" w:cs="Arial" w:eastAsia="Arial" w:hAnsi="Arial"/>
          <w:sz w:val="16"/>
          <w:szCs w:val="16"/>
          <w:color w:val="1A1A1A"/>
        </w:rPr>
        <w:t>entitled to</w:t>
      </w:r>
      <w:r>
        <w:rPr>
          <w:rFonts w:ascii="Arial" w:cs="Arial" w:eastAsia="Arial" w:hAnsi="Arial"/>
          <w:sz w:val="16"/>
          <w:szCs w:val="16"/>
          <w:color w:val="181818"/>
        </w:rPr>
        <w:t xml:space="preserve"> </w:t>
      </w:r>
      <w:r>
        <w:rPr>
          <w:rFonts w:ascii="Arial" w:cs="Arial" w:eastAsia="Arial" w:hAnsi="Arial"/>
          <w:sz w:val="16"/>
          <w:szCs w:val="16"/>
          <w:color w:val="131313"/>
        </w:rPr>
        <w:t>receive</w:t>
      </w:r>
      <w:r>
        <w:rPr>
          <w:rFonts w:ascii="Arial" w:cs="Arial" w:eastAsia="Arial" w:hAnsi="Arial"/>
          <w:sz w:val="16"/>
          <w:szCs w:val="16"/>
          <w:color w:val="181818"/>
        </w:rPr>
        <w:t xml:space="preserve"> </w:t>
      </w:r>
      <w:r>
        <w:rPr>
          <w:rFonts w:ascii="Arial" w:cs="Arial" w:eastAsia="Arial" w:hAnsi="Arial"/>
          <w:sz w:val="16"/>
          <w:szCs w:val="16"/>
          <w:color w:val="1C1C1C"/>
        </w:rPr>
        <w:t>from</w:t>
      </w:r>
      <w:r>
        <w:rPr>
          <w:rFonts w:ascii="Arial" w:cs="Arial" w:eastAsia="Arial" w:hAnsi="Arial"/>
          <w:sz w:val="16"/>
          <w:szCs w:val="16"/>
          <w:color w:val="181818"/>
        </w:rPr>
        <w:t xml:space="preserve"> </w:t>
      </w:r>
      <w:r>
        <w:rPr>
          <w:rFonts w:ascii="Arial" w:cs="Arial" w:eastAsia="Arial" w:hAnsi="Arial"/>
          <w:sz w:val="16"/>
          <w:szCs w:val="16"/>
          <w:color w:val="151515"/>
        </w:rPr>
        <w:t>the</w:t>
      </w:r>
      <w:r>
        <w:rPr>
          <w:rFonts w:ascii="Arial" w:cs="Arial" w:eastAsia="Arial" w:hAnsi="Arial"/>
          <w:sz w:val="16"/>
          <w:szCs w:val="16"/>
          <w:color w:val="181818"/>
        </w:rPr>
        <w:t xml:space="preserve"> </w:t>
      </w:r>
      <w:r>
        <w:rPr>
          <w:rFonts w:ascii="Arial" w:cs="Arial" w:eastAsia="Arial" w:hAnsi="Arial"/>
          <w:sz w:val="16"/>
          <w:szCs w:val="16"/>
          <w:color w:val="161616"/>
        </w:rPr>
        <w:t>Company</w:t>
      </w:r>
      <w:r>
        <w:rPr>
          <w:rFonts w:ascii="Arial" w:cs="Arial" w:eastAsia="Arial" w:hAnsi="Arial"/>
          <w:sz w:val="16"/>
          <w:szCs w:val="16"/>
          <w:color w:val="181818"/>
        </w:rPr>
        <w:t xml:space="preserve"> </w:t>
      </w:r>
      <w:r>
        <w:rPr>
          <w:rFonts w:ascii="Arial" w:cs="Arial" w:eastAsia="Arial" w:hAnsi="Arial"/>
          <w:sz w:val="16"/>
          <w:szCs w:val="16"/>
          <w:color w:val="1F1F1F"/>
        </w:rPr>
        <w:t>the</w:t>
      </w:r>
      <w:r>
        <w:rPr>
          <w:rFonts w:ascii="Arial" w:cs="Arial" w:eastAsia="Arial" w:hAnsi="Arial"/>
          <w:sz w:val="16"/>
          <w:szCs w:val="16"/>
          <w:color w:val="181818"/>
        </w:rPr>
        <w:t xml:space="preserve"> </w:t>
      </w:r>
      <w:r>
        <w:rPr>
          <w:rFonts w:ascii="Arial" w:cs="Arial" w:eastAsia="Arial" w:hAnsi="Arial"/>
          <w:sz w:val="16"/>
          <w:szCs w:val="16"/>
          <w:color w:val="0C0C0C"/>
        </w:rPr>
        <w:t>payment</w:t>
      </w:r>
      <w:r>
        <w:rPr>
          <w:rFonts w:ascii="Arial" w:cs="Arial" w:eastAsia="Arial" w:hAnsi="Arial"/>
          <w:sz w:val="16"/>
          <w:szCs w:val="16"/>
          <w:color w:val="181818"/>
        </w:rPr>
        <w:t xml:space="preserve"> </w:t>
      </w:r>
      <w:r>
        <w:rPr>
          <w:rFonts w:ascii="Arial" w:cs="Arial" w:eastAsia="Arial" w:hAnsi="Arial"/>
          <w:sz w:val="16"/>
          <w:szCs w:val="16"/>
          <w:color w:val="161616"/>
        </w:rPr>
        <w:t>or</w:t>
      </w:r>
      <w:r>
        <w:rPr>
          <w:rFonts w:ascii="Arial" w:cs="Arial" w:eastAsia="Arial" w:hAnsi="Arial"/>
          <w:sz w:val="16"/>
          <w:szCs w:val="16"/>
          <w:color w:val="181818"/>
        </w:rPr>
        <w:t xml:space="preserve"> </w:t>
      </w:r>
      <w:r>
        <w:rPr>
          <w:rFonts w:ascii="Arial" w:cs="Arial" w:eastAsia="Arial" w:hAnsi="Arial"/>
          <w:sz w:val="16"/>
          <w:szCs w:val="16"/>
          <w:color w:val="0C0C0C"/>
        </w:rPr>
        <w:t xml:space="preserve">distribution </w:t>
      </w:r>
      <w:r>
        <w:rPr>
          <w:rFonts w:ascii="Arial" w:cs="Arial" w:eastAsia="Arial" w:hAnsi="Arial"/>
          <w:sz w:val="16"/>
          <w:szCs w:val="16"/>
          <w:color w:val="232323"/>
        </w:rPr>
        <w:t>of</w:t>
      </w:r>
      <w:r>
        <w:rPr>
          <w:rFonts w:ascii="Arial" w:cs="Arial" w:eastAsia="Arial" w:hAnsi="Arial"/>
          <w:sz w:val="16"/>
          <w:szCs w:val="16"/>
          <w:color w:val="0C0C0C"/>
        </w:rPr>
        <w:t xml:space="preserve"> </w:t>
      </w:r>
      <w:r>
        <w:rPr>
          <w:rFonts w:ascii="Arial" w:cs="Arial" w:eastAsia="Arial" w:hAnsi="Arial"/>
          <w:sz w:val="16"/>
          <w:szCs w:val="16"/>
          <w:color w:val="161616"/>
        </w:rPr>
        <w:t>any</w:t>
      </w:r>
      <w:r>
        <w:rPr>
          <w:rFonts w:ascii="Arial" w:cs="Arial" w:eastAsia="Arial" w:hAnsi="Arial"/>
          <w:sz w:val="16"/>
          <w:szCs w:val="16"/>
          <w:color w:val="0C0C0C"/>
        </w:rPr>
        <w:t xml:space="preserve"> </w:t>
      </w:r>
      <w:r>
        <w:rPr>
          <w:rFonts w:ascii="Arial" w:cs="Arial" w:eastAsia="Arial" w:hAnsi="Arial"/>
          <w:sz w:val="16"/>
          <w:szCs w:val="16"/>
          <w:color w:val="0E0E0E"/>
        </w:rPr>
        <w:t>amounts</w:t>
      </w:r>
      <w:r>
        <w:rPr>
          <w:rFonts w:ascii="Arial" w:cs="Arial" w:eastAsia="Arial" w:hAnsi="Arial"/>
          <w:sz w:val="16"/>
          <w:szCs w:val="16"/>
          <w:color w:val="0C0C0C"/>
        </w:rPr>
        <w:t xml:space="preserve"> </w:t>
      </w:r>
      <w:r>
        <w:rPr>
          <w:rFonts w:ascii="Arial" w:cs="Arial" w:eastAsia="Arial" w:hAnsi="Arial"/>
          <w:sz w:val="16"/>
          <w:szCs w:val="16"/>
          <w:color w:val="282828"/>
        </w:rPr>
        <w:t>of</w:t>
      </w:r>
      <w:r>
        <w:rPr>
          <w:rFonts w:ascii="Arial" w:cs="Arial" w:eastAsia="Arial" w:hAnsi="Arial"/>
          <w:sz w:val="16"/>
          <w:szCs w:val="16"/>
          <w:color w:val="0C0C0C"/>
        </w:rPr>
        <w:t xml:space="preserve"> </w:t>
      </w:r>
      <w:r>
        <w:rPr>
          <w:rFonts w:ascii="Arial" w:cs="Arial" w:eastAsia="Arial" w:hAnsi="Arial"/>
          <w:sz w:val="16"/>
          <w:szCs w:val="16"/>
          <w:color w:val="1A1A1A"/>
        </w:rPr>
        <w:t>pay,</w:t>
      </w:r>
      <w:r>
        <w:rPr>
          <w:rFonts w:ascii="Arial" w:cs="Arial" w:eastAsia="Arial" w:hAnsi="Arial"/>
          <w:sz w:val="16"/>
          <w:szCs w:val="16"/>
          <w:color w:val="0C0C0C"/>
        </w:rPr>
        <w:t xml:space="preserve"> </w:t>
      </w:r>
      <w:r>
        <w:rPr>
          <w:rFonts w:ascii="Arial" w:cs="Arial" w:eastAsia="Arial" w:hAnsi="Arial"/>
          <w:sz w:val="16"/>
          <w:szCs w:val="16"/>
          <w:color w:val="131313"/>
        </w:rPr>
        <w:t>bonus,</w:t>
      </w:r>
      <w:r>
        <w:rPr>
          <w:rFonts w:ascii="Arial" w:cs="Arial" w:eastAsia="Arial" w:hAnsi="Arial"/>
          <w:sz w:val="16"/>
          <w:szCs w:val="16"/>
          <w:color w:val="0C0C0C"/>
        </w:rPr>
        <w:t xml:space="preserve"> </w:t>
      </w:r>
      <w:r>
        <w:rPr>
          <w:rFonts w:ascii="Arial" w:cs="Arial" w:eastAsia="Arial" w:hAnsi="Arial"/>
          <w:sz w:val="16"/>
          <w:szCs w:val="16"/>
          <w:color w:val="1A1A1A"/>
        </w:rPr>
        <w:t>benefits,</w:t>
      </w:r>
      <w:r>
        <w:rPr>
          <w:rFonts w:ascii="Arial" w:cs="Arial" w:eastAsia="Arial" w:hAnsi="Arial"/>
          <w:sz w:val="16"/>
          <w:szCs w:val="16"/>
          <w:color w:val="0C0C0C"/>
        </w:rPr>
        <w:t xml:space="preserve"> </w:t>
      </w:r>
      <w:r>
        <w:rPr>
          <w:rFonts w:ascii="Arial" w:cs="Arial" w:eastAsia="Arial" w:hAnsi="Arial"/>
          <w:sz w:val="16"/>
          <w:szCs w:val="16"/>
          <w:color w:val="000000"/>
        </w:rPr>
        <w:t>cash,</w:t>
      </w:r>
      <w:r>
        <w:rPr>
          <w:rFonts w:ascii="Arial" w:cs="Arial" w:eastAsia="Arial" w:hAnsi="Arial"/>
          <w:sz w:val="16"/>
          <w:szCs w:val="16"/>
          <w:color w:val="0C0C0C"/>
        </w:rPr>
        <w:t xml:space="preserve"> </w:t>
      </w:r>
      <w:r>
        <w:rPr>
          <w:rFonts w:ascii="Arial" w:cs="Arial" w:eastAsia="Arial" w:hAnsi="Arial"/>
          <w:sz w:val="16"/>
          <w:szCs w:val="16"/>
          <w:color w:val="181818"/>
        </w:rPr>
        <w:t>stock, stock options</w:t>
      </w:r>
      <w:r>
        <w:rPr>
          <w:rFonts w:ascii="Arial" w:cs="Arial" w:eastAsia="Arial" w:hAnsi="Arial"/>
          <w:sz w:val="16"/>
          <w:szCs w:val="16"/>
          <w:color w:val="0C0C0C"/>
        </w:rPr>
        <w:t xml:space="preserve"> </w:t>
      </w:r>
      <w:r>
        <w:rPr>
          <w:rFonts w:ascii="Arial" w:cs="Arial" w:eastAsia="Arial" w:hAnsi="Arial"/>
          <w:sz w:val="16"/>
          <w:szCs w:val="16"/>
          <w:color w:val="1A1A1A"/>
        </w:rPr>
        <w:t>or</w:t>
      </w:r>
      <w:r>
        <w:rPr>
          <w:rFonts w:ascii="Arial" w:cs="Arial" w:eastAsia="Arial" w:hAnsi="Arial"/>
          <w:sz w:val="16"/>
          <w:szCs w:val="16"/>
          <w:color w:val="0C0C0C"/>
        </w:rPr>
        <w:t xml:space="preserve"> </w:t>
      </w:r>
      <w:r>
        <w:rPr>
          <w:rFonts w:ascii="Arial" w:cs="Arial" w:eastAsia="Arial" w:hAnsi="Arial"/>
          <w:sz w:val="16"/>
          <w:szCs w:val="16"/>
          <w:color w:val="131313"/>
        </w:rPr>
        <w:t>other</w:t>
      </w:r>
      <w:r>
        <w:rPr>
          <w:rFonts w:ascii="Arial" w:cs="Arial" w:eastAsia="Arial" w:hAnsi="Arial"/>
          <w:sz w:val="16"/>
          <w:szCs w:val="16"/>
          <w:color w:val="0C0C0C"/>
        </w:rPr>
        <w:t xml:space="preserve"> </w:t>
      </w:r>
      <w:r>
        <w:rPr>
          <w:rFonts w:ascii="Arial" w:cs="Arial" w:eastAsia="Arial" w:hAnsi="Arial"/>
          <w:sz w:val="16"/>
          <w:szCs w:val="16"/>
          <w:color w:val="000000"/>
        </w:rPr>
        <w:t>type</w:t>
      </w:r>
      <w:r>
        <w:rPr>
          <w:rFonts w:ascii="Arial" w:cs="Arial" w:eastAsia="Arial" w:hAnsi="Arial"/>
          <w:sz w:val="16"/>
          <w:szCs w:val="16"/>
          <w:color w:val="0C0C0C"/>
        </w:rPr>
        <w:t xml:space="preserve"> </w:t>
      </w:r>
      <w:r>
        <w:rPr>
          <w:rFonts w:ascii="Arial" w:cs="Arial" w:eastAsia="Arial" w:hAnsi="Arial"/>
          <w:sz w:val="16"/>
          <w:szCs w:val="16"/>
          <w:color w:val="212121"/>
        </w:rPr>
        <w:t>of</w:t>
      </w:r>
      <w:r>
        <w:rPr>
          <w:rFonts w:ascii="Arial" w:cs="Arial" w:eastAsia="Arial" w:hAnsi="Arial"/>
          <w:sz w:val="16"/>
          <w:szCs w:val="16"/>
          <w:color w:val="0C0C0C"/>
        </w:rPr>
        <w:t xml:space="preserve"> </w:t>
      </w:r>
      <w:r>
        <w:rPr>
          <w:rFonts w:ascii="Arial" w:cs="Arial" w:eastAsia="Arial" w:hAnsi="Arial"/>
          <w:sz w:val="16"/>
          <w:szCs w:val="16"/>
          <w:color w:val="131313"/>
        </w:rPr>
        <w:t>property.</w:t>
      </w:r>
    </w:p>
    <w:p>
      <w:pPr>
        <w:spacing w:after="0" w:line="340" w:lineRule="exact"/>
        <w:rPr>
          <w:sz w:val="20"/>
          <w:szCs w:val="20"/>
          <w:color w:val="auto"/>
        </w:rPr>
      </w:pPr>
    </w:p>
    <w:p>
      <w:pPr>
        <w:ind w:left="660" w:hanging="328"/>
        <w:spacing w:after="0"/>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b w:val="1"/>
          <w:bCs w:val="1"/>
          <w:i w:val="1"/>
          <w:iCs w:val="1"/>
          <w:color w:val="151515"/>
        </w:rPr>
        <w:t xml:space="preserve">Treatment </w:t>
      </w:r>
      <w:r>
        <w:rPr>
          <w:rFonts w:ascii="Arial" w:cs="Arial" w:eastAsia="Arial" w:hAnsi="Arial"/>
          <w:sz w:val="18"/>
          <w:szCs w:val="18"/>
          <w:b w:val="1"/>
          <w:bCs w:val="1"/>
          <w:i w:val="1"/>
          <w:iCs w:val="1"/>
          <w:color w:val="000000"/>
        </w:rPr>
        <w:t>of Executive’s</w:t>
      </w:r>
      <w:r>
        <w:rPr>
          <w:rFonts w:ascii="Arial" w:cs="Arial" w:eastAsia="Arial" w:hAnsi="Arial"/>
          <w:sz w:val="18"/>
          <w:szCs w:val="18"/>
          <w:b w:val="1"/>
          <w:bCs w:val="1"/>
          <w:i w:val="1"/>
          <w:iCs w:val="1"/>
          <w:color w:val="151515"/>
        </w:rPr>
        <w:t xml:space="preserve"> </w:t>
      </w:r>
      <w:r>
        <w:rPr>
          <w:rFonts w:ascii="Arial" w:cs="Arial" w:eastAsia="Arial" w:hAnsi="Arial"/>
          <w:sz w:val="18"/>
          <w:szCs w:val="18"/>
          <w:b w:val="1"/>
          <w:bCs w:val="1"/>
          <w:i w:val="1"/>
          <w:iCs w:val="1"/>
          <w:color w:val="131313"/>
        </w:rPr>
        <w:t>Benefits</w:t>
      </w:r>
      <w:r>
        <w:rPr>
          <w:rFonts w:ascii="Arial" w:cs="Arial" w:eastAsia="Arial" w:hAnsi="Arial"/>
          <w:sz w:val="18"/>
          <w:szCs w:val="18"/>
          <w:b w:val="1"/>
          <w:bCs w:val="1"/>
          <w:i w:val="1"/>
          <w:iCs w:val="1"/>
          <w:color w:val="151515"/>
        </w:rPr>
        <w:t xml:space="preserve"> </w:t>
      </w:r>
      <w:r>
        <w:rPr>
          <w:rFonts w:ascii="Arial" w:cs="Arial" w:eastAsia="Arial" w:hAnsi="Arial"/>
          <w:sz w:val="18"/>
          <w:szCs w:val="18"/>
          <w:b w:val="1"/>
          <w:bCs w:val="1"/>
          <w:i w:val="1"/>
          <w:iCs w:val="1"/>
          <w:color w:val="1F1F1F"/>
        </w:rPr>
        <w:t>and</w:t>
      </w:r>
      <w:r>
        <w:rPr>
          <w:rFonts w:ascii="Arial" w:cs="Arial" w:eastAsia="Arial" w:hAnsi="Arial"/>
          <w:sz w:val="18"/>
          <w:szCs w:val="18"/>
          <w:b w:val="1"/>
          <w:bCs w:val="1"/>
          <w:i w:val="1"/>
          <w:iCs w:val="1"/>
          <w:color w:val="151515"/>
        </w:rPr>
        <w:t xml:space="preserve"> </w:t>
      </w:r>
      <w:r>
        <w:rPr>
          <w:rFonts w:ascii="Arial" w:cs="Arial" w:eastAsia="Arial" w:hAnsi="Arial"/>
          <w:sz w:val="18"/>
          <w:szCs w:val="18"/>
          <w:b w:val="1"/>
          <w:bCs w:val="1"/>
          <w:i w:val="1"/>
          <w:iCs w:val="1"/>
          <w:color w:val="000000"/>
        </w:rPr>
        <w:t>Restricted Stock</w:t>
      </w:r>
      <w:r>
        <w:rPr>
          <w:rFonts w:ascii="Arial" w:cs="Arial" w:eastAsia="Arial" w:hAnsi="Arial"/>
          <w:sz w:val="18"/>
          <w:szCs w:val="18"/>
          <w:b w:val="1"/>
          <w:bCs w:val="1"/>
          <w:i w:val="1"/>
          <w:iCs w:val="1"/>
          <w:color w:val="151515"/>
        </w:rPr>
        <w:t xml:space="preserve"> </w:t>
      </w:r>
      <w:r>
        <w:rPr>
          <w:rFonts w:ascii="Arial" w:cs="Arial" w:eastAsia="Arial" w:hAnsi="Arial"/>
          <w:sz w:val="18"/>
          <w:szCs w:val="18"/>
          <w:b w:val="1"/>
          <w:bCs w:val="1"/>
          <w:i w:val="1"/>
          <w:iCs w:val="1"/>
          <w:color w:val="0C0C0C"/>
        </w:rPr>
        <w:t>Units</w:t>
      </w:r>
      <w:r>
        <w:rPr>
          <w:rFonts w:ascii="Arial" w:cs="Arial" w:eastAsia="Arial" w:hAnsi="Arial"/>
          <w:sz w:val="18"/>
          <w:szCs w:val="18"/>
          <w:b w:val="1"/>
          <w:bCs w:val="1"/>
          <w:i w:val="1"/>
          <w:iCs w:val="1"/>
          <w:color w:val="151515"/>
        </w:rPr>
        <w:t xml:space="preserve"> </w:t>
      </w:r>
      <w:r>
        <w:rPr>
          <w:rFonts w:ascii="Arial" w:cs="Arial" w:eastAsia="Arial" w:hAnsi="Arial"/>
          <w:sz w:val="18"/>
          <w:szCs w:val="18"/>
          <w:color w:val="262626"/>
        </w:rPr>
        <w:t>-</w:t>
      </w:r>
    </w:p>
    <w:p>
      <w:pPr>
        <w:spacing w:after="0" w:line="225" w:lineRule="exact"/>
        <w:rPr>
          <w:rFonts w:ascii="Arial" w:cs="Arial" w:eastAsia="Arial" w:hAnsi="Arial"/>
          <w:sz w:val="18"/>
          <w:szCs w:val="18"/>
          <w:color w:val="auto"/>
        </w:rPr>
      </w:pPr>
    </w:p>
    <w:p>
      <w:pPr>
        <w:ind w:left="1300" w:right="280" w:hanging="644"/>
        <w:spacing w:after="0" w:line="263" w:lineRule="auto"/>
        <w:tabs>
          <w:tab w:leader="none" w:pos="1300" w:val="left"/>
        </w:tabs>
        <w:numPr>
          <w:ilvl w:val="2"/>
          <w:numId w:val="28"/>
        </w:numPr>
        <w:rPr>
          <w:rFonts w:ascii="Arial" w:cs="Arial" w:eastAsia="Arial" w:hAnsi="Arial"/>
          <w:sz w:val="18"/>
          <w:szCs w:val="18"/>
          <w:color w:val="auto"/>
        </w:rPr>
      </w:pPr>
      <w:r>
        <w:rPr>
          <w:rFonts w:ascii="Arial" w:cs="Arial" w:eastAsia="Arial" w:hAnsi="Arial"/>
          <w:sz w:val="18"/>
          <w:szCs w:val="18"/>
          <w:color w:val="1D1D1D"/>
        </w:rPr>
        <w:t>Executive understands and agrees that any balances or vested balances he has in any Company benefit plan, including the Company’s 401(k) retirement plan and the SERP, will be available to him consistent with applicable laws, regulations and the administrative provisions of the various plan documents.</w:t>
      </w:r>
    </w:p>
    <w:p>
      <w:pPr>
        <w:spacing w:after="0" w:line="183" w:lineRule="exact"/>
        <w:rPr>
          <w:rFonts w:ascii="Arial" w:cs="Arial" w:eastAsia="Arial" w:hAnsi="Arial"/>
          <w:sz w:val="18"/>
          <w:szCs w:val="18"/>
          <w:color w:val="auto"/>
        </w:rPr>
      </w:pPr>
    </w:p>
    <w:p>
      <w:pPr>
        <w:ind w:left="1300" w:right="160" w:hanging="644"/>
        <w:spacing w:after="0" w:line="263" w:lineRule="auto"/>
        <w:tabs>
          <w:tab w:leader="none" w:pos="1300" w:val="left"/>
        </w:tabs>
        <w:numPr>
          <w:ilvl w:val="2"/>
          <w:numId w:val="28"/>
        </w:numPr>
        <w:rPr>
          <w:rFonts w:ascii="Arial" w:cs="Arial" w:eastAsia="Arial" w:hAnsi="Arial"/>
          <w:sz w:val="18"/>
          <w:szCs w:val="18"/>
          <w:color w:val="auto"/>
        </w:rPr>
      </w:pPr>
      <w:r>
        <w:rPr>
          <w:rFonts w:ascii="Arial" w:cs="Arial" w:eastAsia="Arial" w:hAnsi="Arial"/>
          <w:sz w:val="18"/>
          <w:szCs w:val="18"/>
          <w:color w:val="1D1D1D"/>
        </w:rPr>
        <w:t xml:space="preserve">The </w:t>
      </w:r>
      <w:r>
        <w:rPr>
          <w:rFonts w:ascii="Arial" w:cs="Arial" w:eastAsia="Arial" w:hAnsi="Arial"/>
          <w:sz w:val="18"/>
          <w:szCs w:val="18"/>
          <w:color w:val="111111"/>
        </w:rPr>
        <w:t>Company</w:t>
      </w:r>
      <w:r>
        <w:rPr>
          <w:rFonts w:ascii="Arial" w:cs="Arial" w:eastAsia="Arial" w:hAnsi="Arial"/>
          <w:sz w:val="18"/>
          <w:szCs w:val="18"/>
          <w:color w:val="1D1D1D"/>
        </w:rPr>
        <w:t xml:space="preserve"> </w:t>
      </w:r>
      <w:r>
        <w:rPr>
          <w:rFonts w:ascii="Arial" w:cs="Arial" w:eastAsia="Arial" w:hAnsi="Arial"/>
          <w:sz w:val="18"/>
          <w:szCs w:val="18"/>
          <w:color w:val="0A0A0A"/>
        </w:rPr>
        <w:t>and</w:t>
      </w:r>
      <w:r>
        <w:rPr>
          <w:rFonts w:ascii="Arial" w:cs="Arial" w:eastAsia="Arial" w:hAnsi="Arial"/>
          <w:sz w:val="18"/>
          <w:szCs w:val="18"/>
          <w:color w:val="1D1D1D"/>
        </w:rPr>
        <w:t xml:space="preserve"> </w:t>
      </w:r>
      <w:r>
        <w:rPr>
          <w:rFonts w:ascii="Arial" w:cs="Arial" w:eastAsia="Arial" w:hAnsi="Arial"/>
          <w:sz w:val="18"/>
          <w:szCs w:val="18"/>
          <w:color w:val="131313"/>
        </w:rPr>
        <w:t>Executive</w:t>
      </w:r>
      <w:r>
        <w:rPr>
          <w:rFonts w:ascii="Arial" w:cs="Arial" w:eastAsia="Arial" w:hAnsi="Arial"/>
          <w:sz w:val="18"/>
          <w:szCs w:val="18"/>
          <w:color w:val="1D1D1D"/>
        </w:rPr>
        <w:t xml:space="preserve"> </w:t>
      </w:r>
      <w:r>
        <w:rPr>
          <w:rFonts w:ascii="Arial" w:cs="Arial" w:eastAsia="Arial" w:hAnsi="Arial"/>
          <w:sz w:val="18"/>
          <w:szCs w:val="18"/>
          <w:color w:val="0C0C0C"/>
        </w:rPr>
        <w:t>acknowledge</w:t>
      </w:r>
      <w:r>
        <w:rPr>
          <w:rFonts w:ascii="Arial" w:cs="Arial" w:eastAsia="Arial" w:hAnsi="Arial"/>
          <w:sz w:val="18"/>
          <w:szCs w:val="18"/>
          <w:color w:val="1D1D1D"/>
        </w:rPr>
        <w:t xml:space="preserve"> </w:t>
      </w:r>
      <w:r>
        <w:rPr>
          <w:rFonts w:ascii="Arial" w:cs="Arial" w:eastAsia="Arial" w:hAnsi="Arial"/>
          <w:sz w:val="18"/>
          <w:szCs w:val="18"/>
          <w:color w:val="232323"/>
        </w:rPr>
        <w:t>that</w:t>
      </w:r>
      <w:r>
        <w:rPr>
          <w:rFonts w:ascii="Arial" w:cs="Arial" w:eastAsia="Arial" w:hAnsi="Arial"/>
          <w:sz w:val="18"/>
          <w:szCs w:val="18"/>
          <w:color w:val="1D1D1D"/>
        </w:rPr>
        <w:t xml:space="preserve"> </w:t>
      </w:r>
      <w:r>
        <w:rPr>
          <w:rFonts w:ascii="Arial" w:cs="Arial" w:eastAsia="Arial" w:hAnsi="Arial"/>
          <w:sz w:val="18"/>
          <w:szCs w:val="18"/>
          <w:color w:val="000000"/>
        </w:rPr>
        <w:t>Executive received</w:t>
      </w:r>
      <w:r>
        <w:rPr>
          <w:rFonts w:ascii="Arial" w:cs="Arial" w:eastAsia="Arial" w:hAnsi="Arial"/>
          <w:sz w:val="18"/>
          <w:szCs w:val="18"/>
          <w:color w:val="1D1D1D"/>
        </w:rPr>
        <w:t xml:space="preserve"> </w:t>
      </w:r>
      <w:r>
        <w:rPr>
          <w:rFonts w:ascii="Arial" w:cs="Arial" w:eastAsia="Arial" w:hAnsi="Arial"/>
          <w:sz w:val="18"/>
          <w:szCs w:val="18"/>
          <w:color w:val="161616"/>
        </w:rPr>
        <w:t>the</w:t>
      </w:r>
      <w:r>
        <w:rPr>
          <w:rFonts w:ascii="Arial" w:cs="Arial" w:eastAsia="Arial" w:hAnsi="Arial"/>
          <w:sz w:val="18"/>
          <w:szCs w:val="18"/>
          <w:color w:val="1D1D1D"/>
        </w:rPr>
        <w:t xml:space="preserve"> </w:t>
      </w:r>
      <w:r>
        <w:rPr>
          <w:rFonts w:ascii="Arial" w:cs="Arial" w:eastAsia="Arial" w:hAnsi="Arial"/>
          <w:sz w:val="18"/>
          <w:szCs w:val="18"/>
          <w:color w:val="0A0A0A"/>
        </w:rPr>
        <w:t>following</w:t>
      </w:r>
      <w:r>
        <w:rPr>
          <w:rFonts w:ascii="Arial" w:cs="Arial" w:eastAsia="Arial" w:hAnsi="Arial"/>
          <w:sz w:val="18"/>
          <w:szCs w:val="18"/>
          <w:color w:val="1D1D1D"/>
        </w:rPr>
        <w:t xml:space="preserve"> </w:t>
      </w:r>
      <w:r>
        <w:rPr>
          <w:rFonts w:ascii="Arial" w:cs="Arial" w:eastAsia="Arial" w:hAnsi="Arial"/>
          <w:sz w:val="18"/>
          <w:szCs w:val="18"/>
          <w:color w:val="0F0F0F"/>
        </w:rPr>
        <w:t>awards</w:t>
      </w:r>
      <w:r>
        <w:rPr>
          <w:rFonts w:ascii="Arial" w:cs="Arial" w:eastAsia="Arial" w:hAnsi="Arial"/>
          <w:sz w:val="18"/>
          <w:szCs w:val="18"/>
          <w:color w:val="1D1D1D"/>
        </w:rPr>
        <w:t xml:space="preserve"> </w:t>
      </w:r>
      <w:r>
        <w:rPr>
          <w:rFonts w:ascii="Arial" w:cs="Arial" w:eastAsia="Arial" w:hAnsi="Arial"/>
          <w:sz w:val="18"/>
          <w:szCs w:val="18"/>
          <w:color w:val="1C1C1C"/>
        </w:rPr>
        <w:t>of</w:t>
      </w:r>
      <w:r>
        <w:rPr>
          <w:rFonts w:ascii="Arial" w:cs="Arial" w:eastAsia="Arial" w:hAnsi="Arial"/>
          <w:sz w:val="18"/>
          <w:szCs w:val="18"/>
          <w:color w:val="1D1D1D"/>
        </w:rPr>
        <w:t xml:space="preserve"> </w:t>
      </w:r>
      <w:r>
        <w:rPr>
          <w:rFonts w:ascii="Arial" w:cs="Arial" w:eastAsia="Arial" w:hAnsi="Arial"/>
          <w:sz w:val="18"/>
          <w:szCs w:val="18"/>
          <w:color w:val="0C0C0C"/>
        </w:rPr>
        <w:t>Restricted</w:t>
      </w:r>
      <w:r>
        <w:rPr>
          <w:rFonts w:ascii="Arial" w:cs="Arial" w:eastAsia="Arial" w:hAnsi="Arial"/>
          <w:sz w:val="18"/>
          <w:szCs w:val="18"/>
          <w:color w:val="1D1D1D"/>
        </w:rPr>
        <w:t xml:space="preserve"> </w:t>
      </w:r>
      <w:r>
        <w:rPr>
          <w:rFonts w:ascii="Arial" w:cs="Arial" w:eastAsia="Arial" w:hAnsi="Arial"/>
          <w:sz w:val="18"/>
          <w:szCs w:val="18"/>
          <w:color w:val="151515"/>
        </w:rPr>
        <w:t>Stock</w:t>
      </w:r>
      <w:r>
        <w:rPr>
          <w:rFonts w:ascii="Arial" w:cs="Arial" w:eastAsia="Arial" w:hAnsi="Arial"/>
          <w:sz w:val="18"/>
          <w:szCs w:val="18"/>
          <w:color w:val="1D1D1D"/>
        </w:rPr>
        <w:t xml:space="preserve"> </w:t>
      </w:r>
      <w:r>
        <w:rPr>
          <w:rFonts w:ascii="Arial" w:cs="Arial" w:eastAsia="Arial" w:hAnsi="Arial"/>
          <w:sz w:val="18"/>
          <w:szCs w:val="18"/>
          <w:color w:val="1A1A1A"/>
        </w:rPr>
        <w:t>Units,</w:t>
      </w:r>
      <w:r>
        <w:rPr>
          <w:rFonts w:ascii="Arial" w:cs="Arial" w:eastAsia="Arial" w:hAnsi="Arial"/>
          <w:sz w:val="18"/>
          <w:szCs w:val="18"/>
          <w:color w:val="1D1D1D"/>
        </w:rPr>
        <w:t xml:space="preserve"> </w:t>
      </w:r>
      <w:r>
        <w:rPr>
          <w:rFonts w:ascii="Arial" w:cs="Arial" w:eastAsia="Arial" w:hAnsi="Arial"/>
          <w:sz w:val="18"/>
          <w:szCs w:val="18"/>
          <w:color w:val="242424"/>
        </w:rPr>
        <w:t>all</w:t>
      </w:r>
      <w:r>
        <w:rPr>
          <w:rFonts w:ascii="Arial" w:cs="Arial" w:eastAsia="Arial" w:hAnsi="Arial"/>
          <w:sz w:val="18"/>
          <w:szCs w:val="18"/>
          <w:color w:val="1D1D1D"/>
        </w:rPr>
        <w:t xml:space="preserve"> </w:t>
      </w:r>
      <w:r>
        <w:rPr>
          <w:rFonts w:ascii="Arial" w:cs="Arial" w:eastAsia="Arial" w:hAnsi="Arial"/>
          <w:sz w:val="18"/>
          <w:szCs w:val="18"/>
          <w:color w:val="131313"/>
        </w:rPr>
        <w:t>of</w:t>
      </w:r>
      <w:r>
        <w:rPr>
          <w:rFonts w:ascii="Arial" w:cs="Arial" w:eastAsia="Arial" w:hAnsi="Arial"/>
          <w:sz w:val="18"/>
          <w:szCs w:val="18"/>
          <w:color w:val="1D1D1D"/>
        </w:rPr>
        <w:t xml:space="preserve"> </w:t>
      </w:r>
      <w:r>
        <w:rPr>
          <w:rFonts w:ascii="Arial" w:cs="Arial" w:eastAsia="Arial" w:hAnsi="Arial"/>
          <w:sz w:val="18"/>
          <w:szCs w:val="18"/>
          <w:color w:val="1A1A1A"/>
        </w:rPr>
        <w:t>which</w:t>
      </w:r>
      <w:r>
        <w:rPr>
          <w:rFonts w:ascii="Arial" w:cs="Arial" w:eastAsia="Arial" w:hAnsi="Arial"/>
          <w:sz w:val="18"/>
          <w:szCs w:val="18"/>
          <w:color w:val="1D1D1D"/>
        </w:rPr>
        <w:t xml:space="preserve"> </w:t>
      </w:r>
      <w:r>
        <w:rPr>
          <w:rFonts w:ascii="Arial" w:cs="Arial" w:eastAsia="Arial" w:hAnsi="Arial"/>
          <w:sz w:val="18"/>
          <w:szCs w:val="18"/>
          <w:color w:val="000000"/>
        </w:rPr>
        <w:t>remain</w:t>
      </w:r>
      <w:r>
        <w:rPr>
          <w:rFonts w:ascii="Arial" w:cs="Arial" w:eastAsia="Arial" w:hAnsi="Arial"/>
          <w:sz w:val="18"/>
          <w:szCs w:val="18"/>
          <w:color w:val="1D1D1D"/>
        </w:rPr>
        <w:t xml:space="preserve"> </w:t>
      </w:r>
      <w:r>
        <w:rPr>
          <w:rFonts w:ascii="Arial" w:cs="Arial" w:eastAsia="Arial" w:hAnsi="Arial"/>
          <w:sz w:val="18"/>
          <w:szCs w:val="18"/>
          <w:color w:val="0C0C0C"/>
        </w:rPr>
        <w:t xml:space="preserve">unvested </w:t>
      </w:r>
      <w:r>
        <w:rPr>
          <w:rFonts w:ascii="Arial" w:cs="Arial" w:eastAsia="Arial" w:hAnsi="Arial"/>
          <w:sz w:val="18"/>
          <w:szCs w:val="18"/>
          <w:color w:val="151515"/>
        </w:rPr>
        <w:t>as</w:t>
      </w:r>
      <w:r>
        <w:rPr>
          <w:rFonts w:ascii="Arial" w:cs="Arial" w:eastAsia="Arial" w:hAnsi="Arial"/>
          <w:sz w:val="18"/>
          <w:szCs w:val="18"/>
          <w:color w:val="0C0C0C"/>
        </w:rPr>
        <w:t xml:space="preserve"> </w:t>
      </w:r>
      <w:r>
        <w:rPr>
          <w:rFonts w:ascii="Arial" w:cs="Arial" w:eastAsia="Arial" w:hAnsi="Arial"/>
          <w:sz w:val="18"/>
          <w:szCs w:val="18"/>
          <w:color w:val="262626"/>
        </w:rPr>
        <w:t>of</w:t>
      </w:r>
      <w:r>
        <w:rPr>
          <w:rFonts w:ascii="Arial" w:cs="Arial" w:eastAsia="Arial" w:hAnsi="Arial"/>
          <w:sz w:val="18"/>
          <w:szCs w:val="18"/>
          <w:color w:val="0C0C0C"/>
        </w:rPr>
        <w:t xml:space="preserve"> </w:t>
      </w:r>
      <w:r>
        <w:rPr>
          <w:rFonts w:ascii="Arial" w:cs="Arial" w:eastAsia="Arial" w:hAnsi="Arial"/>
          <w:sz w:val="18"/>
          <w:szCs w:val="18"/>
          <w:color w:val="181818"/>
        </w:rPr>
        <w:t>the</w:t>
      </w:r>
      <w:r>
        <w:rPr>
          <w:rFonts w:ascii="Arial" w:cs="Arial" w:eastAsia="Arial" w:hAnsi="Arial"/>
          <w:sz w:val="18"/>
          <w:szCs w:val="18"/>
          <w:color w:val="0C0C0C"/>
        </w:rPr>
        <w:t xml:space="preserve"> </w:t>
      </w:r>
      <w:r>
        <w:rPr>
          <w:rFonts w:ascii="Arial" w:cs="Arial" w:eastAsia="Arial" w:hAnsi="Arial"/>
          <w:sz w:val="18"/>
          <w:szCs w:val="18"/>
          <w:color w:val="000000"/>
        </w:rPr>
        <w:t>Termination</w:t>
      </w:r>
      <w:r>
        <w:rPr>
          <w:rFonts w:ascii="Arial" w:cs="Arial" w:eastAsia="Arial" w:hAnsi="Arial"/>
          <w:sz w:val="18"/>
          <w:szCs w:val="18"/>
          <w:color w:val="0C0C0C"/>
        </w:rPr>
        <w:t xml:space="preserve"> </w:t>
      </w:r>
      <w:r>
        <w:rPr>
          <w:rFonts w:ascii="Arial" w:cs="Arial" w:eastAsia="Arial" w:hAnsi="Arial"/>
          <w:sz w:val="18"/>
          <w:szCs w:val="18"/>
          <w:color w:val="111111"/>
        </w:rPr>
        <w:t>Date</w:t>
      </w:r>
      <w:r>
        <w:rPr>
          <w:rFonts w:ascii="Arial" w:cs="Arial" w:eastAsia="Arial" w:hAnsi="Arial"/>
          <w:sz w:val="18"/>
          <w:szCs w:val="18"/>
          <w:color w:val="0C0C0C"/>
        </w:rPr>
        <w:t xml:space="preserve"> </w:t>
      </w:r>
      <w:r>
        <w:rPr>
          <w:rFonts w:ascii="Arial" w:cs="Arial" w:eastAsia="Arial" w:hAnsi="Arial"/>
          <w:sz w:val="18"/>
          <w:szCs w:val="18"/>
          <w:color w:val="131313"/>
        </w:rPr>
        <w:t>and,</w:t>
      </w:r>
      <w:r>
        <w:rPr>
          <w:rFonts w:ascii="Arial" w:cs="Arial" w:eastAsia="Arial" w:hAnsi="Arial"/>
          <w:sz w:val="18"/>
          <w:szCs w:val="18"/>
          <w:color w:val="0C0C0C"/>
        </w:rPr>
        <w:t xml:space="preserve"> </w:t>
      </w:r>
      <w:r>
        <w:rPr>
          <w:rFonts w:ascii="Arial" w:cs="Arial" w:eastAsia="Arial" w:hAnsi="Arial"/>
          <w:sz w:val="18"/>
          <w:szCs w:val="18"/>
          <w:color w:val="111111"/>
        </w:rPr>
        <w:t>pursuant</w:t>
      </w:r>
      <w:r>
        <w:rPr>
          <w:rFonts w:ascii="Arial" w:cs="Arial" w:eastAsia="Arial" w:hAnsi="Arial"/>
          <w:sz w:val="18"/>
          <w:szCs w:val="18"/>
          <w:color w:val="0C0C0C"/>
        </w:rPr>
        <w:t xml:space="preserve"> </w:t>
      </w:r>
      <w:r>
        <w:rPr>
          <w:rFonts w:ascii="Arial" w:cs="Arial" w:eastAsia="Arial" w:hAnsi="Arial"/>
          <w:sz w:val="18"/>
          <w:szCs w:val="18"/>
          <w:color w:val="1F1F1F"/>
        </w:rPr>
        <w:t>to</w:t>
      </w:r>
      <w:r>
        <w:rPr>
          <w:rFonts w:ascii="Arial" w:cs="Arial" w:eastAsia="Arial" w:hAnsi="Arial"/>
          <w:sz w:val="18"/>
          <w:szCs w:val="18"/>
          <w:color w:val="0C0C0C"/>
        </w:rPr>
        <w:t xml:space="preserve"> </w:t>
      </w:r>
      <w:r>
        <w:rPr>
          <w:rFonts w:ascii="Arial" w:cs="Arial" w:eastAsia="Arial" w:hAnsi="Arial"/>
          <w:sz w:val="18"/>
          <w:szCs w:val="18"/>
          <w:color w:val="0A0A0A"/>
        </w:rPr>
        <w:t>the</w:t>
      </w:r>
      <w:r>
        <w:rPr>
          <w:rFonts w:ascii="Arial" w:cs="Arial" w:eastAsia="Arial" w:hAnsi="Arial"/>
          <w:sz w:val="18"/>
          <w:szCs w:val="18"/>
          <w:color w:val="0C0C0C"/>
        </w:rPr>
        <w:t xml:space="preserve"> </w:t>
      </w:r>
      <w:r>
        <w:rPr>
          <w:rFonts w:ascii="Arial" w:cs="Arial" w:eastAsia="Arial" w:hAnsi="Arial"/>
          <w:sz w:val="18"/>
          <w:szCs w:val="18"/>
          <w:color w:val="131313"/>
        </w:rPr>
        <w:t>terms</w:t>
      </w:r>
      <w:r>
        <w:rPr>
          <w:rFonts w:ascii="Arial" w:cs="Arial" w:eastAsia="Arial" w:hAnsi="Arial"/>
          <w:sz w:val="18"/>
          <w:szCs w:val="18"/>
          <w:color w:val="0C0C0C"/>
        </w:rPr>
        <w:t xml:space="preserve"> </w:t>
      </w:r>
      <w:r>
        <w:rPr>
          <w:rFonts w:ascii="Arial" w:cs="Arial" w:eastAsia="Arial" w:hAnsi="Arial"/>
          <w:sz w:val="18"/>
          <w:szCs w:val="18"/>
          <w:color w:val="111111"/>
        </w:rPr>
        <w:t>of</w:t>
      </w:r>
      <w:r>
        <w:rPr>
          <w:rFonts w:ascii="Arial" w:cs="Arial" w:eastAsia="Arial" w:hAnsi="Arial"/>
          <w:sz w:val="18"/>
          <w:szCs w:val="18"/>
          <w:color w:val="0C0C0C"/>
        </w:rPr>
        <w:t xml:space="preserve"> the </w:t>
      </w:r>
      <w:r>
        <w:rPr>
          <w:rFonts w:ascii="Arial" w:cs="Arial" w:eastAsia="Arial" w:hAnsi="Arial"/>
          <w:sz w:val="18"/>
          <w:szCs w:val="18"/>
          <w:color w:val="181818"/>
        </w:rPr>
        <w:t>applicable</w:t>
      </w:r>
      <w:r>
        <w:rPr>
          <w:rFonts w:ascii="Arial" w:cs="Arial" w:eastAsia="Arial" w:hAnsi="Arial"/>
          <w:sz w:val="18"/>
          <w:szCs w:val="18"/>
          <w:color w:val="0C0C0C"/>
        </w:rPr>
        <w:t xml:space="preserve"> </w:t>
      </w:r>
      <w:r>
        <w:rPr>
          <w:rFonts w:ascii="Arial" w:cs="Arial" w:eastAsia="Arial" w:hAnsi="Arial"/>
          <w:sz w:val="18"/>
          <w:szCs w:val="18"/>
          <w:color w:val="000000"/>
        </w:rPr>
        <w:t>Award Agreement,</w:t>
      </w:r>
      <w:r>
        <w:rPr>
          <w:rFonts w:ascii="Arial" w:cs="Arial" w:eastAsia="Arial" w:hAnsi="Arial"/>
          <w:sz w:val="18"/>
          <w:szCs w:val="18"/>
          <w:color w:val="0C0C0C"/>
        </w:rPr>
        <w:t xml:space="preserve"> </w:t>
      </w:r>
      <w:r>
        <w:rPr>
          <w:rFonts w:ascii="Arial" w:cs="Arial" w:eastAsia="Arial" w:hAnsi="Arial"/>
          <w:sz w:val="18"/>
          <w:szCs w:val="18"/>
          <w:color w:val="161616"/>
        </w:rPr>
        <w:t>shall</w:t>
      </w:r>
      <w:r>
        <w:rPr>
          <w:rFonts w:ascii="Arial" w:cs="Arial" w:eastAsia="Arial" w:hAnsi="Arial"/>
          <w:sz w:val="18"/>
          <w:szCs w:val="18"/>
          <w:color w:val="0C0C0C"/>
        </w:rPr>
        <w:t xml:space="preserve"> </w:t>
      </w:r>
      <w:r>
        <w:rPr>
          <w:rFonts w:ascii="Arial" w:cs="Arial" w:eastAsia="Arial" w:hAnsi="Arial"/>
          <w:sz w:val="18"/>
          <w:szCs w:val="18"/>
          <w:color w:val="0F0F0F"/>
        </w:rPr>
        <w:t>be</w:t>
      </w:r>
      <w:r>
        <w:rPr>
          <w:rFonts w:ascii="Arial" w:cs="Arial" w:eastAsia="Arial" w:hAnsi="Arial"/>
          <w:sz w:val="18"/>
          <w:szCs w:val="18"/>
          <w:color w:val="0C0C0C"/>
        </w:rPr>
        <w:t xml:space="preserve"> </w:t>
      </w:r>
      <w:r>
        <w:rPr>
          <w:rFonts w:ascii="Arial" w:cs="Arial" w:eastAsia="Arial" w:hAnsi="Arial"/>
          <w:sz w:val="18"/>
          <w:szCs w:val="18"/>
          <w:color w:val="111111"/>
        </w:rPr>
        <w:t>forfeited</w:t>
      </w:r>
      <w:r>
        <w:rPr>
          <w:rFonts w:ascii="Arial" w:cs="Arial" w:eastAsia="Arial" w:hAnsi="Arial"/>
          <w:sz w:val="18"/>
          <w:szCs w:val="18"/>
          <w:color w:val="0C0C0C"/>
        </w:rPr>
        <w:t xml:space="preserve"> </w:t>
      </w:r>
      <w:r>
        <w:rPr>
          <w:rFonts w:ascii="Arial" w:cs="Arial" w:eastAsia="Arial" w:hAnsi="Arial"/>
          <w:sz w:val="18"/>
          <w:szCs w:val="18"/>
          <w:color w:val="1C1C1C"/>
        </w:rPr>
        <w:t>as</w:t>
      </w:r>
      <w:r>
        <w:rPr>
          <w:rFonts w:ascii="Arial" w:cs="Arial" w:eastAsia="Arial" w:hAnsi="Arial"/>
          <w:sz w:val="18"/>
          <w:szCs w:val="18"/>
          <w:color w:val="0C0C0C"/>
        </w:rPr>
        <w:t xml:space="preserve"> </w:t>
      </w:r>
      <w:r>
        <w:rPr>
          <w:rFonts w:ascii="Arial" w:cs="Arial" w:eastAsia="Arial" w:hAnsi="Arial"/>
          <w:sz w:val="18"/>
          <w:szCs w:val="18"/>
          <w:color w:val="313131"/>
        </w:rPr>
        <w:t>of</w:t>
      </w:r>
      <w:r>
        <w:rPr>
          <w:rFonts w:ascii="Arial" w:cs="Arial" w:eastAsia="Arial" w:hAnsi="Arial"/>
          <w:sz w:val="18"/>
          <w:szCs w:val="18"/>
          <w:color w:val="0C0C0C"/>
        </w:rPr>
        <w:t xml:space="preserve"> </w:t>
      </w:r>
      <w:r>
        <w:rPr>
          <w:rFonts w:ascii="Arial" w:cs="Arial" w:eastAsia="Arial" w:hAnsi="Arial"/>
          <w:sz w:val="18"/>
          <w:szCs w:val="18"/>
          <w:color w:val="151515"/>
        </w:rPr>
        <w:t>the</w:t>
      </w:r>
      <w:r>
        <w:rPr>
          <w:rFonts w:ascii="Arial" w:cs="Arial" w:eastAsia="Arial" w:hAnsi="Arial"/>
          <w:sz w:val="18"/>
          <w:szCs w:val="18"/>
          <w:color w:val="0C0C0C"/>
        </w:rPr>
        <w:t xml:space="preserve"> </w:t>
      </w:r>
      <w:r>
        <w:rPr>
          <w:rFonts w:ascii="Arial" w:cs="Arial" w:eastAsia="Arial" w:hAnsi="Arial"/>
          <w:sz w:val="18"/>
          <w:szCs w:val="18"/>
          <w:color w:val="0A0A0A"/>
        </w:rPr>
        <w:t xml:space="preserve">Termination </w:t>
      </w:r>
      <w:r>
        <w:rPr>
          <w:rFonts w:ascii="Arial" w:cs="Arial" w:eastAsia="Arial" w:hAnsi="Arial"/>
          <w:sz w:val="18"/>
          <w:szCs w:val="18"/>
          <w:color w:val="000000"/>
        </w:rPr>
        <w:t>Date:</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3"/>
          <w:numId w:val="28"/>
        </w:numPr>
        <w:rPr>
          <w:rFonts w:ascii="Arial" w:cs="Arial" w:eastAsia="Arial" w:hAnsi="Arial"/>
          <w:sz w:val="18"/>
          <w:szCs w:val="18"/>
          <w:color w:val="auto"/>
        </w:rPr>
      </w:pPr>
      <w:r>
        <w:rPr>
          <w:rFonts w:ascii="Arial" w:cs="Arial" w:eastAsia="Arial" w:hAnsi="Arial"/>
          <w:sz w:val="18"/>
          <w:szCs w:val="18"/>
          <w:color w:val="auto"/>
        </w:rPr>
        <w:t>47,368 Restricted Stock Units, subject to an Award Agreement dated December 12, 2017;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3"/>
          <w:numId w:val="28"/>
        </w:numPr>
        <w:rPr>
          <w:rFonts w:ascii="Arial" w:cs="Arial" w:eastAsia="Arial" w:hAnsi="Arial"/>
          <w:sz w:val="18"/>
          <w:szCs w:val="18"/>
          <w:color w:val="auto"/>
        </w:rPr>
      </w:pPr>
      <w:r>
        <w:rPr>
          <w:rFonts w:ascii="Arial" w:cs="Arial" w:eastAsia="Arial" w:hAnsi="Arial"/>
          <w:sz w:val="18"/>
          <w:szCs w:val="18"/>
          <w:color w:val="auto"/>
        </w:rPr>
        <w:t xml:space="preserve">42,056 </w:t>
      </w:r>
      <w:r>
        <w:rPr>
          <w:rFonts w:ascii="Arial" w:cs="Arial" w:eastAsia="Arial" w:hAnsi="Arial"/>
          <w:sz w:val="18"/>
          <w:szCs w:val="18"/>
          <w:color w:val="161616"/>
        </w:rPr>
        <w:t>Restricted Stock Units subject to an Award Agreement dated December 11, 2018.</w:t>
      </w:r>
    </w:p>
    <w:p>
      <w:pPr>
        <w:spacing w:after="0" w:line="225" w:lineRule="exact"/>
        <w:rPr>
          <w:rFonts w:ascii="Arial" w:cs="Arial" w:eastAsia="Arial" w:hAnsi="Arial"/>
          <w:sz w:val="18"/>
          <w:szCs w:val="18"/>
          <w:color w:val="auto"/>
        </w:rPr>
      </w:pPr>
    </w:p>
    <w:p>
      <w:pPr>
        <w:ind w:left="660" w:right="360" w:hanging="652"/>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181818"/>
        </w:rPr>
        <w:t xml:space="preserve">COBRA </w:t>
      </w:r>
      <w:r>
        <w:rPr>
          <w:rFonts w:ascii="Arial" w:cs="Arial" w:eastAsia="Arial" w:hAnsi="Arial"/>
          <w:sz w:val="18"/>
          <w:szCs w:val="18"/>
          <w:b w:val="1"/>
          <w:bCs w:val="1"/>
          <w:i w:val="1"/>
          <w:iCs w:val="1"/>
          <w:color w:val="0F0F0F"/>
        </w:rPr>
        <w:t>Benefits</w:t>
      </w:r>
      <w:r>
        <w:rPr>
          <w:rFonts w:ascii="Arial" w:cs="Arial" w:eastAsia="Arial" w:hAnsi="Arial"/>
          <w:sz w:val="18"/>
          <w:szCs w:val="18"/>
          <w:b w:val="1"/>
          <w:bCs w:val="1"/>
          <w:i w:val="1"/>
          <w:iCs w:val="1"/>
          <w:color w:val="181818"/>
        </w:rPr>
        <w:t xml:space="preserve"> </w:t>
      </w:r>
      <w:r>
        <w:rPr>
          <w:rFonts w:ascii="Arial" w:cs="Arial" w:eastAsia="Arial" w:hAnsi="Arial"/>
          <w:sz w:val="18"/>
          <w:szCs w:val="18"/>
          <w:color w:val="3B3B3B"/>
        </w:rPr>
        <w:t>-</w:t>
      </w:r>
      <w:r>
        <w:rPr>
          <w:rFonts w:ascii="Arial" w:cs="Arial" w:eastAsia="Arial" w:hAnsi="Arial"/>
          <w:sz w:val="18"/>
          <w:szCs w:val="18"/>
          <w:b w:val="1"/>
          <w:bCs w:val="1"/>
          <w:i w:val="1"/>
          <w:iCs w:val="1"/>
          <w:color w:val="181818"/>
        </w:rPr>
        <w:t xml:space="preserve"> </w:t>
      </w:r>
      <w:r>
        <w:rPr>
          <w:rFonts w:ascii="Arial" w:cs="Arial" w:eastAsia="Arial" w:hAnsi="Arial"/>
          <w:sz w:val="18"/>
          <w:szCs w:val="18"/>
          <w:color w:val="1C1C1C"/>
        </w:rPr>
        <w:t>Upon</w:t>
      </w:r>
      <w:r>
        <w:rPr>
          <w:rFonts w:ascii="Arial" w:cs="Arial" w:eastAsia="Arial" w:hAnsi="Arial"/>
          <w:sz w:val="18"/>
          <w:szCs w:val="18"/>
          <w:b w:val="1"/>
          <w:bCs w:val="1"/>
          <w:i w:val="1"/>
          <w:iCs w:val="1"/>
          <w:color w:val="181818"/>
        </w:rPr>
        <w:t xml:space="preserve"> </w:t>
      </w:r>
      <w:r>
        <w:rPr>
          <w:rFonts w:ascii="Arial" w:cs="Arial" w:eastAsia="Arial" w:hAnsi="Arial"/>
          <w:sz w:val="18"/>
          <w:szCs w:val="18"/>
          <w:color w:val="131313"/>
        </w:rPr>
        <w:t>the</w:t>
      </w:r>
      <w:r>
        <w:rPr>
          <w:rFonts w:ascii="Arial" w:cs="Arial" w:eastAsia="Arial" w:hAnsi="Arial"/>
          <w:sz w:val="18"/>
          <w:szCs w:val="18"/>
          <w:b w:val="1"/>
          <w:bCs w:val="1"/>
          <w:i w:val="1"/>
          <w:iCs w:val="1"/>
          <w:color w:val="181818"/>
        </w:rPr>
        <w:t xml:space="preserve"> </w:t>
      </w:r>
      <w:r>
        <w:rPr>
          <w:rFonts w:ascii="Arial" w:cs="Arial" w:eastAsia="Arial" w:hAnsi="Arial"/>
          <w:sz w:val="18"/>
          <w:szCs w:val="18"/>
          <w:color w:val="0E0E0E"/>
        </w:rPr>
        <w:t>termination</w:t>
      </w:r>
      <w:r>
        <w:rPr>
          <w:rFonts w:ascii="Arial" w:cs="Arial" w:eastAsia="Arial" w:hAnsi="Arial"/>
          <w:sz w:val="18"/>
          <w:szCs w:val="18"/>
          <w:b w:val="1"/>
          <w:bCs w:val="1"/>
          <w:i w:val="1"/>
          <w:iCs w:val="1"/>
          <w:color w:val="181818"/>
        </w:rPr>
        <w:t xml:space="preserve"> </w:t>
      </w:r>
      <w:r>
        <w:rPr>
          <w:rFonts w:ascii="Arial" w:cs="Arial" w:eastAsia="Arial" w:hAnsi="Arial"/>
          <w:sz w:val="18"/>
          <w:szCs w:val="18"/>
          <w:color w:val="232323"/>
        </w:rPr>
        <w:t>of</w:t>
      </w:r>
      <w:r>
        <w:rPr>
          <w:rFonts w:ascii="Arial" w:cs="Arial" w:eastAsia="Arial" w:hAnsi="Arial"/>
          <w:sz w:val="18"/>
          <w:szCs w:val="18"/>
          <w:b w:val="1"/>
          <w:bCs w:val="1"/>
          <w:i w:val="1"/>
          <w:iCs w:val="1"/>
          <w:color w:val="181818"/>
        </w:rPr>
        <w:t xml:space="preserve"> </w:t>
      </w:r>
      <w:r>
        <w:rPr>
          <w:rFonts w:ascii="Arial" w:cs="Arial" w:eastAsia="Arial" w:hAnsi="Arial"/>
          <w:sz w:val="18"/>
          <w:szCs w:val="18"/>
          <w:color w:val="161616"/>
        </w:rPr>
        <w:t>his</w:t>
      </w:r>
      <w:r>
        <w:rPr>
          <w:rFonts w:ascii="Arial" w:cs="Arial" w:eastAsia="Arial" w:hAnsi="Arial"/>
          <w:sz w:val="18"/>
          <w:szCs w:val="18"/>
          <w:b w:val="1"/>
          <w:bCs w:val="1"/>
          <w:i w:val="1"/>
          <w:iCs w:val="1"/>
          <w:color w:val="181818"/>
        </w:rPr>
        <w:t xml:space="preserve"> </w:t>
      </w:r>
      <w:r>
        <w:rPr>
          <w:rFonts w:ascii="Arial" w:cs="Arial" w:eastAsia="Arial" w:hAnsi="Arial"/>
          <w:sz w:val="18"/>
          <w:szCs w:val="18"/>
          <w:color w:val="000000"/>
        </w:rPr>
        <w:t>employment</w:t>
      </w:r>
      <w:r>
        <w:rPr>
          <w:rFonts w:ascii="Arial" w:cs="Arial" w:eastAsia="Arial" w:hAnsi="Arial"/>
          <w:sz w:val="18"/>
          <w:szCs w:val="18"/>
          <w:b w:val="1"/>
          <w:bCs w:val="1"/>
          <w:i w:val="1"/>
          <w:iCs w:val="1"/>
          <w:color w:val="181818"/>
        </w:rPr>
        <w:t xml:space="preserve"> </w:t>
      </w:r>
      <w:r>
        <w:rPr>
          <w:rFonts w:ascii="Arial" w:cs="Arial" w:eastAsia="Arial" w:hAnsi="Arial"/>
          <w:sz w:val="18"/>
          <w:szCs w:val="18"/>
          <w:color w:val="151515"/>
        </w:rPr>
        <w:t>with</w:t>
      </w:r>
      <w:r>
        <w:rPr>
          <w:rFonts w:ascii="Arial" w:cs="Arial" w:eastAsia="Arial" w:hAnsi="Arial"/>
          <w:sz w:val="18"/>
          <w:szCs w:val="18"/>
          <w:b w:val="1"/>
          <w:bCs w:val="1"/>
          <w:i w:val="1"/>
          <w:iCs w:val="1"/>
          <w:color w:val="181818"/>
        </w:rPr>
        <w:t xml:space="preserve"> </w:t>
      </w:r>
      <w:r>
        <w:rPr>
          <w:rFonts w:ascii="Arial" w:cs="Arial" w:eastAsia="Arial" w:hAnsi="Arial"/>
          <w:sz w:val="18"/>
          <w:szCs w:val="18"/>
          <w:color w:val="131313"/>
        </w:rPr>
        <w:t>the</w:t>
      </w:r>
      <w:r>
        <w:rPr>
          <w:rFonts w:ascii="Arial" w:cs="Arial" w:eastAsia="Arial" w:hAnsi="Arial"/>
          <w:sz w:val="18"/>
          <w:szCs w:val="18"/>
          <w:b w:val="1"/>
          <w:bCs w:val="1"/>
          <w:i w:val="1"/>
          <w:iCs w:val="1"/>
          <w:color w:val="181818"/>
        </w:rPr>
        <w:t xml:space="preserve"> </w:t>
      </w:r>
      <w:r>
        <w:rPr>
          <w:rFonts w:ascii="Arial" w:cs="Arial" w:eastAsia="Arial" w:hAnsi="Arial"/>
          <w:sz w:val="18"/>
          <w:szCs w:val="18"/>
          <w:color w:val="000000"/>
        </w:rPr>
        <w:t>Company,</w:t>
      </w:r>
      <w:r>
        <w:rPr>
          <w:rFonts w:ascii="Arial" w:cs="Arial" w:eastAsia="Arial" w:hAnsi="Arial"/>
          <w:sz w:val="18"/>
          <w:szCs w:val="18"/>
          <w:b w:val="1"/>
          <w:bCs w:val="1"/>
          <w:i w:val="1"/>
          <w:iCs w:val="1"/>
          <w:color w:val="181818"/>
        </w:rPr>
        <w:t xml:space="preserve"> </w:t>
      </w:r>
      <w:r>
        <w:rPr>
          <w:rFonts w:ascii="Arial" w:cs="Arial" w:eastAsia="Arial" w:hAnsi="Arial"/>
          <w:sz w:val="18"/>
          <w:szCs w:val="18"/>
          <w:color w:val="080808"/>
        </w:rPr>
        <w:t>Executive</w:t>
      </w:r>
      <w:r>
        <w:rPr>
          <w:rFonts w:ascii="Arial" w:cs="Arial" w:eastAsia="Arial" w:hAnsi="Arial"/>
          <w:sz w:val="18"/>
          <w:szCs w:val="18"/>
          <w:b w:val="1"/>
          <w:bCs w:val="1"/>
          <w:i w:val="1"/>
          <w:iCs w:val="1"/>
          <w:color w:val="181818"/>
        </w:rPr>
        <w:t xml:space="preserve"> </w:t>
      </w:r>
      <w:r>
        <w:rPr>
          <w:rFonts w:ascii="Arial" w:cs="Arial" w:eastAsia="Arial" w:hAnsi="Arial"/>
          <w:sz w:val="18"/>
          <w:szCs w:val="18"/>
          <w:color w:val="181818"/>
        </w:rPr>
        <w:t>will</w:t>
      </w:r>
      <w:r>
        <w:rPr>
          <w:rFonts w:ascii="Arial" w:cs="Arial" w:eastAsia="Arial" w:hAnsi="Arial"/>
          <w:sz w:val="18"/>
          <w:szCs w:val="18"/>
          <w:b w:val="1"/>
          <w:bCs w:val="1"/>
          <w:i w:val="1"/>
          <w:iCs w:val="1"/>
          <w:color w:val="181818"/>
        </w:rPr>
        <w:t xml:space="preserve"> </w:t>
      </w:r>
      <w:r>
        <w:rPr>
          <w:rFonts w:ascii="Arial" w:cs="Arial" w:eastAsia="Arial" w:hAnsi="Arial"/>
          <w:sz w:val="18"/>
          <w:szCs w:val="18"/>
          <w:color w:val="050505"/>
        </w:rPr>
        <w:t>be</w:t>
      </w:r>
      <w:r>
        <w:rPr>
          <w:rFonts w:ascii="Arial" w:cs="Arial" w:eastAsia="Arial" w:hAnsi="Arial"/>
          <w:sz w:val="18"/>
          <w:szCs w:val="18"/>
          <w:b w:val="1"/>
          <w:bCs w:val="1"/>
          <w:i w:val="1"/>
          <w:iCs w:val="1"/>
          <w:color w:val="181818"/>
        </w:rPr>
        <w:t xml:space="preserve"> </w:t>
      </w:r>
      <w:r>
        <w:rPr>
          <w:rFonts w:ascii="Arial" w:cs="Arial" w:eastAsia="Arial" w:hAnsi="Arial"/>
          <w:sz w:val="18"/>
          <w:szCs w:val="18"/>
          <w:color w:val="0E0E0E"/>
        </w:rPr>
        <w:t>eligible</w:t>
      </w:r>
      <w:r>
        <w:rPr>
          <w:rFonts w:ascii="Arial" w:cs="Arial" w:eastAsia="Arial" w:hAnsi="Arial"/>
          <w:sz w:val="18"/>
          <w:szCs w:val="18"/>
          <w:b w:val="1"/>
          <w:bCs w:val="1"/>
          <w:i w:val="1"/>
          <w:iCs w:val="1"/>
          <w:color w:val="181818"/>
        </w:rPr>
        <w:t xml:space="preserve"> </w:t>
      </w:r>
      <w:r>
        <w:rPr>
          <w:rFonts w:ascii="Arial" w:cs="Arial" w:eastAsia="Arial" w:hAnsi="Arial"/>
          <w:sz w:val="18"/>
          <w:szCs w:val="18"/>
          <w:color w:val="1F1F1F"/>
        </w:rPr>
        <w:t>for</w:t>
      </w:r>
      <w:r>
        <w:rPr>
          <w:rFonts w:ascii="Arial" w:cs="Arial" w:eastAsia="Arial" w:hAnsi="Arial"/>
          <w:sz w:val="18"/>
          <w:szCs w:val="18"/>
          <w:b w:val="1"/>
          <w:bCs w:val="1"/>
          <w:i w:val="1"/>
          <w:iCs w:val="1"/>
          <w:color w:val="181818"/>
        </w:rPr>
        <w:t xml:space="preserve"> </w:t>
      </w:r>
      <w:r>
        <w:rPr>
          <w:rFonts w:ascii="Arial" w:cs="Arial" w:eastAsia="Arial" w:hAnsi="Arial"/>
          <w:sz w:val="18"/>
          <w:szCs w:val="18"/>
          <w:color w:val="161616"/>
        </w:rPr>
        <w:t>continuation</w:t>
      </w:r>
      <w:r>
        <w:rPr>
          <w:rFonts w:ascii="Arial" w:cs="Arial" w:eastAsia="Arial" w:hAnsi="Arial"/>
          <w:sz w:val="18"/>
          <w:szCs w:val="18"/>
          <w:b w:val="1"/>
          <w:bCs w:val="1"/>
          <w:i w:val="1"/>
          <w:iCs w:val="1"/>
          <w:color w:val="181818"/>
        </w:rPr>
        <w:t xml:space="preserve"> </w:t>
      </w:r>
      <w:r>
        <w:rPr>
          <w:rFonts w:ascii="Arial" w:cs="Arial" w:eastAsia="Arial" w:hAnsi="Arial"/>
          <w:sz w:val="18"/>
          <w:szCs w:val="18"/>
          <w:color w:val="1F1F1F"/>
        </w:rPr>
        <w:t>of</w:t>
      </w:r>
      <w:r>
        <w:rPr>
          <w:rFonts w:ascii="Arial" w:cs="Arial" w:eastAsia="Arial" w:hAnsi="Arial"/>
          <w:sz w:val="18"/>
          <w:szCs w:val="18"/>
          <w:b w:val="1"/>
          <w:bCs w:val="1"/>
          <w:i w:val="1"/>
          <w:iCs w:val="1"/>
          <w:color w:val="181818"/>
        </w:rPr>
        <w:t xml:space="preserve"> </w:t>
      </w:r>
      <w:r>
        <w:rPr>
          <w:rFonts w:ascii="Arial" w:cs="Arial" w:eastAsia="Arial" w:hAnsi="Arial"/>
          <w:sz w:val="18"/>
          <w:szCs w:val="18"/>
          <w:color w:val="000000"/>
        </w:rPr>
        <w:t>certain</w:t>
      </w:r>
      <w:r>
        <w:rPr>
          <w:rFonts w:ascii="Arial" w:cs="Arial" w:eastAsia="Arial" w:hAnsi="Arial"/>
          <w:sz w:val="18"/>
          <w:szCs w:val="18"/>
          <w:b w:val="1"/>
          <w:bCs w:val="1"/>
          <w:i w:val="1"/>
          <w:iCs w:val="1"/>
          <w:color w:val="181818"/>
        </w:rPr>
        <w:t xml:space="preserve"> </w:t>
      </w:r>
      <w:r>
        <w:rPr>
          <w:rFonts w:ascii="Arial" w:cs="Arial" w:eastAsia="Arial" w:hAnsi="Arial"/>
          <w:sz w:val="18"/>
          <w:szCs w:val="18"/>
          <w:color w:val="151515"/>
        </w:rPr>
        <w:t>medical</w:t>
      </w:r>
      <w:r>
        <w:rPr>
          <w:rFonts w:ascii="Arial" w:cs="Arial" w:eastAsia="Arial" w:hAnsi="Arial"/>
          <w:sz w:val="18"/>
          <w:szCs w:val="18"/>
          <w:b w:val="1"/>
          <w:bCs w:val="1"/>
          <w:i w:val="1"/>
          <w:iCs w:val="1"/>
          <w:color w:val="181818"/>
        </w:rPr>
        <w:t xml:space="preserve"> </w:t>
      </w:r>
      <w:r>
        <w:rPr>
          <w:rFonts w:ascii="Arial" w:cs="Arial" w:eastAsia="Arial" w:hAnsi="Arial"/>
          <w:sz w:val="18"/>
          <w:szCs w:val="18"/>
          <w:color w:val="111111"/>
        </w:rPr>
        <w:t xml:space="preserve">benefits </w:t>
      </w:r>
      <w:r>
        <w:rPr>
          <w:rFonts w:ascii="Arial" w:cs="Arial" w:eastAsia="Arial" w:hAnsi="Arial"/>
          <w:sz w:val="18"/>
          <w:szCs w:val="18"/>
          <w:color w:val="212121"/>
        </w:rPr>
        <w:t>under</w:t>
      </w:r>
      <w:r>
        <w:rPr>
          <w:rFonts w:ascii="Arial" w:cs="Arial" w:eastAsia="Arial" w:hAnsi="Arial"/>
          <w:sz w:val="18"/>
          <w:szCs w:val="18"/>
          <w:color w:val="111111"/>
        </w:rPr>
        <w:t xml:space="preserve"> </w:t>
      </w:r>
      <w:r>
        <w:rPr>
          <w:rFonts w:ascii="Arial" w:cs="Arial" w:eastAsia="Arial" w:hAnsi="Arial"/>
          <w:sz w:val="18"/>
          <w:szCs w:val="18"/>
          <w:color w:val="0F0F0F"/>
        </w:rPr>
        <w:t>COBRA,</w:t>
      </w:r>
      <w:r>
        <w:rPr>
          <w:rFonts w:ascii="Arial" w:cs="Arial" w:eastAsia="Arial" w:hAnsi="Arial"/>
          <w:sz w:val="18"/>
          <w:szCs w:val="18"/>
          <w:color w:val="111111"/>
        </w:rPr>
        <w:t xml:space="preserve"> </w:t>
      </w:r>
      <w:r>
        <w:rPr>
          <w:rFonts w:ascii="Arial" w:cs="Arial" w:eastAsia="Arial" w:hAnsi="Arial"/>
          <w:sz w:val="18"/>
          <w:szCs w:val="18"/>
          <w:color w:val="161616"/>
        </w:rPr>
        <w:t>at</w:t>
      </w:r>
      <w:r>
        <w:rPr>
          <w:rFonts w:ascii="Arial" w:cs="Arial" w:eastAsia="Arial" w:hAnsi="Arial"/>
          <w:sz w:val="18"/>
          <w:szCs w:val="18"/>
          <w:color w:val="111111"/>
        </w:rPr>
        <w:t xml:space="preserve"> </w:t>
      </w:r>
      <w:r>
        <w:rPr>
          <w:rFonts w:ascii="Arial" w:cs="Arial" w:eastAsia="Arial" w:hAnsi="Arial"/>
          <w:sz w:val="18"/>
          <w:szCs w:val="18"/>
          <w:color w:val="0C0C0C"/>
        </w:rPr>
        <w:t>his</w:t>
      </w:r>
      <w:r>
        <w:rPr>
          <w:rFonts w:ascii="Arial" w:cs="Arial" w:eastAsia="Arial" w:hAnsi="Arial"/>
          <w:sz w:val="18"/>
          <w:szCs w:val="18"/>
          <w:color w:val="111111"/>
        </w:rPr>
        <w:t xml:space="preserve"> </w:t>
      </w:r>
      <w:r>
        <w:rPr>
          <w:rFonts w:ascii="Arial" w:cs="Arial" w:eastAsia="Arial" w:hAnsi="Arial"/>
          <w:sz w:val="18"/>
          <w:szCs w:val="18"/>
          <w:color w:val="0F0F0F"/>
        </w:rPr>
        <w:t>option</w:t>
      </w:r>
      <w:r>
        <w:rPr>
          <w:rFonts w:ascii="Arial" w:cs="Arial" w:eastAsia="Arial" w:hAnsi="Arial"/>
          <w:sz w:val="18"/>
          <w:szCs w:val="18"/>
          <w:color w:val="111111"/>
        </w:rPr>
        <w:t xml:space="preserve"> </w:t>
      </w:r>
      <w:r>
        <w:rPr>
          <w:rFonts w:ascii="Arial" w:cs="Arial" w:eastAsia="Arial" w:hAnsi="Arial"/>
          <w:sz w:val="18"/>
          <w:szCs w:val="18"/>
          <w:color w:val="1C1C1C"/>
        </w:rPr>
        <w:t>and</w:t>
      </w:r>
      <w:r>
        <w:rPr>
          <w:rFonts w:ascii="Arial" w:cs="Arial" w:eastAsia="Arial" w:hAnsi="Arial"/>
          <w:sz w:val="18"/>
          <w:szCs w:val="18"/>
          <w:color w:val="111111"/>
        </w:rPr>
        <w:t xml:space="preserve"> </w:t>
      </w:r>
      <w:r>
        <w:rPr>
          <w:rFonts w:ascii="Arial" w:cs="Arial" w:eastAsia="Arial" w:hAnsi="Arial"/>
          <w:sz w:val="18"/>
          <w:szCs w:val="18"/>
          <w:color w:val="0C0C0C"/>
        </w:rPr>
        <w:t>his</w:t>
      </w:r>
      <w:r>
        <w:rPr>
          <w:rFonts w:ascii="Arial" w:cs="Arial" w:eastAsia="Arial" w:hAnsi="Arial"/>
          <w:sz w:val="18"/>
          <w:szCs w:val="18"/>
          <w:color w:val="111111"/>
        </w:rPr>
        <w:t xml:space="preserve"> </w:t>
      </w:r>
      <w:r>
        <w:rPr>
          <w:rFonts w:ascii="Arial" w:cs="Arial" w:eastAsia="Arial" w:hAnsi="Arial"/>
          <w:sz w:val="18"/>
          <w:szCs w:val="18"/>
          <w:color w:val="000000"/>
        </w:rPr>
        <w:t>expense,</w:t>
      </w:r>
      <w:r>
        <w:rPr>
          <w:rFonts w:ascii="Arial" w:cs="Arial" w:eastAsia="Arial" w:hAnsi="Arial"/>
          <w:sz w:val="18"/>
          <w:szCs w:val="18"/>
          <w:color w:val="111111"/>
        </w:rPr>
        <w:t xml:space="preserve"> </w:t>
      </w:r>
      <w:r>
        <w:rPr>
          <w:rFonts w:ascii="Arial" w:cs="Arial" w:eastAsia="Arial" w:hAnsi="Arial"/>
          <w:sz w:val="18"/>
          <w:szCs w:val="18"/>
          <w:color w:val="1A1A1A"/>
        </w:rPr>
        <w:t>as provided</w:t>
      </w:r>
      <w:r>
        <w:rPr>
          <w:rFonts w:ascii="Arial" w:cs="Arial" w:eastAsia="Arial" w:hAnsi="Arial"/>
          <w:sz w:val="18"/>
          <w:szCs w:val="18"/>
          <w:color w:val="111111"/>
        </w:rPr>
        <w:t xml:space="preserve"> </w:t>
      </w:r>
      <w:r>
        <w:rPr>
          <w:rFonts w:ascii="Arial" w:cs="Arial" w:eastAsia="Arial" w:hAnsi="Arial"/>
          <w:sz w:val="18"/>
          <w:szCs w:val="18"/>
          <w:color w:val="242424"/>
        </w:rPr>
        <w:t>by</w:t>
      </w:r>
      <w:r>
        <w:rPr>
          <w:rFonts w:ascii="Arial" w:cs="Arial" w:eastAsia="Arial" w:hAnsi="Arial"/>
          <w:sz w:val="18"/>
          <w:szCs w:val="18"/>
          <w:color w:val="111111"/>
        </w:rPr>
        <w:t xml:space="preserve"> law.</w:t>
      </w:r>
    </w:p>
    <w:p>
      <w:pPr>
        <w:spacing w:after="0" w:line="170" w:lineRule="exact"/>
        <w:rPr>
          <w:rFonts w:ascii="Arial" w:cs="Arial" w:eastAsia="Arial" w:hAnsi="Arial"/>
          <w:sz w:val="18"/>
          <w:szCs w:val="18"/>
          <w:color w:val="auto"/>
        </w:rPr>
      </w:pPr>
    </w:p>
    <w:p>
      <w:pPr>
        <w:ind w:left="660" w:hanging="652"/>
        <w:spacing w:after="0" w:line="271"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color w:val="111111"/>
        </w:rPr>
        <w:t xml:space="preserve">Complete Release </w:t>
      </w:r>
      <w:r>
        <w:rPr>
          <w:rFonts w:ascii="Arial" w:cs="Arial" w:eastAsia="Arial" w:hAnsi="Arial"/>
          <w:sz w:val="17"/>
          <w:szCs w:val="17"/>
          <w:color w:val="2D2D2D"/>
        </w:rPr>
        <w:t>-</w:t>
      </w:r>
      <w:r>
        <w:rPr>
          <w:rFonts w:ascii="Arial" w:cs="Arial" w:eastAsia="Arial" w:hAnsi="Arial"/>
          <w:sz w:val="17"/>
          <w:szCs w:val="17"/>
          <w:b w:val="1"/>
          <w:bCs w:val="1"/>
          <w:i w:val="1"/>
          <w:iCs w:val="1"/>
          <w:color w:val="111111"/>
        </w:rPr>
        <w:t xml:space="preserve"> </w:t>
      </w:r>
      <w:r>
        <w:rPr>
          <w:rFonts w:ascii="Arial" w:cs="Arial" w:eastAsia="Arial" w:hAnsi="Arial"/>
          <w:sz w:val="17"/>
          <w:szCs w:val="17"/>
          <w:color w:val="0F0F0F"/>
        </w:rPr>
        <w:t>Executive</w:t>
      </w:r>
      <w:r>
        <w:rPr>
          <w:rFonts w:ascii="Arial" w:cs="Arial" w:eastAsia="Arial" w:hAnsi="Arial"/>
          <w:sz w:val="17"/>
          <w:szCs w:val="17"/>
          <w:b w:val="1"/>
          <w:bCs w:val="1"/>
          <w:i w:val="1"/>
          <w:iCs w:val="1"/>
          <w:color w:val="111111"/>
        </w:rPr>
        <w:t xml:space="preserve"> </w:t>
      </w:r>
      <w:r>
        <w:rPr>
          <w:rFonts w:ascii="Arial" w:cs="Arial" w:eastAsia="Arial" w:hAnsi="Arial"/>
          <w:sz w:val="17"/>
          <w:szCs w:val="17"/>
          <w:color w:val="1C1C1C"/>
        </w:rPr>
        <w:t>hereby</w:t>
      </w:r>
      <w:r>
        <w:rPr>
          <w:rFonts w:ascii="Arial" w:cs="Arial" w:eastAsia="Arial" w:hAnsi="Arial"/>
          <w:sz w:val="17"/>
          <w:szCs w:val="17"/>
          <w:b w:val="1"/>
          <w:bCs w:val="1"/>
          <w:i w:val="1"/>
          <w:iCs w:val="1"/>
          <w:color w:val="111111"/>
        </w:rPr>
        <w:t xml:space="preserve"> </w:t>
      </w:r>
      <w:r>
        <w:rPr>
          <w:rFonts w:ascii="Arial" w:cs="Arial" w:eastAsia="Arial" w:hAnsi="Arial"/>
          <w:sz w:val="17"/>
          <w:szCs w:val="17"/>
          <w:color w:val="212121"/>
        </w:rPr>
        <w:t>fully</w:t>
      </w:r>
      <w:r>
        <w:rPr>
          <w:rFonts w:ascii="Arial" w:cs="Arial" w:eastAsia="Arial" w:hAnsi="Arial"/>
          <w:sz w:val="17"/>
          <w:szCs w:val="17"/>
          <w:b w:val="1"/>
          <w:bCs w:val="1"/>
          <w:i w:val="1"/>
          <w:iCs w:val="1"/>
          <w:color w:val="111111"/>
        </w:rPr>
        <w:t xml:space="preserve"> </w:t>
      </w:r>
      <w:r>
        <w:rPr>
          <w:rFonts w:ascii="Arial" w:cs="Arial" w:eastAsia="Arial" w:hAnsi="Arial"/>
          <w:sz w:val="17"/>
          <w:szCs w:val="17"/>
          <w:color w:val="1A1A1A"/>
        </w:rPr>
        <w:t>releases the</w:t>
      </w:r>
      <w:r>
        <w:rPr>
          <w:rFonts w:ascii="Arial" w:cs="Arial" w:eastAsia="Arial" w:hAnsi="Arial"/>
          <w:sz w:val="17"/>
          <w:szCs w:val="17"/>
          <w:b w:val="1"/>
          <w:bCs w:val="1"/>
          <w:i w:val="1"/>
          <w:iCs w:val="1"/>
          <w:color w:val="111111"/>
        </w:rPr>
        <w:t xml:space="preserve"> </w:t>
      </w:r>
      <w:r>
        <w:rPr>
          <w:rFonts w:ascii="Arial" w:cs="Arial" w:eastAsia="Arial" w:hAnsi="Arial"/>
          <w:sz w:val="17"/>
          <w:szCs w:val="17"/>
          <w:color w:val="0A0A0A"/>
        </w:rPr>
        <w:t>Company</w:t>
      </w:r>
      <w:r>
        <w:rPr>
          <w:rFonts w:ascii="Arial" w:cs="Arial" w:eastAsia="Arial" w:hAnsi="Arial"/>
          <w:sz w:val="17"/>
          <w:szCs w:val="17"/>
          <w:b w:val="1"/>
          <w:bCs w:val="1"/>
          <w:i w:val="1"/>
          <w:iCs w:val="1"/>
          <w:color w:val="111111"/>
        </w:rPr>
        <w:t xml:space="preserve"> </w:t>
      </w:r>
      <w:r>
        <w:rPr>
          <w:rFonts w:ascii="Arial" w:cs="Arial" w:eastAsia="Arial" w:hAnsi="Arial"/>
          <w:sz w:val="17"/>
          <w:szCs w:val="17"/>
          <w:color w:val="181818"/>
        </w:rPr>
        <w:t>and</w:t>
      </w:r>
      <w:r>
        <w:rPr>
          <w:rFonts w:ascii="Arial" w:cs="Arial" w:eastAsia="Arial" w:hAnsi="Arial"/>
          <w:sz w:val="17"/>
          <w:szCs w:val="17"/>
          <w:b w:val="1"/>
          <w:bCs w:val="1"/>
          <w:i w:val="1"/>
          <w:iCs w:val="1"/>
          <w:color w:val="111111"/>
        </w:rPr>
        <w:t xml:space="preserve"> </w:t>
      </w:r>
      <w:r>
        <w:rPr>
          <w:rFonts w:ascii="Arial" w:cs="Arial" w:eastAsia="Arial" w:hAnsi="Arial"/>
          <w:sz w:val="17"/>
          <w:szCs w:val="17"/>
          <w:color w:val="262626"/>
        </w:rPr>
        <w:t>all</w:t>
      </w:r>
      <w:r>
        <w:rPr>
          <w:rFonts w:ascii="Arial" w:cs="Arial" w:eastAsia="Arial" w:hAnsi="Arial"/>
          <w:sz w:val="17"/>
          <w:szCs w:val="17"/>
          <w:b w:val="1"/>
          <w:bCs w:val="1"/>
          <w:i w:val="1"/>
          <w:iCs w:val="1"/>
          <w:color w:val="111111"/>
        </w:rPr>
        <w:t xml:space="preserve"> </w:t>
      </w:r>
      <w:r>
        <w:rPr>
          <w:rFonts w:ascii="Arial" w:cs="Arial" w:eastAsia="Arial" w:hAnsi="Arial"/>
          <w:sz w:val="17"/>
          <w:szCs w:val="17"/>
          <w:color w:val="161616"/>
        </w:rPr>
        <w:t>of</w:t>
      </w:r>
      <w:r>
        <w:rPr>
          <w:rFonts w:ascii="Arial" w:cs="Arial" w:eastAsia="Arial" w:hAnsi="Arial"/>
          <w:sz w:val="17"/>
          <w:szCs w:val="17"/>
          <w:b w:val="1"/>
          <w:bCs w:val="1"/>
          <w:i w:val="1"/>
          <w:iCs w:val="1"/>
          <w:color w:val="111111"/>
        </w:rPr>
        <w:t xml:space="preserve"> </w:t>
      </w:r>
      <w:r>
        <w:rPr>
          <w:rFonts w:ascii="Arial" w:cs="Arial" w:eastAsia="Arial" w:hAnsi="Arial"/>
          <w:sz w:val="17"/>
          <w:szCs w:val="17"/>
          <w:color w:val="131313"/>
        </w:rPr>
        <w:t>its owners,</w:t>
      </w:r>
      <w:r>
        <w:rPr>
          <w:rFonts w:ascii="Arial" w:cs="Arial" w:eastAsia="Arial" w:hAnsi="Arial"/>
          <w:sz w:val="17"/>
          <w:szCs w:val="17"/>
          <w:b w:val="1"/>
          <w:bCs w:val="1"/>
          <w:i w:val="1"/>
          <w:iCs w:val="1"/>
          <w:color w:val="111111"/>
        </w:rPr>
        <w:t xml:space="preserve"> </w:t>
      </w:r>
      <w:r>
        <w:rPr>
          <w:rFonts w:ascii="Arial" w:cs="Arial" w:eastAsia="Arial" w:hAnsi="Arial"/>
          <w:sz w:val="17"/>
          <w:szCs w:val="17"/>
          <w:color w:val="070707"/>
        </w:rPr>
        <w:t>partners,</w:t>
      </w:r>
      <w:r>
        <w:rPr>
          <w:rFonts w:ascii="Arial" w:cs="Arial" w:eastAsia="Arial" w:hAnsi="Arial"/>
          <w:sz w:val="17"/>
          <w:szCs w:val="17"/>
          <w:b w:val="1"/>
          <w:bCs w:val="1"/>
          <w:i w:val="1"/>
          <w:iCs w:val="1"/>
          <w:color w:val="111111"/>
        </w:rPr>
        <w:t xml:space="preserve"> </w:t>
      </w:r>
      <w:r>
        <w:rPr>
          <w:rFonts w:ascii="Arial" w:cs="Arial" w:eastAsia="Arial" w:hAnsi="Arial"/>
          <w:sz w:val="17"/>
          <w:szCs w:val="17"/>
          <w:color w:val="131313"/>
        </w:rPr>
        <w:t>shareholders,</w:t>
      </w:r>
      <w:r>
        <w:rPr>
          <w:rFonts w:ascii="Arial" w:cs="Arial" w:eastAsia="Arial" w:hAnsi="Arial"/>
          <w:sz w:val="17"/>
          <w:szCs w:val="17"/>
          <w:b w:val="1"/>
          <w:bCs w:val="1"/>
          <w:i w:val="1"/>
          <w:iCs w:val="1"/>
          <w:color w:val="111111"/>
        </w:rPr>
        <w:t xml:space="preserve"> </w:t>
      </w:r>
      <w:r>
        <w:rPr>
          <w:rFonts w:ascii="Arial" w:cs="Arial" w:eastAsia="Arial" w:hAnsi="Arial"/>
          <w:sz w:val="17"/>
          <w:szCs w:val="17"/>
          <w:color w:val="181818"/>
        </w:rPr>
        <w:t>predecessors, successors,</w:t>
      </w:r>
      <w:r>
        <w:rPr>
          <w:rFonts w:ascii="Arial" w:cs="Arial" w:eastAsia="Arial" w:hAnsi="Arial"/>
          <w:sz w:val="17"/>
          <w:szCs w:val="17"/>
          <w:b w:val="1"/>
          <w:bCs w:val="1"/>
          <w:i w:val="1"/>
          <w:iCs w:val="1"/>
          <w:color w:val="111111"/>
        </w:rPr>
        <w:t xml:space="preserve"> </w:t>
      </w:r>
      <w:r>
        <w:rPr>
          <w:rFonts w:ascii="Arial" w:cs="Arial" w:eastAsia="Arial" w:hAnsi="Arial"/>
          <w:sz w:val="17"/>
          <w:szCs w:val="17"/>
          <w:color w:val="0F0F0F"/>
        </w:rPr>
        <w:t>assigns,</w:t>
      </w:r>
      <w:r>
        <w:rPr>
          <w:rFonts w:ascii="Arial" w:cs="Arial" w:eastAsia="Arial" w:hAnsi="Arial"/>
          <w:sz w:val="17"/>
          <w:szCs w:val="17"/>
          <w:b w:val="1"/>
          <w:bCs w:val="1"/>
          <w:i w:val="1"/>
          <w:iCs w:val="1"/>
          <w:color w:val="111111"/>
        </w:rPr>
        <w:t xml:space="preserve"> </w:t>
      </w:r>
      <w:r>
        <w:rPr>
          <w:rFonts w:ascii="Arial" w:cs="Arial" w:eastAsia="Arial" w:hAnsi="Arial"/>
          <w:sz w:val="17"/>
          <w:szCs w:val="17"/>
          <w:color w:val="080808"/>
        </w:rPr>
        <w:t xml:space="preserve">agents, </w:t>
      </w:r>
      <w:r>
        <w:rPr>
          <w:rFonts w:ascii="Arial" w:cs="Arial" w:eastAsia="Arial" w:hAnsi="Arial"/>
          <w:sz w:val="17"/>
          <w:szCs w:val="17"/>
          <w:color w:val="131313"/>
        </w:rPr>
        <w:t>directors, officers,</w:t>
      </w:r>
      <w:r>
        <w:rPr>
          <w:rFonts w:ascii="Arial" w:cs="Arial" w:eastAsia="Arial" w:hAnsi="Arial"/>
          <w:sz w:val="17"/>
          <w:szCs w:val="17"/>
          <w:color w:val="080808"/>
        </w:rPr>
        <w:t xml:space="preserve"> </w:t>
      </w:r>
      <w:r>
        <w:rPr>
          <w:rFonts w:ascii="Arial" w:cs="Arial" w:eastAsia="Arial" w:hAnsi="Arial"/>
          <w:sz w:val="17"/>
          <w:szCs w:val="17"/>
          <w:color w:val="111111"/>
        </w:rPr>
        <w:t>employees,</w:t>
      </w:r>
      <w:r>
        <w:rPr>
          <w:rFonts w:ascii="Arial" w:cs="Arial" w:eastAsia="Arial" w:hAnsi="Arial"/>
          <w:sz w:val="17"/>
          <w:szCs w:val="17"/>
          <w:color w:val="080808"/>
        </w:rPr>
        <w:t xml:space="preserve"> </w:t>
      </w:r>
      <w:r>
        <w:rPr>
          <w:rFonts w:ascii="Arial" w:cs="Arial" w:eastAsia="Arial" w:hAnsi="Arial"/>
          <w:sz w:val="17"/>
          <w:szCs w:val="17"/>
          <w:color w:val="131313"/>
        </w:rPr>
        <w:t>representatives,</w:t>
      </w:r>
      <w:r>
        <w:rPr>
          <w:rFonts w:ascii="Arial" w:cs="Arial" w:eastAsia="Arial" w:hAnsi="Arial"/>
          <w:sz w:val="17"/>
          <w:szCs w:val="17"/>
          <w:color w:val="080808"/>
        </w:rPr>
        <w:t xml:space="preserve"> </w:t>
      </w:r>
      <w:r>
        <w:rPr>
          <w:rFonts w:ascii="Arial" w:cs="Arial" w:eastAsia="Arial" w:hAnsi="Arial"/>
          <w:sz w:val="17"/>
          <w:szCs w:val="17"/>
          <w:color w:val="161616"/>
        </w:rPr>
        <w:t>attorneys,</w:t>
      </w:r>
      <w:r>
        <w:rPr>
          <w:rFonts w:ascii="Arial" w:cs="Arial" w:eastAsia="Arial" w:hAnsi="Arial"/>
          <w:sz w:val="17"/>
          <w:szCs w:val="17"/>
          <w:color w:val="080808"/>
        </w:rPr>
        <w:t xml:space="preserve"> </w:t>
      </w:r>
      <w:r>
        <w:rPr>
          <w:rFonts w:ascii="Arial" w:cs="Arial" w:eastAsia="Arial" w:hAnsi="Arial"/>
          <w:sz w:val="17"/>
          <w:szCs w:val="17"/>
          <w:color w:val="181818"/>
        </w:rPr>
        <w:t>subsidiaries,</w:t>
      </w:r>
      <w:r>
        <w:rPr>
          <w:rFonts w:ascii="Arial" w:cs="Arial" w:eastAsia="Arial" w:hAnsi="Arial"/>
          <w:sz w:val="17"/>
          <w:szCs w:val="17"/>
          <w:color w:val="080808"/>
        </w:rPr>
        <w:t xml:space="preserve"> </w:t>
      </w:r>
      <w:r>
        <w:rPr>
          <w:rFonts w:ascii="Arial" w:cs="Arial" w:eastAsia="Arial" w:hAnsi="Arial"/>
          <w:sz w:val="17"/>
          <w:szCs w:val="17"/>
          <w:color w:val="161616"/>
        </w:rPr>
        <w:t>joint</w:t>
      </w:r>
      <w:r>
        <w:rPr>
          <w:rFonts w:ascii="Arial" w:cs="Arial" w:eastAsia="Arial" w:hAnsi="Arial"/>
          <w:sz w:val="17"/>
          <w:szCs w:val="17"/>
          <w:color w:val="080808"/>
        </w:rPr>
        <w:t xml:space="preserve"> </w:t>
      </w:r>
      <w:r>
        <w:rPr>
          <w:rFonts w:ascii="Arial" w:cs="Arial" w:eastAsia="Arial" w:hAnsi="Arial"/>
          <w:sz w:val="17"/>
          <w:szCs w:val="17"/>
          <w:color w:val="0F0F0F"/>
        </w:rPr>
        <w:t>ventures</w:t>
      </w:r>
      <w:r>
        <w:rPr>
          <w:rFonts w:ascii="Arial" w:cs="Arial" w:eastAsia="Arial" w:hAnsi="Arial"/>
          <w:sz w:val="17"/>
          <w:szCs w:val="17"/>
          <w:color w:val="080808"/>
        </w:rPr>
        <w:t xml:space="preserve"> </w:t>
      </w:r>
      <w:r>
        <w:rPr>
          <w:rFonts w:ascii="Arial" w:cs="Arial" w:eastAsia="Arial" w:hAnsi="Arial"/>
          <w:sz w:val="17"/>
          <w:szCs w:val="17"/>
          <w:color w:val="242424"/>
        </w:rPr>
        <w:t>and</w:t>
      </w:r>
      <w:r>
        <w:rPr>
          <w:rFonts w:ascii="Arial" w:cs="Arial" w:eastAsia="Arial" w:hAnsi="Arial"/>
          <w:sz w:val="17"/>
          <w:szCs w:val="17"/>
          <w:color w:val="080808"/>
        </w:rPr>
        <w:t xml:space="preserve"> </w:t>
      </w:r>
      <w:r>
        <w:rPr>
          <w:rFonts w:ascii="Arial" w:cs="Arial" w:eastAsia="Arial" w:hAnsi="Arial"/>
          <w:sz w:val="17"/>
          <w:szCs w:val="17"/>
          <w:color w:val="000000"/>
        </w:rPr>
        <w:t>affiliates,</w:t>
      </w:r>
      <w:r>
        <w:rPr>
          <w:rFonts w:ascii="Arial" w:cs="Arial" w:eastAsia="Arial" w:hAnsi="Arial"/>
          <w:sz w:val="17"/>
          <w:szCs w:val="17"/>
          <w:color w:val="080808"/>
        </w:rPr>
        <w:t xml:space="preserve"> </w:t>
      </w:r>
      <w:r>
        <w:rPr>
          <w:rFonts w:ascii="Arial" w:cs="Arial" w:eastAsia="Arial" w:hAnsi="Arial"/>
          <w:sz w:val="17"/>
          <w:szCs w:val="17"/>
          <w:color w:val="1C1C1C"/>
        </w:rPr>
        <w:t>and</w:t>
      </w:r>
      <w:r>
        <w:rPr>
          <w:rFonts w:ascii="Arial" w:cs="Arial" w:eastAsia="Arial" w:hAnsi="Arial"/>
          <w:sz w:val="17"/>
          <w:szCs w:val="17"/>
          <w:color w:val="080808"/>
        </w:rPr>
        <w:t xml:space="preserve"> </w:t>
      </w:r>
      <w:r>
        <w:rPr>
          <w:rFonts w:ascii="Arial" w:cs="Arial" w:eastAsia="Arial" w:hAnsi="Arial"/>
          <w:sz w:val="17"/>
          <w:szCs w:val="17"/>
          <w:color w:val="111111"/>
        </w:rPr>
        <w:t>agents,</w:t>
      </w:r>
      <w:r>
        <w:rPr>
          <w:rFonts w:ascii="Arial" w:cs="Arial" w:eastAsia="Arial" w:hAnsi="Arial"/>
          <w:sz w:val="17"/>
          <w:szCs w:val="17"/>
          <w:color w:val="080808"/>
        </w:rPr>
        <w:t xml:space="preserve"> </w:t>
      </w:r>
      <w:r>
        <w:rPr>
          <w:rFonts w:ascii="Arial" w:cs="Arial" w:eastAsia="Arial" w:hAnsi="Arial"/>
          <w:sz w:val="17"/>
          <w:szCs w:val="17"/>
          <w:color w:val="000000"/>
        </w:rPr>
        <w:t>directors,</w:t>
      </w:r>
      <w:r>
        <w:rPr>
          <w:rFonts w:ascii="Arial" w:cs="Arial" w:eastAsia="Arial" w:hAnsi="Arial"/>
          <w:sz w:val="17"/>
          <w:szCs w:val="17"/>
          <w:color w:val="080808"/>
        </w:rPr>
        <w:t xml:space="preserve"> </w:t>
      </w:r>
      <w:r>
        <w:rPr>
          <w:rFonts w:ascii="Arial" w:cs="Arial" w:eastAsia="Arial" w:hAnsi="Arial"/>
          <w:sz w:val="17"/>
          <w:szCs w:val="17"/>
          <w:color w:val="151515"/>
        </w:rPr>
        <w:t>officers,</w:t>
      </w:r>
      <w:r>
        <w:rPr>
          <w:rFonts w:ascii="Arial" w:cs="Arial" w:eastAsia="Arial" w:hAnsi="Arial"/>
          <w:sz w:val="17"/>
          <w:szCs w:val="17"/>
          <w:color w:val="080808"/>
        </w:rPr>
        <w:t xml:space="preserve"> </w:t>
      </w:r>
      <w:r>
        <w:rPr>
          <w:rFonts w:ascii="Arial" w:cs="Arial" w:eastAsia="Arial" w:hAnsi="Arial"/>
          <w:sz w:val="17"/>
          <w:szCs w:val="17"/>
          <w:color w:val="1A1A1A"/>
        </w:rPr>
        <w:t xml:space="preserve">employees, </w:t>
      </w:r>
      <w:r>
        <w:rPr>
          <w:rFonts w:ascii="Arial" w:cs="Arial" w:eastAsia="Arial" w:hAnsi="Arial"/>
          <w:sz w:val="17"/>
          <w:szCs w:val="17"/>
          <w:color w:val="000000"/>
        </w:rPr>
        <w:t>representatives</w:t>
      </w:r>
      <w:r>
        <w:rPr>
          <w:rFonts w:ascii="Arial" w:cs="Arial" w:eastAsia="Arial" w:hAnsi="Arial"/>
          <w:sz w:val="17"/>
          <w:szCs w:val="17"/>
          <w:color w:val="1A1A1A"/>
        </w:rPr>
        <w:t xml:space="preserve"> </w:t>
      </w:r>
      <w:r>
        <w:rPr>
          <w:rFonts w:ascii="Arial" w:cs="Arial" w:eastAsia="Arial" w:hAnsi="Arial"/>
          <w:sz w:val="17"/>
          <w:szCs w:val="17"/>
          <w:color w:val="111111"/>
        </w:rPr>
        <w:t>and</w:t>
      </w:r>
      <w:r>
        <w:rPr>
          <w:rFonts w:ascii="Arial" w:cs="Arial" w:eastAsia="Arial" w:hAnsi="Arial"/>
          <w:sz w:val="17"/>
          <w:szCs w:val="17"/>
          <w:color w:val="1A1A1A"/>
        </w:rPr>
        <w:t xml:space="preserve"> </w:t>
      </w:r>
      <w:r>
        <w:rPr>
          <w:rFonts w:ascii="Arial" w:cs="Arial" w:eastAsia="Arial" w:hAnsi="Arial"/>
          <w:sz w:val="17"/>
          <w:szCs w:val="17"/>
          <w:color w:val="161616"/>
        </w:rPr>
        <w:t>attorneys</w:t>
      </w:r>
      <w:r>
        <w:rPr>
          <w:rFonts w:ascii="Arial" w:cs="Arial" w:eastAsia="Arial" w:hAnsi="Arial"/>
          <w:sz w:val="17"/>
          <w:szCs w:val="17"/>
          <w:color w:val="1A1A1A"/>
        </w:rPr>
        <w:t xml:space="preserve"> </w:t>
      </w:r>
      <w:r>
        <w:rPr>
          <w:rFonts w:ascii="Arial" w:cs="Arial" w:eastAsia="Arial" w:hAnsi="Arial"/>
          <w:sz w:val="17"/>
          <w:szCs w:val="17"/>
          <w:color w:val="181818"/>
        </w:rPr>
        <w:t>of</w:t>
      </w:r>
      <w:r>
        <w:rPr>
          <w:rFonts w:ascii="Arial" w:cs="Arial" w:eastAsia="Arial" w:hAnsi="Arial"/>
          <w:sz w:val="17"/>
          <w:szCs w:val="17"/>
          <w:color w:val="1A1A1A"/>
        </w:rPr>
        <w:t xml:space="preserve"> </w:t>
      </w:r>
      <w:r>
        <w:rPr>
          <w:rFonts w:ascii="Arial" w:cs="Arial" w:eastAsia="Arial" w:hAnsi="Arial"/>
          <w:sz w:val="17"/>
          <w:szCs w:val="17"/>
          <w:color w:val="161616"/>
        </w:rPr>
        <w:t>such</w:t>
      </w:r>
      <w:r>
        <w:rPr>
          <w:rFonts w:ascii="Arial" w:cs="Arial" w:eastAsia="Arial" w:hAnsi="Arial"/>
          <w:sz w:val="17"/>
          <w:szCs w:val="17"/>
          <w:color w:val="1A1A1A"/>
        </w:rPr>
        <w:t xml:space="preserve"> </w:t>
      </w:r>
      <w:r>
        <w:rPr>
          <w:rFonts w:ascii="Arial" w:cs="Arial" w:eastAsia="Arial" w:hAnsi="Arial"/>
          <w:sz w:val="17"/>
          <w:szCs w:val="17"/>
          <w:color w:val="131313"/>
        </w:rPr>
        <w:t>subsidiaries</w:t>
      </w:r>
      <w:r>
        <w:rPr>
          <w:rFonts w:ascii="Arial" w:cs="Arial" w:eastAsia="Arial" w:hAnsi="Arial"/>
          <w:sz w:val="17"/>
          <w:szCs w:val="17"/>
          <w:color w:val="1A1A1A"/>
        </w:rPr>
        <w:t xml:space="preserve"> </w:t>
      </w:r>
      <w:r>
        <w:rPr>
          <w:rFonts w:ascii="Arial" w:cs="Arial" w:eastAsia="Arial" w:hAnsi="Arial"/>
          <w:sz w:val="17"/>
          <w:szCs w:val="17"/>
          <w:color w:val="151515"/>
        </w:rPr>
        <w:t>and</w:t>
      </w:r>
      <w:r>
        <w:rPr>
          <w:rFonts w:ascii="Arial" w:cs="Arial" w:eastAsia="Arial" w:hAnsi="Arial"/>
          <w:sz w:val="17"/>
          <w:szCs w:val="17"/>
          <w:color w:val="1A1A1A"/>
        </w:rPr>
        <w:t xml:space="preserve"> </w:t>
      </w:r>
      <w:r>
        <w:rPr>
          <w:rFonts w:ascii="Arial" w:cs="Arial" w:eastAsia="Arial" w:hAnsi="Arial"/>
          <w:sz w:val="17"/>
          <w:szCs w:val="17"/>
          <w:color w:val="131313"/>
        </w:rPr>
        <w:t>affiliates</w:t>
      </w:r>
      <w:r>
        <w:rPr>
          <w:rFonts w:ascii="Arial" w:cs="Arial" w:eastAsia="Arial" w:hAnsi="Arial"/>
          <w:sz w:val="17"/>
          <w:szCs w:val="17"/>
          <w:color w:val="1A1A1A"/>
        </w:rPr>
        <w:t xml:space="preserve"> (collectively, </w:t>
      </w:r>
      <w:r>
        <w:rPr>
          <w:rFonts w:ascii="Arial" w:cs="Arial" w:eastAsia="Arial" w:hAnsi="Arial"/>
          <w:sz w:val="17"/>
          <w:szCs w:val="17"/>
          <w:color w:val="181818"/>
        </w:rPr>
        <w:t>the “</w:t>
      </w:r>
      <w:r>
        <w:rPr>
          <w:rFonts w:ascii="Arial" w:cs="Arial" w:eastAsia="Arial" w:hAnsi="Arial"/>
          <w:sz w:val="17"/>
          <w:szCs w:val="17"/>
          <w:b w:val="1"/>
          <w:bCs w:val="1"/>
          <w:i w:val="1"/>
          <w:iCs w:val="1"/>
          <w:color w:val="181818"/>
        </w:rPr>
        <w:t>Released</w:t>
      </w:r>
      <w:r>
        <w:rPr>
          <w:rFonts w:ascii="Arial" w:cs="Arial" w:eastAsia="Arial" w:hAnsi="Arial"/>
          <w:sz w:val="17"/>
          <w:szCs w:val="17"/>
          <w:color w:val="1A1A1A"/>
        </w:rPr>
        <w:t xml:space="preserve"> </w:t>
      </w:r>
      <w:r>
        <w:rPr>
          <w:rFonts w:ascii="Arial" w:cs="Arial" w:eastAsia="Arial" w:hAnsi="Arial"/>
          <w:sz w:val="17"/>
          <w:szCs w:val="17"/>
          <w:b w:val="1"/>
          <w:bCs w:val="1"/>
          <w:i w:val="1"/>
          <w:iCs w:val="1"/>
          <w:color w:val="111111"/>
        </w:rPr>
        <w:t>Parties</w:t>
      </w:r>
      <w:r>
        <w:rPr>
          <w:rFonts w:ascii="Arial" w:cs="Arial" w:eastAsia="Arial" w:hAnsi="Arial"/>
          <w:sz w:val="17"/>
          <w:szCs w:val="17"/>
          <w:color w:val="111111"/>
        </w:rPr>
        <w:t>”),</w:t>
      </w:r>
      <w:r>
        <w:rPr>
          <w:rFonts w:ascii="Arial" w:cs="Arial" w:eastAsia="Arial" w:hAnsi="Arial"/>
          <w:sz w:val="17"/>
          <w:szCs w:val="17"/>
          <w:color w:val="1A1A1A"/>
        </w:rPr>
        <w:t xml:space="preserve"> </w:t>
      </w:r>
      <w:r>
        <w:rPr>
          <w:rFonts w:ascii="Arial" w:cs="Arial" w:eastAsia="Arial" w:hAnsi="Arial"/>
          <w:sz w:val="17"/>
          <w:szCs w:val="17"/>
          <w:color w:val="212121"/>
        </w:rPr>
        <w:t>from</w:t>
      </w:r>
      <w:r>
        <w:rPr>
          <w:rFonts w:ascii="Arial" w:cs="Arial" w:eastAsia="Arial" w:hAnsi="Arial"/>
          <w:sz w:val="17"/>
          <w:szCs w:val="17"/>
          <w:color w:val="1A1A1A"/>
        </w:rPr>
        <w:t xml:space="preserve"> </w:t>
      </w:r>
      <w:r>
        <w:rPr>
          <w:rFonts w:ascii="Arial" w:cs="Arial" w:eastAsia="Arial" w:hAnsi="Arial"/>
          <w:sz w:val="17"/>
          <w:szCs w:val="17"/>
          <w:color w:val="1C1C1C"/>
        </w:rPr>
        <w:t>any and</w:t>
      </w:r>
      <w:r>
        <w:rPr>
          <w:rFonts w:ascii="Arial" w:cs="Arial" w:eastAsia="Arial" w:hAnsi="Arial"/>
          <w:sz w:val="17"/>
          <w:szCs w:val="17"/>
          <w:color w:val="1A1A1A"/>
        </w:rPr>
        <w:t xml:space="preserve"> </w:t>
      </w:r>
      <w:r>
        <w:rPr>
          <w:rFonts w:ascii="Arial" w:cs="Arial" w:eastAsia="Arial" w:hAnsi="Arial"/>
          <w:sz w:val="17"/>
          <w:szCs w:val="17"/>
          <w:color w:val="131313"/>
        </w:rPr>
        <w:t>all known</w:t>
      </w:r>
      <w:r>
        <w:rPr>
          <w:rFonts w:ascii="Arial" w:cs="Arial" w:eastAsia="Arial" w:hAnsi="Arial"/>
          <w:sz w:val="17"/>
          <w:szCs w:val="17"/>
          <w:color w:val="1A1A1A"/>
        </w:rPr>
        <w:t xml:space="preserve"> </w:t>
      </w:r>
      <w:r>
        <w:rPr>
          <w:rFonts w:ascii="Arial" w:cs="Arial" w:eastAsia="Arial" w:hAnsi="Arial"/>
          <w:sz w:val="17"/>
          <w:szCs w:val="17"/>
          <w:color w:val="161616"/>
        </w:rPr>
        <w:t>or</w:t>
      </w:r>
      <w:r>
        <w:rPr>
          <w:rFonts w:ascii="Arial" w:cs="Arial" w:eastAsia="Arial" w:hAnsi="Arial"/>
          <w:sz w:val="17"/>
          <w:szCs w:val="17"/>
          <w:color w:val="1A1A1A"/>
        </w:rPr>
        <w:t xml:space="preserve"> </w:t>
      </w:r>
      <w:r>
        <w:rPr>
          <w:rFonts w:ascii="Arial" w:cs="Arial" w:eastAsia="Arial" w:hAnsi="Arial"/>
          <w:sz w:val="17"/>
          <w:szCs w:val="17"/>
          <w:color w:val="161616"/>
        </w:rPr>
        <w:t xml:space="preserve">unknown </w:t>
      </w:r>
      <w:r>
        <w:rPr>
          <w:rFonts w:ascii="Arial" w:cs="Arial" w:eastAsia="Arial" w:hAnsi="Arial"/>
          <w:sz w:val="17"/>
          <w:szCs w:val="17"/>
          <w:color w:val="0A0A0A"/>
        </w:rPr>
        <w:t>claims</w:t>
      </w:r>
      <w:r>
        <w:rPr>
          <w:rFonts w:ascii="Arial" w:cs="Arial" w:eastAsia="Arial" w:hAnsi="Arial"/>
          <w:sz w:val="17"/>
          <w:szCs w:val="17"/>
          <w:color w:val="161616"/>
        </w:rPr>
        <w:t xml:space="preserve"> </w:t>
      </w:r>
      <w:r>
        <w:rPr>
          <w:rFonts w:ascii="Arial" w:cs="Arial" w:eastAsia="Arial" w:hAnsi="Arial"/>
          <w:sz w:val="17"/>
          <w:szCs w:val="17"/>
          <w:color w:val="1D1D1D"/>
        </w:rPr>
        <w:t>or</w:t>
      </w:r>
      <w:r>
        <w:rPr>
          <w:rFonts w:ascii="Arial" w:cs="Arial" w:eastAsia="Arial" w:hAnsi="Arial"/>
          <w:sz w:val="17"/>
          <w:szCs w:val="17"/>
          <w:color w:val="161616"/>
        </w:rPr>
        <w:t xml:space="preserve"> </w:t>
      </w:r>
      <w:r>
        <w:rPr>
          <w:rFonts w:ascii="Arial" w:cs="Arial" w:eastAsia="Arial" w:hAnsi="Arial"/>
          <w:sz w:val="17"/>
          <w:szCs w:val="17"/>
          <w:color w:val="151515"/>
        </w:rPr>
        <w:t>demands Executive</w:t>
      </w:r>
      <w:r>
        <w:rPr>
          <w:rFonts w:ascii="Arial" w:cs="Arial" w:eastAsia="Arial" w:hAnsi="Arial"/>
          <w:sz w:val="17"/>
          <w:szCs w:val="17"/>
          <w:color w:val="161616"/>
        </w:rPr>
        <w:t xml:space="preserve"> </w:t>
      </w:r>
      <w:r>
        <w:rPr>
          <w:rFonts w:ascii="Arial" w:cs="Arial" w:eastAsia="Arial" w:hAnsi="Arial"/>
          <w:sz w:val="17"/>
          <w:szCs w:val="17"/>
          <w:color w:val="1C1C1C"/>
        </w:rPr>
        <w:t>may</w:t>
      </w:r>
      <w:r>
        <w:rPr>
          <w:rFonts w:ascii="Arial" w:cs="Arial" w:eastAsia="Arial" w:hAnsi="Arial"/>
          <w:sz w:val="17"/>
          <w:szCs w:val="17"/>
          <w:color w:val="161616"/>
        </w:rPr>
        <w:t xml:space="preserve"> </w:t>
      </w:r>
      <w:r>
        <w:rPr>
          <w:rFonts w:ascii="Arial" w:cs="Arial" w:eastAsia="Arial" w:hAnsi="Arial"/>
          <w:sz w:val="17"/>
          <w:szCs w:val="17"/>
          <w:color w:val="131313"/>
        </w:rPr>
        <w:t>have</w:t>
      </w:r>
      <w:r>
        <w:rPr>
          <w:rFonts w:ascii="Arial" w:cs="Arial" w:eastAsia="Arial" w:hAnsi="Arial"/>
          <w:sz w:val="17"/>
          <w:szCs w:val="17"/>
          <w:color w:val="161616"/>
        </w:rPr>
        <w:t xml:space="preserve"> </w:t>
      </w:r>
      <w:r>
        <w:rPr>
          <w:rFonts w:ascii="Arial" w:cs="Arial" w:eastAsia="Arial" w:hAnsi="Arial"/>
          <w:sz w:val="17"/>
          <w:szCs w:val="17"/>
          <w:color w:val="000000"/>
        </w:rPr>
        <w:t>against</w:t>
      </w:r>
      <w:r>
        <w:rPr>
          <w:rFonts w:ascii="Arial" w:cs="Arial" w:eastAsia="Arial" w:hAnsi="Arial"/>
          <w:sz w:val="17"/>
          <w:szCs w:val="17"/>
          <w:color w:val="161616"/>
        </w:rPr>
        <w:t xml:space="preserve"> any </w:t>
      </w:r>
      <w:r>
        <w:rPr>
          <w:rFonts w:ascii="Arial" w:cs="Arial" w:eastAsia="Arial" w:hAnsi="Arial"/>
          <w:sz w:val="17"/>
          <w:szCs w:val="17"/>
          <w:color w:val="212121"/>
        </w:rPr>
        <w:t>of</w:t>
      </w:r>
      <w:r>
        <w:rPr>
          <w:rFonts w:ascii="Arial" w:cs="Arial" w:eastAsia="Arial" w:hAnsi="Arial"/>
          <w:sz w:val="17"/>
          <w:szCs w:val="17"/>
          <w:color w:val="161616"/>
        </w:rPr>
        <w:t xml:space="preserve"> </w:t>
      </w:r>
      <w:r>
        <w:rPr>
          <w:rFonts w:ascii="Arial" w:cs="Arial" w:eastAsia="Arial" w:hAnsi="Arial"/>
          <w:sz w:val="17"/>
          <w:szCs w:val="17"/>
          <w:color w:val="0F0F0F"/>
        </w:rPr>
        <w:t>them.</w:t>
      </w:r>
      <w:r>
        <w:rPr>
          <w:rFonts w:ascii="Arial" w:cs="Arial" w:eastAsia="Arial" w:hAnsi="Arial"/>
          <w:sz w:val="17"/>
          <w:szCs w:val="17"/>
          <w:color w:val="161616"/>
        </w:rPr>
        <w:t xml:space="preserve"> </w:t>
      </w:r>
      <w:r>
        <w:rPr>
          <w:rFonts w:ascii="Arial" w:cs="Arial" w:eastAsia="Arial" w:hAnsi="Arial"/>
          <w:sz w:val="17"/>
          <w:szCs w:val="17"/>
          <w:color w:val="111111"/>
        </w:rPr>
        <w:t>Executive</w:t>
      </w:r>
      <w:r>
        <w:rPr>
          <w:rFonts w:ascii="Arial" w:cs="Arial" w:eastAsia="Arial" w:hAnsi="Arial"/>
          <w:sz w:val="17"/>
          <w:szCs w:val="17"/>
          <w:color w:val="161616"/>
        </w:rPr>
        <w:t xml:space="preserve"> </w:t>
      </w:r>
      <w:r>
        <w:rPr>
          <w:rFonts w:ascii="Arial" w:cs="Arial" w:eastAsia="Arial" w:hAnsi="Arial"/>
          <w:sz w:val="17"/>
          <w:szCs w:val="17"/>
          <w:color w:val="1A1A1A"/>
        </w:rPr>
        <w:t>expressly</w:t>
      </w:r>
      <w:r>
        <w:rPr>
          <w:rFonts w:ascii="Arial" w:cs="Arial" w:eastAsia="Arial" w:hAnsi="Arial"/>
          <w:sz w:val="17"/>
          <w:szCs w:val="17"/>
          <w:color w:val="161616"/>
        </w:rPr>
        <w:t xml:space="preserve"> </w:t>
      </w:r>
      <w:r>
        <w:rPr>
          <w:rFonts w:ascii="Arial" w:cs="Arial" w:eastAsia="Arial" w:hAnsi="Arial"/>
          <w:sz w:val="17"/>
          <w:szCs w:val="17"/>
          <w:color w:val="000000"/>
        </w:rPr>
        <w:t>waives</w:t>
      </w:r>
      <w:r>
        <w:rPr>
          <w:rFonts w:ascii="Arial" w:cs="Arial" w:eastAsia="Arial" w:hAnsi="Arial"/>
          <w:sz w:val="17"/>
          <w:szCs w:val="17"/>
          <w:color w:val="161616"/>
        </w:rPr>
        <w:t xml:space="preserve"> </w:t>
      </w:r>
      <w:r>
        <w:rPr>
          <w:rFonts w:ascii="Arial" w:cs="Arial" w:eastAsia="Arial" w:hAnsi="Arial"/>
          <w:sz w:val="17"/>
          <w:szCs w:val="17"/>
          <w:color w:val="131313"/>
        </w:rPr>
        <w:t>and</w:t>
      </w:r>
      <w:r>
        <w:rPr>
          <w:rFonts w:ascii="Arial" w:cs="Arial" w:eastAsia="Arial" w:hAnsi="Arial"/>
          <w:sz w:val="17"/>
          <w:szCs w:val="17"/>
          <w:color w:val="161616"/>
        </w:rPr>
        <w:t xml:space="preserve"> </w:t>
      </w:r>
      <w:r>
        <w:rPr>
          <w:rFonts w:ascii="Arial" w:cs="Arial" w:eastAsia="Arial" w:hAnsi="Arial"/>
          <w:sz w:val="17"/>
          <w:szCs w:val="17"/>
          <w:color w:val="1C1C1C"/>
        </w:rPr>
        <w:t>opts</w:t>
      </w:r>
      <w:r>
        <w:rPr>
          <w:rFonts w:ascii="Arial" w:cs="Arial" w:eastAsia="Arial" w:hAnsi="Arial"/>
          <w:sz w:val="17"/>
          <w:szCs w:val="17"/>
          <w:color w:val="161616"/>
        </w:rPr>
        <w:t xml:space="preserve"> out </w:t>
      </w:r>
      <w:r>
        <w:rPr>
          <w:rFonts w:ascii="Arial" w:cs="Arial" w:eastAsia="Arial" w:hAnsi="Arial"/>
          <w:sz w:val="17"/>
          <w:szCs w:val="17"/>
          <w:color w:val="212121"/>
        </w:rPr>
        <w:t>of</w:t>
      </w:r>
      <w:r>
        <w:rPr>
          <w:rFonts w:ascii="Arial" w:cs="Arial" w:eastAsia="Arial" w:hAnsi="Arial"/>
          <w:sz w:val="17"/>
          <w:szCs w:val="17"/>
          <w:color w:val="161616"/>
        </w:rPr>
        <w:t xml:space="preserve"> </w:t>
      </w:r>
      <w:r>
        <w:rPr>
          <w:rFonts w:ascii="Arial" w:cs="Arial" w:eastAsia="Arial" w:hAnsi="Arial"/>
          <w:sz w:val="17"/>
          <w:szCs w:val="17"/>
          <w:color w:val="1A1A1A"/>
        </w:rPr>
        <w:t>all claims,</w:t>
      </w:r>
      <w:r>
        <w:rPr>
          <w:rFonts w:ascii="Arial" w:cs="Arial" w:eastAsia="Arial" w:hAnsi="Arial"/>
          <w:sz w:val="17"/>
          <w:szCs w:val="17"/>
          <w:color w:val="161616"/>
        </w:rPr>
        <w:t xml:space="preserve"> </w:t>
      </w:r>
      <w:r>
        <w:rPr>
          <w:rFonts w:ascii="Arial" w:cs="Arial" w:eastAsia="Arial" w:hAnsi="Arial"/>
          <w:sz w:val="17"/>
          <w:szCs w:val="17"/>
          <w:color w:val="151515"/>
        </w:rPr>
        <w:t>whether</w:t>
      </w:r>
      <w:r>
        <w:rPr>
          <w:rFonts w:ascii="Arial" w:cs="Arial" w:eastAsia="Arial" w:hAnsi="Arial"/>
          <w:sz w:val="17"/>
          <w:szCs w:val="17"/>
          <w:color w:val="161616"/>
        </w:rPr>
        <w:t xml:space="preserve"> asserted </w:t>
      </w:r>
      <w:r>
        <w:rPr>
          <w:rFonts w:ascii="Arial" w:cs="Arial" w:eastAsia="Arial" w:hAnsi="Arial"/>
          <w:sz w:val="17"/>
          <w:szCs w:val="17"/>
          <w:color w:val="0E0E0E"/>
        </w:rPr>
        <w:t>on</w:t>
      </w:r>
      <w:r>
        <w:rPr>
          <w:rFonts w:ascii="Arial" w:cs="Arial" w:eastAsia="Arial" w:hAnsi="Arial"/>
          <w:sz w:val="17"/>
          <w:szCs w:val="17"/>
          <w:color w:val="161616"/>
        </w:rPr>
        <w:t xml:space="preserve"> an </w:t>
      </w:r>
      <w:r>
        <w:rPr>
          <w:rFonts w:ascii="Arial" w:cs="Arial" w:eastAsia="Arial" w:hAnsi="Arial"/>
          <w:sz w:val="17"/>
          <w:szCs w:val="17"/>
          <w:color w:val="0F0F0F"/>
        </w:rPr>
        <w:t>individual</w:t>
      </w:r>
      <w:r>
        <w:rPr>
          <w:rFonts w:ascii="Arial" w:cs="Arial" w:eastAsia="Arial" w:hAnsi="Arial"/>
          <w:sz w:val="17"/>
          <w:szCs w:val="17"/>
          <w:color w:val="161616"/>
        </w:rPr>
        <w:t xml:space="preserve"> </w:t>
      </w:r>
      <w:r>
        <w:rPr>
          <w:rFonts w:ascii="Arial" w:cs="Arial" w:eastAsia="Arial" w:hAnsi="Arial"/>
          <w:sz w:val="17"/>
          <w:szCs w:val="17"/>
          <w:color w:val="262626"/>
        </w:rPr>
        <w:t>or</w:t>
      </w:r>
      <w:r>
        <w:rPr>
          <w:rFonts w:ascii="Arial" w:cs="Arial" w:eastAsia="Arial" w:hAnsi="Arial"/>
          <w:sz w:val="17"/>
          <w:szCs w:val="17"/>
          <w:color w:val="161616"/>
        </w:rPr>
        <w:t xml:space="preserve"> </w:t>
      </w:r>
      <w:r>
        <w:rPr>
          <w:rFonts w:ascii="Arial" w:cs="Arial" w:eastAsia="Arial" w:hAnsi="Arial"/>
          <w:sz w:val="17"/>
          <w:szCs w:val="17"/>
          <w:color w:val="1C1C1C"/>
        </w:rPr>
        <w:t>class</w:t>
      </w:r>
      <w:r>
        <w:rPr>
          <w:rFonts w:ascii="Arial" w:cs="Arial" w:eastAsia="Arial" w:hAnsi="Arial"/>
          <w:sz w:val="17"/>
          <w:szCs w:val="17"/>
          <w:color w:val="161616"/>
        </w:rPr>
        <w:t xml:space="preserve"> </w:t>
      </w:r>
      <w:r>
        <w:rPr>
          <w:rFonts w:ascii="Arial" w:cs="Arial" w:eastAsia="Arial" w:hAnsi="Arial"/>
          <w:sz w:val="17"/>
          <w:szCs w:val="17"/>
          <w:color w:val="181818"/>
        </w:rPr>
        <w:t>action</w:t>
      </w:r>
      <w:r>
        <w:rPr>
          <w:rFonts w:ascii="Arial" w:cs="Arial" w:eastAsia="Arial" w:hAnsi="Arial"/>
          <w:sz w:val="17"/>
          <w:szCs w:val="17"/>
          <w:color w:val="161616"/>
        </w:rPr>
        <w:t xml:space="preserve"> basis, </w:t>
      </w:r>
      <w:r>
        <w:rPr>
          <w:rFonts w:ascii="Arial" w:cs="Arial" w:eastAsia="Arial" w:hAnsi="Arial"/>
          <w:sz w:val="17"/>
          <w:szCs w:val="17"/>
          <w:color w:val="232323"/>
        </w:rPr>
        <w:t>against</w:t>
      </w:r>
      <w:r>
        <w:rPr>
          <w:rFonts w:ascii="Arial" w:cs="Arial" w:eastAsia="Arial" w:hAnsi="Arial"/>
          <w:sz w:val="17"/>
          <w:szCs w:val="17"/>
          <w:color w:val="161616"/>
        </w:rPr>
        <w:t xml:space="preserve"> </w:t>
      </w:r>
      <w:r>
        <w:rPr>
          <w:rFonts w:ascii="Arial" w:cs="Arial" w:eastAsia="Arial" w:hAnsi="Arial"/>
          <w:sz w:val="17"/>
          <w:szCs w:val="17"/>
          <w:color w:val="131313"/>
        </w:rPr>
        <w:t>any</w:t>
      </w:r>
      <w:r>
        <w:rPr>
          <w:rFonts w:ascii="Arial" w:cs="Arial" w:eastAsia="Arial" w:hAnsi="Arial"/>
          <w:sz w:val="17"/>
          <w:szCs w:val="17"/>
          <w:color w:val="161616"/>
        </w:rPr>
        <w:t xml:space="preserve"> Released </w:t>
      </w:r>
      <w:r>
        <w:rPr>
          <w:rFonts w:ascii="Arial" w:cs="Arial" w:eastAsia="Arial" w:hAnsi="Arial"/>
          <w:sz w:val="17"/>
          <w:szCs w:val="17"/>
          <w:color w:val="0C0C0C"/>
        </w:rPr>
        <w:t>Party</w:t>
      </w:r>
      <w:r>
        <w:rPr>
          <w:rFonts w:ascii="Arial" w:cs="Arial" w:eastAsia="Arial" w:hAnsi="Arial"/>
          <w:sz w:val="17"/>
          <w:szCs w:val="17"/>
          <w:color w:val="161616"/>
        </w:rPr>
        <w:t xml:space="preserve"> arising </w:t>
      </w:r>
      <w:r>
        <w:rPr>
          <w:rFonts w:ascii="Arial" w:cs="Arial" w:eastAsia="Arial" w:hAnsi="Arial"/>
          <w:sz w:val="17"/>
          <w:szCs w:val="17"/>
          <w:color w:val="0F0F0F"/>
        </w:rPr>
        <w:t>out</w:t>
      </w:r>
      <w:r>
        <w:rPr>
          <w:rFonts w:ascii="Arial" w:cs="Arial" w:eastAsia="Arial" w:hAnsi="Arial"/>
          <w:sz w:val="17"/>
          <w:szCs w:val="17"/>
          <w:color w:val="161616"/>
        </w:rPr>
        <w:t xml:space="preserve"> </w:t>
      </w:r>
      <w:r>
        <w:rPr>
          <w:rFonts w:ascii="Arial" w:cs="Arial" w:eastAsia="Arial" w:hAnsi="Arial"/>
          <w:sz w:val="17"/>
          <w:szCs w:val="17"/>
          <w:color w:val="131313"/>
        </w:rPr>
        <w:t>of</w:t>
      </w:r>
      <w:r>
        <w:rPr>
          <w:rFonts w:ascii="Arial" w:cs="Arial" w:eastAsia="Arial" w:hAnsi="Arial"/>
          <w:sz w:val="17"/>
          <w:szCs w:val="17"/>
          <w:color w:val="161616"/>
        </w:rPr>
        <w:t xml:space="preserve"> </w:t>
      </w:r>
      <w:r>
        <w:rPr>
          <w:rFonts w:ascii="Arial" w:cs="Arial" w:eastAsia="Arial" w:hAnsi="Arial"/>
          <w:sz w:val="17"/>
          <w:szCs w:val="17"/>
          <w:color w:val="0F0F0F"/>
        </w:rPr>
        <w:t>any</w:t>
      </w:r>
      <w:r>
        <w:rPr>
          <w:rFonts w:ascii="Arial" w:cs="Arial" w:eastAsia="Arial" w:hAnsi="Arial"/>
          <w:sz w:val="17"/>
          <w:szCs w:val="17"/>
          <w:color w:val="161616"/>
        </w:rPr>
        <w:t xml:space="preserve"> </w:t>
      </w:r>
      <w:r>
        <w:rPr>
          <w:rFonts w:ascii="Arial" w:cs="Arial" w:eastAsia="Arial" w:hAnsi="Arial"/>
          <w:sz w:val="17"/>
          <w:szCs w:val="17"/>
          <w:color w:val="0A0A0A"/>
        </w:rPr>
        <w:t>contract,</w:t>
      </w:r>
      <w:r>
        <w:rPr>
          <w:rFonts w:ascii="Arial" w:cs="Arial" w:eastAsia="Arial" w:hAnsi="Arial"/>
          <w:sz w:val="17"/>
          <w:szCs w:val="17"/>
          <w:color w:val="161616"/>
        </w:rPr>
        <w:t xml:space="preserve"> </w:t>
      </w:r>
      <w:r>
        <w:rPr>
          <w:rFonts w:ascii="Arial" w:cs="Arial" w:eastAsia="Arial" w:hAnsi="Arial"/>
          <w:sz w:val="17"/>
          <w:szCs w:val="17"/>
          <w:color w:val="080808"/>
        </w:rPr>
        <w:t>express</w:t>
      </w:r>
      <w:r>
        <w:rPr>
          <w:rFonts w:ascii="Arial" w:cs="Arial" w:eastAsia="Arial" w:hAnsi="Arial"/>
          <w:sz w:val="17"/>
          <w:szCs w:val="17"/>
          <w:color w:val="161616"/>
        </w:rPr>
        <w:t xml:space="preserve"> </w:t>
      </w:r>
      <w:r>
        <w:rPr>
          <w:rFonts w:ascii="Arial" w:cs="Arial" w:eastAsia="Arial" w:hAnsi="Arial"/>
          <w:sz w:val="17"/>
          <w:szCs w:val="17"/>
          <w:color w:val="1A1A1A"/>
        </w:rPr>
        <w:t>or</w:t>
      </w:r>
      <w:r>
        <w:rPr>
          <w:rFonts w:ascii="Arial" w:cs="Arial" w:eastAsia="Arial" w:hAnsi="Arial"/>
          <w:sz w:val="17"/>
          <w:szCs w:val="17"/>
          <w:color w:val="161616"/>
        </w:rPr>
        <w:t xml:space="preserve"> </w:t>
      </w:r>
      <w:r>
        <w:rPr>
          <w:rFonts w:ascii="Arial" w:cs="Arial" w:eastAsia="Arial" w:hAnsi="Arial"/>
          <w:sz w:val="17"/>
          <w:szCs w:val="17"/>
          <w:color w:val="0F0F0F"/>
        </w:rPr>
        <w:t>implied,</w:t>
      </w:r>
      <w:r>
        <w:rPr>
          <w:rFonts w:ascii="Arial" w:cs="Arial" w:eastAsia="Arial" w:hAnsi="Arial"/>
          <w:sz w:val="17"/>
          <w:szCs w:val="17"/>
          <w:color w:val="161616"/>
        </w:rPr>
        <w:t xml:space="preserve"> </w:t>
      </w:r>
      <w:r>
        <w:rPr>
          <w:rFonts w:ascii="Arial" w:cs="Arial" w:eastAsia="Arial" w:hAnsi="Arial"/>
          <w:sz w:val="17"/>
          <w:szCs w:val="17"/>
          <w:color w:val="1C1C1C"/>
        </w:rPr>
        <w:t>any</w:t>
      </w:r>
      <w:r>
        <w:rPr>
          <w:rFonts w:ascii="Arial" w:cs="Arial" w:eastAsia="Arial" w:hAnsi="Arial"/>
          <w:sz w:val="17"/>
          <w:szCs w:val="17"/>
          <w:color w:val="161616"/>
        </w:rPr>
        <w:t xml:space="preserve"> </w:t>
      </w:r>
      <w:r>
        <w:rPr>
          <w:rFonts w:ascii="Arial" w:cs="Arial" w:eastAsia="Arial" w:hAnsi="Arial"/>
          <w:sz w:val="17"/>
          <w:szCs w:val="17"/>
          <w:color w:val="151515"/>
        </w:rPr>
        <w:t>covenant</w:t>
      </w:r>
      <w:r>
        <w:rPr>
          <w:rFonts w:ascii="Arial" w:cs="Arial" w:eastAsia="Arial" w:hAnsi="Arial"/>
          <w:sz w:val="17"/>
          <w:szCs w:val="17"/>
          <w:color w:val="161616"/>
        </w:rPr>
        <w:t xml:space="preserve"> </w:t>
      </w:r>
      <w:r>
        <w:rPr>
          <w:rFonts w:ascii="Arial" w:cs="Arial" w:eastAsia="Arial" w:hAnsi="Arial"/>
          <w:sz w:val="17"/>
          <w:szCs w:val="17"/>
          <w:color w:val="2D2D2D"/>
        </w:rPr>
        <w:t>of</w:t>
      </w:r>
      <w:r>
        <w:rPr>
          <w:rFonts w:ascii="Arial" w:cs="Arial" w:eastAsia="Arial" w:hAnsi="Arial"/>
          <w:sz w:val="17"/>
          <w:szCs w:val="17"/>
          <w:color w:val="161616"/>
        </w:rPr>
        <w:t xml:space="preserve"> </w:t>
      </w:r>
      <w:r>
        <w:rPr>
          <w:rFonts w:ascii="Arial" w:cs="Arial" w:eastAsia="Arial" w:hAnsi="Arial"/>
          <w:sz w:val="17"/>
          <w:szCs w:val="17"/>
          <w:color w:val="262626"/>
        </w:rPr>
        <w:t>good</w:t>
      </w:r>
      <w:r>
        <w:rPr>
          <w:rFonts w:ascii="Arial" w:cs="Arial" w:eastAsia="Arial" w:hAnsi="Arial"/>
          <w:sz w:val="17"/>
          <w:szCs w:val="17"/>
          <w:color w:val="161616"/>
        </w:rPr>
        <w:t xml:space="preserve"> </w:t>
      </w:r>
      <w:r>
        <w:rPr>
          <w:rFonts w:ascii="Arial" w:cs="Arial" w:eastAsia="Arial" w:hAnsi="Arial"/>
          <w:sz w:val="17"/>
          <w:szCs w:val="17"/>
          <w:color w:val="1A1A1A"/>
        </w:rPr>
        <w:t>faith</w:t>
      </w:r>
      <w:r>
        <w:rPr>
          <w:rFonts w:ascii="Arial" w:cs="Arial" w:eastAsia="Arial" w:hAnsi="Arial"/>
          <w:sz w:val="17"/>
          <w:szCs w:val="17"/>
          <w:color w:val="161616"/>
        </w:rPr>
        <w:t xml:space="preserve"> </w:t>
      </w:r>
      <w:r>
        <w:rPr>
          <w:rFonts w:ascii="Arial" w:cs="Arial" w:eastAsia="Arial" w:hAnsi="Arial"/>
          <w:sz w:val="17"/>
          <w:szCs w:val="17"/>
          <w:color w:val="262626"/>
        </w:rPr>
        <w:t>and fair</w:t>
      </w:r>
      <w:r>
        <w:rPr>
          <w:rFonts w:ascii="Arial" w:cs="Arial" w:eastAsia="Arial" w:hAnsi="Arial"/>
          <w:sz w:val="17"/>
          <w:szCs w:val="17"/>
          <w:color w:val="161616"/>
        </w:rPr>
        <w:t xml:space="preserve"> </w:t>
      </w:r>
      <w:r>
        <w:rPr>
          <w:rFonts w:ascii="Arial" w:cs="Arial" w:eastAsia="Arial" w:hAnsi="Arial"/>
          <w:sz w:val="17"/>
          <w:szCs w:val="17"/>
          <w:color w:val="131313"/>
        </w:rPr>
        <w:t xml:space="preserve">dealing, </w:t>
      </w:r>
      <w:r>
        <w:rPr>
          <w:rFonts w:ascii="Arial" w:cs="Arial" w:eastAsia="Arial" w:hAnsi="Arial"/>
          <w:sz w:val="17"/>
          <w:szCs w:val="17"/>
          <w:color w:val="0C0C0C"/>
        </w:rPr>
        <w:t>express</w:t>
      </w:r>
      <w:r>
        <w:rPr>
          <w:rFonts w:ascii="Arial" w:cs="Arial" w:eastAsia="Arial" w:hAnsi="Arial"/>
          <w:sz w:val="17"/>
          <w:szCs w:val="17"/>
          <w:color w:val="131313"/>
        </w:rPr>
        <w:t xml:space="preserve"> </w:t>
      </w:r>
      <w:r>
        <w:rPr>
          <w:rFonts w:ascii="Arial" w:cs="Arial" w:eastAsia="Arial" w:hAnsi="Arial"/>
          <w:sz w:val="17"/>
          <w:szCs w:val="17"/>
          <w:color w:val="181818"/>
        </w:rPr>
        <w:t>or implied,</w:t>
      </w:r>
      <w:r>
        <w:rPr>
          <w:rFonts w:ascii="Arial" w:cs="Arial" w:eastAsia="Arial" w:hAnsi="Arial"/>
          <w:sz w:val="17"/>
          <w:szCs w:val="17"/>
          <w:color w:val="131313"/>
        </w:rPr>
        <w:t xml:space="preserve"> </w:t>
      </w:r>
      <w:r>
        <w:rPr>
          <w:rFonts w:ascii="Arial" w:cs="Arial" w:eastAsia="Arial" w:hAnsi="Arial"/>
          <w:sz w:val="17"/>
          <w:szCs w:val="17"/>
          <w:color w:val="161616"/>
        </w:rPr>
        <w:t>any</w:t>
      </w:r>
      <w:r>
        <w:rPr>
          <w:rFonts w:ascii="Arial" w:cs="Arial" w:eastAsia="Arial" w:hAnsi="Arial"/>
          <w:sz w:val="17"/>
          <w:szCs w:val="17"/>
          <w:color w:val="131313"/>
        </w:rPr>
        <w:t xml:space="preserve"> </w:t>
      </w:r>
      <w:r>
        <w:rPr>
          <w:rFonts w:ascii="Arial" w:cs="Arial" w:eastAsia="Arial" w:hAnsi="Arial"/>
          <w:sz w:val="17"/>
          <w:szCs w:val="17"/>
          <w:color w:val="1C1C1C"/>
        </w:rPr>
        <w:t>tort</w:t>
      </w:r>
      <w:r>
        <w:rPr>
          <w:rFonts w:ascii="Arial" w:cs="Arial" w:eastAsia="Arial" w:hAnsi="Arial"/>
          <w:sz w:val="17"/>
          <w:szCs w:val="17"/>
          <w:color w:val="131313"/>
        </w:rPr>
        <w:t xml:space="preserve"> </w:t>
      </w:r>
      <w:r>
        <w:rPr>
          <w:rFonts w:ascii="Arial" w:cs="Arial" w:eastAsia="Arial" w:hAnsi="Arial"/>
          <w:sz w:val="17"/>
          <w:szCs w:val="17"/>
          <w:color w:val="151515"/>
        </w:rPr>
        <w:t>(</w:t>
      </w:r>
      <w:r>
        <w:rPr>
          <w:rFonts w:ascii="Arial" w:cs="Arial" w:eastAsia="Arial" w:hAnsi="Arial"/>
          <w:sz w:val="17"/>
          <w:szCs w:val="17"/>
          <w:b w:val="1"/>
          <w:bCs w:val="1"/>
          <w:color w:val="151515"/>
        </w:rPr>
        <w:t>whether</w:t>
      </w:r>
      <w:r>
        <w:rPr>
          <w:rFonts w:ascii="Arial" w:cs="Arial" w:eastAsia="Arial" w:hAnsi="Arial"/>
          <w:sz w:val="17"/>
          <w:szCs w:val="17"/>
          <w:color w:val="131313"/>
        </w:rPr>
        <w:t xml:space="preserve"> </w:t>
      </w:r>
      <w:r>
        <w:rPr>
          <w:rFonts w:ascii="Arial" w:cs="Arial" w:eastAsia="Arial" w:hAnsi="Arial"/>
          <w:sz w:val="17"/>
          <w:szCs w:val="17"/>
          <w:b w:val="1"/>
          <w:bCs w:val="1"/>
          <w:color w:val="1F1F1F"/>
        </w:rPr>
        <w:t>intentional or</w:t>
      </w:r>
      <w:r>
        <w:rPr>
          <w:rFonts w:ascii="Arial" w:cs="Arial" w:eastAsia="Arial" w:hAnsi="Arial"/>
          <w:sz w:val="17"/>
          <w:szCs w:val="17"/>
          <w:color w:val="131313"/>
        </w:rPr>
        <w:t xml:space="preserve"> </w:t>
      </w:r>
      <w:r>
        <w:rPr>
          <w:rFonts w:ascii="Arial" w:cs="Arial" w:eastAsia="Arial" w:hAnsi="Arial"/>
          <w:sz w:val="17"/>
          <w:szCs w:val="17"/>
          <w:b w:val="1"/>
          <w:bCs w:val="1"/>
          <w:color w:val="111111"/>
        </w:rPr>
        <w:t>negligent,</w:t>
      </w:r>
      <w:r>
        <w:rPr>
          <w:rFonts w:ascii="Arial" w:cs="Arial" w:eastAsia="Arial" w:hAnsi="Arial"/>
          <w:sz w:val="17"/>
          <w:szCs w:val="17"/>
          <w:color w:val="131313"/>
        </w:rPr>
        <w:t xml:space="preserve"> </w:t>
      </w:r>
      <w:r>
        <w:rPr>
          <w:rFonts w:ascii="Arial" w:cs="Arial" w:eastAsia="Arial" w:hAnsi="Arial"/>
          <w:sz w:val="17"/>
          <w:szCs w:val="17"/>
          <w:b w:val="1"/>
          <w:bCs w:val="1"/>
          <w:color w:val="1A1A1A"/>
        </w:rPr>
        <w:t>including</w:t>
      </w:r>
      <w:r>
        <w:rPr>
          <w:rFonts w:ascii="Arial" w:cs="Arial" w:eastAsia="Arial" w:hAnsi="Arial"/>
          <w:sz w:val="17"/>
          <w:szCs w:val="17"/>
          <w:color w:val="131313"/>
        </w:rPr>
        <w:t xml:space="preserve"> </w:t>
      </w:r>
      <w:r>
        <w:rPr>
          <w:rFonts w:ascii="Arial" w:cs="Arial" w:eastAsia="Arial" w:hAnsi="Arial"/>
          <w:sz w:val="17"/>
          <w:szCs w:val="17"/>
          <w:b w:val="1"/>
          <w:bCs w:val="1"/>
          <w:color w:val="111111"/>
        </w:rPr>
        <w:t>claims</w:t>
      </w:r>
      <w:r>
        <w:rPr>
          <w:rFonts w:ascii="Arial" w:cs="Arial" w:eastAsia="Arial" w:hAnsi="Arial"/>
          <w:sz w:val="17"/>
          <w:szCs w:val="17"/>
          <w:color w:val="131313"/>
        </w:rPr>
        <w:t xml:space="preserve"> </w:t>
      </w:r>
      <w:r>
        <w:rPr>
          <w:rFonts w:ascii="Arial" w:cs="Arial" w:eastAsia="Arial" w:hAnsi="Arial"/>
          <w:sz w:val="17"/>
          <w:szCs w:val="17"/>
          <w:b w:val="1"/>
          <w:bCs w:val="1"/>
          <w:color w:val="1A1A1A"/>
        </w:rPr>
        <w:t>arising</w:t>
      </w:r>
      <w:r>
        <w:rPr>
          <w:rFonts w:ascii="Arial" w:cs="Arial" w:eastAsia="Arial" w:hAnsi="Arial"/>
          <w:sz w:val="17"/>
          <w:szCs w:val="17"/>
          <w:color w:val="131313"/>
        </w:rPr>
        <w:t xml:space="preserve"> </w:t>
      </w:r>
      <w:r>
        <w:rPr>
          <w:rFonts w:ascii="Arial" w:cs="Arial" w:eastAsia="Arial" w:hAnsi="Arial"/>
          <w:sz w:val="17"/>
          <w:szCs w:val="17"/>
          <w:b w:val="1"/>
          <w:bCs w:val="1"/>
          <w:color w:val="1C1C1C"/>
        </w:rPr>
        <w:t>out</w:t>
      </w:r>
      <w:r>
        <w:rPr>
          <w:rFonts w:ascii="Arial" w:cs="Arial" w:eastAsia="Arial" w:hAnsi="Arial"/>
          <w:sz w:val="17"/>
          <w:szCs w:val="17"/>
          <w:color w:val="131313"/>
        </w:rPr>
        <w:t xml:space="preserve"> </w:t>
      </w:r>
      <w:r>
        <w:rPr>
          <w:rFonts w:ascii="Arial" w:cs="Arial" w:eastAsia="Arial" w:hAnsi="Arial"/>
          <w:sz w:val="17"/>
          <w:szCs w:val="17"/>
          <w:b w:val="1"/>
          <w:bCs w:val="1"/>
          <w:color w:val="262626"/>
        </w:rPr>
        <w:t>of</w:t>
      </w:r>
      <w:r>
        <w:rPr>
          <w:rFonts w:ascii="Arial" w:cs="Arial" w:eastAsia="Arial" w:hAnsi="Arial"/>
          <w:sz w:val="17"/>
          <w:szCs w:val="17"/>
          <w:color w:val="131313"/>
        </w:rPr>
        <w:t xml:space="preserve"> </w:t>
      </w:r>
      <w:r>
        <w:rPr>
          <w:rFonts w:ascii="Arial" w:cs="Arial" w:eastAsia="Arial" w:hAnsi="Arial"/>
          <w:sz w:val="17"/>
          <w:szCs w:val="17"/>
          <w:b w:val="1"/>
          <w:bCs w:val="1"/>
          <w:color w:val="1D1D1D"/>
        </w:rPr>
        <w:t>the</w:t>
      </w:r>
      <w:r>
        <w:rPr>
          <w:rFonts w:ascii="Arial" w:cs="Arial" w:eastAsia="Arial" w:hAnsi="Arial"/>
          <w:sz w:val="17"/>
          <w:szCs w:val="17"/>
          <w:color w:val="131313"/>
        </w:rPr>
        <w:t xml:space="preserve"> </w:t>
      </w:r>
      <w:r>
        <w:rPr>
          <w:rFonts w:ascii="Arial" w:cs="Arial" w:eastAsia="Arial" w:hAnsi="Arial"/>
          <w:sz w:val="17"/>
          <w:szCs w:val="17"/>
          <w:b w:val="1"/>
          <w:bCs w:val="1"/>
          <w:color w:val="161616"/>
        </w:rPr>
        <w:t>negligence</w:t>
      </w:r>
      <w:r>
        <w:rPr>
          <w:rFonts w:ascii="Arial" w:cs="Arial" w:eastAsia="Arial" w:hAnsi="Arial"/>
          <w:sz w:val="17"/>
          <w:szCs w:val="17"/>
          <w:color w:val="131313"/>
        </w:rPr>
        <w:t xml:space="preserve"> </w:t>
      </w:r>
      <w:r>
        <w:rPr>
          <w:rFonts w:ascii="Arial" w:cs="Arial" w:eastAsia="Arial" w:hAnsi="Arial"/>
          <w:sz w:val="17"/>
          <w:szCs w:val="17"/>
          <w:b w:val="1"/>
          <w:bCs w:val="1"/>
          <w:color w:val="1D1D1D"/>
        </w:rPr>
        <w:t>or</w:t>
      </w:r>
      <w:r>
        <w:rPr>
          <w:rFonts w:ascii="Arial" w:cs="Arial" w:eastAsia="Arial" w:hAnsi="Arial"/>
          <w:sz w:val="17"/>
          <w:szCs w:val="17"/>
          <w:color w:val="131313"/>
        </w:rPr>
        <w:t xml:space="preserve"> </w:t>
      </w:r>
      <w:r>
        <w:rPr>
          <w:rFonts w:ascii="Arial" w:cs="Arial" w:eastAsia="Arial" w:hAnsi="Arial"/>
          <w:sz w:val="17"/>
          <w:szCs w:val="17"/>
          <w:b w:val="1"/>
          <w:bCs w:val="1"/>
          <w:color w:val="181818"/>
        </w:rPr>
        <w:t>gross</w:t>
      </w:r>
      <w:r>
        <w:rPr>
          <w:rFonts w:ascii="Arial" w:cs="Arial" w:eastAsia="Arial" w:hAnsi="Arial"/>
          <w:sz w:val="17"/>
          <w:szCs w:val="17"/>
          <w:color w:val="131313"/>
        </w:rPr>
        <w:t xml:space="preserve"> </w:t>
      </w:r>
      <w:r>
        <w:rPr>
          <w:rFonts w:ascii="Arial" w:cs="Arial" w:eastAsia="Arial" w:hAnsi="Arial"/>
          <w:sz w:val="17"/>
          <w:szCs w:val="17"/>
          <w:b w:val="1"/>
          <w:bCs w:val="1"/>
          <w:color w:val="161616"/>
        </w:rPr>
        <w:t>negligence</w:t>
      </w:r>
      <w:r>
        <w:rPr>
          <w:rFonts w:ascii="Arial" w:cs="Arial" w:eastAsia="Arial" w:hAnsi="Arial"/>
          <w:sz w:val="17"/>
          <w:szCs w:val="17"/>
          <w:color w:val="131313"/>
        </w:rPr>
        <w:t xml:space="preserve"> </w:t>
      </w:r>
      <w:r>
        <w:rPr>
          <w:rFonts w:ascii="Arial" w:cs="Arial" w:eastAsia="Arial" w:hAnsi="Arial"/>
          <w:sz w:val="17"/>
          <w:szCs w:val="17"/>
          <w:b w:val="1"/>
          <w:bCs w:val="1"/>
          <w:color w:val="282828"/>
        </w:rPr>
        <w:t>of</w:t>
      </w:r>
      <w:r>
        <w:rPr>
          <w:rFonts w:ascii="Arial" w:cs="Arial" w:eastAsia="Arial" w:hAnsi="Arial"/>
          <w:sz w:val="17"/>
          <w:szCs w:val="17"/>
          <w:color w:val="131313"/>
        </w:rPr>
        <w:t xml:space="preserve"> </w:t>
      </w:r>
      <w:r>
        <w:rPr>
          <w:rFonts w:ascii="Arial" w:cs="Arial" w:eastAsia="Arial" w:hAnsi="Arial"/>
          <w:sz w:val="17"/>
          <w:szCs w:val="17"/>
          <w:b w:val="1"/>
          <w:bCs w:val="1"/>
          <w:color w:val="232323"/>
        </w:rPr>
        <w:t xml:space="preserve">any </w:t>
      </w:r>
      <w:r>
        <w:rPr>
          <w:rFonts w:ascii="Arial" w:cs="Arial" w:eastAsia="Arial" w:hAnsi="Arial"/>
          <w:sz w:val="17"/>
          <w:szCs w:val="17"/>
          <w:b w:val="1"/>
          <w:bCs w:val="1"/>
          <w:color w:val="181818"/>
        </w:rPr>
        <w:t>Released</w:t>
      </w:r>
      <w:r>
        <w:rPr>
          <w:rFonts w:ascii="Arial" w:cs="Arial" w:eastAsia="Arial" w:hAnsi="Arial"/>
          <w:sz w:val="17"/>
          <w:szCs w:val="17"/>
          <w:b w:val="1"/>
          <w:bCs w:val="1"/>
          <w:color w:val="232323"/>
        </w:rPr>
        <w:t xml:space="preserve"> </w:t>
      </w:r>
      <w:r>
        <w:rPr>
          <w:rFonts w:ascii="Arial" w:cs="Arial" w:eastAsia="Arial" w:hAnsi="Arial"/>
          <w:sz w:val="17"/>
          <w:szCs w:val="17"/>
          <w:b w:val="1"/>
          <w:bCs w:val="1"/>
          <w:color w:val="212121"/>
        </w:rPr>
        <w:t>Party and</w:t>
      </w:r>
      <w:r>
        <w:rPr>
          <w:rFonts w:ascii="Arial" w:cs="Arial" w:eastAsia="Arial" w:hAnsi="Arial"/>
          <w:sz w:val="17"/>
          <w:szCs w:val="17"/>
          <w:b w:val="1"/>
          <w:bCs w:val="1"/>
          <w:color w:val="232323"/>
        </w:rPr>
        <w:t xml:space="preserve"> </w:t>
      </w:r>
      <w:r>
        <w:rPr>
          <w:rFonts w:ascii="Arial" w:cs="Arial" w:eastAsia="Arial" w:hAnsi="Arial"/>
          <w:sz w:val="17"/>
          <w:szCs w:val="17"/>
          <w:b w:val="1"/>
          <w:bCs w:val="1"/>
          <w:color w:val="161616"/>
        </w:rPr>
        <w:t>claims</w:t>
      </w:r>
      <w:r>
        <w:rPr>
          <w:rFonts w:ascii="Arial" w:cs="Arial" w:eastAsia="Arial" w:hAnsi="Arial"/>
          <w:sz w:val="17"/>
          <w:szCs w:val="17"/>
          <w:b w:val="1"/>
          <w:bCs w:val="1"/>
          <w:color w:val="232323"/>
        </w:rPr>
        <w:t xml:space="preserve"> </w:t>
      </w:r>
      <w:r>
        <w:rPr>
          <w:rFonts w:ascii="Arial" w:cs="Arial" w:eastAsia="Arial" w:hAnsi="Arial"/>
          <w:sz w:val="17"/>
          <w:szCs w:val="17"/>
          <w:b w:val="1"/>
          <w:bCs w:val="1"/>
          <w:color w:val="181818"/>
        </w:rPr>
        <w:t>of</w:t>
      </w:r>
      <w:r>
        <w:rPr>
          <w:rFonts w:ascii="Arial" w:cs="Arial" w:eastAsia="Arial" w:hAnsi="Arial"/>
          <w:sz w:val="17"/>
          <w:szCs w:val="17"/>
          <w:b w:val="1"/>
          <w:bCs w:val="1"/>
          <w:color w:val="232323"/>
        </w:rPr>
        <w:t xml:space="preserve"> </w:t>
      </w:r>
      <w:r>
        <w:rPr>
          <w:rFonts w:ascii="Arial" w:cs="Arial" w:eastAsia="Arial" w:hAnsi="Arial"/>
          <w:sz w:val="17"/>
          <w:szCs w:val="17"/>
          <w:b w:val="1"/>
          <w:bCs w:val="1"/>
          <w:color w:val="0F0F0F"/>
        </w:rPr>
        <w:t>express</w:t>
      </w:r>
      <w:r>
        <w:rPr>
          <w:rFonts w:ascii="Arial" w:cs="Arial" w:eastAsia="Arial" w:hAnsi="Arial"/>
          <w:sz w:val="17"/>
          <w:szCs w:val="17"/>
          <w:b w:val="1"/>
          <w:bCs w:val="1"/>
          <w:color w:val="232323"/>
        </w:rPr>
        <w:t xml:space="preserve"> </w:t>
      </w:r>
      <w:r>
        <w:rPr>
          <w:rFonts w:ascii="Arial" w:cs="Arial" w:eastAsia="Arial" w:hAnsi="Arial"/>
          <w:sz w:val="17"/>
          <w:szCs w:val="17"/>
          <w:b w:val="1"/>
          <w:bCs w:val="1"/>
          <w:color w:val="161616"/>
        </w:rPr>
        <w:t>or</w:t>
      </w:r>
      <w:r>
        <w:rPr>
          <w:rFonts w:ascii="Arial" w:cs="Arial" w:eastAsia="Arial" w:hAnsi="Arial"/>
          <w:sz w:val="17"/>
          <w:szCs w:val="17"/>
          <w:b w:val="1"/>
          <w:bCs w:val="1"/>
          <w:color w:val="232323"/>
        </w:rPr>
        <w:t xml:space="preserve"> </w:t>
      </w:r>
      <w:r>
        <w:rPr>
          <w:rFonts w:ascii="Arial" w:cs="Arial" w:eastAsia="Arial" w:hAnsi="Arial"/>
          <w:sz w:val="17"/>
          <w:szCs w:val="17"/>
          <w:b w:val="1"/>
          <w:bCs w:val="1"/>
          <w:color w:val="1D1D1D"/>
        </w:rPr>
        <w:t>implied</w:t>
      </w:r>
      <w:r>
        <w:rPr>
          <w:rFonts w:ascii="Arial" w:cs="Arial" w:eastAsia="Arial" w:hAnsi="Arial"/>
          <w:sz w:val="17"/>
          <w:szCs w:val="17"/>
          <w:b w:val="1"/>
          <w:bCs w:val="1"/>
          <w:color w:val="232323"/>
        </w:rPr>
        <w:t xml:space="preserve"> </w:t>
      </w:r>
      <w:r>
        <w:rPr>
          <w:rFonts w:ascii="Arial" w:cs="Arial" w:eastAsia="Arial" w:hAnsi="Arial"/>
          <w:sz w:val="17"/>
          <w:szCs w:val="17"/>
          <w:b w:val="1"/>
          <w:bCs w:val="1"/>
          <w:color w:val="181818"/>
        </w:rPr>
        <w:t>defamation</w:t>
      </w:r>
      <w:r>
        <w:rPr>
          <w:rFonts w:ascii="Arial" w:cs="Arial" w:eastAsia="Arial" w:hAnsi="Arial"/>
          <w:sz w:val="17"/>
          <w:szCs w:val="17"/>
          <w:b w:val="1"/>
          <w:bCs w:val="1"/>
          <w:color w:val="232323"/>
        </w:rPr>
        <w:t xml:space="preserve"> </w:t>
      </w:r>
      <w:r>
        <w:rPr>
          <w:rFonts w:ascii="Arial" w:cs="Arial" w:eastAsia="Arial" w:hAnsi="Arial"/>
          <w:sz w:val="17"/>
          <w:szCs w:val="17"/>
          <w:b w:val="1"/>
          <w:bCs w:val="1"/>
          <w:color w:val="1F1F1F"/>
        </w:rPr>
        <w:t>by</w:t>
      </w:r>
      <w:r>
        <w:rPr>
          <w:rFonts w:ascii="Arial" w:cs="Arial" w:eastAsia="Arial" w:hAnsi="Arial"/>
          <w:sz w:val="17"/>
          <w:szCs w:val="17"/>
          <w:b w:val="1"/>
          <w:bCs w:val="1"/>
          <w:color w:val="232323"/>
        </w:rPr>
        <w:t xml:space="preserve"> </w:t>
      </w:r>
      <w:r>
        <w:rPr>
          <w:rFonts w:ascii="Arial" w:cs="Arial" w:eastAsia="Arial" w:hAnsi="Arial"/>
          <w:sz w:val="17"/>
          <w:szCs w:val="17"/>
          <w:b w:val="1"/>
          <w:bCs w:val="1"/>
          <w:color w:val="151515"/>
        </w:rPr>
        <w:t>any Released</w:t>
      </w:r>
      <w:r>
        <w:rPr>
          <w:rFonts w:ascii="Arial" w:cs="Arial" w:eastAsia="Arial" w:hAnsi="Arial"/>
          <w:sz w:val="17"/>
          <w:szCs w:val="17"/>
          <w:b w:val="1"/>
          <w:bCs w:val="1"/>
          <w:color w:val="232323"/>
        </w:rPr>
        <w:t xml:space="preserve"> </w:t>
      </w:r>
      <w:r>
        <w:rPr>
          <w:rFonts w:ascii="Arial" w:cs="Arial" w:eastAsia="Arial" w:hAnsi="Arial"/>
          <w:sz w:val="17"/>
          <w:szCs w:val="17"/>
          <w:b w:val="1"/>
          <w:bCs w:val="1"/>
          <w:color w:val="131313"/>
        </w:rPr>
        <w:t>Party</w:t>
      </w:r>
      <w:r>
        <w:rPr>
          <w:rFonts w:ascii="Arial" w:cs="Arial" w:eastAsia="Arial" w:hAnsi="Arial"/>
          <w:sz w:val="17"/>
          <w:szCs w:val="17"/>
          <w:color w:val="131313"/>
        </w:rPr>
        <w:t>),</w:t>
      </w:r>
      <w:r>
        <w:rPr>
          <w:rFonts w:ascii="Arial" w:cs="Arial" w:eastAsia="Arial" w:hAnsi="Arial"/>
          <w:sz w:val="17"/>
          <w:szCs w:val="17"/>
          <w:b w:val="1"/>
          <w:bCs w:val="1"/>
          <w:color w:val="232323"/>
        </w:rPr>
        <w:t xml:space="preserve"> </w:t>
      </w:r>
      <w:r>
        <w:rPr>
          <w:rFonts w:ascii="Arial" w:cs="Arial" w:eastAsia="Arial" w:hAnsi="Arial"/>
          <w:sz w:val="17"/>
          <w:szCs w:val="17"/>
          <w:color w:val="1A1A1A"/>
        </w:rPr>
        <w:t>and</w:t>
      </w:r>
      <w:r>
        <w:rPr>
          <w:rFonts w:ascii="Arial" w:cs="Arial" w:eastAsia="Arial" w:hAnsi="Arial"/>
          <w:sz w:val="17"/>
          <w:szCs w:val="17"/>
          <w:b w:val="1"/>
          <w:bCs w:val="1"/>
          <w:color w:val="232323"/>
        </w:rPr>
        <w:t xml:space="preserve"> </w:t>
      </w:r>
      <w:r>
        <w:rPr>
          <w:rFonts w:ascii="Arial" w:cs="Arial" w:eastAsia="Arial" w:hAnsi="Arial"/>
          <w:sz w:val="17"/>
          <w:szCs w:val="17"/>
          <w:color w:val="111111"/>
        </w:rPr>
        <w:t>any</w:t>
      </w:r>
      <w:r>
        <w:rPr>
          <w:rFonts w:ascii="Arial" w:cs="Arial" w:eastAsia="Arial" w:hAnsi="Arial"/>
          <w:sz w:val="17"/>
          <w:szCs w:val="17"/>
          <w:b w:val="1"/>
          <w:bCs w:val="1"/>
          <w:color w:val="232323"/>
        </w:rPr>
        <w:t xml:space="preserve"> </w:t>
      </w:r>
      <w:r>
        <w:rPr>
          <w:rFonts w:ascii="Arial" w:cs="Arial" w:eastAsia="Arial" w:hAnsi="Arial"/>
          <w:sz w:val="17"/>
          <w:szCs w:val="17"/>
          <w:color w:val="000000"/>
        </w:rPr>
        <w:t>federal,</w:t>
      </w:r>
      <w:r>
        <w:rPr>
          <w:rFonts w:ascii="Arial" w:cs="Arial" w:eastAsia="Arial" w:hAnsi="Arial"/>
          <w:sz w:val="17"/>
          <w:szCs w:val="17"/>
          <w:b w:val="1"/>
          <w:bCs w:val="1"/>
          <w:color w:val="232323"/>
        </w:rPr>
        <w:t xml:space="preserve"> </w:t>
      </w:r>
      <w:r>
        <w:rPr>
          <w:rFonts w:ascii="Arial" w:cs="Arial" w:eastAsia="Arial" w:hAnsi="Arial"/>
          <w:sz w:val="17"/>
          <w:szCs w:val="17"/>
          <w:color w:val="0C0C0C"/>
        </w:rPr>
        <w:t>state</w:t>
      </w:r>
      <w:r>
        <w:rPr>
          <w:rFonts w:ascii="Arial" w:cs="Arial" w:eastAsia="Arial" w:hAnsi="Arial"/>
          <w:sz w:val="17"/>
          <w:szCs w:val="17"/>
          <w:b w:val="1"/>
          <w:bCs w:val="1"/>
          <w:color w:val="232323"/>
        </w:rPr>
        <w:t xml:space="preserve"> </w:t>
      </w:r>
      <w:r>
        <w:rPr>
          <w:rFonts w:ascii="Arial" w:cs="Arial" w:eastAsia="Arial" w:hAnsi="Arial"/>
          <w:sz w:val="17"/>
          <w:szCs w:val="17"/>
          <w:color w:val="161616"/>
        </w:rPr>
        <w:t>or</w:t>
      </w:r>
      <w:r>
        <w:rPr>
          <w:rFonts w:ascii="Arial" w:cs="Arial" w:eastAsia="Arial" w:hAnsi="Arial"/>
          <w:sz w:val="17"/>
          <w:szCs w:val="17"/>
          <w:b w:val="1"/>
          <w:bCs w:val="1"/>
          <w:color w:val="232323"/>
        </w:rPr>
        <w:t xml:space="preserve"> </w:t>
      </w:r>
      <w:r>
        <w:rPr>
          <w:rFonts w:ascii="Arial" w:cs="Arial" w:eastAsia="Arial" w:hAnsi="Arial"/>
          <w:sz w:val="17"/>
          <w:szCs w:val="17"/>
          <w:color w:val="0F0F0F"/>
        </w:rPr>
        <w:t>other</w:t>
      </w:r>
      <w:r>
        <w:rPr>
          <w:rFonts w:ascii="Arial" w:cs="Arial" w:eastAsia="Arial" w:hAnsi="Arial"/>
          <w:sz w:val="17"/>
          <w:szCs w:val="17"/>
          <w:b w:val="1"/>
          <w:bCs w:val="1"/>
          <w:color w:val="232323"/>
        </w:rPr>
        <w:t xml:space="preserve"> </w:t>
      </w:r>
      <w:r>
        <w:rPr>
          <w:rFonts w:ascii="Arial" w:cs="Arial" w:eastAsia="Arial" w:hAnsi="Arial"/>
          <w:sz w:val="17"/>
          <w:szCs w:val="17"/>
          <w:color w:val="161616"/>
        </w:rPr>
        <w:t>governmental</w:t>
      </w:r>
      <w:r>
        <w:rPr>
          <w:rFonts w:ascii="Arial" w:cs="Arial" w:eastAsia="Arial" w:hAnsi="Arial"/>
          <w:sz w:val="17"/>
          <w:szCs w:val="17"/>
          <w:b w:val="1"/>
          <w:bCs w:val="1"/>
          <w:color w:val="232323"/>
        </w:rPr>
        <w:t xml:space="preserve"> </w:t>
      </w:r>
      <w:r>
        <w:rPr>
          <w:rFonts w:ascii="Arial" w:cs="Arial" w:eastAsia="Arial" w:hAnsi="Arial"/>
          <w:sz w:val="17"/>
          <w:szCs w:val="17"/>
          <w:color w:val="1F1F1F"/>
        </w:rPr>
        <w:t>statute,</w:t>
      </w:r>
      <w:r>
        <w:rPr>
          <w:rFonts w:ascii="Arial" w:cs="Arial" w:eastAsia="Arial" w:hAnsi="Arial"/>
          <w:sz w:val="17"/>
          <w:szCs w:val="17"/>
          <w:b w:val="1"/>
          <w:bCs w:val="1"/>
          <w:color w:val="232323"/>
        </w:rPr>
        <w:t xml:space="preserve"> </w:t>
      </w:r>
      <w:r>
        <w:rPr>
          <w:rFonts w:ascii="Arial" w:cs="Arial" w:eastAsia="Arial" w:hAnsi="Arial"/>
          <w:sz w:val="17"/>
          <w:szCs w:val="17"/>
          <w:color w:val="1F1F1F"/>
        </w:rPr>
        <w:t xml:space="preserve">regulation </w:t>
      </w:r>
      <w:r>
        <w:rPr>
          <w:rFonts w:ascii="Arial" w:cs="Arial" w:eastAsia="Arial" w:hAnsi="Arial"/>
          <w:sz w:val="17"/>
          <w:szCs w:val="17"/>
          <w:color w:val="262626"/>
        </w:rPr>
        <w:t>or</w:t>
      </w:r>
      <w:r>
        <w:rPr>
          <w:rFonts w:ascii="Arial" w:cs="Arial" w:eastAsia="Arial" w:hAnsi="Arial"/>
          <w:sz w:val="17"/>
          <w:szCs w:val="17"/>
          <w:color w:val="1F1F1F"/>
        </w:rPr>
        <w:t xml:space="preserve"> </w:t>
      </w:r>
      <w:r>
        <w:rPr>
          <w:rFonts w:ascii="Arial" w:cs="Arial" w:eastAsia="Arial" w:hAnsi="Arial"/>
          <w:sz w:val="17"/>
          <w:szCs w:val="17"/>
          <w:color w:val="151515"/>
        </w:rPr>
        <w:t>ordinance,</w:t>
      </w:r>
    </w:p>
    <w:p>
      <w:pPr>
        <w:sectPr>
          <w:pgSz w:w="11900" w:h="16838" w:orient="portrait"/>
          <w:cols w:equalWidth="0" w:num="1">
            <w:col w:w="11200"/>
          </w:cols>
          <w:pgMar w:left="320" w:top="729" w:right="379" w:bottom="1440" w:gutter="0" w:footer="0" w:header="0"/>
        </w:sectPr>
      </w:pPr>
    </w:p>
    <w:bookmarkStart w:id="49" w:name="page50"/>
    <w:bookmarkEnd w:id="49"/>
    <w:p>
      <w:pPr>
        <w:ind w:left="652" w:right="60"/>
        <w:spacing w:after="0" w:line="272" w:lineRule="auto"/>
        <w:rPr>
          <w:sz w:val="20"/>
          <w:szCs w:val="20"/>
          <w:color w:val="auto"/>
        </w:rPr>
      </w:pPr>
      <w:r>
        <w:rPr>
          <w:rFonts w:ascii="Arial" w:cs="Arial" w:eastAsia="Arial" w:hAnsi="Arial"/>
          <w:sz w:val="17"/>
          <w:szCs w:val="17"/>
          <w:color w:val="161616"/>
        </w:rPr>
        <w:t xml:space="preserve">including </w:t>
      </w:r>
      <w:r>
        <w:rPr>
          <w:rFonts w:ascii="Arial" w:cs="Arial" w:eastAsia="Arial" w:hAnsi="Arial"/>
          <w:sz w:val="17"/>
          <w:szCs w:val="17"/>
          <w:color w:val="1A1A1A"/>
        </w:rPr>
        <w:t>those</w:t>
      </w:r>
      <w:r>
        <w:rPr>
          <w:rFonts w:ascii="Arial" w:cs="Arial" w:eastAsia="Arial" w:hAnsi="Arial"/>
          <w:sz w:val="17"/>
          <w:szCs w:val="17"/>
          <w:color w:val="161616"/>
        </w:rPr>
        <w:t xml:space="preserve"> </w:t>
      </w:r>
      <w:r>
        <w:rPr>
          <w:rFonts w:ascii="Arial" w:cs="Arial" w:eastAsia="Arial" w:hAnsi="Arial"/>
          <w:sz w:val="17"/>
          <w:szCs w:val="17"/>
          <w:color w:val="131313"/>
        </w:rPr>
        <w:t>relating</w:t>
      </w:r>
      <w:r>
        <w:rPr>
          <w:rFonts w:ascii="Arial" w:cs="Arial" w:eastAsia="Arial" w:hAnsi="Arial"/>
          <w:sz w:val="17"/>
          <w:szCs w:val="17"/>
          <w:color w:val="161616"/>
        </w:rPr>
        <w:t xml:space="preserve"> </w:t>
      </w:r>
      <w:r>
        <w:rPr>
          <w:rFonts w:ascii="Arial" w:cs="Arial" w:eastAsia="Arial" w:hAnsi="Arial"/>
          <w:sz w:val="17"/>
          <w:szCs w:val="17"/>
          <w:color w:val="1C1C1C"/>
        </w:rPr>
        <w:t>to</w:t>
      </w:r>
      <w:r>
        <w:rPr>
          <w:rFonts w:ascii="Arial" w:cs="Arial" w:eastAsia="Arial" w:hAnsi="Arial"/>
          <w:sz w:val="17"/>
          <w:szCs w:val="17"/>
          <w:color w:val="161616"/>
        </w:rPr>
        <w:t xml:space="preserve"> </w:t>
      </w:r>
      <w:r>
        <w:rPr>
          <w:rFonts w:ascii="Arial" w:cs="Arial" w:eastAsia="Arial" w:hAnsi="Arial"/>
          <w:sz w:val="17"/>
          <w:szCs w:val="17"/>
          <w:color w:val="131313"/>
        </w:rPr>
        <w:t>employment</w:t>
      </w:r>
      <w:r>
        <w:rPr>
          <w:rFonts w:ascii="Arial" w:cs="Arial" w:eastAsia="Arial" w:hAnsi="Arial"/>
          <w:sz w:val="17"/>
          <w:szCs w:val="17"/>
          <w:color w:val="161616"/>
        </w:rPr>
        <w:t xml:space="preserve"> </w:t>
      </w:r>
      <w:r>
        <w:rPr>
          <w:rFonts w:ascii="Arial" w:cs="Arial" w:eastAsia="Arial" w:hAnsi="Arial"/>
          <w:sz w:val="17"/>
          <w:szCs w:val="17"/>
          <w:color w:val="0F0F0F"/>
        </w:rPr>
        <w:t>discrimination,</w:t>
      </w:r>
      <w:r>
        <w:rPr>
          <w:rFonts w:ascii="Arial" w:cs="Arial" w:eastAsia="Arial" w:hAnsi="Arial"/>
          <w:sz w:val="17"/>
          <w:szCs w:val="17"/>
          <w:color w:val="161616"/>
        </w:rPr>
        <w:t xml:space="preserve"> </w:t>
      </w:r>
      <w:r>
        <w:rPr>
          <w:rFonts w:ascii="Arial" w:cs="Arial" w:eastAsia="Arial" w:hAnsi="Arial"/>
          <w:sz w:val="17"/>
          <w:szCs w:val="17"/>
          <w:color w:val="1D1D1D"/>
        </w:rPr>
        <w:t>termination</w:t>
      </w:r>
      <w:r>
        <w:rPr>
          <w:rFonts w:ascii="Arial" w:cs="Arial" w:eastAsia="Arial" w:hAnsi="Arial"/>
          <w:sz w:val="17"/>
          <w:szCs w:val="17"/>
          <w:color w:val="161616"/>
        </w:rPr>
        <w:t xml:space="preserve"> </w:t>
      </w:r>
      <w:r>
        <w:rPr>
          <w:rFonts w:ascii="Arial" w:cs="Arial" w:eastAsia="Arial" w:hAnsi="Arial"/>
          <w:sz w:val="17"/>
          <w:szCs w:val="17"/>
          <w:color w:val="232323"/>
        </w:rPr>
        <w:t>of</w:t>
      </w:r>
      <w:r>
        <w:rPr>
          <w:rFonts w:ascii="Arial" w:cs="Arial" w:eastAsia="Arial" w:hAnsi="Arial"/>
          <w:sz w:val="17"/>
          <w:szCs w:val="17"/>
          <w:color w:val="161616"/>
        </w:rPr>
        <w:t xml:space="preserve"> employment, payment </w:t>
      </w:r>
      <w:r>
        <w:rPr>
          <w:rFonts w:ascii="Arial" w:cs="Arial" w:eastAsia="Arial" w:hAnsi="Arial"/>
          <w:sz w:val="17"/>
          <w:szCs w:val="17"/>
          <w:color w:val="1C1C1C"/>
        </w:rPr>
        <w:t>of</w:t>
      </w:r>
      <w:r>
        <w:rPr>
          <w:rFonts w:ascii="Arial" w:cs="Arial" w:eastAsia="Arial" w:hAnsi="Arial"/>
          <w:sz w:val="17"/>
          <w:szCs w:val="17"/>
          <w:color w:val="161616"/>
        </w:rPr>
        <w:t xml:space="preserve"> </w:t>
      </w:r>
      <w:r>
        <w:rPr>
          <w:rFonts w:ascii="Arial" w:cs="Arial" w:eastAsia="Arial" w:hAnsi="Arial"/>
          <w:sz w:val="17"/>
          <w:szCs w:val="17"/>
          <w:color w:val="0A0A0A"/>
        </w:rPr>
        <w:t>wages</w:t>
      </w:r>
      <w:r>
        <w:rPr>
          <w:rFonts w:ascii="Arial" w:cs="Arial" w:eastAsia="Arial" w:hAnsi="Arial"/>
          <w:sz w:val="17"/>
          <w:szCs w:val="17"/>
          <w:color w:val="161616"/>
        </w:rPr>
        <w:t xml:space="preserve"> </w:t>
      </w:r>
      <w:r>
        <w:rPr>
          <w:rFonts w:ascii="Arial" w:cs="Arial" w:eastAsia="Arial" w:hAnsi="Arial"/>
          <w:sz w:val="17"/>
          <w:szCs w:val="17"/>
          <w:color w:val="1C1C1C"/>
        </w:rPr>
        <w:t>or</w:t>
      </w:r>
      <w:r>
        <w:rPr>
          <w:rFonts w:ascii="Arial" w:cs="Arial" w:eastAsia="Arial" w:hAnsi="Arial"/>
          <w:sz w:val="17"/>
          <w:szCs w:val="17"/>
          <w:color w:val="161616"/>
        </w:rPr>
        <w:t xml:space="preserve"> </w:t>
      </w:r>
      <w:r>
        <w:rPr>
          <w:rFonts w:ascii="Arial" w:cs="Arial" w:eastAsia="Arial" w:hAnsi="Arial"/>
          <w:sz w:val="17"/>
          <w:szCs w:val="17"/>
          <w:color w:val="111111"/>
        </w:rPr>
        <w:t>provision</w:t>
      </w:r>
      <w:r>
        <w:rPr>
          <w:rFonts w:ascii="Arial" w:cs="Arial" w:eastAsia="Arial" w:hAnsi="Arial"/>
          <w:sz w:val="17"/>
          <w:szCs w:val="17"/>
          <w:color w:val="161616"/>
        </w:rPr>
        <w:t xml:space="preserve"> </w:t>
      </w:r>
      <w:r>
        <w:rPr>
          <w:rFonts w:ascii="Arial" w:cs="Arial" w:eastAsia="Arial" w:hAnsi="Arial"/>
          <w:sz w:val="17"/>
          <w:szCs w:val="17"/>
          <w:color w:val="262626"/>
        </w:rPr>
        <w:t>of</w:t>
      </w:r>
      <w:r>
        <w:rPr>
          <w:rFonts w:ascii="Arial" w:cs="Arial" w:eastAsia="Arial" w:hAnsi="Arial"/>
          <w:sz w:val="17"/>
          <w:szCs w:val="17"/>
          <w:color w:val="161616"/>
        </w:rPr>
        <w:t xml:space="preserve"> </w:t>
      </w:r>
      <w:r>
        <w:rPr>
          <w:rFonts w:ascii="Arial" w:cs="Arial" w:eastAsia="Arial" w:hAnsi="Arial"/>
          <w:sz w:val="17"/>
          <w:szCs w:val="17"/>
          <w:color w:val="0F0F0F"/>
        </w:rPr>
        <w:t>benefits,</w:t>
      </w:r>
      <w:r>
        <w:rPr>
          <w:rFonts w:ascii="Arial" w:cs="Arial" w:eastAsia="Arial" w:hAnsi="Arial"/>
          <w:sz w:val="17"/>
          <w:szCs w:val="17"/>
          <w:color w:val="161616"/>
        </w:rPr>
        <w:t xml:space="preserve"> </w:t>
      </w:r>
      <w:r>
        <w:rPr>
          <w:rFonts w:ascii="Arial" w:cs="Arial" w:eastAsia="Arial" w:hAnsi="Arial"/>
          <w:sz w:val="17"/>
          <w:szCs w:val="17"/>
          <w:color w:val="1C1C1C"/>
        </w:rPr>
        <w:t>Title</w:t>
      </w:r>
      <w:r>
        <w:rPr>
          <w:rFonts w:ascii="Arial" w:cs="Arial" w:eastAsia="Arial" w:hAnsi="Arial"/>
          <w:sz w:val="17"/>
          <w:szCs w:val="17"/>
          <w:color w:val="161616"/>
        </w:rPr>
        <w:t xml:space="preserve"> </w:t>
      </w:r>
      <w:r>
        <w:rPr>
          <w:rFonts w:ascii="Arial" w:cs="Arial" w:eastAsia="Arial" w:hAnsi="Arial"/>
          <w:sz w:val="17"/>
          <w:szCs w:val="17"/>
          <w:color w:val="181818"/>
        </w:rPr>
        <w:t>VII</w:t>
      </w:r>
      <w:r>
        <w:rPr>
          <w:rFonts w:ascii="Arial" w:cs="Arial" w:eastAsia="Arial" w:hAnsi="Arial"/>
          <w:sz w:val="17"/>
          <w:szCs w:val="17"/>
          <w:color w:val="161616"/>
        </w:rPr>
        <w:t xml:space="preserve"> </w:t>
      </w:r>
      <w:r>
        <w:rPr>
          <w:rFonts w:ascii="Arial" w:cs="Arial" w:eastAsia="Arial" w:hAnsi="Arial"/>
          <w:sz w:val="17"/>
          <w:szCs w:val="17"/>
          <w:color w:val="2D2D2D"/>
        </w:rPr>
        <w:t>of</w:t>
      </w:r>
      <w:r>
        <w:rPr>
          <w:rFonts w:ascii="Arial" w:cs="Arial" w:eastAsia="Arial" w:hAnsi="Arial"/>
          <w:sz w:val="17"/>
          <w:szCs w:val="17"/>
          <w:color w:val="161616"/>
        </w:rPr>
        <w:t xml:space="preserve"> </w:t>
      </w:r>
      <w:r>
        <w:rPr>
          <w:rFonts w:ascii="Arial" w:cs="Arial" w:eastAsia="Arial" w:hAnsi="Arial"/>
          <w:sz w:val="17"/>
          <w:szCs w:val="17"/>
          <w:color w:val="1C1C1C"/>
        </w:rPr>
        <w:t>the</w:t>
      </w:r>
      <w:r>
        <w:rPr>
          <w:rFonts w:ascii="Arial" w:cs="Arial" w:eastAsia="Arial" w:hAnsi="Arial"/>
          <w:sz w:val="17"/>
          <w:szCs w:val="17"/>
          <w:color w:val="161616"/>
        </w:rPr>
        <w:t xml:space="preserve"> </w:t>
      </w:r>
      <w:r>
        <w:rPr>
          <w:rFonts w:ascii="Arial" w:cs="Arial" w:eastAsia="Arial" w:hAnsi="Arial"/>
          <w:sz w:val="17"/>
          <w:szCs w:val="17"/>
          <w:color w:val="1D1D1D"/>
        </w:rPr>
        <w:t xml:space="preserve">Civil </w:t>
      </w:r>
      <w:r>
        <w:rPr>
          <w:rFonts w:ascii="Arial" w:cs="Arial" w:eastAsia="Arial" w:hAnsi="Arial"/>
          <w:sz w:val="17"/>
          <w:szCs w:val="17"/>
          <w:color w:val="1C1C1C"/>
        </w:rPr>
        <w:t>Rights</w:t>
      </w:r>
      <w:r>
        <w:rPr>
          <w:rFonts w:ascii="Arial" w:cs="Arial" w:eastAsia="Arial" w:hAnsi="Arial"/>
          <w:sz w:val="17"/>
          <w:szCs w:val="17"/>
          <w:color w:val="1D1D1D"/>
        </w:rPr>
        <w:t xml:space="preserve"> </w:t>
      </w:r>
      <w:r>
        <w:rPr>
          <w:rFonts w:ascii="Arial" w:cs="Arial" w:eastAsia="Arial" w:hAnsi="Arial"/>
          <w:sz w:val="17"/>
          <w:szCs w:val="17"/>
          <w:color w:val="2A2A2A"/>
        </w:rPr>
        <w:t>Act</w:t>
      </w:r>
      <w:r>
        <w:rPr>
          <w:rFonts w:ascii="Arial" w:cs="Arial" w:eastAsia="Arial" w:hAnsi="Arial"/>
          <w:sz w:val="17"/>
          <w:szCs w:val="17"/>
          <w:color w:val="1D1D1D"/>
        </w:rPr>
        <w:t xml:space="preserve"> </w:t>
      </w:r>
      <w:r>
        <w:rPr>
          <w:rFonts w:ascii="Arial" w:cs="Arial" w:eastAsia="Arial" w:hAnsi="Arial"/>
          <w:sz w:val="17"/>
          <w:szCs w:val="17"/>
          <w:color w:val="262626"/>
        </w:rPr>
        <w:t>of</w:t>
      </w:r>
      <w:r>
        <w:rPr>
          <w:rFonts w:ascii="Arial" w:cs="Arial" w:eastAsia="Arial" w:hAnsi="Arial"/>
          <w:sz w:val="17"/>
          <w:szCs w:val="17"/>
          <w:color w:val="1D1D1D"/>
        </w:rPr>
        <w:t xml:space="preserve"> </w:t>
      </w:r>
      <w:r>
        <w:rPr>
          <w:rFonts w:ascii="Arial" w:cs="Arial" w:eastAsia="Arial" w:hAnsi="Arial"/>
          <w:sz w:val="17"/>
          <w:szCs w:val="17"/>
          <w:color w:val="0F0F0F"/>
        </w:rPr>
        <w:t>1964,</w:t>
      </w:r>
      <w:r>
        <w:rPr>
          <w:rFonts w:ascii="Arial" w:cs="Arial" w:eastAsia="Arial" w:hAnsi="Arial"/>
          <w:sz w:val="17"/>
          <w:szCs w:val="17"/>
          <w:color w:val="1D1D1D"/>
        </w:rPr>
        <w:t xml:space="preserve"> </w:t>
      </w:r>
      <w:r>
        <w:rPr>
          <w:rFonts w:ascii="Arial" w:cs="Arial" w:eastAsia="Arial" w:hAnsi="Arial"/>
          <w:sz w:val="17"/>
          <w:szCs w:val="17"/>
          <w:color w:val="212121"/>
        </w:rPr>
        <w:t>the</w:t>
      </w:r>
      <w:r>
        <w:rPr>
          <w:rFonts w:ascii="Arial" w:cs="Arial" w:eastAsia="Arial" w:hAnsi="Arial"/>
          <w:sz w:val="17"/>
          <w:szCs w:val="17"/>
          <w:color w:val="1D1D1D"/>
        </w:rPr>
        <w:t xml:space="preserve"> </w:t>
      </w:r>
      <w:r>
        <w:rPr>
          <w:rFonts w:ascii="Arial" w:cs="Arial" w:eastAsia="Arial" w:hAnsi="Arial"/>
          <w:sz w:val="17"/>
          <w:szCs w:val="17"/>
          <w:color w:val="181818"/>
        </w:rPr>
        <w:t>Civil</w:t>
      </w:r>
      <w:r>
        <w:rPr>
          <w:rFonts w:ascii="Arial" w:cs="Arial" w:eastAsia="Arial" w:hAnsi="Arial"/>
          <w:sz w:val="17"/>
          <w:szCs w:val="17"/>
          <w:color w:val="1D1D1D"/>
        </w:rPr>
        <w:t xml:space="preserve"> </w:t>
      </w:r>
      <w:r>
        <w:rPr>
          <w:rFonts w:ascii="Arial" w:cs="Arial" w:eastAsia="Arial" w:hAnsi="Arial"/>
          <w:sz w:val="17"/>
          <w:szCs w:val="17"/>
          <w:color w:val="151515"/>
        </w:rPr>
        <w:t>Rights</w:t>
      </w:r>
      <w:r>
        <w:rPr>
          <w:rFonts w:ascii="Arial" w:cs="Arial" w:eastAsia="Arial" w:hAnsi="Arial"/>
          <w:sz w:val="17"/>
          <w:szCs w:val="17"/>
          <w:color w:val="1D1D1D"/>
        </w:rPr>
        <w:t xml:space="preserve"> </w:t>
      </w:r>
      <w:r>
        <w:rPr>
          <w:rFonts w:ascii="Arial" w:cs="Arial" w:eastAsia="Arial" w:hAnsi="Arial"/>
          <w:sz w:val="17"/>
          <w:szCs w:val="17"/>
          <w:color w:val="1A1A1A"/>
        </w:rPr>
        <w:t>Act of</w:t>
      </w:r>
      <w:r>
        <w:rPr>
          <w:rFonts w:ascii="Arial" w:cs="Arial" w:eastAsia="Arial" w:hAnsi="Arial"/>
          <w:sz w:val="17"/>
          <w:szCs w:val="17"/>
          <w:color w:val="1D1D1D"/>
        </w:rPr>
        <w:t xml:space="preserve"> </w:t>
      </w:r>
      <w:r>
        <w:rPr>
          <w:rFonts w:ascii="Arial" w:cs="Arial" w:eastAsia="Arial" w:hAnsi="Arial"/>
          <w:sz w:val="17"/>
          <w:szCs w:val="17"/>
          <w:color w:val="181818"/>
        </w:rPr>
        <w:t>1991,</w:t>
      </w:r>
      <w:r>
        <w:rPr>
          <w:rFonts w:ascii="Arial" w:cs="Arial" w:eastAsia="Arial" w:hAnsi="Arial"/>
          <w:sz w:val="17"/>
          <w:szCs w:val="17"/>
          <w:color w:val="1D1D1D"/>
        </w:rPr>
        <w:t xml:space="preserve"> </w:t>
      </w:r>
      <w:r>
        <w:rPr>
          <w:rFonts w:ascii="Arial" w:cs="Arial" w:eastAsia="Arial" w:hAnsi="Arial"/>
          <w:sz w:val="17"/>
          <w:szCs w:val="17"/>
          <w:color w:val="151515"/>
        </w:rPr>
        <w:t>the</w:t>
      </w:r>
      <w:r>
        <w:rPr>
          <w:rFonts w:ascii="Arial" w:cs="Arial" w:eastAsia="Arial" w:hAnsi="Arial"/>
          <w:sz w:val="17"/>
          <w:szCs w:val="17"/>
          <w:color w:val="1D1D1D"/>
        </w:rPr>
        <w:t xml:space="preserve"> </w:t>
      </w:r>
      <w:r>
        <w:rPr>
          <w:rFonts w:ascii="Arial" w:cs="Arial" w:eastAsia="Arial" w:hAnsi="Arial"/>
          <w:sz w:val="17"/>
          <w:szCs w:val="17"/>
          <w:color w:val="1C1C1C"/>
        </w:rPr>
        <w:t>Americans</w:t>
      </w:r>
      <w:r>
        <w:rPr>
          <w:rFonts w:ascii="Arial" w:cs="Arial" w:eastAsia="Arial" w:hAnsi="Arial"/>
          <w:sz w:val="17"/>
          <w:szCs w:val="17"/>
          <w:color w:val="1D1D1D"/>
        </w:rPr>
        <w:t xml:space="preserve"> </w:t>
      </w:r>
      <w:r>
        <w:rPr>
          <w:rFonts w:ascii="Arial" w:cs="Arial" w:eastAsia="Arial" w:hAnsi="Arial"/>
          <w:sz w:val="17"/>
          <w:szCs w:val="17"/>
          <w:color w:val="181818"/>
        </w:rPr>
        <w:t>with</w:t>
      </w:r>
      <w:r>
        <w:rPr>
          <w:rFonts w:ascii="Arial" w:cs="Arial" w:eastAsia="Arial" w:hAnsi="Arial"/>
          <w:sz w:val="17"/>
          <w:szCs w:val="17"/>
          <w:color w:val="1D1D1D"/>
        </w:rPr>
        <w:t xml:space="preserve"> </w:t>
      </w:r>
      <w:r>
        <w:rPr>
          <w:rFonts w:ascii="Arial" w:cs="Arial" w:eastAsia="Arial" w:hAnsi="Arial"/>
          <w:sz w:val="17"/>
          <w:szCs w:val="17"/>
          <w:color w:val="1F1F1F"/>
        </w:rPr>
        <w:t>Disabilities</w:t>
      </w:r>
      <w:r>
        <w:rPr>
          <w:rFonts w:ascii="Arial" w:cs="Arial" w:eastAsia="Arial" w:hAnsi="Arial"/>
          <w:sz w:val="17"/>
          <w:szCs w:val="17"/>
          <w:color w:val="1D1D1D"/>
        </w:rPr>
        <w:t xml:space="preserve"> </w:t>
      </w:r>
      <w:r>
        <w:rPr>
          <w:rFonts w:ascii="Arial" w:cs="Arial" w:eastAsia="Arial" w:hAnsi="Arial"/>
          <w:sz w:val="17"/>
          <w:szCs w:val="17"/>
          <w:color w:val="1A1A1A"/>
        </w:rPr>
        <w:t>Act,</w:t>
      </w:r>
      <w:r>
        <w:rPr>
          <w:rFonts w:ascii="Arial" w:cs="Arial" w:eastAsia="Arial" w:hAnsi="Arial"/>
          <w:sz w:val="17"/>
          <w:szCs w:val="17"/>
          <w:color w:val="1D1D1D"/>
        </w:rPr>
        <w:t xml:space="preserve"> </w:t>
      </w:r>
      <w:r>
        <w:rPr>
          <w:rFonts w:ascii="Arial" w:cs="Arial" w:eastAsia="Arial" w:hAnsi="Arial"/>
          <w:sz w:val="17"/>
          <w:szCs w:val="17"/>
          <w:color w:val="1C1C1C"/>
        </w:rPr>
        <w:t>the</w:t>
      </w:r>
      <w:r>
        <w:rPr>
          <w:rFonts w:ascii="Arial" w:cs="Arial" w:eastAsia="Arial" w:hAnsi="Arial"/>
          <w:sz w:val="17"/>
          <w:szCs w:val="17"/>
          <w:color w:val="1D1D1D"/>
        </w:rPr>
        <w:t xml:space="preserve"> </w:t>
      </w:r>
      <w:r>
        <w:rPr>
          <w:rFonts w:ascii="Arial" w:cs="Arial" w:eastAsia="Arial" w:hAnsi="Arial"/>
          <w:sz w:val="17"/>
          <w:szCs w:val="17"/>
          <w:color w:val="1F1F1F"/>
        </w:rPr>
        <w:t>Employee</w:t>
      </w:r>
      <w:r>
        <w:rPr>
          <w:rFonts w:ascii="Arial" w:cs="Arial" w:eastAsia="Arial" w:hAnsi="Arial"/>
          <w:sz w:val="17"/>
          <w:szCs w:val="17"/>
          <w:color w:val="1D1D1D"/>
        </w:rPr>
        <w:t xml:space="preserve"> </w:t>
      </w:r>
      <w:r>
        <w:rPr>
          <w:rFonts w:ascii="Arial" w:cs="Arial" w:eastAsia="Arial" w:hAnsi="Arial"/>
          <w:sz w:val="17"/>
          <w:szCs w:val="17"/>
          <w:color w:val="131313"/>
        </w:rPr>
        <w:t>Retirement</w:t>
      </w:r>
      <w:r>
        <w:rPr>
          <w:rFonts w:ascii="Arial" w:cs="Arial" w:eastAsia="Arial" w:hAnsi="Arial"/>
          <w:sz w:val="17"/>
          <w:szCs w:val="17"/>
          <w:color w:val="1D1D1D"/>
        </w:rPr>
        <w:t xml:space="preserve"> </w:t>
      </w:r>
      <w:r>
        <w:rPr>
          <w:rFonts w:ascii="Arial" w:cs="Arial" w:eastAsia="Arial" w:hAnsi="Arial"/>
          <w:sz w:val="17"/>
          <w:szCs w:val="17"/>
          <w:color w:val="111111"/>
        </w:rPr>
        <w:t>Income</w:t>
      </w:r>
      <w:r>
        <w:rPr>
          <w:rFonts w:ascii="Arial" w:cs="Arial" w:eastAsia="Arial" w:hAnsi="Arial"/>
          <w:sz w:val="17"/>
          <w:szCs w:val="17"/>
          <w:color w:val="1D1D1D"/>
        </w:rPr>
        <w:t xml:space="preserve"> </w:t>
      </w:r>
      <w:r>
        <w:rPr>
          <w:rFonts w:ascii="Arial" w:cs="Arial" w:eastAsia="Arial" w:hAnsi="Arial"/>
          <w:sz w:val="17"/>
          <w:szCs w:val="17"/>
          <w:color w:val="0C0C0C"/>
        </w:rPr>
        <w:t>Security</w:t>
      </w:r>
      <w:r>
        <w:rPr>
          <w:rFonts w:ascii="Arial" w:cs="Arial" w:eastAsia="Arial" w:hAnsi="Arial"/>
          <w:sz w:val="17"/>
          <w:szCs w:val="17"/>
          <w:color w:val="1D1D1D"/>
        </w:rPr>
        <w:t xml:space="preserve"> </w:t>
      </w:r>
      <w:r>
        <w:rPr>
          <w:rFonts w:ascii="Arial" w:cs="Arial" w:eastAsia="Arial" w:hAnsi="Arial"/>
          <w:sz w:val="17"/>
          <w:szCs w:val="17"/>
          <w:color w:val="1A1A1A"/>
        </w:rPr>
        <w:t>Act,</w:t>
      </w:r>
      <w:r>
        <w:rPr>
          <w:rFonts w:ascii="Arial" w:cs="Arial" w:eastAsia="Arial" w:hAnsi="Arial"/>
          <w:sz w:val="17"/>
          <w:szCs w:val="17"/>
          <w:color w:val="1D1D1D"/>
        </w:rPr>
        <w:t xml:space="preserve"> </w:t>
      </w:r>
      <w:r>
        <w:rPr>
          <w:rFonts w:ascii="Arial" w:cs="Arial" w:eastAsia="Arial" w:hAnsi="Arial"/>
          <w:sz w:val="17"/>
          <w:szCs w:val="17"/>
          <w:color w:val="262626"/>
        </w:rPr>
        <w:t>the</w:t>
      </w:r>
      <w:r>
        <w:rPr>
          <w:rFonts w:ascii="Arial" w:cs="Arial" w:eastAsia="Arial" w:hAnsi="Arial"/>
          <w:sz w:val="17"/>
          <w:szCs w:val="17"/>
          <w:color w:val="1D1D1D"/>
        </w:rPr>
        <w:t xml:space="preserve"> </w:t>
      </w:r>
      <w:r>
        <w:rPr>
          <w:rFonts w:ascii="Arial" w:cs="Arial" w:eastAsia="Arial" w:hAnsi="Arial"/>
          <w:sz w:val="17"/>
          <w:szCs w:val="17"/>
          <w:color w:val="151515"/>
        </w:rPr>
        <w:t xml:space="preserve">Family </w:t>
      </w:r>
      <w:r>
        <w:rPr>
          <w:rFonts w:ascii="Arial" w:cs="Arial" w:eastAsia="Arial" w:hAnsi="Arial"/>
          <w:sz w:val="17"/>
          <w:szCs w:val="17"/>
          <w:color w:val="1A1A1A"/>
        </w:rPr>
        <w:t>and Medical</w:t>
      </w:r>
      <w:r>
        <w:rPr>
          <w:rFonts w:ascii="Arial" w:cs="Arial" w:eastAsia="Arial" w:hAnsi="Arial"/>
          <w:sz w:val="17"/>
          <w:szCs w:val="17"/>
          <w:color w:val="151515"/>
        </w:rPr>
        <w:t xml:space="preserve"> </w:t>
      </w:r>
      <w:r>
        <w:rPr>
          <w:rFonts w:ascii="Arial" w:cs="Arial" w:eastAsia="Arial" w:hAnsi="Arial"/>
          <w:sz w:val="17"/>
          <w:szCs w:val="17"/>
          <w:color w:val="1C1C1C"/>
        </w:rPr>
        <w:t>Leave</w:t>
      </w:r>
      <w:r>
        <w:rPr>
          <w:rFonts w:ascii="Arial" w:cs="Arial" w:eastAsia="Arial" w:hAnsi="Arial"/>
          <w:sz w:val="17"/>
          <w:szCs w:val="17"/>
          <w:color w:val="151515"/>
        </w:rPr>
        <w:t xml:space="preserve"> </w:t>
      </w:r>
      <w:r>
        <w:rPr>
          <w:rFonts w:ascii="Arial" w:cs="Arial" w:eastAsia="Arial" w:hAnsi="Arial"/>
          <w:sz w:val="17"/>
          <w:szCs w:val="17"/>
          <w:color w:val="181818"/>
        </w:rPr>
        <w:t>Act,</w:t>
      </w:r>
      <w:r>
        <w:rPr>
          <w:rFonts w:ascii="Arial" w:cs="Arial" w:eastAsia="Arial" w:hAnsi="Arial"/>
          <w:sz w:val="17"/>
          <w:szCs w:val="17"/>
          <w:color w:val="151515"/>
        </w:rPr>
        <w:t xml:space="preserve"> </w:t>
      </w:r>
      <w:r>
        <w:rPr>
          <w:rFonts w:ascii="Arial" w:cs="Arial" w:eastAsia="Arial" w:hAnsi="Arial"/>
          <w:sz w:val="17"/>
          <w:szCs w:val="17"/>
          <w:color w:val="1C1C1C"/>
        </w:rPr>
        <w:t>the</w:t>
      </w:r>
      <w:r>
        <w:rPr>
          <w:rFonts w:ascii="Arial" w:cs="Arial" w:eastAsia="Arial" w:hAnsi="Arial"/>
          <w:sz w:val="17"/>
          <w:szCs w:val="17"/>
          <w:color w:val="151515"/>
        </w:rPr>
        <w:t xml:space="preserve"> </w:t>
      </w:r>
      <w:r>
        <w:rPr>
          <w:rFonts w:ascii="Arial" w:cs="Arial" w:eastAsia="Arial" w:hAnsi="Arial"/>
          <w:sz w:val="17"/>
          <w:szCs w:val="17"/>
          <w:color w:val="2A2A2A"/>
        </w:rPr>
        <w:t>Fair</w:t>
      </w:r>
      <w:r>
        <w:rPr>
          <w:rFonts w:ascii="Arial" w:cs="Arial" w:eastAsia="Arial" w:hAnsi="Arial"/>
          <w:sz w:val="17"/>
          <w:szCs w:val="17"/>
          <w:color w:val="151515"/>
        </w:rPr>
        <w:t xml:space="preserve"> </w:t>
      </w:r>
      <w:r>
        <w:rPr>
          <w:rFonts w:ascii="Arial" w:cs="Arial" w:eastAsia="Arial" w:hAnsi="Arial"/>
          <w:sz w:val="17"/>
          <w:szCs w:val="17"/>
          <w:color w:val="1A1A1A"/>
        </w:rPr>
        <w:t>Labor Standards</w:t>
      </w:r>
      <w:r>
        <w:rPr>
          <w:rFonts w:ascii="Arial" w:cs="Arial" w:eastAsia="Arial" w:hAnsi="Arial"/>
          <w:sz w:val="17"/>
          <w:szCs w:val="17"/>
          <w:color w:val="151515"/>
        </w:rPr>
        <w:t xml:space="preserve"> </w:t>
      </w:r>
      <w:r>
        <w:rPr>
          <w:rFonts w:ascii="Arial" w:cs="Arial" w:eastAsia="Arial" w:hAnsi="Arial"/>
          <w:sz w:val="17"/>
          <w:szCs w:val="17"/>
          <w:color w:val="131313"/>
        </w:rPr>
        <w:t>Act,</w:t>
      </w:r>
      <w:r>
        <w:rPr>
          <w:rFonts w:ascii="Arial" w:cs="Arial" w:eastAsia="Arial" w:hAnsi="Arial"/>
          <w:sz w:val="17"/>
          <w:szCs w:val="17"/>
          <w:color w:val="151515"/>
        </w:rPr>
        <w:t xml:space="preserve"> </w:t>
      </w:r>
      <w:r>
        <w:rPr>
          <w:rFonts w:ascii="Arial" w:cs="Arial" w:eastAsia="Arial" w:hAnsi="Arial"/>
          <w:sz w:val="17"/>
          <w:szCs w:val="17"/>
          <w:color w:val="1C1C1C"/>
        </w:rPr>
        <w:t>the</w:t>
      </w:r>
      <w:r>
        <w:rPr>
          <w:rFonts w:ascii="Arial" w:cs="Arial" w:eastAsia="Arial" w:hAnsi="Arial"/>
          <w:sz w:val="17"/>
          <w:szCs w:val="17"/>
          <w:color w:val="151515"/>
        </w:rPr>
        <w:t xml:space="preserve"> </w:t>
      </w:r>
      <w:r>
        <w:rPr>
          <w:rFonts w:ascii="Arial" w:cs="Arial" w:eastAsia="Arial" w:hAnsi="Arial"/>
          <w:sz w:val="17"/>
          <w:szCs w:val="17"/>
          <w:color w:val="161616"/>
        </w:rPr>
        <w:t>Age</w:t>
      </w:r>
      <w:r>
        <w:rPr>
          <w:rFonts w:ascii="Arial" w:cs="Arial" w:eastAsia="Arial" w:hAnsi="Arial"/>
          <w:sz w:val="17"/>
          <w:szCs w:val="17"/>
          <w:color w:val="151515"/>
        </w:rPr>
        <w:t xml:space="preserve"> </w:t>
      </w:r>
      <w:r>
        <w:rPr>
          <w:rFonts w:ascii="Arial" w:cs="Arial" w:eastAsia="Arial" w:hAnsi="Arial"/>
          <w:sz w:val="17"/>
          <w:szCs w:val="17"/>
          <w:color w:val="0E0E0E"/>
        </w:rPr>
        <w:t>Discrimination</w:t>
      </w:r>
      <w:r>
        <w:rPr>
          <w:rFonts w:ascii="Arial" w:cs="Arial" w:eastAsia="Arial" w:hAnsi="Arial"/>
          <w:sz w:val="17"/>
          <w:szCs w:val="17"/>
          <w:color w:val="151515"/>
        </w:rPr>
        <w:t xml:space="preserve"> </w:t>
      </w:r>
      <w:r>
        <w:rPr>
          <w:rFonts w:ascii="Arial" w:cs="Arial" w:eastAsia="Arial" w:hAnsi="Arial"/>
          <w:sz w:val="17"/>
          <w:szCs w:val="17"/>
          <w:color w:val="1C1C1C"/>
        </w:rPr>
        <w:t>in</w:t>
      </w:r>
      <w:r>
        <w:rPr>
          <w:rFonts w:ascii="Arial" w:cs="Arial" w:eastAsia="Arial" w:hAnsi="Arial"/>
          <w:sz w:val="17"/>
          <w:szCs w:val="17"/>
          <w:color w:val="151515"/>
        </w:rPr>
        <w:t xml:space="preserve"> </w:t>
      </w:r>
      <w:r>
        <w:rPr>
          <w:rFonts w:ascii="Arial" w:cs="Arial" w:eastAsia="Arial" w:hAnsi="Arial"/>
          <w:sz w:val="17"/>
          <w:szCs w:val="17"/>
          <w:color w:val="111111"/>
        </w:rPr>
        <w:t>Employment</w:t>
      </w:r>
      <w:r>
        <w:rPr>
          <w:rFonts w:ascii="Arial" w:cs="Arial" w:eastAsia="Arial" w:hAnsi="Arial"/>
          <w:sz w:val="17"/>
          <w:szCs w:val="17"/>
          <w:color w:val="151515"/>
        </w:rPr>
        <w:t xml:space="preserve"> </w:t>
      </w:r>
      <w:r>
        <w:rPr>
          <w:rFonts w:ascii="Arial" w:cs="Arial" w:eastAsia="Arial" w:hAnsi="Arial"/>
          <w:sz w:val="17"/>
          <w:szCs w:val="17"/>
          <w:color w:val="1A1A1A"/>
        </w:rPr>
        <w:t>Act,</w:t>
      </w:r>
      <w:r>
        <w:rPr>
          <w:rFonts w:ascii="Arial" w:cs="Arial" w:eastAsia="Arial" w:hAnsi="Arial"/>
          <w:sz w:val="17"/>
          <w:szCs w:val="17"/>
          <w:color w:val="151515"/>
        </w:rPr>
        <w:t xml:space="preserve"> </w:t>
      </w:r>
      <w:r>
        <w:rPr>
          <w:rFonts w:ascii="Arial" w:cs="Arial" w:eastAsia="Arial" w:hAnsi="Arial"/>
          <w:sz w:val="17"/>
          <w:szCs w:val="17"/>
          <w:color w:val="282828"/>
        </w:rPr>
        <w:t>and</w:t>
      </w:r>
      <w:r>
        <w:rPr>
          <w:rFonts w:ascii="Arial" w:cs="Arial" w:eastAsia="Arial" w:hAnsi="Arial"/>
          <w:sz w:val="17"/>
          <w:szCs w:val="17"/>
          <w:color w:val="151515"/>
        </w:rPr>
        <w:t xml:space="preserve"> </w:t>
      </w:r>
      <w:r>
        <w:rPr>
          <w:rFonts w:ascii="Arial" w:cs="Arial" w:eastAsia="Arial" w:hAnsi="Arial"/>
          <w:sz w:val="17"/>
          <w:szCs w:val="17"/>
          <w:color w:val="1D1D1D"/>
        </w:rPr>
        <w:t>the</w:t>
      </w:r>
      <w:r>
        <w:rPr>
          <w:rFonts w:ascii="Arial" w:cs="Arial" w:eastAsia="Arial" w:hAnsi="Arial"/>
          <w:sz w:val="17"/>
          <w:szCs w:val="17"/>
          <w:color w:val="151515"/>
        </w:rPr>
        <w:t xml:space="preserve"> </w:t>
      </w:r>
      <w:r>
        <w:rPr>
          <w:rFonts w:ascii="Arial" w:cs="Arial" w:eastAsia="Arial" w:hAnsi="Arial"/>
          <w:sz w:val="17"/>
          <w:szCs w:val="17"/>
          <w:color w:val="111111"/>
        </w:rPr>
        <w:t>Occupational</w:t>
      </w:r>
      <w:r>
        <w:rPr>
          <w:rFonts w:ascii="Arial" w:cs="Arial" w:eastAsia="Arial" w:hAnsi="Arial"/>
          <w:sz w:val="17"/>
          <w:szCs w:val="17"/>
          <w:color w:val="151515"/>
        </w:rPr>
        <w:t xml:space="preserve"> </w:t>
      </w:r>
      <w:r>
        <w:rPr>
          <w:rFonts w:ascii="Arial" w:cs="Arial" w:eastAsia="Arial" w:hAnsi="Arial"/>
          <w:sz w:val="17"/>
          <w:szCs w:val="17"/>
          <w:color w:val="1A1A1A"/>
        </w:rPr>
        <w:t>Safety and</w:t>
      </w:r>
      <w:r>
        <w:rPr>
          <w:rFonts w:ascii="Arial" w:cs="Arial" w:eastAsia="Arial" w:hAnsi="Arial"/>
          <w:sz w:val="17"/>
          <w:szCs w:val="17"/>
          <w:color w:val="151515"/>
        </w:rPr>
        <w:t xml:space="preserve"> </w:t>
      </w:r>
      <w:r>
        <w:rPr>
          <w:rFonts w:ascii="Arial" w:cs="Arial" w:eastAsia="Arial" w:hAnsi="Arial"/>
          <w:sz w:val="17"/>
          <w:szCs w:val="17"/>
          <w:color w:val="1C1C1C"/>
        </w:rPr>
        <w:t xml:space="preserve">Health </w:t>
      </w:r>
      <w:r>
        <w:rPr>
          <w:rFonts w:ascii="Arial" w:cs="Arial" w:eastAsia="Arial" w:hAnsi="Arial"/>
          <w:sz w:val="17"/>
          <w:szCs w:val="17"/>
          <w:color w:val="000000"/>
        </w:rPr>
        <w:t>Act.</w:t>
      </w:r>
      <w:r>
        <w:rPr>
          <w:rFonts w:ascii="Arial" w:cs="Arial" w:eastAsia="Arial" w:hAnsi="Arial"/>
          <w:sz w:val="17"/>
          <w:szCs w:val="17"/>
          <w:color w:val="1C1C1C"/>
        </w:rPr>
        <w:t xml:space="preserve"> </w:t>
      </w:r>
      <w:r>
        <w:rPr>
          <w:rFonts w:ascii="Arial" w:cs="Arial" w:eastAsia="Arial" w:hAnsi="Arial"/>
          <w:sz w:val="17"/>
          <w:szCs w:val="17"/>
          <w:color w:val="050505"/>
        </w:rPr>
        <w:t>Executive</w:t>
      </w:r>
      <w:r>
        <w:rPr>
          <w:rFonts w:ascii="Arial" w:cs="Arial" w:eastAsia="Arial" w:hAnsi="Arial"/>
          <w:sz w:val="17"/>
          <w:szCs w:val="17"/>
          <w:color w:val="1C1C1C"/>
        </w:rPr>
        <w:t xml:space="preserve"> </w:t>
      </w:r>
      <w:r>
        <w:rPr>
          <w:rFonts w:ascii="Arial" w:cs="Arial" w:eastAsia="Arial" w:hAnsi="Arial"/>
          <w:sz w:val="17"/>
          <w:szCs w:val="17"/>
          <w:color w:val="181818"/>
        </w:rPr>
        <w:t>represents that</w:t>
      </w:r>
      <w:r>
        <w:rPr>
          <w:rFonts w:ascii="Arial" w:cs="Arial" w:eastAsia="Arial" w:hAnsi="Arial"/>
          <w:sz w:val="17"/>
          <w:szCs w:val="17"/>
          <w:color w:val="1C1C1C"/>
        </w:rPr>
        <w:t xml:space="preserve"> </w:t>
      </w:r>
      <w:r>
        <w:rPr>
          <w:rFonts w:ascii="Arial" w:cs="Arial" w:eastAsia="Arial" w:hAnsi="Arial"/>
          <w:sz w:val="17"/>
          <w:szCs w:val="17"/>
          <w:color w:val="262626"/>
        </w:rPr>
        <w:t>he</w:t>
      </w:r>
      <w:r>
        <w:rPr>
          <w:rFonts w:ascii="Arial" w:cs="Arial" w:eastAsia="Arial" w:hAnsi="Arial"/>
          <w:sz w:val="17"/>
          <w:szCs w:val="17"/>
          <w:color w:val="1C1C1C"/>
        </w:rPr>
        <w:t xml:space="preserve"> has </w:t>
      </w:r>
      <w:r>
        <w:rPr>
          <w:rFonts w:ascii="Arial" w:cs="Arial" w:eastAsia="Arial" w:hAnsi="Arial"/>
          <w:sz w:val="17"/>
          <w:szCs w:val="17"/>
          <w:color w:val="1D1D1D"/>
        </w:rPr>
        <w:t>not</w:t>
      </w:r>
      <w:r>
        <w:rPr>
          <w:rFonts w:ascii="Arial" w:cs="Arial" w:eastAsia="Arial" w:hAnsi="Arial"/>
          <w:sz w:val="17"/>
          <w:szCs w:val="17"/>
          <w:color w:val="1C1C1C"/>
        </w:rPr>
        <w:t xml:space="preserve"> </w:t>
      </w:r>
      <w:r>
        <w:rPr>
          <w:rFonts w:ascii="Arial" w:cs="Arial" w:eastAsia="Arial" w:hAnsi="Arial"/>
          <w:sz w:val="17"/>
          <w:szCs w:val="17"/>
          <w:color w:val="131313"/>
        </w:rPr>
        <w:t>assigned</w:t>
      </w:r>
      <w:r>
        <w:rPr>
          <w:rFonts w:ascii="Arial" w:cs="Arial" w:eastAsia="Arial" w:hAnsi="Arial"/>
          <w:sz w:val="17"/>
          <w:szCs w:val="17"/>
          <w:color w:val="1C1C1C"/>
        </w:rPr>
        <w:t xml:space="preserve"> </w:t>
      </w:r>
      <w:r>
        <w:rPr>
          <w:rFonts w:ascii="Arial" w:cs="Arial" w:eastAsia="Arial" w:hAnsi="Arial"/>
          <w:sz w:val="17"/>
          <w:szCs w:val="17"/>
          <w:color w:val="161616"/>
        </w:rPr>
        <w:t>to any</w:t>
      </w:r>
      <w:r>
        <w:rPr>
          <w:rFonts w:ascii="Arial" w:cs="Arial" w:eastAsia="Arial" w:hAnsi="Arial"/>
          <w:sz w:val="17"/>
          <w:szCs w:val="17"/>
          <w:color w:val="1C1C1C"/>
        </w:rPr>
        <w:t xml:space="preserve"> </w:t>
      </w:r>
      <w:r>
        <w:rPr>
          <w:rFonts w:ascii="Arial" w:cs="Arial" w:eastAsia="Arial" w:hAnsi="Arial"/>
          <w:sz w:val="17"/>
          <w:szCs w:val="17"/>
          <w:color w:val="181818"/>
        </w:rPr>
        <w:t>other</w:t>
      </w:r>
      <w:r>
        <w:rPr>
          <w:rFonts w:ascii="Arial" w:cs="Arial" w:eastAsia="Arial" w:hAnsi="Arial"/>
          <w:sz w:val="17"/>
          <w:szCs w:val="17"/>
          <w:color w:val="1C1C1C"/>
        </w:rPr>
        <w:t xml:space="preserve"> </w:t>
      </w:r>
      <w:r>
        <w:rPr>
          <w:rFonts w:ascii="Arial" w:cs="Arial" w:eastAsia="Arial" w:hAnsi="Arial"/>
          <w:sz w:val="17"/>
          <w:szCs w:val="17"/>
          <w:color w:val="1A1A1A"/>
        </w:rPr>
        <w:t>person any of</w:t>
      </w:r>
      <w:r>
        <w:rPr>
          <w:rFonts w:ascii="Arial" w:cs="Arial" w:eastAsia="Arial" w:hAnsi="Arial"/>
          <w:sz w:val="17"/>
          <w:szCs w:val="17"/>
          <w:color w:val="1C1C1C"/>
        </w:rPr>
        <w:t xml:space="preserve"> </w:t>
      </w:r>
      <w:r>
        <w:rPr>
          <w:rFonts w:ascii="Arial" w:cs="Arial" w:eastAsia="Arial" w:hAnsi="Arial"/>
          <w:sz w:val="17"/>
          <w:szCs w:val="17"/>
          <w:color w:val="111111"/>
        </w:rPr>
        <w:t>such</w:t>
      </w:r>
      <w:r>
        <w:rPr>
          <w:rFonts w:ascii="Arial" w:cs="Arial" w:eastAsia="Arial" w:hAnsi="Arial"/>
          <w:sz w:val="17"/>
          <w:szCs w:val="17"/>
          <w:color w:val="1C1C1C"/>
        </w:rPr>
        <w:t xml:space="preserve"> </w:t>
      </w:r>
      <w:r>
        <w:rPr>
          <w:rFonts w:ascii="Arial" w:cs="Arial" w:eastAsia="Arial" w:hAnsi="Arial"/>
          <w:sz w:val="17"/>
          <w:szCs w:val="17"/>
          <w:color w:val="0C0C0C"/>
        </w:rPr>
        <w:t>claims</w:t>
      </w:r>
      <w:r>
        <w:rPr>
          <w:rFonts w:ascii="Arial" w:cs="Arial" w:eastAsia="Arial" w:hAnsi="Arial"/>
          <w:sz w:val="17"/>
          <w:szCs w:val="17"/>
          <w:color w:val="1C1C1C"/>
        </w:rPr>
        <w:t xml:space="preserve"> </w:t>
      </w:r>
      <w:r>
        <w:rPr>
          <w:rFonts w:ascii="Arial" w:cs="Arial" w:eastAsia="Arial" w:hAnsi="Arial"/>
          <w:sz w:val="17"/>
          <w:szCs w:val="17"/>
          <w:color w:val="111111"/>
        </w:rPr>
        <w:t>and</w:t>
      </w:r>
      <w:r>
        <w:rPr>
          <w:rFonts w:ascii="Arial" w:cs="Arial" w:eastAsia="Arial" w:hAnsi="Arial"/>
          <w:sz w:val="17"/>
          <w:szCs w:val="17"/>
          <w:color w:val="1C1C1C"/>
        </w:rPr>
        <w:t xml:space="preserve"> </w:t>
      </w:r>
      <w:r>
        <w:rPr>
          <w:rFonts w:ascii="Arial" w:cs="Arial" w:eastAsia="Arial" w:hAnsi="Arial"/>
          <w:sz w:val="17"/>
          <w:szCs w:val="17"/>
          <w:color w:val="0F0F0F"/>
        </w:rPr>
        <w:t>that</w:t>
      </w:r>
      <w:r>
        <w:rPr>
          <w:rFonts w:ascii="Arial" w:cs="Arial" w:eastAsia="Arial" w:hAnsi="Arial"/>
          <w:sz w:val="17"/>
          <w:szCs w:val="17"/>
          <w:color w:val="1C1C1C"/>
        </w:rPr>
        <w:t xml:space="preserve"> he </w:t>
      </w:r>
      <w:r>
        <w:rPr>
          <w:rFonts w:ascii="Arial" w:cs="Arial" w:eastAsia="Arial" w:hAnsi="Arial"/>
          <w:sz w:val="17"/>
          <w:szCs w:val="17"/>
          <w:color w:val="262626"/>
        </w:rPr>
        <w:t>has</w:t>
      </w:r>
      <w:r>
        <w:rPr>
          <w:rFonts w:ascii="Arial" w:cs="Arial" w:eastAsia="Arial" w:hAnsi="Arial"/>
          <w:sz w:val="17"/>
          <w:szCs w:val="17"/>
          <w:color w:val="1C1C1C"/>
        </w:rPr>
        <w:t xml:space="preserve"> </w:t>
      </w:r>
      <w:r>
        <w:rPr>
          <w:rFonts w:ascii="Arial" w:cs="Arial" w:eastAsia="Arial" w:hAnsi="Arial"/>
          <w:sz w:val="17"/>
          <w:szCs w:val="17"/>
          <w:color w:val="1A1A1A"/>
        </w:rPr>
        <w:t>the</w:t>
      </w:r>
      <w:r>
        <w:rPr>
          <w:rFonts w:ascii="Arial" w:cs="Arial" w:eastAsia="Arial" w:hAnsi="Arial"/>
          <w:sz w:val="17"/>
          <w:szCs w:val="17"/>
          <w:color w:val="1C1C1C"/>
        </w:rPr>
        <w:t xml:space="preserve"> </w:t>
      </w:r>
      <w:r>
        <w:rPr>
          <w:rFonts w:ascii="Arial" w:cs="Arial" w:eastAsia="Arial" w:hAnsi="Arial"/>
          <w:sz w:val="17"/>
          <w:szCs w:val="17"/>
          <w:color w:val="242424"/>
        </w:rPr>
        <w:t>full</w:t>
      </w:r>
      <w:r>
        <w:rPr>
          <w:rFonts w:ascii="Arial" w:cs="Arial" w:eastAsia="Arial" w:hAnsi="Arial"/>
          <w:sz w:val="17"/>
          <w:szCs w:val="17"/>
          <w:color w:val="1C1C1C"/>
        </w:rPr>
        <w:t xml:space="preserve"> </w:t>
      </w:r>
      <w:r>
        <w:rPr>
          <w:rFonts w:ascii="Arial" w:cs="Arial" w:eastAsia="Arial" w:hAnsi="Arial"/>
          <w:sz w:val="17"/>
          <w:szCs w:val="17"/>
          <w:color w:val="1F1F1F"/>
        </w:rPr>
        <w:t>right</w:t>
      </w:r>
      <w:r>
        <w:rPr>
          <w:rFonts w:ascii="Arial" w:cs="Arial" w:eastAsia="Arial" w:hAnsi="Arial"/>
          <w:sz w:val="17"/>
          <w:szCs w:val="17"/>
          <w:color w:val="1C1C1C"/>
        </w:rPr>
        <w:t xml:space="preserve"> </w:t>
      </w:r>
      <w:r>
        <w:rPr>
          <w:rFonts w:ascii="Arial" w:cs="Arial" w:eastAsia="Arial" w:hAnsi="Arial"/>
          <w:sz w:val="17"/>
          <w:szCs w:val="17"/>
          <w:color w:val="2A2A2A"/>
        </w:rPr>
        <w:t>to</w:t>
      </w:r>
      <w:r>
        <w:rPr>
          <w:rFonts w:ascii="Arial" w:cs="Arial" w:eastAsia="Arial" w:hAnsi="Arial"/>
          <w:sz w:val="17"/>
          <w:szCs w:val="17"/>
          <w:color w:val="1C1C1C"/>
        </w:rPr>
        <w:t xml:space="preserve"> </w:t>
      </w:r>
      <w:r>
        <w:rPr>
          <w:rFonts w:ascii="Arial" w:cs="Arial" w:eastAsia="Arial" w:hAnsi="Arial"/>
          <w:sz w:val="17"/>
          <w:szCs w:val="17"/>
          <w:color w:val="232323"/>
        </w:rPr>
        <w:t>grant</w:t>
      </w:r>
      <w:r>
        <w:rPr>
          <w:rFonts w:ascii="Arial" w:cs="Arial" w:eastAsia="Arial" w:hAnsi="Arial"/>
          <w:sz w:val="17"/>
          <w:szCs w:val="17"/>
          <w:color w:val="1C1C1C"/>
        </w:rPr>
        <w:t xml:space="preserve"> </w:t>
      </w:r>
      <w:r>
        <w:rPr>
          <w:rFonts w:ascii="Arial" w:cs="Arial" w:eastAsia="Arial" w:hAnsi="Arial"/>
          <w:sz w:val="17"/>
          <w:szCs w:val="17"/>
          <w:color w:val="181818"/>
        </w:rPr>
        <w:t>this</w:t>
      </w:r>
      <w:r>
        <w:rPr>
          <w:rFonts w:ascii="Arial" w:cs="Arial" w:eastAsia="Arial" w:hAnsi="Arial"/>
          <w:sz w:val="17"/>
          <w:szCs w:val="17"/>
          <w:color w:val="1C1C1C"/>
        </w:rPr>
        <w:t xml:space="preserve"> </w:t>
      </w:r>
      <w:r>
        <w:rPr>
          <w:rFonts w:ascii="Arial" w:cs="Arial" w:eastAsia="Arial" w:hAnsi="Arial"/>
          <w:sz w:val="17"/>
          <w:szCs w:val="17"/>
          <w:color w:val="151515"/>
        </w:rPr>
        <w:t>release.</w:t>
      </w:r>
      <w:r>
        <w:rPr>
          <w:rFonts w:ascii="Arial" w:cs="Arial" w:eastAsia="Arial" w:hAnsi="Arial"/>
          <w:sz w:val="17"/>
          <w:szCs w:val="17"/>
          <w:color w:val="1C1C1C"/>
        </w:rPr>
        <w:t xml:space="preserve"> </w:t>
      </w:r>
      <w:r>
        <w:rPr>
          <w:rFonts w:ascii="Arial" w:cs="Arial" w:eastAsia="Arial" w:hAnsi="Arial"/>
          <w:sz w:val="17"/>
          <w:szCs w:val="17"/>
          <w:color w:val="111111"/>
        </w:rPr>
        <w:t xml:space="preserve">Notwithstanding </w:t>
      </w:r>
      <w:r>
        <w:rPr>
          <w:rFonts w:ascii="Arial" w:cs="Arial" w:eastAsia="Arial" w:hAnsi="Arial"/>
          <w:sz w:val="17"/>
          <w:szCs w:val="17"/>
          <w:color w:val="0C0C0C"/>
        </w:rPr>
        <w:t>any</w:t>
      </w:r>
      <w:r>
        <w:rPr>
          <w:rFonts w:ascii="Arial" w:cs="Arial" w:eastAsia="Arial" w:hAnsi="Arial"/>
          <w:sz w:val="17"/>
          <w:szCs w:val="17"/>
          <w:color w:val="111111"/>
        </w:rPr>
        <w:t xml:space="preserve"> </w:t>
      </w:r>
      <w:r>
        <w:rPr>
          <w:rFonts w:ascii="Arial" w:cs="Arial" w:eastAsia="Arial" w:hAnsi="Arial"/>
          <w:sz w:val="17"/>
          <w:szCs w:val="17"/>
          <w:color w:val="1F1F1F"/>
        </w:rPr>
        <w:t>other</w:t>
      </w:r>
      <w:r>
        <w:rPr>
          <w:rFonts w:ascii="Arial" w:cs="Arial" w:eastAsia="Arial" w:hAnsi="Arial"/>
          <w:sz w:val="17"/>
          <w:szCs w:val="17"/>
          <w:color w:val="111111"/>
        </w:rPr>
        <w:t xml:space="preserve"> provision </w:t>
      </w:r>
      <w:r>
        <w:rPr>
          <w:rFonts w:ascii="Arial" w:cs="Arial" w:eastAsia="Arial" w:hAnsi="Arial"/>
          <w:sz w:val="17"/>
          <w:szCs w:val="17"/>
          <w:color w:val="1C1C1C"/>
        </w:rPr>
        <w:t>herein,</w:t>
      </w:r>
      <w:r>
        <w:rPr>
          <w:rFonts w:ascii="Arial" w:cs="Arial" w:eastAsia="Arial" w:hAnsi="Arial"/>
          <w:sz w:val="17"/>
          <w:szCs w:val="17"/>
          <w:color w:val="111111"/>
        </w:rPr>
        <w:t xml:space="preserve"> </w:t>
      </w:r>
      <w:r>
        <w:rPr>
          <w:rFonts w:ascii="Arial" w:cs="Arial" w:eastAsia="Arial" w:hAnsi="Arial"/>
          <w:sz w:val="17"/>
          <w:szCs w:val="17"/>
          <w:color w:val="0A0A0A"/>
        </w:rPr>
        <w:t>Executive</w:t>
      </w:r>
      <w:r>
        <w:rPr>
          <w:rFonts w:ascii="Arial" w:cs="Arial" w:eastAsia="Arial" w:hAnsi="Arial"/>
          <w:sz w:val="17"/>
          <w:szCs w:val="17"/>
          <w:color w:val="111111"/>
        </w:rPr>
        <w:t xml:space="preserve"> </w:t>
      </w:r>
      <w:r>
        <w:rPr>
          <w:rFonts w:ascii="Arial" w:cs="Arial" w:eastAsia="Arial" w:hAnsi="Arial"/>
          <w:sz w:val="17"/>
          <w:szCs w:val="17"/>
          <w:color w:val="1F1F1F"/>
        </w:rPr>
        <w:t>and</w:t>
      </w:r>
      <w:r>
        <w:rPr>
          <w:rFonts w:ascii="Arial" w:cs="Arial" w:eastAsia="Arial" w:hAnsi="Arial"/>
          <w:sz w:val="17"/>
          <w:szCs w:val="17"/>
          <w:color w:val="111111"/>
        </w:rPr>
        <w:t xml:space="preserve"> </w:t>
      </w:r>
      <w:r>
        <w:rPr>
          <w:rFonts w:ascii="Arial" w:cs="Arial" w:eastAsia="Arial" w:hAnsi="Arial"/>
          <w:sz w:val="17"/>
          <w:szCs w:val="17"/>
          <w:color w:val="1A1A1A"/>
        </w:rPr>
        <w:t>the Company</w:t>
      </w:r>
      <w:r>
        <w:rPr>
          <w:rFonts w:ascii="Arial" w:cs="Arial" w:eastAsia="Arial" w:hAnsi="Arial"/>
          <w:sz w:val="17"/>
          <w:szCs w:val="17"/>
          <w:color w:val="111111"/>
        </w:rPr>
        <w:t xml:space="preserve"> </w:t>
      </w:r>
      <w:r>
        <w:rPr>
          <w:rFonts w:ascii="Arial" w:cs="Arial" w:eastAsia="Arial" w:hAnsi="Arial"/>
          <w:sz w:val="17"/>
          <w:szCs w:val="17"/>
          <w:color w:val="131313"/>
        </w:rPr>
        <w:t>agree</w:t>
      </w:r>
      <w:r>
        <w:rPr>
          <w:rFonts w:ascii="Arial" w:cs="Arial" w:eastAsia="Arial" w:hAnsi="Arial"/>
          <w:sz w:val="17"/>
          <w:szCs w:val="17"/>
          <w:color w:val="111111"/>
        </w:rPr>
        <w:t xml:space="preserve"> </w:t>
      </w:r>
      <w:r>
        <w:rPr>
          <w:rFonts w:ascii="Arial" w:cs="Arial" w:eastAsia="Arial" w:hAnsi="Arial"/>
          <w:sz w:val="17"/>
          <w:szCs w:val="17"/>
          <w:color w:val="161616"/>
        </w:rPr>
        <w:t>that</w:t>
      </w:r>
      <w:r>
        <w:rPr>
          <w:rFonts w:ascii="Arial" w:cs="Arial" w:eastAsia="Arial" w:hAnsi="Arial"/>
          <w:sz w:val="17"/>
          <w:szCs w:val="17"/>
          <w:color w:val="111111"/>
        </w:rPr>
        <w:t xml:space="preserve"> </w:t>
      </w:r>
      <w:r>
        <w:rPr>
          <w:rFonts w:ascii="Arial" w:cs="Arial" w:eastAsia="Arial" w:hAnsi="Arial"/>
          <w:sz w:val="17"/>
          <w:szCs w:val="17"/>
          <w:color w:val="181818"/>
        </w:rPr>
        <w:t>Executive is</w:t>
      </w:r>
      <w:r>
        <w:rPr>
          <w:rFonts w:ascii="Arial" w:cs="Arial" w:eastAsia="Arial" w:hAnsi="Arial"/>
          <w:sz w:val="17"/>
          <w:szCs w:val="17"/>
          <w:color w:val="111111"/>
        </w:rPr>
        <w:t xml:space="preserve"> </w:t>
      </w:r>
      <w:r>
        <w:rPr>
          <w:rFonts w:ascii="Arial" w:cs="Arial" w:eastAsia="Arial" w:hAnsi="Arial"/>
          <w:sz w:val="17"/>
          <w:szCs w:val="17"/>
          <w:color w:val="0C0C0C"/>
        </w:rPr>
        <w:t>not</w:t>
      </w:r>
      <w:r>
        <w:rPr>
          <w:rFonts w:ascii="Arial" w:cs="Arial" w:eastAsia="Arial" w:hAnsi="Arial"/>
          <w:sz w:val="17"/>
          <w:szCs w:val="17"/>
          <w:color w:val="111111"/>
        </w:rPr>
        <w:t xml:space="preserve"> </w:t>
      </w:r>
      <w:r>
        <w:rPr>
          <w:rFonts w:ascii="Arial" w:cs="Arial" w:eastAsia="Arial" w:hAnsi="Arial"/>
          <w:sz w:val="17"/>
          <w:szCs w:val="17"/>
          <w:color w:val="0F0F0F"/>
        </w:rPr>
        <w:t>waiving</w:t>
      </w:r>
      <w:r>
        <w:rPr>
          <w:rFonts w:ascii="Arial" w:cs="Arial" w:eastAsia="Arial" w:hAnsi="Arial"/>
          <w:sz w:val="17"/>
          <w:szCs w:val="17"/>
          <w:color w:val="111111"/>
        </w:rPr>
        <w:t xml:space="preserve"> </w:t>
      </w:r>
      <w:r>
        <w:rPr>
          <w:rFonts w:ascii="Arial" w:cs="Arial" w:eastAsia="Arial" w:hAnsi="Arial"/>
          <w:sz w:val="17"/>
          <w:szCs w:val="17"/>
          <w:color w:val="151515"/>
        </w:rPr>
        <w:t>any</w:t>
      </w:r>
      <w:r>
        <w:rPr>
          <w:rFonts w:ascii="Arial" w:cs="Arial" w:eastAsia="Arial" w:hAnsi="Arial"/>
          <w:sz w:val="17"/>
          <w:szCs w:val="17"/>
          <w:color w:val="111111"/>
        </w:rPr>
        <w:t xml:space="preserve"> </w:t>
      </w:r>
      <w:r>
        <w:rPr>
          <w:rFonts w:ascii="Arial" w:cs="Arial" w:eastAsia="Arial" w:hAnsi="Arial"/>
          <w:sz w:val="17"/>
          <w:szCs w:val="17"/>
          <w:color w:val="0C0C0C"/>
        </w:rPr>
        <w:t>claims that</w:t>
      </w:r>
      <w:r>
        <w:rPr>
          <w:rFonts w:ascii="Arial" w:cs="Arial" w:eastAsia="Arial" w:hAnsi="Arial"/>
          <w:sz w:val="17"/>
          <w:szCs w:val="17"/>
          <w:color w:val="111111"/>
        </w:rPr>
        <w:t xml:space="preserve"> </w:t>
      </w:r>
      <w:r>
        <w:rPr>
          <w:rFonts w:ascii="Arial" w:cs="Arial" w:eastAsia="Arial" w:hAnsi="Arial"/>
          <w:sz w:val="17"/>
          <w:szCs w:val="17"/>
          <w:color w:val="131313"/>
        </w:rPr>
        <w:t>may arise</w:t>
      </w:r>
      <w:r>
        <w:rPr>
          <w:rFonts w:ascii="Arial" w:cs="Arial" w:eastAsia="Arial" w:hAnsi="Arial"/>
          <w:sz w:val="17"/>
          <w:szCs w:val="17"/>
          <w:color w:val="111111"/>
        </w:rPr>
        <w:t xml:space="preserve"> </w:t>
      </w:r>
      <w:r>
        <w:rPr>
          <w:rFonts w:ascii="Arial" w:cs="Arial" w:eastAsia="Arial" w:hAnsi="Arial"/>
          <w:sz w:val="17"/>
          <w:szCs w:val="17"/>
          <w:color w:val="161616"/>
        </w:rPr>
        <w:t>under</w:t>
      </w:r>
      <w:r>
        <w:rPr>
          <w:rFonts w:ascii="Arial" w:cs="Arial" w:eastAsia="Arial" w:hAnsi="Arial"/>
          <w:sz w:val="17"/>
          <w:szCs w:val="17"/>
          <w:color w:val="111111"/>
        </w:rPr>
        <w:t xml:space="preserve"> </w:t>
      </w:r>
      <w:r>
        <w:rPr>
          <w:rFonts w:ascii="Arial" w:cs="Arial" w:eastAsia="Arial" w:hAnsi="Arial"/>
          <w:sz w:val="17"/>
          <w:szCs w:val="17"/>
          <w:color w:val="1C1C1C"/>
        </w:rPr>
        <w:t>the</w:t>
      </w:r>
      <w:r>
        <w:rPr>
          <w:rFonts w:ascii="Arial" w:cs="Arial" w:eastAsia="Arial" w:hAnsi="Arial"/>
          <w:sz w:val="17"/>
          <w:szCs w:val="17"/>
          <w:color w:val="111111"/>
        </w:rPr>
        <w:t xml:space="preserve"> </w:t>
      </w:r>
      <w:r>
        <w:rPr>
          <w:rFonts w:ascii="Arial" w:cs="Arial" w:eastAsia="Arial" w:hAnsi="Arial"/>
          <w:sz w:val="17"/>
          <w:szCs w:val="17"/>
          <w:color w:val="161616"/>
        </w:rPr>
        <w:t xml:space="preserve">Age </w:t>
      </w:r>
      <w:r>
        <w:rPr>
          <w:rFonts w:ascii="Arial" w:cs="Arial" w:eastAsia="Arial" w:hAnsi="Arial"/>
          <w:sz w:val="17"/>
          <w:szCs w:val="17"/>
          <w:color w:val="0E0E0E"/>
        </w:rPr>
        <w:t>Discrimination</w:t>
      </w:r>
      <w:r>
        <w:rPr>
          <w:rFonts w:ascii="Arial" w:cs="Arial" w:eastAsia="Arial" w:hAnsi="Arial"/>
          <w:sz w:val="17"/>
          <w:szCs w:val="17"/>
          <w:color w:val="161616"/>
        </w:rPr>
        <w:t xml:space="preserve"> </w:t>
      </w:r>
      <w:r>
        <w:rPr>
          <w:rFonts w:ascii="Arial" w:cs="Arial" w:eastAsia="Arial" w:hAnsi="Arial"/>
          <w:sz w:val="17"/>
          <w:szCs w:val="17"/>
          <w:color w:val="1C1C1C"/>
        </w:rPr>
        <w:t>in</w:t>
      </w:r>
      <w:r>
        <w:rPr>
          <w:rFonts w:ascii="Arial" w:cs="Arial" w:eastAsia="Arial" w:hAnsi="Arial"/>
          <w:sz w:val="17"/>
          <w:szCs w:val="17"/>
          <w:color w:val="161616"/>
        </w:rPr>
        <w:t xml:space="preserve"> </w:t>
      </w:r>
      <w:r>
        <w:rPr>
          <w:rFonts w:ascii="Arial" w:cs="Arial" w:eastAsia="Arial" w:hAnsi="Arial"/>
          <w:sz w:val="17"/>
          <w:szCs w:val="17"/>
          <w:color w:val="111111"/>
        </w:rPr>
        <w:t>Employment</w:t>
      </w:r>
      <w:r>
        <w:rPr>
          <w:rFonts w:ascii="Arial" w:cs="Arial" w:eastAsia="Arial" w:hAnsi="Arial"/>
          <w:sz w:val="17"/>
          <w:szCs w:val="17"/>
          <w:color w:val="161616"/>
        </w:rPr>
        <w:t xml:space="preserve"> </w:t>
      </w:r>
      <w:r>
        <w:rPr>
          <w:rFonts w:ascii="Arial" w:cs="Arial" w:eastAsia="Arial" w:hAnsi="Arial"/>
          <w:sz w:val="17"/>
          <w:szCs w:val="17"/>
          <w:color w:val="1A1A1A"/>
        </w:rPr>
        <w:t>Act after</w:t>
      </w:r>
      <w:r>
        <w:rPr>
          <w:rFonts w:ascii="Arial" w:cs="Arial" w:eastAsia="Arial" w:hAnsi="Arial"/>
          <w:sz w:val="17"/>
          <w:szCs w:val="17"/>
          <w:color w:val="161616"/>
        </w:rPr>
        <w:t xml:space="preserve"> </w:t>
      </w:r>
      <w:r>
        <w:rPr>
          <w:rFonts w:ascii="Arial" w:cs="Arial" w:eastAsia="Arial" w:hAnsi="Arial"/>
          <w:sz w:val="17"/>
          <w:szCs w:val="17"/>
          <w:color w:val="1C1C1C"/>
        </w:rPr>
        <w:t>this</w:t>
      </w:r>
      <w:r>
        <w:rPr>
          <w:rFonts w:ascii="Arial" w:cs="Arial" w:eastAsia="Arial" w:hAnsi="Arial"/>
          <w:sz w:val="17"/>
          <w:szCs w:val="17"/>
          <w:color w:val="161616"/>
        </w:rPr>
        <w:t xml:space="preserve"> </w:t>
      </w:r>
      <w:r>
        <w:rPr>
          <w:rFonts w:ascii="Arial" w:cs="Arial" w:eastAsia="Arial" w:hAnsi="Arial"/>
          <w:sz w:val="17"/>
          <w:szCs w:val="17"/>
          <w:color w:val="000000"/>
        </w:rPr>
        <w:t>Agreement</w:t>
      </w:r>
      <w:r>
        <w:rPr>
          <w:rFonts w:ascii="Arial" w:cs="Arial" w:eastAsia="Arial" w:hAnsi="Arial"/>
          <w:sz w:val="17"/>
          <w:szCs w:val="17"/>
          <w:color w:val="161616"/>
        </w:rPr>
        <w:t xml:space="preserve"> </w:t>
      </w:r>
      <w:r>
        <w:rPr>
          <w:rFonts w:ascii="Arial" w:cs="Arial" w:eastAsia="Arial" w:hAnsi="Arial"/>
          <w:sz w:val="17"/>
          <w:szCs w:val="17"/>
          <w:color w:val="1C1C1C"/>
        </w:rPr>
        <w:t>is</w:t>
      </w:r>
      <w:r>
        <w:rPr>
          <w:rFonts w:ascii="Arial" w:cs="Arial" w:eastAsia="Arial" w:hAnsi="Arial"/>
          <w:sz w:val="17"/>
          <w:szCs w:val="17"/>
          <w:color w:val="161616"/>
        </w:rPr>
        <w:t xml:space="preserve"> executed, </w:t>
      </w:r>
      <w:r>
        <w:rPr>
          <w:rFonts w:ascii="Arial" w:cs="Arial" w:eastAsia="Arial" w:hAnsi="Arial"/>
          <w:sz w:val="17"/>
          <w:szCs w:val="17"/>
          <w:color w:val="111111"/>
        </w:rPr>
        <w:t>any</w:t>
      </w:r>
      <w:r>
        <w:rPr>
          <w:rFonts w:ascii="Arial" w:cs="Arial" w:eastAsia="Arial" w:hAnsi="Arial"/>
          <w:sz w:val="17"/>
          <w:szCs w:val="17"/>
          <w:color w:val="161616"/>
        </w:rPr>
        <w:t xml:space="preserve"> </w:t>
      </w:r>
      <w:r>
        <w:rPr>
          <w:rFonts w:ascii="Arial" w:cs="Arial" w:eastAsia="Arial" w:hAnsi="Arial"/>
          <w:sz w:val="17"/>
          <w:szCs w:val="17"/>
          <w:color w:val="1C1C1C"/>
        </w:rPr>
        <w:t>claim</w:t>
      </w:r>
      <w:r>
        <w:rPr>
          <w:rFonts w:ascii="Arial" w:cs="Arial" w:eastAsia="Arial" w:hAnsi="Arial"/>
          <w:sz w:val="17"/>
          <w:szCs w:val="17"/>
          <w:color w:val="161616"/>
        </w:rPr>
        <w:t xml:space="preserve"> </w:t>
      </w:r>
      <w:r>
        <w:rPr>
          <w:rFonts w:ascii="Arial" w:cs="Arial" w:eastAsia="Arial" w:hAnsi="Arial"/>
          <w:sz w:val="17"/>
          <w:szCs w:val="17"/>
          <w:color w:val="1A1A1A"/>
        </w:rPr>
        <w:t>for</w:t>
      </w:r>
      <w:r>
        <w:rPr>
          <w:rFonts w:ascii="Arial" w:cs="Arial" w:eastAsia="Arial" w:hAnsi="Arial"/>
          <w:sz w:val="17"/>
          <w:szCs w:val="17"/>
          <w:color w:val="161616"/>
        </w:rPr>
        <w:t xml:space="preserve"> </w:t>
      </w:r>
      <w:r>
        <w:rPr>
          <w:rFonts w:ascii="Arial" w:cs="Arial" w:eastAsia="Arial" w:hAnsi="Arial"/>
          <w:sz w:val="17"/>
          <w:szCs w:val="17"/>
          <w:color w:val="1F1F1F"/>
        </w:rPr>
        <w:t>benefits</w:t>
      </w:r>
      <w:r>
        <w:rPr>
          <w:rFonts w:ascii="Arial" w:cs="Arial" w:eastAsia="Arial" w:hAnsi="Arial"/>
          <w:sz w:val="17"/>
          <w:szCs w:val="17"/>
          <w:color w:val="161616"/>
        </w:rPr>
        <w:t xml:space="preserve"> </w:t>
      </w:r>
      <w:r>
        <w:rPr>
          <w:rFonts w:ascii="Arial" w:cs="Arial" w:eastAsia="Arial" w:hAnsi="Arial"/>
          <w:sz w:val="17"/>
          <w:szCs w:val="17"/>
          <w:color w:val="000000"/>
        </w:rPr>
        <w:t>under</w:t>
      </w:r>
      <w:r>
        <w:rPr>
          <w:rFonts w:ascii="Arial" w:cs="Arial" w:eastAsia="Arial" w:hAnsi="Arial"/>
          <w:sz w:val="17"/>
          <w:szCs w:val="17"/>
          <w:color w:val="161616"/>
        </w:rPr>
        <w:t xml:space="preserve"> </w:t>
      </w:r>
      <w:r>
        <w:rPr>
          <w:rFonts w:ascii="Arial" w:cs="Arial" w:eastAsia="Arial" w:hAnsi="Arial"/>
          <w:sz w:val="17"/>
          <w:szCs w:val="17"/>
          <w:color w:val="1A1A1A"/>
        </w:rPr>
        <w:t>the</w:t>
      </w:r>
      <w:r>
        <w:rPr>
          <w:rFonts w:ascii="Arial" w:cs="Arial" w:eastAsia="Arial" w:hAnsi="Arial"/>
          <w:sz w:val="17"/>
          <w:szCs w:val="17"/>
          <w:color w:val="161616"/>
        </w:rPr>
        <w:t xml:space="preserve"> </w:t>
      </w:r>
      <w:r>
        <w:rPr>
          <w:rFonts w:ascii="Arial" w:cs="Arial" w:eastAsia="Arial" w:hAnsi="Arial"/>
          <w:sz w:val="17"/>
          <w:szCs w:val="17"/>
          <w:color w:val="0C0C0C"/>
        </w:rPr>
        <w:t>Company’s</w:t>
      </w:r>
      <w:r>
        <w:rPr>
          <w:rFonts w:ascii="Arial" w:cs="Arial" w:eastAsia="Arial" w:hAnsi="Arial"/>
          <w:sz w:val="17"/>
          <w:szCs w:val="17"/>
          <w:color w:val="161616"/>
        </w:rPr>
        <w:t xml:space="preserve"> </w:t>
      </w:r>
      <w:r>
        <w:rPr>
          <w:rFonts w:ascii="Arial" w:cs="Arial" w:eastAsia="Arial" w:hAnsi="Arial"/>
          <w:sz w:val="17"/>
          <w:szCs w:val="17"/>
          <w:color w:val="070707"/>
        </w:rPr>
        <w:t>health</w:t>
      </w:r>
      <w:r>
        <w:rPr>
          <w:rFonts w:ascii="Arial" w:cs="Arial" w:eastAsia="Arial" w:hAnsi="Arial"/>
          <w:sz w:val="17"/>
          <w:szCs w:val="17"/>
          <w:color w:val="161616"/>
        </w:rPr>
        <w:t xml:space="preserve"> </w:t>
      </w:r>
      <w:r>
        <w:rPr>
          <w:rFonts w:ascii="Arial" w:cs="Arial" w:eastAsia="Arial" w:hAnsi="Arial"/>
          <w:sz w:val="17"/>
          <w:szCs w:val="17"/>
          <w:color w:val="151515"/>
        </w:rPr>
        <w:t>and</w:t>
      </w:r>
      <w:r>
        <w:rPr>
          <w:rFonts w:ascii="Arial" w:cs="Arial" w:eastAsia="Arial" w:hAnsi="Arial"/>
          <w:sz w:val="17"/>
          <w:szCs w:val="17"/>
          <w:color w:val="161616"/>
        </w:rPr>
        <w:t xml:space="preserve"> </w:t>
      </w:r>
      <w:r>
        <w:rPr>
          <w:rFonts w:ascii="Arial" w:cs="Arial" w:eastAsia="Arial" w:hAnsi="Arial"/>
          <w:sz w:val="17"/>
          <w:szCs w:val="17"/>
          <w:color w:val="0F0F0F"/>
        </w:rPr>
        <w:t>welfare</w:t>
      </w:r>
      <w:r>
        <w:rPr>
          <w:rFonts w:ascii="Arial" w:cs="Arial" w:eastAsia="Arial" w:hAnsi="Arial"/>
          <w:sz w:val="17"/>
          <w:szCs w:val="17"/>
          <w:color w:val="161616"/>
        </w:rPr>
        <w:t xml:space="preserve"> </w:t>
      </w:r>
      <w:r>
        <w:rPr>
          <w:rFonts w:ascii="Arial" w:cs="Arial" w:eastAsia="Arial" w:hAnsi="Arial"/>
          <w:sz w:val="17"/>
          <w:szCs w:val="17"/>
          <w:color w:val="1C1C1C"/>
        </w:rPr>
        <w:t>or</w:t>
      </w:r>
      <w:r>
        <w:rPr>
          <w:rFonts w:ascii="Arial" w:cs="Arial" w:eastAsia="Arial" w:hAnsi="Arial"/>
          <w:sz w:val="17"/>
          <w:szCs w:val="17"/>
          <w:color w:val="161616"/>
        </w:rPr>
        <w:t xml:space="preserve"> </w:t>
      </w:r>
      <w:r>
        <w:rPr>
          <w:rFonts w:ascii="Arial" w:cs="Arial" w:eastAsia="Arial" w:hAnsi="Arial"/>
          <w:sz w:val="17"/>
          <w:szCs w:val="17"/>
          <w:color w:val="0E0E0E"/>
        </w:rPr>
        <w:t>other</w:t>
      </w:r>
      <w:r>
        <w:rPr>
          <w:rFonts w:ascii="Arial" w:cs="Arial" w:eastAsia="Arial" w:hAnsi="Arial"/>
          <w:sz w:val="17"/>
          <w:szCs w:val="17"/>
          <w:color w:val="161616"/>
        </w:rPr>
        <w:t xml:space="preserve"> benefit </w:t>
      </w:r>
      <w:r>
        <w:rPr>
          <w:rFonts w:ascii="Arial" w:cs="Arial" w:eastAsia="Arial" w:hAnsi="Arial"/>
          <w:sz w:val="17"/>
          <w:szCs w:val="17"/>
          <w:color w:val="1A1A1A"/>
        </w:rPr>
        <w:t>plans</w:t>
      </w:r>
      <w:r>
        <w:rPr>
          <w:rFonts w:ascii="Arial" w:cs="Arial" w:eastAsia="Arial" w:hAnsi="Arial"/>
          <w:sz w:val="17"/>
          <w:szCs w:val="17"/>
          <w:color w:val="161616"/>
        </w:rPr>
        <w:t xml:space="preserve"> </w:t>
      </w:r>
      <w:r>
        <w:rPr>
          <w:rFonts w:ascii="Arial" w:cs="Arial" w:eastAsia="Arial" w:hAnsi="Arial"/>
          <w:sz w:val="17"/>
          <w:szCs w:val="17"/>
          <w:color w:val="1D1D1D"/>
        </w:rPr>
        <w:t>or</w:t>
      </w:r>
      <w:r>
        <w:rPr>
          <w:rFonts w:ascii="Arial" w:cs="Arial" w:eastAsia="Arial" w:hAnsi="Arial"/>
          <w:sz w:val="17"/>
          <w:szCs w:val="17"/>
          <w:color w:val="161616"/>
        </w:rPr>
        <w:t xml:space="preserve"> </w:t>
      </w:r>
      <w:r>
        <w:rPr>
          <w:rFonts w:ascii="Arial" w:cs="Arial" w:eastAsia="Arial" w:hAnsi="Arial"/>
          <w:sz w:val="17"/>
          <w:szCs w:val="17"/>
          <w:color w:val="232323"/>
        </w:rPr>
        <w:t>any</w:t>
      </w:r>
      <w:r>
        <w:rPr>
          <w:rFonts w:ascii="Arial" w:cs="Arial" w:eastAsia="Arial" w:hAnsi="Arial"/>
          <w:sz w:val="17"/>
          <w:szCs w:val="17"/>
          <w:color w:val="161616"/>
        </w:rPr>
        <w:t xml:space="preserve"> </w:t>
      </w:r>
      <w:r>
        <w:rPr>
          <w:rFonts w:ascii="Arial" w:cs="Arial" w:eastAsia="Arial" w:hAnsi="Arial"/>
          <w:sz w:val="17"/>
          <w:szCs w:val="17"/>
          <w:color w:val="0A0A0A"/>
        </w:rPr>
        <w:t>future</w:t>
      </w:r>
      <w:r>
        <w:rPr>
          <w:rFonts w:ascii="Arial" w:cs="Arial" w:eastAsia="Arial" w:hAnsi="Arial"/>
          <w:sz w:val="17"/>
          <w:szCs w:val="17"/>
          <w:color w:val="161616"/>
        </w:rPr>
        <w:t xml:space="preserve"> </w:t>
      </w:r>
      <w:r>
        <w:rPr>
          <w:rFonts w:ascii="Arial" w:cs="Arial" w:eastAsia="Arial" w:hAnsi="Arial"/>
          <w:sz w:val="17"/>
          <w:szCs w:val="17"/>
          <w:color w:val="1A1A1A"/>
        </w:rPr>
        <w:t>claims</w:t>
      </w:r>
      <w:r>
        <w:rPr>
          <w:rFonts w:ascii="Arial" w:cs="Arial" w:eastAsia="Arial" w:hAnsi="Arial"/>
          <w:sz w:val="17"/>
          <w:szCs w:val="17"/>
          <w:color w:val="161616"/>
        </w:rPr>
        <w:t xml:space="preserve"> </w:t>
      </w:r>
      <w:r>
        <w:rPr>
          <w:rFonts w:ascii="Arial" w:cs="Arial" w:eastAsia="Arial" w:hAnsi="Arial"/>
          <w:sz w:val="17"/>
          <w:szCs w:val="17"/>
          <w:color w:val="151515"/>
        </w:rPr>
        <w:t>based</w:t>
      </w:r>
      <w:r>
        <w:rPr>
          <w:rFonts w:ascii="Arial" w:cs="Arial" w:eastAsia="Arial" w:hAnsi="Arial"/>
          <w:sz w:val="17"/>
          <w:szCs w:val="17"/>
          <w:color w:val="161616"/>
        </w:rPr>
        <w:t xml:space="preserve"> </w:t>
      </w:r>
      <w:r>
        <w:rPr>
          <w:rFonts w:ascii="Arial" w:cs="Arial" w:eastAsia="Arial" w:hAnsi="Arial"/>
          <w:sz w:val="17"/>
          <w:szCs w:val="17"/>
          <w:color w:val="232323"/>
        </w:rPr>
        <w:t>on</w:t>
      </w:r>
      <w:r>
        <w:rPr>
          <w:rFonts w:ascii="Arial" w:cs="Arial" w:eastAsia="Arial" w:hAnsi="Arial"/>
          <w:sz w:val="17"/>
          <w:szCs w:val="17"/>
          <w:color w:val="161616"/>
        </w:rPr>
        <w:t xml:space="preserve"> </w:t>
      </w:r>
      <w:r>
        <w:rPr>
          <w:rFonts w:ascii="Arial" w:cs="Arial" w:eastAsia="Arial" w:hAnsi="Arial"/>
          <w:sz w:val="17"/>
          <w:szCs w:val="17"/>
          <w:color w:val="181818"/>
        </w:rPr>
        <w:t>the</w:t>
      </w:r>
      <w:r>
        <w:rPr>
          <w:rFonts w:ascii="Arial" w:cs="Arial" w:eastAsia="Arial" w:hAnsi="Arial"/>
          <w:sz w:val="17"/>
          <w:szCs w:val="17"/>
          <w:color w:val="161616"/>
        </w:rPr>
        <w:t xml:space="preserve"> </w:t>
      </w:r>
      <w:r>
        <w:rPr>
          <w:rFonts w:ascii="Arial" w:cs="Arial" w:eastAsia="Arial" w:hAnsi="Arial"/>
          <w:sz w:val="17"/>
          <w:szCs w:val="17"/>
          <w:color w:val="000000"/>
        </w:rPr>
        <w:t>Company’s</w:t>
      </w:r>
      <w:r>
        <w:rPr>
          <w:rFonts w:ascii="Arial" w:cs="Arial" w:eastAsia="Arial" w:hAnsi="Arial"/>
          <w:sz w:val="17"/>
          <w:szCs w:val="17"/>
          <w:color w:val="161616"/>
        </w:rPr>
        <w:t xml:space="preserve"> </w:t>
      </w:r>
      <w:r>
        <w:rPr>
          <w:rFonts w:ascii="Arial" w:cs="Arial" w:eastAsia="Arial" w:hAnsi="Arial"/>
          <w:sz w:val="17"/>
          <w:szCs w:val="17"/>
          <w:color w:val="0A0A0A"/>
        </w:rPr>
        <w:t>obligations</w:t>
      </w:r>
      <w:r>
        <w:rPr>
          <w:rFonts w:ascii="Arial" w:cs="Arial" w:eastAsia="Arial" w:hAnsi="Arial"/>
          <w:sz w:val="17"/>
          <w:szCs w:val="17"/>
          <w:color w:val="161616"/>
        </w:rPr>
        <w:t xml:space="preserve"> </w:t>
      </w:r>
      <w:r>
        <w:rPr>
          <w:rFonts w:ascii="Arial" w:cs="Arial" w:eastAsia="Arial" w:hAnsi="Arial"/>
          <w:sz w:val="17"/>
          <w:szCs w:val="17"/>
          <w:color w:val="1C1C1C"/>
        </w:rPr>
        <w:t>and</w:t>
      </w:r>
      <w:r>
        <w:rPr>
          <w:rFonts w:ascii="Arial" w:cs="Arial" w:eastAsia="Arial" w:hAnsi="Arial"/>
          <w:sz w:val="17"/>
          <w:szCs w:val="17"/>
          <w:color w:val="161616"/>
        </w:rPr>
        <w:t xml:space="preserve"> </w:t>
      </w:r>
      <w:r>
        <w:rPr>
          <w:rFonts w:ascii="Arial" w:cs="Arial" w:eastAsia="Arial" w:hAnsi="Arial"/>
          <w:sz w:val="17"/>
          <w:szCs w:val="17"/>
          <w:color w:val="0C0C0C"/>
        </w:rPr>
        <w:t>agreements</w:t>
      </w:r>
      <w:r>
        <w:rPr>
          <w:rFonts w:ascii="Arial" w:cs="Arial" w:eastAsia="Arial" w:hAnsi="Arial"/>
          <w:sz w:val="17"/>
          <w:szCs w:val="17"/>
          <w:color w:val="161616"/>
        </w:rPr>
        <w:t xml:space="preserve"> </w:t>
      </w:r>
      <w:r>
        <w:rPr>
          <w:rFonts w:ascii="Arial" w:cs="Arial" w:eastAsia="Arial" w:hAnsi="Arial"/>
          <w:sz w:val="17"/>
          <w:szCs w:val="17"/>
          <w:color w:val="181818"/>
        </w:rPr>
        <w:t>set</w:t>
      </w:r>
      <w:r>
        <w:rPr>
          <w:rFonts w:ascii="Arial" w:cs="Arial" w:eastAsia="Arial" w:hAnsi="Arial"/>
          <w:sz w:val="17"/>
          <w:szCs w:val="17"/>
          <w:color w:val="161616"/>
        </w:rPr>
        <w:t xml:space="preserve"> </w:t>
      </w:r>
      <w:r>
        <w:rPr>
          <w:rFonts w:ascii="Arial" w:cs="Arial" w:eastAsia="Arial" w:hAnsi="Arial"/>
          <w:sz w:val="17"/>
          <w:szCs w:val="17"/>
          <w:color w:val="1A1A1A"/>
        </w:rPr>
        <w:t>forth</w:t>
      </w:r>
      <w:r>
        <w:rPr>
          <w:rFonts w:ascii="Arial" w:cs="Arial" w:eastAsia="Arial" w:hAnsi="Arial"/>
          <w:sz w:val="17"/>
          <w:szCs w:val="17"/>
          <w:color w:val="161616"/>
        </w:rPr>
        <w:t xml:space="preserve"> </w:t>
      </w:r>
      <w:r>
        <w:rPr>
          <w:rFonts w:ascii="Arial" w:cs="Arial" w:eastAsia="Arial" w:hAnsi="Arial"/>
          <w:sz w:val="17"/>
          <w:szCs w:val="17"/>
          <w:color w:val="212121"/>
        </w:rPr>
        <w:t>in</w:t>
      </w:r>
      <w:r>
        <w:rPr>
          <w:rFonts w:ascii="Arial" w:cs="Arial" w:eastAsia="Arial" w:hAnsi="Arial"/>
          <w:sz w:val="17"/>
          <w:szCs w:val="17"/>
          <w:color w:val="161616"/>
        </w:rPr>
        <w:t xml:space="preserve"> this </w:t>
      </w:r>
      <w:r>
        <w:rPr>
          <w:rFonts w:ascii="Arial" w:cs="Arial" w:eastAsia="Arial" w:hAnsi="Arial"/>
          <w:sz w:val="17"/>
          <w:szCs w:val="17"/>
          <w:color w:val="0C0C0C"/>
        </w:rPr>
        <w:t>Agreement.</w:t>
      </w:r>
    </w:p>
    <w:p>
      <w:pPr>
        <w:spacing w:after="0" w:line="137" w:lineRule="exact"/>
        <w:rPr>
          <w:sz w:val="20"/>
          <w:szCs w:val="20"/>
          <w:color w:val="auto"/>
        </w:rPr>
      </w:pPr>
    </w:p>
    <w:p>
      <w:pPr>
        <w:ind w:left="652" w:right="80"/>
        <w:spacing w:after="0" w:line="301" w:lineRule="auto"/>
        <w:rPr>
          <w:sz w:val="20"/>
          <w:szCs w:val="20"/>
          <w:color w:val="auto"/>
        </w:rPr>
      </w:pPr>
      <w:r>
        <w:rPr>
          <w:rFonts w:ascii="Arial" w:cs="Arial" w:eastAsia="Arial" w:hAnsi="Arial"/>
          <w:sz w:val="16"/>
          <w:szCs w:val="16"/>
          <w:color w:val="0E0E0E"/>
        </w:rPr>
        <w:t xml:space="preserve">Executive </w:t>
      </w:r>
      <w:r>
        <w:rPr>
          <w:rFonts w:ascii="Arial" w:cs="Arial" w:eastAsia="Arial" w:hAnsi="Arial"/>
          <w:sz w:val="16"/>
          <w:szCs w:val="16"/>
          <w:color w:val="131313"/>
        </w:rPr>
        <w:t>further</w:t>
      </w:r>
      <w:r>
        <w:rPr>
          <w:rFonts w:ascii="Arial" w:cs="Arial" w:eastAsia="Arial" w:hAnsi="Arial"/>
          <w:sz w:val="16"/>
          <w:szCs w:val="16"/>
          <w:color w:val="0E0E0E"/>
        </w:rPr>
        <w:t xml:space="preserve"> </w:t>
      </w:r>
      <w:r>
        <w:rPr>
          <w:rFonts w:ascii="Arial" w:cs="Arial" w:eastAsia="Arial" w:hAnsi="Arial"/>
          <w:sz w:val="16"/>
          <w:szCs w:val="16"/>
          <w:color w:val="0F0F0F"/>
        </w:rPr>
        <w:t>agrees</w:t>
      </w:r>
      <w:r>
        <w:rPr>
          <w:rFonts w:ascii="Arial" w:cs="Arial" w:eastAsia="Arial" w:hAnsi="Arial"/>
          <w:sz w:val="16"/>
          <w:szCs w:val="16"/>
          <w:color w:val="0E0E0E"/>
        </w:rPr>
        <w:t xml:space="preserve"> </w:t>
      </w:r>
      <w:r>
        <w:rPr>
          <w:rFonts w:ascii="Arial" w:cs="Arial" w:eastAsia="Arial" w:hAnsi="Arial"/>
          <w:sz w:val="16"/>
          <w:szCs w:val="16"/>
          <w:color w:val="161616"/>
        </w:rPr>
        <w:t>that</w:t>
      </w:r>
      <w:r>
        <w:rPr>
          <w:rFonts w:ascii="Arial" w:cs="Arial" w:eastAsia="Arial" w:hAnsi="Arial"/>
          <w:sz w:val="16"/>
          <w:szCs w:val="16"/>
          <w:color w:val="0E0E0E"/>
        </w:rPr>
        <w:t xml:space="preserve"> </w:t>
      </w:r>
      <w:r>
        <w:rPr>
          <w:rFonts w:ascii="Arial" w:cs="Arial" w:eastAsia="Arial" w:hAnsi="Arial"/>
          <w:sz w:val="16"/>
          <w:szCs w:val="16"/>
          <w:color w:val="1F1F1F"/>
        </w:rPr>
        <w:t>he</w:t>
      </w:r>
      <w:r>
        <w:rPr>
          <w:rFonts w:ascii="Arial" w:cs="Arial" w:eastAsia="Arial" w:hAnsi="Arial"/>
          <w:sz w:val="16"/>
          <w:szCs w:val="16"/>
          <w:color w:val="0E0E0E"/>
        </w:rPr>
        <w:t xml:space="preserve"> </w:t>
      </w:r>
      <w:r>
        <w:rPr>
          <w:rFonts w:ascii="Arial" w:cs="Arial" w:eastAsia="Arial" w:hAnsi="Arial"/>
          <w:sz w:val="16"/>
          <w:szCs w:val="16"/>
          <w:color w:val="212121"/>
        </w:rPr>
        <w:t>will</w:t>
      </w:r>
      <w:r>
        <w:rPr>
          <w:rFonts w:ascii="Arial" w:cs="Arial" w:eastAsia="Arial" w:hAnsi="Arial"/>
          <w:sz w:val="16"/>
          <w:szCs w:val="16"/>
          <w:color w:val="0E0E0E"/>
        </w:rPr>
        <w:t xml:space="preserve"> </w:t>
      </w:r>
      <w:r>
        <w:rPr>
          <w:rFonts w:ascii="Arial" w:cs="Arial" w:eastAsia="Arial" w:hAnsi="Arial"/>
          <w:sz w:val="16"/>
          <w:szCs w:val="16"/>
          <w:color w:val="242424"/>
        </w:rPr>
        <w:t>not</w:t>
      </w:r>
      <w:r>
        <w:rPr>
          <w:rFonts w:ascii="Arial" w:cs="Arial" w:eastAsia="Arial" w:hAnsi="Arial"/>
          <w:sz w:val="16"/>
          <w:szCs w:val="16"/>
          <w:color w:val="0E0E0E"/>
        </w:rPr>
        <w:t xml:space="preserve"> </w:t>
      </w:r>
      <w:r>
        <w:rPr>
          <w:rFonts w:ascii="Arial" w:cs="Arial" w:eastAsia="Arial" w:hAnsi="Arial"/>
          <w:sz w:val="16"/>
          <w:szCs w:val="16"/>
          <w:color w:val="181818"/>
        </w:rPr>
        <w:t>voluntarily</w:t>
      </w:r>
      <w:r>
        <w:rPr>
          <w:rFonts w:ascii="Arial" w:cs="Arial" w:eastAsia="Arial" w:hAnsi="Arial"/>
          <w:sz w:val="16"/>
          <w:szCs w:val="16"/>
          <w:color w:val="0E0E0E"/>
        </w:rPr>
        <w:t xml:space="preserve"> </w:t>
      </w:r>
      <w:r>
        <w:rPr>
          <w:rFonts w:ascii="Arial" w:cs="Arial" w:eastAsia="Arial" w:hAnsi="Arial"/>
          <w:sz w:val="16"/>
          <w:szCs w:val="16"/>
          <w:color w:val="1A1A1A"/>
        </w:rPr>
        <w:t>become</w:t>
      </w:r>
      <w:r>
        <w:rPr>
          <w:rFonts w:ascii="Arial" w:cs="Arial" w:eastAsia="Arial" w:hAnsi="Arial"/>
          <w:sz w:val="16"/>
          <w:szCs w:val="16"/>
          <w:color w:val="0E0E0E"/>
        </w:rPr>
        <w:t xml:space="preserve"> </w:t>
      </w:r>
      <w:r>
        <w:rPr>
          <w:rFonts w:ascii="Arial" w:cs="Arial" w:eastAsia="Arial" w:hAnsi="Arial"/>
          <w:sz w:val="16"/>
          <w:szCs w:val="16"/>
          <w:color w:val="1C1C1C"/>
        </w:rPr>
        <w:t>a</w:t>
      </w:r>
      <w:r>
        <w:rPr>
          <w:rFonts w:ascii="Arial" w:cs="Arial" w:eastAsia="Arial" w:hAnsi="Arial"/>
          <w:sz w:val="16"/>
          <w:szCs w:val="16"/>
          <w:color w:val="0E0E0E"/>
        </w:rPr>
        <w:t xml:space="preserve"> </w:t>
      </w:r>
      <w:r>
        <w:rPr>
          <w:rFonts w:ascii="Arial" w:cs="Arial" w:eastAsia="Arial" w:hAnsi="Arial"/>
          <w:sz w:val="16"/>
          <w:szCs w:val="16"/>
          <w:color w:val="1A1A1A"/>
        </w:rPr>
        <w:t>party</w:t>
      </w:r>
      <w:r>
        <w:rPr>
          <w:rFonts w:ascii="Arial" w:cs="Arial" w:eastAsia="Arial" w:hAnsi="Arial"/>
          <w:sz w:val="16"/>
          <w:szCs w:val="16"/>
          <w:color w:val="0E0E0E"/>
        </w:rPr>
        <w:t xml:space="preserve"> </w:t>
      </w:r>
      <w:r>
        <w:rPr>
          <w:rFonts w:ascii="Arial" w:cs="Arial" w:eastAsia="Arial" w:hAnsi="Arial"/>
          <w:sz w:val="16"/>
          <w:szCs w:val="16"/>
          <w:color w:val="000000"/>
        </w:rPr>
        <w:t>to,</w:t>
      </w:r>
      <w:r>
        <w:rPr>
          <w:rFonts w:ascii="Arial" w:cs="Arial" w:eastAsia="Arial" w:hAnsi="Arial"/>
          <w:sz w:val="16"/>
          <w:szCs w:val="16"/>
          <w:color w:val="0E0E0E"/>
        </w:rPr>
        <w:t xml:space="preserve"> </w:t>
      </w:r>
      <w:r>
        <w:rPr>
          <w:rFonts w:ascii="Arial" w:cs="Arial" w:eastAsia="Arial" w:hAnsi="Arial"/>
          <w:sz w:val="16"/>
          <w:szCs w:val="16"/>
          <w:color w:val="181818"/>
        </w:rPr>
        <w:t>or</w:t>
      </w:r>
      <w:r>
        <w:rPr>
          <w:rFonts w:ascii="Arial" w:cs="Arial" w:eastAsia="Arial" w:hAnsi="Arial"/>
          <w:sz w:val="16"/>
          <w:szCs w:val="16"/>
          <w:color w:val="0E0E0E"/>
        </w:rPr>
        <w:t xml:space="preserve"> directly </w:t>
      </w:r>
      <w:r>
        <w:rPr>
          <w:rFonts w:ascii="Arial" w:cs="Arial" w:eastAsia="Arial" w:hAnsi="Arial"/>
          <w:sz w:val="16"/>
          <w:szCs w:val="16"/>
          <w:color w:val="000000"/>
        </w:rPr>
        <w:t>or</w:t>
      </w:r>
      <w:r>
        <w:rPr>
          <w:rFonts w:ascii="Arial" w:cs="Arial" w:eastAsia="Arial" w:hAnsi="Arial"/>
          <w:sz w:val="16"/>
          <w:szCs w:val="16"/>
          <w:color w:val="0E0E0E"/>
        </w:rPr>
        <w:t xml:space="preserve"> </w:t>
      </w:r>
      <w:r>
        <w:rPr>
          <w:rFonts w:ascii="Arial" w:cs="Arial" w:eastAsia="Arial" w:hAnsi="Arial"/>
          <w:sz w:val="16"/>
          <w:szCs w:val="16"/>
          <w:color w:val="1A1A1A"/>
        </w:rPr>
        <w:t>indirectly</w:t>
      </w:r>
      <w:r>
        <w:rPr>
          <w:rFonts w:ascii="Arial" w:cs="Arial" w:eastAsia="Arial" w:hAnsi="Arial"/>
          <w:sz w:val="16"/>
          <w:szCs w:val="16"/>
          <w:color w:val="0E0E0E"/>
        </w:rPr>
        <w:t xml:space="preserve"> </w:t>
      </w:r>
      <w:r>
        <w:rPr>
          <w:rFonts w:ascii="Arial" w:cs="Arial" w:eastAsia="Arial" w:hAnsi="Arial"/>
          <w:sz w:val="16"/>
          <w:szCs w:val="16"/>
          <w:color w:val="0F0F0F"/>
        </w:rPr>
        <w:t>aid</w:t>
      </w:r>
      <w:r>
        <w:rPr>
          <w:rFonts w:ascii="Arial" w:cs="Arial" w:eastAsia="Arial" w:hAnsi="Arial"/>
          <w:sz w:val="16"/>
          <w:szCs w:val="16"/>
          <w:color w:val="0E0E0E"/>
        </w:rPr>
        <w:t xml:space="preserve"> </w:t>
      </w:r>
      <w:r>
        <w:rPr>
          <w:rFonts w:ascii="Arial" w:cs="Arial" w:eastAsia="Arial" w:hAnsi="Arial"/>
          <w:sz w:val="16"/>
          <w:szCs w:val="16"/>
          <w:color w:val="111111"/>
        </w:rPr>
        <w:t>or</w:t>
      </w:r>
      <w:r>
        <w:rPr>
          <w:rFonts w:ascii="Arial" w:cs="Arial" w:eastAsia="Arial" w:hAnsi="Arial"/>
          <w:sz w:val="16"/>
          <w:szCs w:val="16"/>
          <w:color w:val="0E0E0E"/>
        </w:rPr>
        <w:t xml:space="preserve"> </w:t>
      </w:r>
      <w:r>
        <w:rPr>
          <w:rFonts w:ascii="Arial" w:cs="Arial" w:eastAsia="Arial" w:hAnsi="Arial"/>
          <w:sz w:val="16"/>
          <w:szCs w:val="16"/>
          <w:color w:val="0F0F0F"/>
        </w:rPr>
        <w:t>encourage</w:t>
      </w:r>
      <w:r>
        <w:rPr>
          <w:rFonts w:ascii="Arial" w:cs="Arial" w:eastAsia="Arial" w:hAnsi="Arial"/>
          <w:sz w:val="16"/>
          <w:szCs w:val="16"/>
          <w:color w:val="0E0E0E"/>
        </w:rPr>
        <w:t xml:space="preserve"> </w:t>
      </w:r>
      <w:r>
        <w:rPr>
          <w:rFonts w:ascii="Arial" w:cs="Arial" w:eastAsia="Arial" w:hAnsi="Arial"/>
          <w:sz w:val="16"/>
          <w:szCs w:val="16"/>
          <w:color w:val="111111"/>
        </w:rPr>
        <w:t>any</w:t>
      </w:r>
      <w:r>
        <w:rPr>
          <w:rFonts w:ascii="Arial" w:cs="Arial" w:eastAsia="Arial" w:hAnsi="Arial"/>
          <w:sz w:val="16"/>
          <w:szCs w:val="16"/>
          <w:color w:val="0E0E0E"/>
        </w:rPr>
        <w:t xml:space="preserve"> </w:t>
      </w:r>
      <w:r>
        <w:rPr>
          <w:rFonts w:ascii="Arial" w:cs="Arial" w:eastAsia="Arial" w:hAnsi="Arial"/>
          <w:sz w:val="16"/>
          <w:szCs w:val="16"/>
          <w:color w:val="0C0C0C"/>
        </w:rPr>
        <w:t>other</w:t>
      </w:r>
      <w:r>
        <w:rPr>
          <w:rFonts w:ascii="Arial" w:cs="Arial" w:eastAsia="Arial" w:hAnsi="Arial"/>
          <w:sz w:val="16"/>
          <w:szCs w:val="16"/>
          <w:color w:val="0E0E0E"/>
        </w:rPr>
        <w:t xml:space="preserve"> </w:t>
      </w:r>
      <w:r>
        <w:rPr>
          <w:rFonts w:ascii="Arial" w:cs="Arial" w:eastAsia="Arial" w:hAnsi="Arial"/>
          <w:sz w:val="16"/>
          <w:szCs w:val="16"/>
          <w:color w:val="1C1C1C"/>
        </w:rPr>
        <w:t>party</w:t>
      </w:r>
      <w:r>
        <w:rPr>
          <w:rFonts w:ascii="Arial" w:cs="Arial" w:eastAsia="Arial" w:hAnsi="Arial"/>
          <w:sz w:val="16"/>
          <w:szCs w:val="16"/>
          <w:color w:val="0E0E0E"/>
        </w:rPr>
        <w:t xml:space="preserve"> </w:t>
      </w:r>
      <w:r>
        <w:rPr>
          <w:rFonts w:ascii="Arial" w:cs="Arial" w:eastAsia="Arial" w:hAnsi="Arial"/>
          <w:sz w:val="16"/>
          <w:szCs w:val="16"/>
          <w:color w:val="212121"/>
        </w:rPr>
        <w:t>in</w:t>
      </w:r>
      <w:r>
        <w:rPr>
          <w:rFonts w:ascii="Arial" w:cs="Arial" w:eastAsia="Arial" w:hAnsi="Arial"/>
          <w:sz w:val="16"/>
          <w:szCs w:val="16"/>
          <w:color w:val="0E0E0E"/>
        </w:rPr>
        <w:t xml:space="preserve"> </w:t>
      </w:r>
      <w:r>
        <w:rPr>
          <w:rFonts w:ascii="Arial" w:cs="Arial" w:eastAsia="Arial" w:hAnsi="Arial"/>
          <w:sz w:val="16"/>
          <w:szCs w:val="16"/>
          <w:color w:val="111111"/>
        </w:rPr>
        <w:t>connection</w:t>
      </w:r>
      <w:r>
        <w:rPr>
          <w:rFonts w:ascii="Arial" w:cs="Arial" w:eastAsia="Arial" w:hAnsi="Arial"/>
          <w:sz w:val="16"/>
          <w:szCs w:val="16"/>
          <w:color w:val="0E0E0E"/>
        </w:rPr>
        <w:t xml:space="preserve"> </w:t>
      </w:r>
      <w:r>
        <w:rPr>
          <w:rFonts w:ascii="Arial" w:cs="Arial" w:eastAsia="Arial" w:hAnsi="Arial"/>
          <w:sz w:val="16"/>
          <w:szCs w:val="16"/>
          <w:color w:val="1C1C1C"/>
        </w:rPr>
        <w:t xml:space="preserve">with, </w:t>
      </w:r>
      <w:r>
        <w:rPr>
          <w:rFonts w:ascii="Arial" w:cs="Arial" w:eastAsia="Arial" w:hAnsi="Arial"/>
          <w:sz w:val="16"/>
          <w:szCs w:val="16"/>
          <w:color w:val="0C0C0C"/>
        </w:rPr>
        <w:t>any</w:t>
      </w:r>
      <w:r>
        <w:rPr>
          <w:rFonts w:ascii="Arial" w:cs="Arial" w:eastAsia="Arial" w:hAnsi="Arial"/>
          <w:sz w:val="16"/>
          <w:szCs w:val="16"/>
          <w:color w:val="1C1C1C"/>
        </w:rPr>
        <w:t xml:space="preserve"> </w:t>
      </w:r>
      <w:r>
        <w:rPr>
          <w:rFonts w:ascii="Arial" w:cs="Arial" w:eastAsia="Arial" w:hAnsi="Arial"/>
          <w:sz w:val="16"/>
          <w:szCs w:val="16"/>
          <w:color w:val="151515"/>
        </w:rPr>
        <w:t>lawsuit,</w:t>
      </w:r>
      <w:r>
        <w:rPr>
          <w:rFonts w:ascii="Arial" w:cs="Arial" w:eastAsia="Arial" w:hAnsi="Arial"/>
          <w:sz w:val="16"/>
          <w:szCs w:val="16"/>
          <w:color w:val="1C1C1C"/>
        </w:rPr>
        <w:t xml:space="preserve"> </w:t>
      </w:r>
      <w:r>
        <w:rPr>
          <w:rFonts w:ascii="Arial" w:cs="Arial" w:eastAsia="Arial" w:hAnsi="Arial"/>
          <w:sz w:val="16"/>
          <w:szCs w:val="16"/>
          <w:color w:val="000000"/>
        </w:rPr>
        <w:t>claim,</w:t>
      </w:r>
      <w:r>
        <w:rPr>
          <w:rFonts w:ascii="Arial" w:cs="Arial" w:eastAsia="Arial" w:hAnsi="Arial"/>
          <w:sz w:val="16"/>
          <w:szCs w:val="16"/>
          <w:color w:val="1C1C1C"/>
        </w:rPr>
        <w:t xml:space="preserve"> </w:t>
      </w:r>
      <w:r>
        <w:rPr>
          <w:rFonts w:ascii="Arial" w:cs="Arial" w:eastAsia="Arial" w:hAnsi="Arial"/>
          <w:sz w:val="16"/>
          <w:szCs w:val="16"/>
          <w:color w:val="080808"/>
        </w:rPr>
        <w:t>demand</w:t>
      </w:r>
      <w:r>
        <w:rPr>
          <w:rFonts w:ascii="Arial" w:cs="Arial" w:eastAsia="Arial" w:hAnsi="Arial"/>
          <w:sz w:val="16"/>
          <w:szCs w:val="16"/>
          <w:color w:val="1C1C1C"/>
        </w:rPr>
        <w:t xml:space="preserve"> </w:t>
      </w:r>
      <w:r>
        <w:rPr>
          <w:rFonts w:ascii="Arial" w:cs="Arial" w:eastAsia="Arial" w:hAnsi="Arial"/>
          <w:sz w:val="16"/>
          <w:szCs w:val="16"/>
          <w:color w:val="1D1D1D"/>
        </w:rPr>
        <w:t>or</w:t>
      </w:r>
      <w:r>
        <w:rPr>
          <w:rFonts w:ascii="Arial" w:cs="Arial" w:eastAsia="Arial" w:hAnsi="Arial"/>
          <w:sz w:val="16"/>
          <w:szCs w:val="16"/>
          <w:color w:val="1C1C1C"/>
        </w:rPr>
        <w:t xml:space="preserve"> </w:t>
      </w:r>
      <w:r>
        <w:rPr>
          <w:rFonts w:ascii="Arial" w:cs="Arial" w:eastAsia="Arial" w:hAnsi="Arial"/>
          <w:sz w:val="16"/>
          <w:szCs w:val="16"/>
          <w:color w:val="0F0F0F"/>
        </w:rPr>
        <w:t>adversarial</w:t>
      </w:r>
      <w:r>
        <w:rPr>
          <w:rFonts w:ascii="Arial" w:cs="Arial" w:eastAsia="Arial" w:hAnsi="Arial"/>
          <w:sz w:val="16"/>
          <w:szCs w:val="16"/>
          <w:color w:val="1C1C1C"/>
        </w:rPr>
        <w:t xml:space="preserve"> </w:t>
      </w:r>
      <w:r>
        <w:rPr>
          <w:rFonts w:ascii="Arial" w:cs="Arial" w:eastAsia="Arial" w:hAnsi="Arial"/>
          <w:sz w:val="16"/>
          <w:szCs w:val="16"/>
          <w:color w:val="181818"/>
        </w:rPr>
        <w:t>proceeding</w:t>
      </w:r>
      <w:r>
        <w:rPr>
          <w:rFonts w:ascii="Arial" w:cs="Arial" w:eastAsia="Arial" w:hAnsi="Arial"/>
          <w:sz w:val="16"/>
          <w:szCs w:val="16"/>
          <w:color w:val="1C1C1C"/>
        </w:rPr>
        <w:t xml:space="preserve"> </w:t>
      </w:r>
      <w:r>
        <w:rPr>
          <w:rFonts w:ascii="Arial" w:cs="Arial" w:eastAsia="Arial" w:hAnsi="Arial"/>
          <w:sz w:val="16"/>
          <w:szCs w:val="16"/>
          <w:color w:val="1A1A1A"/>
        </w:rPr>
        <w:t>of</w:t>
      </w:r>
      <w:r>
        <w:rPr>
          <w:rFonts w:ascii="Arial" w:cs="Arial" w:eastAsia="Arial" w:hAnsi="Arial"/>
          <w:sz w:val="16"/>
          <w:szCs w:val="16"/>
          <w:color w:val="1C1C1C"/>
        </w:rPr>
        <w:t xml:space="preserve"> </w:t>
      </w:r>
      <w:r>
        <w:rPr>
          <w:rFonts w:ascii="Arial" w:cs="Arial" w:eastAsia="Arial" w:hAnsi="Arial"/>
          <w:sz w:val="16"/>
          <w:szCs w:val="16"/>
          <w:color w:val="0C0C0C"/>
        </w:rPr>
        <w:t>any</w:t>
      </w:r>
      <w:r>
        <w:rPr>
          <w:rFonts w:ascii="Arial" w:cs="Arial" w:eastAsia="Arial" w:hAnsi="Arial"/>
          <w:sz w:val="16"/>
          <w:szCs w:val="16"/>
          <w:color w:val="1C1C1C"/>
        </w:rPr>
        <w:t xml:space="preserve"> </w:t>
      </w:r>
      <w:r>
        <w:rPr>
          <w:rFonts w:ascii="Arial" w:cs="Arial" w:eastAsia="Arial" w:hAnsi="Arial"/>
          <w:sz w:val="16"/>
          <w:szCs w:val="16"/>
          <w:color w:val="161616"/>
        </w:rPr>
        <w:t>kind involving</w:t>
      </w:r>
      <w:r>
        <w:rPr>
          <w:rFonts w:ascii="Arial" w:cs="Arial" w:eastAsia="Arial" w:hAnsi="Arial"/>
          <w:sz w:val="16"/>
          <w:szCs w:val="16"/>
          <w:color w:val="1C1C1C"/>
        </w:rPr>
        <w:t xml:space="preserve"> </w:t>
      </w:r>
      <w:r>
        <w:rPr>
          <w:rFonts w:ascii="Arial" w:cs="Arial" w:eastAsia="Arial" w:hAnsi="Arial"/>
          <w:sz w:val="16"/>
          <w:szCs w:val="16"/>
          <w:color w:val="131313"/>
        </w:rPr>
        <w:t>the</w:t>
      </w:r>
      <w:r>
        <w:rPr>
          <w:rFonts w:ascii="Arial" w:cs="Arial" w:eastAsia="Arial" w:hAnsi="Arial"/>
          <w:sz w:val="16"/>
          <w:szCs w:val="16"/>
          <w:color w:val="1C1C1C"/>
        </w:rPr>
        <w:t xml:space="preserve"> </w:t>
      </w:r>
      <w:r>
        <w:rPr>
          <w:rFonts w:ascii="Arial" w:cs="Arial" w:eastAsia="Arial" w:hAnsi="Arial"/>
          <w:sz w:val="16"/>
          <w:szCs w:val="16"/>
          <w:color w:val="0C0C0C"/>
        </w:rPr>
        <w:t>Company</w:t>
      </w:r>
      <w:r>
        <w:rPr>
          <w:rFonts w:ascii="Arial" w:cs="Arial" w:eastAsia="Arial" w:hAnsi="Arial"/>
          <w:sz w:val="16"/>
          <w:szCs w:val="16"/>
          <w:color w:val="1C1C1C"/>
        </w:rPr>
        <w:t xml:space="preserve"> or </w:t>
      </w:r>
      <w:r>
        <w:rPr>
          <w:rFonts w:ascii="Arial" w:cs="Arial" w:eastAsia="Arial" w:hAnsi="Arial"/>
          <w:sz w:val="16"/>
          <w:szCs w:val="16"/>
          <w:color w:val="131313"/>
        </w:rPr>
        <w:t>any</w:t>
      </w:r>
      <w:r>
        <w:rPr>
          <w:rFonts w:ascii="Arial" w:cs="Arial" w:eastAsia="Arial" w:hAnsi="Arial"/>
          <w:sz w:val="16"/>
          <w:szCs w:val="16"/>
          <w:color w:val="1C1C1C"/>
        </w:rPr>
        <w:t xml:space="preserve"> </w:t>
      </w:r>
      <w:r>
        <w:rPr>
          <w:rFonts w:ascii="Arial" w:cs="Arial" w:eastAsia="Arial" w:hAnsi="Arial"/>
          <w:sz w:val="16"/>
          <w:szCs w:val="16"/>
          <w:color w:val="1D1D1D"/>
        </w:rPr>
        <w:t>of</w:t>
      </w:r>
      <w:r>
        <w:rPr>
          <w:rFonts w:ascii="Arial" w:cs="Arial" w:eastAsia="Arial" w:hAnsi="Arial"/>
          <w:sz w:val="16"/>
          <w:szCs w:val="16"/>
          <w:color w:val="1C1C1C"/>
        </w:rPr>
        <w:t xml:space="preserve"> </w:t>
      </w:r>
      <w:r>
        <w:rPr>
          <w:rFonts w:ascii="Arial" w:cs="Arial" w:eastAsia="Arial" w:hAnsi="Arial"/>
          <w:sz w:val="16"/>
          <w:szCs w:val="16"/>
          <w:color w:val="151515"/>
        </w:rPr>
        <w:t>the</w:t>
      </w:r>
      <w:r>
        <w:rPr>
          <w:rFonts w:ascii="Arial" w:cs="Arial" w:eastAsia="Arial" w:hAnsi="Arial"/>
          <w:sz w:val="16"/>
          <w:szCs w:val="16"/>
          <w:color w:val="1C1C1C"/>
        </w:rPr>
        <w:t xml:space="preserve"> </w:t>
      </w:r>
      <w:r>
        <w:rPr>
          <w:rFonts w:ascii="Arial" w:cs="Arial" w:eastAsia="Arial" w:hAnsi="Arial"/>
          <w:sz w:val="16"/>
          <w:szCs w:val="16"/>
          <w:color w:val="0C0C0C"/>
        </w:rPr>
        <w:t>Released</w:t>
      </w:r>
      <w:r>
        <w:rPr>
          <w:rFonts w:ascii="Arial" w:cs="Arial" w:eastAsia="Arial" w:hAnsi="Arial"/>
          <w:sz w:val="16"/>
          <w:szCs w:val="16"/>
          <w:color w:val="1C1C1C"/>
        </w:rPr>
        <w:t xml:space="preserve"> </w:t>
      </w:r>
      <w:r>
        <w:rPr>
          <w:rFonts w:ascii="Arial" w:cs="Arial" w:eastAsia="Arial" w:hAnsi="Arial"/>
          <w:sz w:val="16"/>
          <w:szCs w:val="16"/>
          <w:color w:val="151515"/>
        </w:rPr>
        <w:t>Parties</w:t>
      </w:r>
      <w:r>
        <w:rPr>
          <w:rFonts w:ascii="Arial" w:cs="Arial" w:eastAsia="Arial" w:hAnsi="Arial"/>
          <w:sz w:val="16"/>
          <w:szCs w:val="16"/>
          <w:color w:val="1C1C1C"/>
        </w:rPr>
        <w:t xml:space="preserve"> </w:t>
      </w:r>
      <w:r>
        <w:rPr>
          <w:rFonts w:ascii="Arial" w:cs="Arial" w:eastAsia="Arial" w:hAnsi="Arial"/>
          <w:sz w:val="16"/>
          <w:szCs w:val="16"/>
          <w:color w:val="000000"/>
        </w:rPr>
        <w:t>that</w:t>
      </w:r>
      <w:r>
        <w:rPr>
          <w:rFonts w:ascii="Arial" w:cs="Arial" w:eastAsia="Arial" w:hAnsi="Arial"/>
          <w:sz w:val="16"/>
          <w:szCs w:val="16"/>
          <w:color w:val="1C1C1C"/>
        </w:rPr>
        <w:t xml:space="preserve"> </w:t>
      </w:r>
      <w:r>
        <w:rPr>
          <w:rFonts w:ascii="Arial" w:cs="Arial" w:eastAsia="Arial" w:hAnsi="Arial"/>
          <w:sz w:val="16"/>
          <w:szCs w:val="16"/>
          <w:color w:val="1A1A1A"/>
        </w:rPr>
        <w:t>relates</w:t>
      </w:r>
      <w:r>
        <w:rPr>
          <w:rFonts w:ascii="Arial" w:cs="Arial" w:eastAsia="Arial" w:hAnsi="Arial"/>
          <w:sz w:val="16"/>
          <w:szCs w:val="16"/>
          <w:color w:val="1C1C1C"/>
        </w:rPr>
        <w:t xml:space="preserve"> </w:t>
      </w:r>
      <w:r>
        <w:rPr>
          <w:rFonts w:ascii="Arial" w:cs="Arial" w:eastAsia="Arial" w:hAnsi="Arial"/>
          <w:sz w:val="16"/>
          <w:szCs w:val="16"/>
          <w:color w:val="262626"/>
        </w:rPr>
        <w:t>in</w:t>
      </w:r>
      <w:r>
        <w:rPr>
          <w:rFonts w:ascii="Arial" w:cs="Arial" w:eastAsia="Arial" w:hAnsi="Arial"/>
          <w:sz w:val="16"/>
          <w:szCs w:val="16"/>
          <w:color w:val="1C1C1C"/>
        </w:rPr>
        <w:t xml:space="preserve"> </w:t>
      </w:r>
      <w:r>
        <w:rPr>
          <w:rFonts w:ascii="Arial" w:cs="Arial" w:eastAsia="Arial" w:hAnsi="Arial"/>
          <w:sz w:val="16"/>
          <w:szCs w:val="16"/>
          <w:color w:val="212121"/>
        </w:rPr>
        <w:t>any</w:t>
      </w:r>
      <w:r>
        <w:rPr>
          <w:rFonts w:ascii="Arial" w:cs="Arial" w:eastAsia="Arial" w:hAnsi="Arial"/>
          <w:sz w:val="16"/>
          <w:szCs w:val="16"/>
          <w:color w:val="1C1C1C"/>
        </w:rPr>
        <w:t xml:space="preserve"> </w:t>
      </w:r>
      <w:r>
        <w:rPr>
          <w:rFonts w:ascii="Arial" w:cs="Arial" w:eastAsia="Arial" w:hAnsi="Arial"/>
          <w:sz w:val="16"/>
          <w:szCs w:val="16"/>
          <w:color w:val="111111"/>
        </w:rPr>
        <w:t xml:space="preserve">material </w:t>
      </w:r>
      <w:r>
        <w:rPr>
          <w:rFonts w:ascii="Arial" w:cs="Arial" w:eastAsia="Arial" w:hAnsi="Arial"/>
          <w:sz w:val="16"/>
          <w:szCs w:val="16"/>
          <w:color w:val="1A1A1A"/>
        </w:rPr>
        <w:t>way</w:t>
      </w:r>
      <w:r>
        <w:rPr>
          <w:rFonts w:ascii="Arial" w:cs="Arial" w:eastAsia="Arial" w:hAnsi="Arial"/>
          <w:sz w:val="16"/>
          <w:szCs w:val="16"/>
          <w:color w:val="111111"/>
        </w:rPr>
        <w:t xml:space="preserve"> </w:t>
      </w:r>
      <w:r>
        <w:rPr>
          <w:rFonts w:ascii="Arial" w:cs="Arial" w:eastAsia="Arial" w:hAnsi="Arial"/>
          <w:sz w:val="16"/>
          <w:szCs w:val="16"/>
          <w:color w:val="151515"/>
        </w:rPr>
        <w:t>to</w:t>
      </w:r>
      <w:r>
        <w:rPr>
          <w:rFonts w:ascii="Arial" w:cs="Arial" w:eastAsia="Arial" w:hAnsi="Arial"/>
          <w:sz w:val="16"/>
          <w:szCs w:val="16"/>
          <w:color w:val="111111"/>
        </w:rPr>
        <w:t xml:space="preserve"> his </w:t>
      </w:r>
      <w:r>
        <w:rPr>
          <w:rFonts w:ascii="Arial" w:cs="Arial" w:eastAsia="Arial" w:hAnsi="Arial"/>
          <w:sz w:val="16"/>
          <w:szCs w:val="16"/>
          <w:color w:val="000000"/>
        </w:rPr>
        <w:t>employment</w:t>
      </w:r>
      <w:r>
        <w:rPr>
          <w:rFonts w:ascii="Arial" w:cs="Arial" w:eastAsia="Arial" w:hAnsi="Arial"/>
          <w:sz w:val="16"/>
          <w:szCs w:val="16"/>
          <w:color w:val="111111"/>
        </w:rPr>
        <w:t xml:space="preserve"> with </w:t>
      </w:r>
      <w:r>
        <w:rPr>
          <w:rFonts w:ascii="Arial" w:cs="Arial" w:eastAsia="Arial" w:hAnsi="Arial"/>
          <w:sz w:val="16"/>
          <w:szCs w:val="16"/>
          <w:color w:val="212121"/>
        </w:rPr>
        <w:t>the</w:t>
      </w:r>
      <w:r>
        <w:rPr>
          <w:rFonts w:ascii="Arial" w:cs="Arial" w:eastAsia="Arial" w:hAnsi="Arial"/>
          <w:sz w:val="16"/>
          <w:szCs w:val="16"/>
          <w:color w:val="111111"/>
        </w:rPr>
        <w:t xml:space="preserve"> </w:t>
      </w:r>
      <w:r>
        <w:rPr>
          <w:rFonts w:ascii="Arial" w:cs="Arial" w:eastAsia="Arial" w:hAnsi="Arial"/>
          <w:sz w:val="16"/>
          <w:szCs w:val="16"/>
          <w:color w:val="000000"/>
        </w:rPr>
        <w:t>Company</w:t>
      </w:r>
      <w:r>
        <w:rPr>
          <w:rFonts w:ascii="Arial" w:cs="Arial" w:eastAsia="Arial" w:hAnsi="Arial"/>
          <w:sz w:val="16"/>
          <w:szCs w:val="16"/>
          <w:color w:val="111111"/>
        </w:rPr>
        <w:t xml:space="preserve"> </w:t>
      </w:r>
      <w:r>
        <w:rPr>
          <w:rFonts w:ascii="Arial" w:cs="Arial" w:eastAsia="Arial" w:hAnsi="Arial"/>
          <w:sz w:val="16"/>
          <w:szCs w:val="16"/>
          <w:color w:val="262626"/>
        </w:rPr>
        <w:t>or</w:t>
      </w:r>
      <w:r>
        <w:rPr>
          <w:rFonts w:ascii="Arial" w:cs="Arial" w:eastAsia="Arial" w:hAnsi="Arial"/>
          <w:sz w:val="16"/>
          <w:szCs w:val="16"/>
          <w:color w:val="111111"/>
        </w:rPr>
        <w:t xml:space="preserve"> </w:t>
      </w:r>
      <w:r>
        <w:rPr>
          <w:rFonts w:ascii="Arial" w:cs="Arial" w:eastAsia="Arial" w:hAnsi="Arial"/>
          <w:sz w:val="16"/>
          <w:szCs w:val="16"/>
          <w:color w:val="000000"/>
        </w:rPr>
        <w:t>that is</w:t>
      </w:r>
      <w:r>
        <w:rPr>
          <w:rFonts w:ascii="Arial" w:cs="Arial" w:eastAsia="Arial" w:hAnsi="Arial"/>
          <w:sz w:val="16"/>
          <w:szCs w:val="16"/>
          <w:color w:val="111111"/>
        </w:rPr>
        <w:t xml:space="preserve"> </w:t>
      </w:r>
      <w:r>
        <w:rPr>
          <w:rFonts w:ascii="Arial" w:cs="Arial" w:eastAsia="Arial" w:hAnsi="Arial"/>
          <w:sz w:val="16"/>
          <w:szCs w:val="16"/>
          <w:color w:val="131313"/>
        </w:rPr>
        <w:t>based</w:t>
      </w:r>
      <w:r>
        <w:rPr>
          <w:rFonts w:ascii="Arial" w:cs="Arial" w:eastAsia="Arial" w:hAnsi="Arial"/>
          <w:sz w:val="16"/>
          <w:szCs w:val="16"/>
          <w:color w:val="111111"/>
        </w:rPr>
        <w:t xml:space="preserve"> </w:t>
      </w:r>
      <w:r>
        <w:rPr>
          <w:rFonts w:ascii="Arial" w:cs="Arial" w:eastAsia="Arial" w:hAnsi="Arial"/>
          <w:sz w:val="16"/>
          <w:szCs w:val="16"/>
          <w:color w:val="181818"/>
        </w:rPr>
        <w:t>on</w:t>
      </w:r>
      <w:r>
        <w:rPr>
          <w:rFonts w:ascii="Arial" w:cs="Arial" w:eastAsia="Arial" w:hAnsi="Arial"/>
          <w:sz w:val="16"/>
          <w:szCs w:val="16"/>
          <w:color w:val="111111"/>
        </w:rPr>
        <w:t xml:space="preserve"> </w:t>
      </w:r>
      <w:r>
        <w:rPr>
          <w:rFonts w:ascii="Arial" w:cs="Arial" w:eastAsia="Arial" w:hAnsi="Arial"/>
          <w:sz w:val="16"/>
          <w:szCs w:val="16"/>
          <w:color w:val="131313"/>
        </w:rPr>
        <w:t>facts</w:t>
      </w:r>
      <w:r>
        <w:rPr>
          <w:rFonts w:ascii="Arial" w:cs="Arial" w:eastAsia="Arial" w:hAnsi="Arial"/>
          <w:sz w:val="16"/>
          <w:szCs w:val="16"/>
          <w:color w:val="111111"/>
        </w:rPr>
        <w:t xml:space="preserve"> </w:t>
      </w:r>
      <w:r>
        <w:rPr>
          <w:rFonts w:ascii="Arial" w:cs="Arial" w:eastAsia="Arial" w:hAnsi="Arial"/>
          <w:sz w:val="16"/>
          <w:szCs w:val="16"/>
          <w:color w:val="1C1C1C"/>
        </w:rPr>
        <w:t>about which</w:t>
      </w:r>
      <w:r>
        <w:rPr>
          <w:rFonts w:ascii="Arial" w:cs="Arial" w:eastAsia="Arial" w:hAnsi="Arial"/>
          <w:sz w:val="16"/>
          <w:szCs w:val="16"/>
          <w:color w:val="111111"/>
        </w:rPr>
        <w:t xml:space="preserve"> </w:t>
      </w:r>
      <w:r>
        <w:rPr>
          <w:rFonts w:ascii="Arial" w:cs="Arial" w:eastAsia="Arial" w:hAnsi="Arial"/>
          <w:sz w:val="16"/>
          <w:szCs w:val="16"/>
          <w:color w:val="0A0A0A"/>
        </w:rPr>
        <w:t>Executive</w:t>
      </w:r>
      <w:r>
        <w:rPr>
          <w:rFonts w:ascii="Arial" w:cs="Arial" w:eastAsia="Arial" w:hAnsi="Arial"/>
          <w:sz w:val="16"/>
          <w:szCs w:val="16"/>
          <w:color w:val="111111"/>
        </w:rPr>
        <w:t xml:space="preserve"> </w:t>
      </w:r>
      <w:r>
        <w:rPr>
          <w:rFonts w:ascii="Arial" w:cs="Arial" w:eastAsia="Arial" w:hAnsi="Arial"/>
          <w:sz w:val="16"/>
          <w:szCs w:val="16"/>
          <w:color w:val="151515"/>
        </w:rPr>
        <w:t>obtained personal</w:t>
      </w:r>
      <w:r>
        <w:rPr>
          <w:rFonts w:ascii="Arial" w:cs="Arial" w:eastAsia="Arial" w:hAnsi="Arial"/>
          <w:sz w:val="16"/>
          <w:szCs w:val="16"/>
          <w:color w:val="111111"/>
        </w:rPr>
        <w:t xml:space="preserve"> knowledge </w:t>
      </w:r>
      <w:r>
        <w:rPr>
          <w:rFonts w:ascii="Arial" w:cs="Arial" w:eastAsia="Arial" w:hAnsi="Arial"/>
          <w:sz w:val="16"/>
          <w:szCs w:val="16"/>
          <w:color w:val="131313"/>
        </w:rPr>
        <w:t>while</w:t>
      </w:r>
      <w:r>
        <w:rPr>
          <w:rFonts w:ascii="Arial" w:cs="Arial" w:eastAsia="Arial" w:hAnsi="Arial"/>
          <w:sz w:val="16"/>
          <w:szCs w:val="16"/>
          <w:color w:val="111111"/>
        </w:rPr>
        <w:t xml:space="preserve"> </w:t>
      </w:r>
      <w:r>
        <w:rPr>
          <w:rFonts w:ascii="Arial" w:cs="Arial" w:eastAsia="Arial" w:hAnsi="Arial"/>
          <w:sz w:val="16"/>
          <w:szCs w:val="16"/>
          <w:color w:val="151515"/>
        </w:rPr>
        <w:t>employed</w:t>
      </w:r>
      <w:r>
        <w:rPr>
          <w:rFonts w:ascii="Arial" w:cs="Arial" w:eastAsia="Arial" w:hAnsi="Arial"/>
          <w:sz w:val="16"/>
          <w:szCs w:val="16"/>
          <w:color w:val="111111"/>
        </w:rPr>
        <w:t xml:space="preserve"> </w:t>
      </w:r>
      <w:r>
        <w:rPr>
          <w:rFonts w:ascii="Arial" w:cs="Arial" w:eastAsia="Arial" w:hAnsi="Arial"/>
          <w:sz w:val="16"/>
          <w:szCs w:val="16"/>
          <w:color w:val="1F1F1F"/>
        </w:rPr>
        <w:t xml:space="preserve">with </w:t>
      </w:r>
      <w:r>
        <w:rPr>
          <w:rFonts w:ascii="Arial" w:cs="Arial" w:eastAsia="Arial" w:hAnsi="Arial"/>
          <w:sz w:val="16"/>
          <w:szCs w:val="16"/>
          <w:color w:val="1A1A1A"/>
        </w:rPr>
        <w:t>the Company.</w:t>
      </w:r>
      <w:r>
        <w:rPr>
          <w:rFonts w:ascii="Arial" w:cs="Arial" w:eastAsia="Arial" w:hAnsi="Arial"/>
          <w:sz w:val="16"/>
          <w:szCs w:val="16"/>
          <w:color w:val="1F1F1F"/>
        </w:rPr>
        <w:t xml:space="preserve"> </w:t>
      </w:r>
      <w:r>
        <w:rPr>
          <w:rFonts w:ascii="Arial" w:cs="Arial" w:eastAsia="Arial" w:hAnsi="Arial"/>
          <w:sz w:val="16"/>
          <w:szCs w:val="16"/>
          <w:color w:val="161616"/>
        </w:rPr>
        <w:t>Executive’s</w:t>
      </w:r>
      <w:r>
        <w:rPr>
          <w:rFonts w:ascii="Arial" w:cs="Arial" w:eastAsia="Arial" w:hAnsi="Arial"/>
          <w:sz w:val="16"/>
          <w:szCs w:val="16"/>
          <w:color w:val="1F1F1F"/>
        </w:rPr>
        <w:t xml:space="preserve"> </w:t>
      </w:r>
      <w:r>
        <w:rPr>
          <w:rFonts w:ascii="Arial" w:cs="Arial" w:eastAsia="Arial" w:hAnsi="Arial"/>
          <w:sz w:val="16"/>
          <w:szCs w:val="16"/>
          <w:color w:val="131313"/>
        </w:rPr>
        <w:t>compliance</w:t>
      </w:r>
      <w:r>
        <w:rPr>
          <w:rFonts w:ascii="Arial" w:cs="Arial" w:eastAsia="Arial" w:hAnsi="Arial"/>
          <w:sz w:val="16"/>
          <w:szCs w:val="16"/>
          <w:color w:val="1F1F1F"/>
        </w:rPr>
        <w:t xml:space="preserve"> </w:t>
      </w:r>
      <w:r>
        <w:rPr>
          <w:rFonts w:ascii="Arial" w:cs="Arial" w:eastAsia="Arial" w:hAnsi="Arial"/>
          <w:sz w:val="16"/>
          <w:szCs w:val="16"/>
          <w:color w:val="151515"/>
        </w:rPr>
        <w:t>with</w:t>
      </w:r>
      <w:r>
        <w:rPr>
          <w:rFonts w:ascii="Arial" w:cs="Arial" w:eastAsia="Arial" w:hAnsi="Arial"/>
          <w:sz w:val="16"/>
          <w:szCs w:val="16"/>
          <w:color w:val="1F1F1F"/>
        </w:rPr>
        <w:t xml:space="preserve"> </w:t>
      </w:r>
      <w:r>
        <w:rPr>
          <w:rFonts w:ascii="Arial" w:cs="Arial" w:eastAsia="Arial" w:hAnsi="Arial"/>
          <w:sz w:val="16"/>
          <w:szCs w:val="16"/>
          <w:color w:val="262626"/>
        </w:rPr>
        <w:t>a</w:t>
      </w:r>
      <w:r>
        <w:rPr>
          <w:rFonts w:ascii="Arial" w:cs="Arial" w:eastAsia="Arial" w:hAnsi="Arial"/>
          <w:sz w:val="16"/>
          <w:szCs w:val="16"/>
          <w:color w:val="1F1F1F"/>
        </w:rPr>
        <w:t xml:space="preserve"> </w:t>
      </w:r>
      <w:r>
        <w:rPr>
          <w:rFonts w:ascii="Arial" w:cs="Arial" w:eastAsia="Arial" w:hAnsi="Arial"/>
          <w:sz w:val="16"/>
          <w:szCs w:val="16"/>
          <w:color w:val="131313"/>
        </w:rPr>
        <w:t>subpoena or</w:t>
      </w:r>
      <w:r>
        <w:rPr>
          <w:rFonts w:ascii="Arial" w:cs="Arial" w:eastAsia="Arial" w:hAnsi="Arial"/>
          <w:sz w:val="16"/>
          <w:szCs w:val="16"/>
          <w:color w:val="1F1F1F"/>
        </w:rPr>
        <w:t xml:space="preserve"> </w:t>
      </w:r>
      <w:r>
        <w:rPr>
          <w:rFonts w:ascii="Arial" w:cs="Arial" w:eastAsia="Arial" w:hAnsi="Arial"/>
          <w:sz w:val="16"/>
          <w:szCs w:val="16"/>
          <w:color w:val="000000"/>
        </w:rPr>
        <w:t>other</w:t>
      </w:r>
      <w:r>
        <w:rPr>
          <w:rFonts w:ascii="Arial" w:cs="Arial" w:eastAsia="Arial" w:hAnsi="Arial"/>
          <w:sz w:val="16"/>
          <w:szCs w:val="16"/>
          <w:color w:val="1F1F1F"/>
        </w:rPr>
        <w:t xml:space="preserve"> </w:t>
      </w:r>
      <w:r>
        <w:rPr>
          <w:rFonts w:ascii="Arial" w:cs="Arial" w:eastAsia="Arial" w:hAnsi="Arial"/>
          <w:sz w:val="16"/>
          <w:szCs w:val="16"/>
          <w:color w:val="161616"/>
        </w:rPr>
        <w:t>legally</w:t>
      </w:r>
      <w:r>
        <w:rPr>
          <w:rFonts w:ascii="Arial" w:cs="Arial" w:eastAsia="Arial" w:hAnsi="Arial"/>
          <w:sz w:val="16"/>
          <w:szCs w:val="16"/>
          <w:color w:val="1F1F1F"/>
        </w:rPr>
        <w:t xml:space="preserve"> </w:t>
      </w:r>
      <w:r>
        <w:rPr>
          <w:rFonts w:ascii="Arial" w:cs="Arial" w:eastAsia="Arial" w:hAnsi="Arial"/>
          <w:sz w:val="16"/>
          <w:szCs w:val="16"/>
          <w:color w:val="0F0F0F"/>
        </w:rPr>
        <w:t>compulsive</w:t>
      </w:r>
      <w:r>
        <w:rPr>
          <w:rFonts w:ascii="Arial" w:cs="Arial" w:eastAsia="Arial" w:hAnsi="Arial"/>
          <w:sz w:val="16"/>
          <w:szCs w:val="16"/>
          <w:color w:val="1F1F1F"/>
        </w:rPr>
        <w:t xml:space="preserve"> </w:t>
      </w:r>
      <w:r>
        <w:rPr>
          <w:rFonts w:ascii="Arial" w:cs="Arial" w:eastAsia="Arial" w:hAnsi="Arial"/>
          <w:sz w:val="16"/>
          <w:szCs w:val="16"/>
          <w:color w:val="1C1C1C"/>
        </w:rPr>
        <w:t>process</w:t>
      </w:r>
      <w:r>
        <w:rPr>
          <w:rFonts w:ascii="Arial" w:cs="Arial" w:eastAsia="Arial" w:hAnsi="Arial"/>
          <w:sz w:val="16"/>
          <w:szCs w:val="16"/>
          <w:color w:val="1F1F1F"/>
        </w:rPr>
        <w:t xml:space="preserve"> </w:t>
      </w:r>
      <w:r>
        <w:rPr>
          <w:rFonts w:ascii="Arial" w:cs="Arial" w:eastAsia="Arial" w:hAnsi="Arial"/>
          <w:sz w:val="16"/>
          <w:szCs w:val="16"/>
          <w:color w:val="1A1A1A"/>
        </w:rPr>
        <w:t>will</w:t>
      </w:r>
      <w:r>
        <w:rPr>
          <w:rFonts w:ascii="Arial" w:cs="Arial" w:eastAsia="Arial" w:hAnsi="Arial"/>
          <w:sz w:val="16"/>
          <w:szCs w:val="16"/>
          <w:color w:val="1F1F1F"/>
        </w:rPr>
        <w:t xml:space="preserve"> </w:t>
      </w:r>
      <w:r>
        <w:rPr>
          <w:rFonts w:ascii="Arial" w:cs="Arial" w:eastAsia="Arial" w:hAnsi="Arial"/>
          <w:sz w:val="16"/>
          <w:szCs w:val="16"/>
          <w:color w:val="1D1D1D"/>
        </w:rPr>
        <w:t>not</w:t>
      </w:r>
      <w:r>
        <w:rPr>
          <w:rFonts w:ascii="Arial" w:cs="Arial" w:eastAsia="Arial" w:hAnsi="Arial"/>
          <w:sz w:val="16"/>
          <w:szCs w:val="16"/>
          <w:color w:val="1F1F1F"/>
        </w:rPr>
        <w:t xml:space="preserve"> </w:t>
      </w:r>
      <w:r>
        <w:rPr>
          <w:rFonts w:ascii="Arial" w:cs="Arial" w:eastAsia="Arial" w:hAnsi="Arial"/>
          <w:sz w:val="16"/>
          <w:szCs w:val="16"/>
          <w:color w:val="1A1A1A"/>
        </w:rPr>
        <w:t>be</w:t>
      </w:r>
      <w:r>
        <w:rPr>
          <w:rFonts w:ascii="Arial" w:cs="Arial" w:eastAsia="Arial" w:hAnsi="Arial"/>
          <w:sz w:val="16"/>
          <w:szCs w:val="16"/>
          <w:color w:val="1F1F1F"/>
        </w:rPr>
        <w:t xml:space="preserve"> </w:t>
      </w:r>
      <w:r>
        <w:rPr>
          <w:rFonts w:ascii="Arial" w:cs="Arial" w:eastAsia="Arial" w:hAnsi="Arial"/>
          <w:sz w:val="16"/>
          <w:szCs w:val="16"/>
          <w:color w:val="131313"/>
        </w:rPr>
        <w:t>a</w:t>
      </w:r>
      <w:r>
        <w:rPr>
          <w:rFonts w:ascii="Arial" w:cs="Arial" w:eastAsia="Arial" w:hAnsi="Arial"/>
          <w:sz w:val="16"/>
          <w:szCs w:val="16"/>
          <w:color w:val="1F1F1F"/>
        </w:rPr>
        <w:t xml:space="preserve"> </w:t>
      </w:r>
      <w:r>
        <w:rPr>
          <w:rFonts w:ascii="Arial" w:cs="Arial" w:eastAsia="Arial" w:hAnsi="Arial"/>
          <w:sz w:val="16"/>
          <w:szCs w:val="16"/>
          <w:color w:val="0A0A0A"/>
        </w:rPr>
        <w:t>violation</w:t>
      </w:r>
      <w:r>
        <w:rPr>
          <w:rFonts w:ascii="Arial" w:cs="Arial" w:eastAsia="Arial" w:hAnsi="Arial"/>
          <w:sz w:val="16"/>
          <w:szCs w:val="16"/>
          <w:color w:val="1F1F1F"/>
        </w:rPr>
        <w:t xml:space="preserve"> </w:t>
      </w:r>
      <w:r>
        <w:rPr>
          <w:rFonts w:ascii="Arial" w:cs="Arial" w:eastAsia="Arial" w:hAnsi="Arial"/>
          <w:sz w:val="16"/>
          <w:szCs w:val="16"/>
          <w:color w:val="181818"/>
        </w:rPr>
        <w:t>of</w:t>
      </w:r>
      <w:r>
        <w:rPr>
          <w:rFonts w:ascii="Arial" w:cs="Arial" w:eastAsia="Arial" w:hAnsi="Arial"/>
          <w:sz w:val="16"/>
          <w:szCs w:val="16"/>
          <w:color w:val="1F1F1F"/>
        </w:rPr>
        <w:t xml:space="preserve"> </w:t>
      </w:r>
      <w:r>
        <w:rPr>
          <w:rFonts w:ascii="Arial" w:cs="Arial" w:eastAsia="Arial" w:hAnsi="Arial"/>
          <w:sz w:val="16"/>
          <w:szCs w:val="16"/>
          <w:color w:val="111111"/>
        </w:rPr>
        <w:t>this</w:t>
      </w:r>
      <w:r>
        <w:rPr>
          <w:rFonts w:ascii="Arial" w:cs="Arial" w:eastAsia="Arial" w:hAnsi="Arial"/>
          <w:sz w:val="16"/>
          <w:szCs w:val="16"/>
          <w:color w:val="1F1F1F"/>
        </w:rPr>
        <w:t xml:space="preserve"> </w:t>
      </w:r>
      <w:r>
        <w:rPr>
          <w:rFonts w:ascii="Arial" w:cs="Arial" w:eastAsia="Arial" w:hAnsi="Arial"/>
          <w:sz w:val="16"/>
          <w:szCs w:val="16"/>
          <w:color w:val="0A0A0A"/>
        </w:rPr>
        <w:t>provision.</w:t>
      </w:r>
    </w:p>
    <w:p>
      <w:pPr>
        <w:spacing w:after="0" w:line="117" w:lineRule="exact"/>
        <w:rPr>
          <w:sz w:val="20"/>
          <w:szCs w:val="20"/>
          <w:color w:val="auto"/>
        </w:rPr>
      </w:pPr>
    </w:p>
    <w:p>
      <w:pPr>
        <w:ind w:left="652"/>
        <w:spacing w:after="0" w:line="289" w:lineRule="auto"/>
        <w:rPr>
          <w:sz w:val="20"/>
          <w:szCs w:val="20"/>
          <w:color w:val="auto"/>
        </w:rPr>
      </w:pPr>
      <w:r>
        <w:rPr>
          <w:rFonts w:ascii="Arial" w:cs="Arial" w:eastAsia="Arial" w:hAnsi="Arial"/>
          <w:sz w:val="16"/>
          <w:szCs w:val="16"/>
          <w:color w:val="1A1A1A"/>
        </w:rPr>
        <w:t>Notwithstanding anything herein to the contrary, Executive is not waiving any claims or releasing any Released Party from claims (i) based on acts occurring after the date hereof, (ii) arising in the future out of any written agreement that remains in full force and effect following the Termination Date (including this Agreement), (iii) for unemployment compensation, state disability insurance benefits or other statutorily protected post-employment benefits, (iv) for pension, retiree, health, vision, dental or similar benefits pursuant to the Employee Retirement Income Security Act of 1974, as amended, (v) relating to Executive’s right to indemnity (including advancement of expenses) in connection with Executive’s defense of any third party claims or actions, and any right Executive has or may have to the benefits of any D&amp;O or E&amp;O insurance in connection with Executive’s defense of any third party claims or actions, whether pursuant to any of the Company’s charter or other organizational documents, any contracts, any laws or otherwise (which such rights to indemnity and insurance shall not be terminated or diminished in any respect) or (vi) that cannot be released as a matter of law, including claims for worker’s compensation or unemployment benefits.</w:t>
      </w:r>
    </w:p>
    <w:p>
      <w:pPr>
        <w:spacing w:after="0" w:line="342" w:lineRule="exact"/>
        <w:rPr>
          <w:sz w:val="20"/>
          <w:szCs w:val="20"/>
          <w:color w:val="auto"/>
        </w:rPr>
      </w:pPr>
    </w:p>
    <w:p>
      <w:pPr>
        <w:ind w:left="652" w:right="40" w:hanging="652"/>
        <w:spacing w:after="0" w:line="263" w:lineRule="auto"/>
        <w:tabs>
          <w:tab w:leader="none" w:pos="652"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0F0F0F"/>
        </w:rPr>
        <w:t xml:space="preserve">Non-Admission </w:t>
      </w:r>
      <w:r>
        <w:rPr>
          <w:rFonts w:ascii="Arial" w:cs="Arial" w:eastAsia="Arial" w:hAnsi="Arial"/>
          <w:sz w:val="18"/>
          <w:szCs w:val="18"/>
          <w:b w:val="1"/>
          <w:bCs w:val="1"/>
          <w:i w:val="1"/>
          <w:iCs w:val="1"/>
          <w:color w:val="181818"/>
        </w:rPr>
        <w:t>of</w:t>
      </w:r>
      <w:r>
        <w:rPr>
          <w:rFonts w:ascii="Arial" w:cs="Arial" w:eastAsia="Arial" w:hAnsi="Arial"/>
          <w:sz w:val="18"/>
          <w:szCs w:val="18"/>
          <w:b w:val="1"/>
          <w:bCs w:val="1"/>
          <w:i w:val="1"/>
          <w:iCs w:val="1"/>
          <w:color w:val="0F0F0F"/>
        </w:rPr>
        <w:t xml:space="preserve"> Liability </w:t>
      </w:r>
      <w:r>
        <w:rPr>
          <w:rFonts w:ascii="Arial" w:cs="Arial" w:eastAsia="Arial" w:hAnsi="Arial"/>
          <w:sz w:val="18"/>
          <w:szCs w:val="18"/>
          <w:color w:val="424F60"/>
        </w:rPr>
        <w:t>-</w:t>
      </w:r>
      <w:r>
        <w:rPr>
          <w:rFonts w:ascii="Arial" w:cs="Arial" w:eastAsia="Arial" w:hAnsi="Arial"/>
          <w:sz w:val="18"/>
          <w:szCs w:val="18"/>
          <w:b w:val="1"/>
          <w:bCs w:val="1"/>
          <w:i w:val="1"/>
          <w:iCs w:val="1"/>
          <w:color w:val="0F0F0F"/>
        </w:rPr>
        <w:t xml:space="preserve"> </w:t>
      </w:r>
      <w:r>
        <w:rPr>
          <w:rFonts w:ascii="Arial" w:cs="Arial" w:eastAsia="Arial" w:hAnsi="Arial"/>
          <w:sz w:val="18"/>
          <w:szCs w:val="18"/>
          <w:color w:val="0E0E0E"/>
        </w:rPr>
        <w:t>Executive</w:t>
      </w:r>
      <w:r>
        <w:rPr>
          <w:rFonts w:ascii="Arial" w:cs="Arial" w:eastAsia="Arial" w:hAnsi="Arial"/>
          <w:sz w:val="18"/>
          <w:szCs w:val="18"/>
          <w:b w:val="1"/>
          <w:bCs w:val="1"/>
          <w:i w:val="1"/>
          <w:iCs w:val="1"/>
          <w:color w:val="0F0F0F"/>
        </w:rPr>
        <w:t xml:space="preserve"> </w:t>
      </w:r>
      <w:r>
        <w:rPr>
          <w:rFonts w:ascii="Arial" w:cs="Arial" w:eastAsia="Arial" w:hAnsi="Arial"/>
          <w:sz w:val="18"/>
          <w:szCs w:val="18"/>
          <w:color w:val="1C1C1C"/>
        </w:rPr>
        <w:t>and</w:t>
      </w:r>
      <w:r>
        <w:rPr>
          <w:rFonts w:ascii="Arial" w:cs="Arial" w:eastAsia="Arial" w:hAnsi="Arial"/>
          <w:sz w:val="18"/>
          <w:szCs w:val="18"/>
          <w:b w:val="1"/>
          <w:bCs w:val="1"/>
          <w:i w:val="1"/>
          <w:iCs w:val="1"/>
          <w:color w:val="0F0F0F"/>
        </w:rPr>
        <w:t xml:space="preserve"> </w:t>
      </w:r>
      <w:r>
        <w:rPr>
          <w:rFonts w:ascii="Arial" w:cs="Arial" w:eastAsia="Arial" w:hAnsi="Arial"/>
          <w:sz w:val="18"/>
          <w:szCs w:val="18"/>
          <w:color w:val="111111"/>
        </w:rPr>
        <w:t>the Company</w:t>
      </w:r>
      <w:r>
        <w:rPr>
          <w:rFonts w:ascii="Arial" w:cs="Arial" w:eastAsia="Arial" w:hAnsi="Arial"/>
          <w:sz w:val="18"/>
          <w:szCs w:val="18"/>
          <w:b w:val="1"/>
          <w:bCs w:val="1"/>
          <w:i w:val="1"/>
          <w:iCs w:val="1"/>
          <w:color w:val="0F0F0F"/>
        </w:rPr>
        <w:t xml:space="preserve"> </w:t>
      </w:r>
      <w:r>
        <w:rPr>
          <w:rFonts w:ascii="Arial" w:cs="Arial" w:eastAsia="Arial" w:hAnsi="Arial"/>
          <w:sz w:val="18"/>
          <w:szCs w:val="18"/>
          <w:color w:val="030303"/>
        </w:rPr>
        <w:t>understand</w:t>
      </w:r>
      <w:r>
        <w:rPr>
          <w:rFonts w:ascii="Arial" w:cs="Arial" w:eastAsia="Arial" w:hAnsi="Arial"/>
          <w:sz w:val="18"/>
          <w:szCs w:val="18"/>
          <w:b w:val="1"/>
          <w:bCs w:val="1"/>
          <w:i w:val="1"/>
          <w:iCs w:val="1"/>
          <w:color w:val="0F0F0F"/>
        </w:rPr>
        <w:t xml:space="preserve"> </w:t>
      </w:r>
      <w:r>
        <w:rPr>
          <w:rFonts w:ascii="Arial" w:cs="Arial" w:eastAsia="Arial" w:hAnsi="Arial"/>
          <w:sz w:val="18"/>
          <w:szCs w:val="18"/>
          <w:color w:val="151515"/>
        </w:rPr>
        <w:t>and</w:t>
      </w:r>
      <w:r>
        <w:rPr>
          <w:rFonts w:ascii="Arial" w:cs="Arial" w:eastAsia="Arial" w:hAnsi="Arial"/>
          <w:sz w:val="18"/>
          <w:szCs w:val="18"/>
          <w:b w:val="1"/>
          <w:bCs w:val="1"/>
          <w:i w:val="1"/>
          <w:iCs w:val="1"/>
          <w:color w:val="0F0F0F"/>
        </w:rPr>
        <w:t xml:space="preserve"> </w:t>
      </w:r>
      <w:r>
        <w:rPr>
          <w:rFonts w:ascii="Arial" w:cs="Arial" w:eastAsia="Arial" w:hAnsi="Arial"/>
          <w:sz w:val="18"/>
          <w:szCs w:val="18"/>
          <w:color w:val="161616"/>
        </w:rPr>
        <w:t>agree</w:t>
      </w:r>
      <w:r>
        <w:rPr>
          <w:rFonts w:ascii="Arial" w:cs="Arial" w:eastAsia="Arial" w:hAnsi="Arial"/>
          <w:sz w:val="18"/>
          <w:szCs w:val="18"/>
          <w:b w:val="1"/>
          <w:bCs w:val="1"/>
          <w:i w:val="1"/>
          <w:iCs w:val="1"/>
          <w:color w:val="0F0F0F"/>
        </w:rPr>
        <w:t xml:space="preserve"> </w:t>
      </w:r>
      <w:r>
        <w:rPr>
          <w:rFonts w:ascii="Arial" w:cs="Arial" w:eastAsia="Arial" w:hAnsi="Arial"/>
          <w:sz w:val="18"/>
          <w:szCs w:val="18"/>
          <w:color w:val="000000"/>
        </w:rPr>
        <w:t>that</w:t>
      </w:r>
      <w:r>
        <w:rPr>
          <w:rFonts w:ascii="Arial" w:cs="Arial" w:eastAsia="Arial" w:hAnsi="Arial"/>
          <w:sz w:val="18"/>
          <w:szCs w:val="18"/>
          <w:b w:val="1"/>
          <w:bCs w:val="1"/>
          <w:i w:val="1"/>
          <w:iCs w:val="1"/>
          <w:color w:val="0F0F0F"/>
        </w:rPr>
        <w:t xml:space="preserve"> </w:t>
      </w:r>
      <w:r>
        <w:rPr>
          <w:rFonts w:ascii="Arial" w:cs="Arial" w:eastAsia="Arial" w:hAnsi="Arial"/>
          <w:sz w:val="18"/>
          <w:szCs w:val="18"/>
          <w:color w:val="131313"/>
        </w:rPr>
        <w:t>they</w:t>
      </w:r>
      <w:r>
        <w:rPr>
          <w:rFonts w:ascii="Arial" w:cs="Arial" w:eastAsia="Arial" w:hAnsi="Arial"/>
          <w:sz w:val="18"/>
          <w:szCs w:val="18"/>
          <w:b w:val="1"/>
          <w:bCs w:val="1"/>
          <w:i w:val="1"/>
          <w:iCs w:val="1"/>
          <w:color w:val="0F0F0F"/>
        </w:rPr>
        <w:t xml:space="preserve"> </w:t>
      </w:r>
      <w:r>
        <w:rPr>
          <w:rFonts w:ascii="Arial" w:cs="Arial" w:eastAsia="Arial" w:hAnsi="Arial"/>
          <w:sz w:val="18"/>
          <w:szCs w:val="18"/>
          <w:color w:val="0C0C0C"/>
        </w:rPr>
        <w:t>are</w:t>
      </w:r>
      <w:r>
        <w:rPr>
          <w:rFonts w:ascii="Arial" w:cs="Arial" w:eastAsia="Arial" w:hAnsi="Arial"/>
          <w:sz w:val="18"/>
          <w:szCs w:val="18"/>
          <w:b w:val="1"/>
          <w:bCs w:val="1"/>
          <w:i w:val="1"/>
          <w:iCs w:val="1"/>
          <w:color w:val="0F0F0F"/>
        </w:rPr>
        <w:t xml:space="preserve"> </w:t>
      </w:r>
      <w:r>
        <w:rPr>
          <w:rFonts w:ascii="Arial" w:cs="Arial" w:eastAsia="Arial" w:hAnsi="Arial"/>
          <w:sz w:val="18"/>
          <w:szCs w:val="18"/>
          <w:color w:val="161616"/>
        </w:rPr>
        <w:t>entering</w:t>
      </w:r>
      <w:r>
        <w:rPr>
          <w:rFonts w:ascii="Arial" w:cs="Arial" w:eastAsia="Arial" w:hAnsi="Arial"/>
          <w:sz w:val="18"/>
          <w:szCs w:val="18"/>
          <w:b w:val="1"/>
          <w:bCs w:val="1"/>
          <w:i w:val="1"/>
          <w:iCs w:val="1"/>
          <w:color w:val="0F0F0F"/>
        </w:rPr>
        <w:t xml:space="preserve"> </w:t>
      </w:r>
      <w:r>
        <w:rPr>
          <w:rFonts w:ascii="Arial" w:cs="Arial" w:eastAsia="Arial" w:hAnsi="Arial"/>
          <w:sz w:val="18"/>
          <w:szCs w:val="18"/>
          <w:color w:val="181818"/>
        </w:rPr>
        <w:t>into</w:t>
      </w:r>
      <w:r>
        <w:rPr>
          <w:rFonts w:ascii="Arial" w:cs="Arial" w:eastAsia="Arial" w:hAnsi="Arial"/>
          <w:sz w:val="18"/>
          <w:szCs w:val="18"/>
          <w:b w:val="1"/>
          <w:bCs w:val="1"/>
          <w:i w:val="1"/>
          <w:iCs w:val="1"/>
          <w:color w:val="0F0F0F"/>
        </w:rPr>
        <w:t xml:space="preserve"> </w:t>
      </w:r>
      <w:r>
        <w:rPr>
          <w:rFonts w:ascii="Arial" w:cs="Arial" w:eastAsia="Arial" w:hAnsi="Arial"/>
          <w:sz w:val="18"/>
          <w:szCs w:val="18"/>
          <w:color w:val="1A1A1A"/>
        </w:rPr>
        <w:t>this</w:t>
      </w:r>
      <w:r>
        <w:rPr>
          <w:rFonts w:ascii="Arial" w:cs="Arial" w:eastAsia="Arial" w:hAnsi="Arial"/>
          <w:sz w:val="18"/>
          <w:szCs w:val="18"/>
          <w:b w:val="1"/>
          <w:bCs w:val="1"/>
          <w:i w:val="1"/>
          <w:iCs w:val="1"/>
          <w:color w:val="0F0F0F"/>
        </w:rPr>
        <w:t xml:space="preserve"> </w:t>
      </w:r>
      <w:r>
        <w:rPr>
          <w:rFonts w:ascii="Arial" w:cs="Arial" w:eastAsia="Arial" w:hAnsi="Arial"/>
          <w:sz w:val="18"/>
          <w:szCs w:val="18"/>
          <w:color w:val="161616"/>
        </w:rPr>
        <w:t>Agreement</w:t>
      </w:r>
      <w:r>
        <w:rPr>
          <w:rFonts w:ascii="Arial" w:cs="Arial" w:eastAsia="Arial" w:hAnsi="Arial"/>
          <w:sz w:val="18"/>
          <w:szCs w:val="18"/>
          <w:b w:val="1"/>
          <w:bCs w:val="1"/>
          <w:i w:val="1"/>
          <w:iCs w:val="1"/>
          <w:color w:val="0F0F0F"/>
        </w:rPr>
        <w:t xml:space="preserve"> </w:t>
      </w:r>
      <w:r>
        <w:rPr>
          <w:rFonts w:ascii="Arial" w:cs="Arial" w:eastAsia="Arial" w:hAnsi="Arial"/>
          <w:sz w:val="18"/>
          <w:szCs w:val="18"/>
          <w:color w:val="0C0C0C"/>
        </w:rPr>
        <w:t>to,</w:t>
      </w:r>
      <w:r>
        <w:rPr>
          <w:rFonts w:ascii="Arial" w:cs="Arial" w:eastAsia="Arial" w:hAnsi="Arial"/>
          <w:sz w:val="18"/>
          <w:szCs w:val="18"/>
          <w:b w:val="1"/>
          <w:bCs w:val="1"/>
          <w:i w:val="1"/>
          <w:iCs w:val="1"/>
          <w:color w:val="0F0F0F"/>
        </w:rPr>
        <w:t xml:space="preserve"> </w:t>
      </w:r>
      <w:r>
        <w:rPr>
          <w:rFonts w:ascii="Arial" w:cs="Arial" w:eastAsia="Arial" w:hAnsi="Arial"/>
          <w:sz w:val="18"/>
          <w:szCs w:val="18"/>
          <w:color w:val="131313"/>
        </w:rPr>
        <w:t>among</w:t>
      </w:r>
      <w:r>
        <w:rPr>
          <w:rFonts w:ascii="Arial" w:cs="Arial" w:eastAsia="Arial" w:hAnsi="Arial"/>
          <w:sz w:val="18"/>
          <w:szCs w:val="18"/>
          <w:b w:val="1"/>
          <w:bCs w:val="1"/>
          <w:i w:val="1"/>
          <w:iCs w:val="1"/>
          <w:color w:val="0F0F0F"/>
        </w:rPr>
        <w:t xml:space="preserve"> </w:t>
      </w:r>
      <w:r>
        <w:rPr>
          <w:rFonts w:ascii="Arial" w:cs="Arial" w:eastAsia="Arial" w:hAnsi="Arial"/>
          <w:sz w:val="18"/>
          <w:szCs w:val="18"/>
          <w:color w:val="080808"/>
        </w:rPr>
        <w:t>other</w:t>
      </w:r>
      <w:r>
        <w:rPr>
          <w:rFonts w:ascii="Arial" w:cs="Arial" w:eastAsia="Arial" w:hAnsi="Arial"/>
          <w:sz w:val="18"/>
          <w:szCs w:val="18"/>
          <w:b w:val="1"/>
          <w:bCs w:val="1"/>
          <w:i w:val="1"/>
          <w:iCs w:val="1"/>
          <w:color w:val="0F0F0F"/>
        </w:rPr>
        <w:t xml:space="preserve"> </w:t>
      </w:r>
      <w:r>
        <w:rPr>
          <w:rFonts w:ascii="Arial" w:cs="Arial" w:eastAsia="Arial" w:hAnsi="Arial"/>
          <w:sz w:val="18"/>
          <w:szCs w:val="18"/>
          <w:color w:val="0A0A0A"/>
        </w:rPr>
        <w:t>things,</w:t>
      </w:r>
      <w:r>
        <w:rPr>
          <w:rFonts w:ascii="Arial" w:cs="Arial" w:eastAsia="Arial" w:hAnsi="Arial"/>
          <w:sz w:val="18"/>
          <w:szCs w:val="18"/>
          <w:b w:val="1"/>
          <w:bCs w:val="1"/>
          <w:i w:val="1"/>
          <w:iCs w:val="1"/>
          <w:color w:val="0F0F0F"/>
        </w:rPr>
        <w:t xml:space="preserve"> </w:t>
      </w:r>
      <w:r>
        <w:rPr>
          <w:rFonts w:ascii="Arial" w:cs="Arial" w:eastAsia="Arial" w:hAnsi="Arial"/>
          <w:sz w:val="18"/>
          <w:szCs w:val="18"/>
          <w:color w:val="000000"/>
        </w:rPr>
        <w:t xml:space="preserve">resolve any </w:t>
      </w:r>
      <w:r>
        <w:rPr>
          <w:rFonts w:ascii="Arial" w:cs="Arial" w:eastAsia="Arial" w:hAnsi="Arial"/>
          <w:sz w:val="18"/>
          <w:szCs w:val="18"/>
          <w:color w:val="151515"/>
        </w:rPr>
        <w:t>claims</w:t>
      </w:r>
      <w:r>
        <w:rPr>
          <w:rFonts w:ascii="Arial" w:cs="Arial" w:eastAsia="Arial" w:hAnsi="Arial"/>
          <w:sz w:val="18"/>
          <w:szCs w:val="18"/>
          <w:color w:val="000000"/>
        </w:rPr>
        <w:t xml:space="preserve"> </w:t>
      </w:r>
      <w:r>
        <w:rPr>
          <w:rFonts w:ascii="Arial" w:cs="Arial" w:eastAsia="Arial" w:hAnsi="Arial"/>
          <w:sz w:val="18"/>
          <w:szCs w:val="18"/>
          <w:color w:val="0C0C0C"/>
        </w:rPr>
        <w:t>or</w:t>
      </w:r>
      <w:r>
        <w:rPr>
          <w:rFonts w:ascii="Arial" w:cs="Arial" w:eastAsia="Arial" w:hAnsi="Arial"/>
          <w:sz w:val="18"/>
          <w:szCs w:val="18"/>
          <w:color w:val="000000"/>
        </w:rPr>
        <w:t xml:space="preserve"> </w:t>
      </w:r>
      <w:r>
        <w:rPr>
          <w:rFonts w:ascii="Arial" w:cs="Arial" w:eastAsia="Arial" w:hAnsi="Arial"/>
          <w:sz w:val="18"/>
          <w:szCs w:val="18"/>
          <w:color w:val="111111"/>
        </w:rPr>
        <w:t>differences that</w:t>
      </w:r>
      <w:r>
        <w:rPr>
          <w:rFonts w:ascii="Arial" w:cs="Arial" w:eastAsia="Arial" w:hAnsi="Arial"/>
          <w:sz w:val="18"/>
          <w:szCs w:val="18"/>
          <w:color w:val="000000"/>
        </w:rPr>
        <w:t xml:space="preserve"> </w:t>
      </w:r>
      <w:r>
        <w:rPr>
          <w:rFonts w:ascii="Arial" w:cs="Arial" w:eastAsia="Arial" w:hAnsi="Arial"/>
          <w:sz w:val="18"/>
          <w:szCs w:val="18"/>
          <w:color w:val="1C1C1C"/>
        </w:rPr>
        <w:t>may</w:t>
      </w:r>
      <w:r>
        <w:rPr>
          <w:rFonts w:ascii="Arial" w:cs="Arial" w:eastAsia="Arial" w:hAnsi="Arial"/>
          <w:sz w:val="18"/>
          <w:szCs w:val="18"/>
          <w:color w:val="000000"/>
        </w:rPr>
        <w:t xml:space="preserve"> </w:t>
      </w:r>
      <w:r>
        <w:rPr>
          <w:rFonts w:ascii="Arial" w:cs="Arial" w:eastAsia="Arial" w:hAnsi="Arial"/>
          <w:sz w:val="18"/>
          <w:szCs w:val="18"/>
          <w:color w:val="070707"/>
        </w:rPr>
        <w:t>exist</w:t>
      </w:r>
      <w:r>
        <w:rPr>
          <w:rFonts w:ascii="Arial" w:cs="Arial" w:eastAsia="Arial" w:hAnsi="Arial"/>
          <w:sz w:val="18"/>
          <w:szCs w:val="18"/>
          <w:color w:val="000000"/>
        </w:rPr>
        <w:t xml:space="preserve"> </w:t>
      </w:r>
      <w:r>
        <w:rPr>
          <w:rFonts w:ascii="Arial" w:cs="Arial" w:eastAsia="Arial" w:hAnsi="Arial"/>
          <w:sz w:val="18"/>
          <w:szCs w:val="18"/>
          <w:color w:val="0F0F0F"/>
        </w:rPr>
        <w:t>between</w:t>
      </w:r>
      <w:r>
        <w:rPr>
          <w:rFonts w:ascii="Arial" w:cs="Arial" w:eastAsia="Arial" w:hAnsi="Arial"/>
          <w:sz w:val="18"/>
          <w:szCs w:val="18"/>
          <w:color w:val="000000"/>
        </w:rPr>
        <w:t xml:space="preserve"> </w:t>
      </w:r>
      <w:r>
        <w:rPr>
          <w:rFonts w:ascii="Arial" w:cs="Arial" w:eastAsia="Arial" w:hAnsi="Arial"/>
          <w:sz w:val="18"/>
          <w:szCs w:val="18"/>
          <w:color w:val="212121"/>
        </w:rPr>
        <w:t>them.</w:t>
      </w:r>
      <w:r>
        <w:rPr>
          <w:rFonts w:ascii="Arial" w:cs="Arial" w:eastAsia="Arial" w:hAnsi="Arial"/>
          <w:sz w:val="18"/>
          <w:szCs w:val="18"/>
          <w:color w:val="000000"/>
        </w:rPr>
        <w:t xml:space="preserve"> </w:t>
      </w:r>
      <w:r>
        <w:rPr>
          <w:rFonts w:ascii="Arial" w:cs="Arial" w:eastAsia="Arial" w:hAnsi="Arial"/>
          <w:sz w:val="18"/>
          <w:szCs w:val="18"/>
          <w:color w:val="1C1C1C"/>
        </w:rPr>
        <w:t>By</w:t>
      </w:r>
      <w:r>
        <w:rPr>
          <w:rFonts w:ascii="Arial" w:cs="Arial" w:eastAsia="Arial" w:hAnsi="Arial"/>
          <w:sz w:val="18"/>
          <w:szCs w:val="18"/>
          <w:color w:val="000000"/>
        </w:rPr>
        <w:t xml:space="preserve"> </w:t>
      </w:r>
      <w:r>
        <w:rPr>
          <w:rFonts w:ascii="Arial" w:cs="Arial" w:eastAsia="Arial" w:hAnsi="Arial"/>
          <w:sz w:val="18"/>
          <w:szCs w:val="18"/>
          <w:color w:val="131313"/>
        </w:rPr>
        <w:t>entering</w:t>
      </w:r>
      <w:r>
        <w:rPr>
          <w:rFonts w:ascii="Arial" w:cs="Arial" w:eastAsia="Arial" w:hAnsi="Arial"/>
          <w:sz w:val="18"/>
          <w:szCs w:val="18"/>
          <w:color w:val="000000"/>
        </w:rPr>
        <w:t xml:space="preserve"> </w:t>
      </w:r>
      <w:r>
        <w:rPr>
          <w:rFonts w:ascii="Arial" w:cs="Arial" w:eastAsia="Arial" w:hAnsi="Arial"/>
          <w:sz w:val="18"/>
          <w:szCs w:val="18"/>
          <w:color w:val="0C0C0C"/>
        </w:rPr>
        <w:t>into</w:t>
      </w:r>
      <w:r>
        <w:rPr>
          <w:rFonts w:ascii="Arial" w:cs="Arial" w:eastAsia="Arial" w:hAnsi="Arial"/>
          <w:sz w:val="18"/>
          <w:szCs w:val="18"/>
          <w:color w:val="000000"/>
        </w:rPr>
        <w:t xml:space="preserve"> </w:t>
      </w:r>
      <w:r>
        <w:rPr>
          <w:rFonts w:ascii="Arial" w:cs="Arial" w:eastAsia="Arial" w:hAnsi="Arial"/>
          <w:sz w:val="18"/>
          <w:szCs w:val="18"/>
          <w:color w:val="1F1F1F"/>
        </w:rPr>
        <w:t>this</w:t>
      </w:r>
      <w:r>
        <w:rPr>
          <w:rFonts w:ascii="Arial" w:cs="Arial" w:eastAsia="Arial" w:hAnsi="Arial"/>
          <w:sz w:val="18"/>
          <w:szCs w:val="18"/>
          <w:color w:val="000000"/>
        </w:rPr>
        <w:t xml:space="preserve"> Agreement </w:t>
      </w:r>
      <w:r>
        <w:rPr>
          <w:rFonts w:ascii="Arial" w:cs="Arial" w:eastAsia="Arial" w:hAnsi="Arial"/>
          <w:sz w:val="18"/>
          <w:szCs w:val="18"/>
          <w:color w:val="0F0F0F"/>
        </w:rPr>
        <w:t>neither</w:t>
      </w:r>
      <w:r>
        <w:rPr>
          <w:rFonts w:ascii="Arial" w:cs="Arial" w:eastAsia="Arial" w:hAnsi="Arial"/>
          <w:sz w:val="18"/>
          <w:szCs w:val="18"/>
          <w:color w:val="000000"/>
        </w:rPr>
        <w:t xml:space="preserve"> </w:t>
      </w:r>
      <w:r>
        <w:rPr>
          <w:rFonts w:ascii="Arial" w:cs="Arial" w:eastAsia="Arial" w:hAnsi="Arial"/>
          <w:sz w:val="18"/>
          <w:szCs w:val="18"/>
          <w:color w:val="161616"/>
        </w:rPr>
        <w:t>Executive</w:t>
      </w:r>
      <w:r>
        <w:rPr>
          <w:rFonts w:ascii="Arial" w:cs="Arial" w:eastAsia="Arial" w:hAnsi="Arial"/>
          <w:sz w:val="18"/>
          <w:szCs w:val="18"/>
          <w:color w:val="000000"/>
        </w:rPr>
        <w:t xml:space="preserve"> </w:t>
      </w:r>
      <w:r>
        <w:rPr>
          <w:rFonts w:ascii="Arial" w:cs="Arial" w:eastAsia="Arial" w:hAnsi="Arial"/>
          <w:sz w:val="18"/>
          <w:szCs w:val="18"/>
          <w:color w:val="131313"/>
        </w:rPr>
        <w:t>nor</w:t>
      </w:r>
      <w:r>
        <w:rPr>
          <w:rFonts w:ascii="Arial" w:cs="Arial" w:eastAsia="Arial" w:hAnsi="Arial"/>
          <w:sz w:val="18"/>
          <w:szCs w:val="18"/>
          <w:color w:val="000000"/>
        </w:rPr>
        <w:t xml:space="preserve"> </w:t>
      </w:r>
      <w:r>
        <w:rPr>
          <w:rFonts w:ascii="Arial" w:cs="Arial" w:eastAsia="Arial" w:hAnsi="Arial"/>
          <w:sz w:val="18"/>
          <w:szCs w:val="18"/>
          <w:color w:val="161616"/>
        </w:rPr>
        <w:t>the Company admits</w:t>
      </w:r>
      <w:r>
        <w:rPr>
          <w:rFonts w:ascii="Arial" w:cs="Arial" w:eastAsia="Arial" w:hAnsi="Arial"/>
          <w:sz w:val="18"/>
          <w:szCs w:val="18"/>
          <w:color w:val="000000"/>
        </w:rPr>
        <w:t xml:space="preserve"> </w:t>
      </w:r>
      <w:r>
        <w:rPr>
          <w:rFonts w:ascii="Arial" w:cs="Arial" w:eastAsia="Arial" w:hAnsi="Arial"/>
          <w:sz w:val="18"/>
          <w:szCs w:val="18"/>
          <w:color w:val="1A1A1A"/>
        </w:rPr>
        <w:t>any</w:t>
      </w:r>
      <w:r>
        <w:rPr>
          <w:rFonts w:ascii="Arial" w:cs="Arial" w:eastAsia="Arial" w:hAnsi="Arial"/>
          <w:sz w:val="18"/>
          <w:szCs w:val="18"/>
          <w:color w:val="000000"/>
        </w:rPr>
        <w:t xml:space="preserve"> </w:t>
      </w:r>
      <w:r>
        <w:rPr>
          <w:rFonts w:ascii="Arial" w:cs="Arial" w:eastAsia="Arial" w:hAnsi="Arial"/>
          <w:sz w:val="18"/>
          <w:szCs w:val="18"/>
          <w:color w:val="181818"/>
        </w:rPr>
        <w:t xml:space="preserve">liability </w:t>
      </w:r>
      <w:r>
        <w:rPr>
          <w:rFonts w:ascii="Arial" w:cs="Arial" w:eastAsia="Arial" w:hAnsi="Arial"/>
          <w:sz w:val="18"/>
          <w:szCs w:val="18"/>
          <w:color w:val="212121"/>
        </w:rPr>
        <w:t>or</w:t>
      </w:r>
      <w:r>
        <w:rPr>
          <w:rFonts w:ascii="Arial" w:cs="Arial" w:eastAsia="Arial" w:hAnsi="Arial"/>
          <w:sz w:val="18"/>
          <w:szCs w:val="18"/>
          <w:color w:val="181818"/>
        </w:rPr>
        <w:t xml:space="preserve"> </w:t>
      </w:r>
      <w:r>
        <w:rPr>
          <w:rFonts w:ascii="Arial" w:cs="Arial" w:eastAsia="Arial" w:hAnsi="Arial"/>
          <w:sz w:val="18"/>
          <w:szCs w:val="18"/>
          <w:color w:val="0A0A0A"/>
        </w:rPr>
        <w:t>wrongdoing.</w:t>
      </w:r>
    </w:p>
    <w:p>
      <w:pPr>
        <w:spacing w:after="0" w:line="183" w:lineRule="exact"/>
        <w:rPr>
          <w:rFonts w:ascii="Arial" w:cs="Arial" w:eastAsia="Arial" w:hAnsi="Arial"/>
          <w:sz w:val="18"/>
          <w:szCs w:val="18"/>
          <w:color w:val="auto"/>
        </w:rPr>
      </w:pPr>
    </w:p>
    <w:p>
      <w:pPr>
        <w:ind w:left="652" w:right="60" w:hanging="652"/>
        <w:spacing w:after="0" w:line="257" w:lineRule="auto"/>
        <w:tabs>
          <w:tab w:leader="none" w:pos="652"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131313"/>
        </w:rPr>
        <w:t xml:space="preserve">Return of Company Documents and Property </w:t>
      </w:r>
      <w:r>
        <w:rPr>
          <w:rFonts w:ascii="Arial" w:cs="Arial" w:eastAsia="Arial" w:hAnsi="Arial"/>
          <w:sz w:val="18"/>
          <w:szCs w:val="18"/>
          <w:color w:val="131313"/>
        </w:rPr>
        <w:t>- Executive agrees that he will return to the Company, as soon as practicable after the Termination</w:t>
      </w:r>
      <w:r>
        <w:rPr>
          <w:rFonts w:ascii="Arial" w:cs="Arial" w:eastAsia="Arial" w:hAnsi="Arial"/>
          <w:sz w:val="18"/>
          <w:szCs w:val="18"/>
          <w:b w:val="1"/>
          <w:bCs w:val="1"/>
          <w:i w:val="1"/>
          <w:iCs w:val="1"/>
          <w:color w:val="131313"/>
        </w:rPr>
        <w:t xml:space="preserve"> </w:t>
      </w:r>
      <w:r>
        <w:rPr>
          <w:rFonts w:ascii="Arial" w:cs="Arial" w:eastAsia="Arial" w:hAnsi="Arial"/>
          <w:sz w:val="18"/>
          <w:szCs w:val="18"/>
          <w:color w:val="131313"/>
        </w:rPr>
        <w:t>Date, any and all documents relating to the Company or its business operations (and any and all copies thereof, whether in paper form or electronic form), computer equipment, badges, credit cards and any other Company property in his possession or control. Executive agrees that if, at any time after the Termination Date, he should come into possession of any such documents or property, he will return such documents or property to the Company immediately.</w:t>
      </w:r>
    </w:p>
    <w:p>
      <w:pPr>
        <w:spacing w:after="0" w:line="187" w:lineRule="exact"/>
        <w:rPr>
          <w:rFonts w:ascii="Arial" w:cs="Arial" w:eastAsia="Arial" w:hAnsi="Arial"/>
          <w:sz w:val="18"/>
          <w:szCs w:val="18"/>
          <w:color w:val="auto"/>
        </w:rPr>
      </w:pPr>
    </w:p>
    <w:p>
      <w:pPr>
        <w:ind w:left="652" w:hanging="652"/>
        <w:spacing w:after="0" w:line="293" w:lineRule="auto"/>
        <w:tabs>
          <w:tab w:leader="none" w:pos="652" w:val="left"/>
        </w:tabs>
        <w:numPr>
          <w:ilvl w:val="0"/>
          <w:numId w:val="30"/>
        </w:numPr>
        <w:rPr>
          <w:rFonts w:ascii="Arial" w:cs="Arial" w:eastAsia="Arial" w:hAnsi="Arial"/>
          <w:sz w:val="16"/>
          <w:szCs w:val="16"/>
          <w:color w:val="auto"/>
        </w:rPr>
      </w:pPr>
      <w:r>
        <w:rPr>
          <w:rFonts w:ascii="Arial" w:cs="Arial" w:eastAsia="Arial" w:hAnsi="Arial"/>
          <w:sz w:val="16"/>
          <w:szCs w:val="16"/>
          <w:b w:val="1"/>
          <w:bCs w:val="1"/>
          <w:i w:val="1"/>
          <w:iCs w:val="1"/>
          <w:color w:val="131313"/>
        </w:rPr>
        <w:t xml:space="preserve">Proprietary </w:t>
      </w:r>
      <w:r>
        <w:rPr>
          <w:rFonts w:ascii="Arial" w:cs="Arial" w:eastAsia="Arial" w:hAnsi="Arial"/>
          <w:sz w:val="16"/>
          <w:szCs w:val="16"/>
          <w:b w:val="1"/>
          <w:bCs w:val="1"/>
          <w:i w:val="1"/>
          <w:iCs w:val="1"/>
          <w:color w:val="0F0F0F"/>
        </w:rPr>
        <w:t>Information, Non-Competition</w:t>
      </w:r>
      <w:r>
        <w:rPr>
          <w:rFonts w:ascii="Arial" w:cs="Arial" w:eastAsia="Arial" w:hAnsi="Arial"/>
          <w:sz w:val="16"/>
          <w:szCs w:val="16"/>
          <w:b w:val="1"/>
          <w:bCs w:val="1"/>
          <w:i w:val="1"/>
          <w:iCs w:val="1"/>
          <w:color w:val="131313"/>
        </w:rPr>
        <w:t xml:space="preserve"> </w:t>
      </w:r>
      <w:r>
        <w:rPr>
          <w:rFonts w:ascii="Arial" w:cs="Arial" w:eastAsia="Arial" w:hAnsi="Arial"/>
          <w:sz w:val="16"/>
          <w:szCs w:val="16"/>
          <w:b w:val="1"/>
          <w:bCs w:val="1"/>
          <w:i w:val="1"/>
          <w:iCs w:val="1"/>
          <w:color w:val="181818"/>
        </w:rPr>
        <w:t>and</w:t>
      </w:r>
      <w:r>
        <w:rPr>
          <w:rFonts w:ascii="Arial" w:cs="Arial" w:eastAsia="Arial" w:hAnsi="Arial"/>
          <w:sz w:val="16"/>
          <w:szCs w:val="16"/>
          <w:b w:val="1"/>
          <w:bCs w:val="1"/>
          <w:i w:val="1"/>
          <w:iCs w:val="1"/>
          <w:color w:val="131313"/>
        </w:rPr>
        <w:t xml:space="preserve"> </w:t>
      </w:r>
      <w:r>
        <w:rPr>
          <w:rFonts w:ascii="Arial" w:cs="Arial" w:eastAsia="Arial" w:hAnsi="Arial"/>
          <w:sz w:val="16"/>
          <w:szCs w:val="16"/>
          <w:b w:val="1"/>
          <w:bCs w:val="1"/>
          <w:i w:val="1"/>
          <w:iCs w:val="1"/>
          <w:color w:val="151515"/>
        </w:rPr>
        <w:t>Non-Solicitation</w:t>
      </w:r>
      <w:r>
        <w:rPr>
          <w:rFonts w:ascii="Arial" w:cs="Arial" w:eastAsia="Arial" w:hAnsi="Arial"/>
          <w:sz w:val="16"/>
          <w:szCs w:val="16"/>
          <w:b w:val="1"/>
          <w:bCs w:val="1"/>
          <w:i w:val="1"/>
          <w:iCs w:val="1"/>
          <w:color w:val="131313"/>
        </w:rPr>
        <w:t xml:space="preserve"> </w:t>
      </w:r>
      <w:r>
        <w:rPr>
          <w:rFonts w:ascii="Arial" w:cs="Arial" w:eastAsia="Arial" w:hAnsi="Arial"/>
          <w:sz w:val="16"/>
          <w:szCs w:val="16"/>
          <w:color w:val="232323"/>
        </w:rPr>
        <w:t>- The</w:t>
      </w:r>
      <w:r>
        <w:rPr>
          <w:rFonts w:ascii="Arial" w:cs="Arial" w:eastAsia="Arial" w:hAnsi="Arial"/>
          <w:sz w:val="16"/>
          <w:szCs w:val="16"/>
          <w:b w:val="1"/>
          <w:bCs w:val="1"/>
          <w:i w:val="1"/>
          <w:iCs w:val="1"/>
          <w:color w:val="131313"/>
        </w:rPr>
        <w:t xml:space="preserve"> </w:t>
      </w:r>
      <w:r>
        <w:rPr>
          <w:rFonts w:ascii="Arial" w:cs="Arial" w:eastAsia="Arial" w:hAnsi="Arial"/>
          <w:sz w:val="16"/>
          <w:szCs w:val="16"/>
          <w:color w:val="151515"/>
        </w:rPr>
        <w:t>parties</w:t>
      </w:r>
      <w:r>
        <w:rPr>
          <w:rFonts w:ascii="Arial" w:cs="Arial" w:eastAsia="Arial" w:hAnsi="Arial"/>
          <w:sz w:val="16"/>
          <w:szCs w:val="16"/>
          <w:b w:val="1"/>
          <w:bCs w:val="1"/>
          <w:i w:val="1"/>
          <w:iCs w:val="1"/>
          <w:color w:val="131313"/>
        </w:rPr>
        <w:t xml:space="preserve"> </w:t>
      </w:r>
      <w:r>
        <w:rPr>
          <w:rFonts w:ascii="Arial" w:cs="Arial" w:eastAsia="Arial" w:hAnsi="Arial"/>
          <w:sz w:val="16"/>
          <w:szCs w:val="16"/>
          <w:color w:val="0A0A0A"/>
        </w:rPr>
        <w:t>acknowledge</w:t>
      </w:r>
      <w:r>
        <w:rPr>
          <w:rFonts w:ascii="Arial" w:cs="Arial" w:eastAsia="Arial" w:hAnsi="Arial"/>
          <w:sz w:val="16"/>
          <w:szCs w:val="16"/>
          <w:b w:val="1"/>
          <w:bCs w:val="1"/>
          <w:i w:val="1"/>
          <w:iCs w:val="1"/>
          <w:color w:val="131313"/>
        </w:rPr>
        <w:t xml:space="preserve"> </w:t>
      </w:r>
      <w:r>
        <w:rPr>
          <w:rFonts w:ascii="Arial" w:cs="Arial" w:eastAsia="Arial" w:hAnsi="Arial"/>
          <w:sz w:val="16"/>
          <w:szCs w:val="16"/>
          <w:color w:val="161616"/>
        </w:rPr>
        <w:t>that,</w:t>
      </w:r>
      <w:r>
        <w:rPr>
          <w:rFonts w:ascii="Arial" w:cs="Arial" w:eastAsia="Arial" w:hAnsi="Arial"/>
          <w:sz w:val="16"/>
          <w:szCs w:val="16"/>
          <w:b w:val="1"/>
          <w:bCs w:val="1"/>
          <w:i w:val="1"/>
          <w:iCs w:val="1"/>
          <w:color w:val="131313"/>
        </w:rPr>
        <w:t xml:space="preserve"> </w:t>
      </w:r>
      <w:r>
        <w:rPr>
          <w:rFonts w:ascii="Arial" w:cs="Arial" w:eastAsia="Arial" w:hAnsi="Arial"/>
          <w:sz w:val="16"/>
          <w:szCs w:val="16"/>
          <w:color w:val="000000"/>
        </w:rPr>
        <w:t>pursuant</w:t>
      </w:r>
      <w:r>
        <w:rPr>
          <w:rFonts w:ascii="Arial" w:cs="Arial" w:eastAsia="Arial" w:hAnsi="Arial"/>
          <w:sz w:val="16"/>
          <w:szCs w:val="16"/>
          <w:b w:val="1"/>
          <w:bCs w:val="1"/>
          <w:i w:val="1"/>
          <w:iCs w:val="1"/>
          <w:color w:val="131313"/>
        </w:rPr>
        <w:t xml:space="preserve"> </w:t>
      </w:r>
      <w:r>
        <w:rPr>
          <w:rFonts w:ascii="Arial" w:cs="Arial" w:eastAsia="Arial" w:hAnsi="Arial"/>
          <w:sz w:val="16"/>
          <w:szCs w:val="16"/>
          <w:color w:val="131313"/>
        </w:rPr>
        <w:t>to the</w:t>
      </w:r>
      <w:r>
        <w:rPr>
          <w:rFonts w:ascii="Arial" w:cs="Arial" w:eastAsia="Arial" w:hAnsi="Arial"/>
          <w:sz w:val="16"/>
          <w:szCs w:val="16"/>
          <w:b w:val="1"/>
          <w:bCs w:val="1"/>
          <w:i w:val="1"/>
          <w:iCs w:val="1"/>
          <w:color w:val="131313"/>
        </w:rPr>
        <w:t xml:space="preserve"> </w:t>
      </w:r>
      <w:r>
        <w:rPr>
          <w:rFonts w:ascii="Arial" w:cs="Arial" w:eastAsia="Arial" w:hAnsi="Arial"/>
          <w:sz w:val="16"/>
          <w:szCs w:val="16"/>
          <w:color w:val="1C1C1C"/>
        </w:rPr>
        <w:t>terms of</w:t>
      </w:r>
      <w:r>
        <w:rPr>
          <w:rFonts w:ascii="Arial" w:cs="Arial" w:eastAsia="Arial" w:hAnsi="Arial"/>
          <w:sz w:val="16"/>
          <w:szCs w:val="16"/>
          <w:b w:val="1"/>
          <w:bCs w:val="1"/>
          <w:i w:val="1"/>
          <w:iCs w:val="1"/>
          <w:color w:val="131313"/>
        </w:rPr>
        <w:t xml:space="preserve"> </w:t>
      </w:r>
      <w:r>
        <w:rPr>
          <w:rFonts w:ascii="Arial" w:cs="Arial" w:eastAsia="Arial" w:hAnsi="Arial"/>
          <w:sz w:val="16"/>
          <w:szCs w:val="16"/>
          <w:color w:val="1A1A1A"/>
        </w:rPr>
        <w:t>that</w:t>
      </w:r>
      <w:r>
        <w:rPr>
          <w:rFonts w:ascii="Arial" w:cs="Arial" w:eastAsia="Arial" w:hAnsi="Arial"/>
          <w:sz w:val="16"/>
          <w:szCs w:val="16"/>
          <w:b w:val="1"/>
          <w:bCs w:val="1"/>
          <w:i w:val="1"/>
          <w:iCs w:val="1"/>
          <w:color w:val="131313"/>
        </w:rPr>
        <w:t xml:space="preserve"> </w:t>
      </w:r>
      <w:r>
        <w:rPr>
          <w:rFonts w:ascii="Arial" w:cs="Arial" w:eastAsia="Arial" w:hAnsi="Arial"/>
          <w:sz w:val="16"/>
          <w:szCs w:val="16"/>
          <w:color w:val="131313"/>
        </w:rPr>
        <w:t>certain</w:t>
      </w:r>
      <w:r>
        <w:rPr>
          <w:rFonts w:ascii="Arial" w:cs="Arial" w:eastAsia="Arial" w:hAnsi="Arial"/>
          <w:sz w:val="16"/>
          <w:szCs w:val="16"/>
          <w:b w:val="1"/>
          <w:bCs w:val="1"/>
          <w:i w:val="1"/>
          <w:iCs w:val="1"/>
          <w:color w:val="131313"/>
        </w:rPr>
        <w:t xml:space="preserve"> </w:t>
      </w:r>
      <w:r>
        <w:rPr>
          <w:rFonts w:ascii="Arial" w:cs="Arial" w:eastAsia="Arial" w:hAnsi="Arial"/>
          <w:sz w:val="16"/>
          <w:szCs w:val="16"/>
          <w:color w:val="0C0C0C"/>
        </w:rPr>
        <w:t>Protection</w:t>
      </w:r>
      <w:r>
        <w:rPr>
          <w:rFonts w:ascii="Arial" w:cs="Arial" w:eastAsia="Arial" w:hAnsi="Arial"/>
          <w:sz w:val="16"/>
          <w:szCs w:val="16"/>
          <w:b w:val="1"/>
          <w:bCs w:val="1"/>
          <w:i w:val="1"/>
          <w:iCs w:val="1"/>
          <w:color w:val="131313"/>
        </w:rPr>
        <w:t xml:space="preserve"> </w:t>
      </w:r>
      <w:r>
        <w:rPr>
          <w:rFonts w:ascii="Arial" w:cs="Arial" w:eastAsia="Arial" w:hAnsi="Arial"/>
          <w:sz w:val="16"/>
          <w:szCs w:val="16"/>
          <w:color w:val="1C1C1C"/>
        </w:rPr>
        <w:t xml:space="preserve">of </w:t>
      </w:r>
      <w:r>
        <w:rPr>
          <w:rFonts w:ascii="Arial" w:cs="Arial" w:eastAsia="Arial" w:hAnsi="Arial"/>
          <w:sz w:val="16"/>
          <w:szCs w:val="16"/>
          <w:color w:val="161616"/>
        </w:rPr>
        <w:t>Sensitive</w:t>
      </w:r>
      <w:r>
        <w:rPr>
          <w:rFonts w:ascii="Arial" w:cs="Arial" w:eastAsia="Arial" w:hAnsi="Arial"/>
          <w:sz w:val="16"/>
          <w:szCs w:val="16"/>
          <w:color w:val="1C1C1C"/>
        </w:rPr>
        <w:t xml:space="preserve"> </w:t>
      </w:r>
      <w:r>
        <w:rPr>
          <w:rFonts w:ascii="Arial" w:cs="Arial" w:eastAsia="Arial" w:hAnsi="Arial"/>
          <w:sz w:val="16"/>
          <w:szCs w:val="16"/>
          <w:color w:val="0E0E0E"/>
        </w:rPr>
        <w:t>Information,</w:t>
      </w:r>
      <w:r>
        <w:rPr>
          <w:rFonts w:ascii="Arial" w:cs="Arial" w:eastAsia="Arial" w:hAnsi="Arial"/>
          <w:sz w:val="16"/>
          <w:szCs w:val="16"/>
          <w:color w:val="1C1C1C"/>
        </w:rPr>
        <w:t xml:space="preserve"> </w:t>
      </w:r>
      <w:r>
        <w:rPr>
          <w:rFonts w:ascii="Arial" w:cs="Arial" w:eastAsia="Arial" w:hAnsi="Arial"/>
          <w:sz w:val="16"/>
          <w:szCs w:val="16"/>
          <w:color w:val="131313"/>
        </w:rPr>
        <w:t>Noncompetition</w:t>
      </w:r>
      <w:r>
        <w:rPr>
          <w:rFonts w:ascii="Arial" w:cs="Arial" w:eastAsia="Arial" w:hAnsi="Arial"/>
          <w:sz w:val="16"/>
          <w:szCs w:val="16"/>
          <w:color w:val="1C1C1C"/>
        </w:rPr>
        <w:t xml:space="preserve"> </w:t>
      </w:r>
      <w:r>
        <w:rPr>
          <w:rFonts w:ascii="Arial" w:cs="Arial" w:eastAsia="Arial" w:hAnsi="Arial"/>
          <w:sz w:val="16"/>
          <w:szCs w:val="16"/>
          <w:color w:val="1A1A1A"/>
        </w:rPr>
        <w:t>and</w:t>
      </w:r>
      <w:r>
        <w:rPr>
          <w:rFonts w:ascii="Arial" w:cs="Arial" w:eastAsia="Arial" w:hAnsi="Arial"/>
          <w:sz w:val="16"/>
          <w:szCs w:val="16"/>
          <w:color w:val="1C1C1C"/>
        </w:rPr>
        <w:t xml:space="preserve"> Nonsolicitation </w:t>
      </w:r>
      <w:r>
        <w:rPr>
          <w:rFonts w:ascii="Arial" w:cs="Arial" w:eastAsia="Arial" w:hAnsi="Arial"/>
          <w:sz w:val="16"/>
          <w:szCs w:val="16"/>
          <w:color w:val="0F0F0F"/>
        </w:rPr>
        <w:t>Agreement</w:t>
      </w:r>
      <w:r>
        <w:rPr>
          <w:rFonts w:ascii="Arial" w:cs="Arial" w:eastAsia="Arial" w:hAnsi="Arial"/>
          <w:sz w:val="16"/>
          <w:szCs w:val="16"/>
          <w:color w:val="1C1C1C"/>
        </w:rPr>
        <w:t xml:space="preserve"> </w:t>
      </w:r>
      <w:r>
        <w:rPr>
          <w:rFonts w:ascii="Arial" w:cs="Arial" w:eastAsia="Arial" w:hAnsi="Arial"/>
          <w:sz w:val="16"/>
          <w:szCs w:val="16"/>
          <w:color w:val="161616"/>
        </w:rPr>
        <w:t>between</w:t>
      </w:r>
      <w:r>
        <w:rPr>
          <w:rFonts w:ascii="Arial" w:cs="Arial" w:eastAsia="Arial" w:hAnsi="Arial"/>
          <w:sz w:val="16"/>
          <w:szCs w:val="16"/>
          <w:color w:val="1C1C1C"/>
        </w:rPr>
        <w:t xml:space="preserve"> </w:t>
      </w:r>
      <w:r>
        <w:rPr>
          <w:rFonts w:ascii="Arial" w:cs="Arial" w:eastAsia="Arial" w:hAnsi="Arial"/>
          <w:sz w:val="16"/>
          <w:szCs w:val="16"/>
          <w:color w:val="0C0C0C"/>
        </w:rPr>
        <w:t>Executive</w:t>
      </w:r>
      <w:r>
        <w:rPr>
          <w:rFonts w:ascii="Arial" w:cs="Arial" w:eastAsia="Arial" w:hAnsi="Arial"/>
          <w:sz w:val="16"/>
          <w:szCs w:val="16"/>
          <w:color w:val="1C1C1C"/>
        </w:rPr>
        <w:t xml:space="preserve"> </w:t>
      </w:r>
      <w:r>
        <w:rPr>
          <w:rFonts w:ascii="Arial" w:cs="Arial" w:eastAsia="Arial" w:hAnsi="Arial"/>
          <w:sz w:val="16"/>
          <w:szCs w:val="16"/>
          <w:color w:val="131313"/>
        </w:rPr>
        <w:t>and</w:t>
      </w:r>
      <w:r>
        <w:rPr>
          <w:rFonts w:ascii="Arial" w:cs="Arial" w:eastAsia="Arial" w:hAnsi="Arial"/>
          <w:sz w:val="16"/>
          <w:szCs w:val="16"/>
          <w:color w:val="1C1C1C"/>
        </w:rPr>
        <w:t xml:space="preserve"> </w:t>
      </w:r>
      <w:r>
        <w:rPr>
          <w:rFonts w:ascii="Arial" w:cs="Arial" w:eastAsia="Arial" w:hAnsi="Arial"/>
          <w:sz w:val="16"/>
          <w:szCs w:val="16"/>
          <w:color w:val="151515"/>
        </w:rPr>
        <w:t>the</w:t>
      </w:r>
      <w:r>
        <w:rPr>
          <w:rFonts w:ascii="Arial" w:cs="Arial" w:eastAsia="Arial" w:hAnsi="Arial"/>
          <w:sz w:val="16"/>
          <w:szCs w:val="16"/>
          <w:color w:val="1C1C1C"/>
        </w:rPr>
        <w:t xml:space="preserve"> </w:t>
      </w:r>
      <w:r>
        <w:rPr>
          <w:rFonts w:ascii="Arial" w:cs="Arial" w:eastAsia="Arial" w:hAnsi="Arial"/>
          <w:sz w:val="16"/>
          <w:szCs w:val="16"/>
          <w:color w:val="000000"/>
        </w:rPr>
        <w:t>Company</w:t>
      </w:r>
      <w:r>
        <w:rPr>
          <w:rFonts w:ascii="Arial" w:cs="Arial" w:eastAsia="Arial" w:hAnsi="Arial"/>
          <w:sz w:val="16"/>
          <w:szCs w:val="16"/>
          <w:color w:val="1C1C1C"/>
        </w:rPr>
        <w:t xml:space="preserve"> </w:t>
      </w:r>
      <w:r>
        <w:rPr>
          <w:rFonts w:ascii="Arial" w:cs="Arial" w:eastAsia="Arial" w:hAnsi="Arial"/>
          <w:sz w:val="16"/>
          <w:szCs w:val="16"/>
          <w:color w:val="181818"/>
        </w:rPr>
        <w:t>(the</w:t>
      </w:r>
      <w:r>
        <w:rPr>
          <w:rFonts w:ascii="Arial" w:cs="Arial" w:eastAsia="Arial" w:hAnsi="Arial"/>
          <w:sz w:val="16"/>
          <w:szCs w:val="16"/>
          <w:color w:val="1C1C1C"/>
        </w:rPr>
        <w:t xml:space="preserve"> </w:t>
      </w:r>
      <w:r>
        <w:rPr>
          <w:rFonts w:ascii="Arial" w:cs="Arial" w:eastAsia="Arial" w:hAnsi="Arial"/>
          <w:sz w:val="16"/>
          <w:szCs w:val="16"/>
          <w:color w:val="111111"/>
        </w:rPr>
        <w:t>“Noncompete</w:t>
      </w:r>
      <w:r>
        <w:rPr>
          <w:rFonts w:ascii="Arial" w:cs="Arial" w:eastAsia="Arial" w:hAnsi="Arial"/>
          <w:sz w:val="16"/>
          <w:szCs w:val="16"/>
          <w:color w:val="1C1C1C"/>
        </w:rPr>
        <w:t xml:space="preserve"> </w:t>
      </w:r>
      <w:r>
        <w:rPr>
          <w:rFonts w:ascii="Arial" w:cs="Arial" w:eastAsia="Arial" w:hAnsi="Arial"/>
          <w:sz w:val="16"/>
          <w:szCs w:val="16"/>
          <w:color w:val="181818"/>
        </w:rPr>
        <w:t>Agreement”),</w:t>
      </w:r>
      <w:r>
        <w:rPr>
          <w:rFonts w:ascii="Arial" w:cs="Arial" w:eastAsia="Arial" w:hAnsi="Arial"/>
          <w:sz w:val="16"/>
          <w:szCs w:val="16"/>
          <w:color w:val="1C1C1C"/>
        </w:rPr>
        <w:t xml:space="preserve"> </w:t>
      </w:r>
      <w:r>
        <w:rPr>
          <w:rFonts w:ascii="Arial" w:cs="Arial" w:eastAsia="Arial" w:hAnsi="Arial"/>
          <w:sz w:val="16"/>
          <w:szCs w:val="16"/>
          <w:color w:val="131313"/>
        </w:rPr>
        <w:t xml:space="preserve">Executive </w:t>
      </w:r>
      <w:r>
        <w:rPr>
          <w:rFonts w:ascii="Arial" w:cs="Arial" w:eastAsia="Arial" w:hAnsi="Arial"/>
          <w:sz w:val="16"/>
          <w:szCs w:val="16"/>
          <w:color w:val="232323"/>
        </w:rPr>
        <w:t>is</w:t>
      </w:r>
      <w:r>
        <w:rPr>
          <w:rFonts w:ascii="Arial" w:cs="Arial" w:eastAsia="Arial" w:hAnsi="Arial"/>
          <w:sz w:val="16"/>
          <w:szCs w:val="16"/>
          <w:color w:val="131313"/>
        </w:rPr>
        <w:t xml:space="preserve"> </w:t>
      </w:r>
      <w:r>
        <w:rPr>
          <w:rFonts w:ascii="Arial" w:cs="Arial" w:eastAsia="Arial" w:hAnsi="Arial"/>
          <w:sz w:val="16"/>
          <w:szCs w:val="16"/>
          <w:color w:val="0E0E0E"/>
        </w:rPr>
        <w:t>subject</w:t>
      </w:r>
      <w:r>
        <w:rPr>
          <w:rFonts w:ascii="Arial" w:cs="Arial" w:eastAsia="Arial" w:hAnsi="Arial"/>
          <w:sz w:val="16"/>
          <w:szCs w:val="16"/>
          <w:color w:val="131313"/>
        </w:rPr>
        <w:t xml:space="preserve"> to </w:t>
      </w:r>
      <w:r>
        <w:rPr>
          <w:rFonts w:ascii="Arial" w:cs="Arial" w:eastAsia="Arial" w:hAnsi="Arial"/>
          <w:sz w:val="16"/>
          <w:szCs w:val="16"/>
          <w:color w:val="1A1A1A"/>
        </w:rPr>
        <w:t>various</w:t>
      </w:r>
      <w:r>
        <w:rPr>
          <w:rFonts w:ascii="Arial" w:cs="Arial" w:eastAsia="Arial" w:hAnsi="Arial"/>
          <w:sz w:val="16"/>
          <w:szCs w:val="16"/>
          <w:color w:val="131313"/>
        </w:rPr>
        <w:t xml:space="preserve"> </w:t>
      </w:r>
      <w:r>
        <w:rPr>
          <w:rFonts w:ascii="Arial" w:cs="Arial" w:eastAsia="Arial" w:hAnsi="Arial"/>
          <w:sz w:val="16"/>
          <w:szCs w:val="16"/>
          <w:color w:val="0A0A0A"/>
        </w:rPr>
        <w:t>obligations regarding</w:t>
      </w:r>
      <w:r>
        <w:rPr>
          <w:rFonts w:ascii="Arial" w:cs="Arial" w:eastAsia="Arial" w:hAnsi="Arial"/>
          <w:sz w:val="16"/>
          <w:szCs w:val="16"/>
          <w:color w:val="131313"/>
        </w:rPr>
        <w:t xml:space="preserve"> </w:t>
      </w:r>
      <w:r>
        <w:rPr>
          <w:rFonts w:ascii="Arial" w:cs="Arial" w:eastAsia="Arial" w:hAnsi="Arial"/>
          <w:sz w:val="16"/>
          <w:szCs w:val="16"/>
          <w:color w:val="1A1A1A"/>
        </w:rPr>
        <w:t>(a)</w:t>
      </w:r>
      <w:r>
        <w:rPr>
          <w:rFonts w:ascii="Arial" w:cs="Arial" w:eastAsia="Arial" w:hAnsi="Arial"/>
          <w:sz w:val="16"/>
          <w:szCs w:val="16"/>
          <w:color w:val="131313"/>
        </w:rPr>
        <w:t xml:space="preserve"> </w:t>
      </w:r>
      <w:r>
        <w:rPr>
          <w:rFonts w:ascii="Arial" w:cs="Arial" w:eastAsia="Arial" w:hAnsi="Arial"/>
          <w:sz w:val="16"/>
          <w:szCs w:val="16"/>
          <w:color w:val="161616"/>
        </w:rPr>
        <w:t>the</w:t>
      </w:r>
      <w:r>
        <w:rPr>
          <w:rFonts w:ascii="Arial" w:cs="Arial" w:eastAsia="Arial" w:hAnsi="Arial"/>
          <w:sz w:val="16"/>
          <w:szCs w:val="16"/>
          <w:color w:val="131313"/>
        </w:rPr>
        <w:t xml:space="preserve"> </w:t>
      </w:r>
      <w:r>
        <w:rPr>
          <w:rFonts w:ascii="Arial" w:cs="Arial" w:eastAsia="Arial" w:hAnsi="Arial"/>
          <w:sz w:val="16"/>
          <w:szCs w:val="16"/>
          <w:color w:val="111111"/>
        </w:rPr>
        <w:t>protection</w:t>
      </w:r>
      <w:r>
        <w:rPr>
          <w:rFonts w:ascii="Arial" w:cs="Arial" w:eastAsia="Arial" w:hAnsi="Arial"/>
          <w:sz w:val="16"/>
          <w:szCs w:val="16"/>
          <w:color w:val="131313"/>
        </w:rPr>
        <w:t xml:space="preserve"> </w:t>
      </w:r>
      <w:r>
        <w:rPr>
          <w:rFonts w:ascii="Arial" w:cs="Arial" w:eastAsia="Arial" w:hAnsi="Arial"/>
          <w:sz w:val="16"/>
          <w:szCs w:val="16"/>
          <w:color w:val="1F1F1F"/>
        </w:rPr>
        <w:t>and</w:t>
      </w:r>
      <w:r>
        <w:rPr>
          <w:rFonts w:ascii="Arial" w:cs="Arial" w:eastAsia="Arial" w:hAnsi="Arial"/>
          <w:sz w:val="16"/>
          <w:szCs w:val="16"/>
          <w:color w:val="131313"/>
        </w:rPr>
        <w:t xml:space="preserve"> </w:t>
      </w:r>
      <w:r>
        <w:rPr>
          <w:rFonts w:ascii="Arial" w:cs="Arial" w:eastAsia="Arial" w:hAnsi="Arial"/>
          <w:sz w:val="16"/>
          <w:szCs w:val="16"/>
          <w:color w:val="111111"/>
        </w:rPr>
        <w:t>non-disclosure</w:t>
      </w:r>
      <w:r>
        <w:rPr>
          <w:rFonts w:ascii="Arial" w:cs="Arial" w:eastAsia="Arial" w:hAnsi="Arial"/>
          <w:sz w:val="16"/>
          <w:szCs w:val="16"/>
          <w:color w:val="131313"/>
        </w:rPr>
        <w:t xml:space="preserve"> </w:t>
      </w:r>
      <w:r>
        <w:rPr>
          <w:rFonts w:ascii="Arial" w:cs="Arial" w:eastAsia="Arial" w:hAnsi="Arial"/>
          <w:sz w:val="16"/>
          <w:szCs w:val="16"/>
          <w:color w:val="1A1A1A"/>
        </w:rPr>
        <w:t>of</w:t>
      </w:r>
      <w:r>
        <w:rPr>
          <w:rFonts w:ascii="Arial" w:cs="Arial" w:eastAsia="Arial" w:hAnsi="Arial"/>
          <w:sz w:val="16"/>
          <w:szCs w:val="16"/>
          <w:color w:val="131313"/>
        </w:rPr>
        <w:t xml:space="preserve"> </w:t>
      </w:r>
      <w:r>
        <w:rPr>
          <w:rFonts w:ascii="Arial" w:cs="Arial" w:eastAsia="Arial" w:hAnsi="Arial"/>
          <w:sz w:val="16"/>
          <w:szCs w:val="16"/>
          <w:color w:val="111111"/>
        </w:rPr>
        <w:t>the</w:t>
      </w:r>
      <w:r>
        <w:rPr>
          <w:rFonts w:ascii="Arial" w:cs="Arial" w:eastAsia="Arial" w:hAnsi="Arial"/>
          <w:sz w:val="16"/>
          <w:szCs w:val="16"/>
          <w:color w:val="131313"/>
        </w:rPr>
        <w:t xml:space="preserve"> </w:t>
      </w:r>
      <w:r>
        <w:rPr>
          <w:rFonts w:ascii="Arial" w:cs="Arial" w:eastAsia="Arial" w:hAnsi="Arial"/>
          <w:sz w:val="16"/>
          <w:szCs w:val="16"/>
          <w:color w:val="161616"/>
        </w:rPr>
        <w:t>Company’s</w:t>
      </w:r>
      <w:r>
        <w:rPr>
          <w:rFonts w:ascii="Arial" w:cs="Arial" w:eastAsia="Arial" w:hAnsi="Arial"/>
          <w:sz w:val="16"/>
          <w:szCs w:val="16"/>
          <w:color w:val="131313"/>
        </w:rPr>
        <w:t xml:space="preserve"> </w:t>
      </w:r>
      <w:r>
        <w:rPr>
          <w:rFonts w:ascii="Arial" w:cs="Arial" w:eastAsia="Arial" w:hAnsi="Arial"/>
          <w:sz w:val="16"/>
          <w:szCs w:val="16"/>
          <w:color w:val="050505"/>
        </w:rPr>
        <w:t>confidential,</w:t>
      </w:r>
      <w:r>
        <w:rPr>
          <w:rFonts w:ascii="Arial" w:cs="Arial" w:eastAsia="Arial" w:hAnsi="Arial"/>
          <w:sz w:val="16"/>
          <w:szCs w:val="16"/>
          <w:color w:val="131313"/>
        </w:rPr>
        <w:t xml:space="preserve"> </w:t>
      </w:r>
      <w:r>
        <w:rPr>
          <w:rFonts w:ascii="Arial" w:cs="Arial" w:eastAsia="Arial" w:hAnsi="Arial"/>
          <w:sz w:val="16"/>
          <w:szCs w:val="16"/>
          <w:color w:val="0E0E0E"/>
        </w:rPr>
        <w:t>sensitive</w:t>
      </w:r>
      <w:r>
        <w:rPr>
          <w:rFonts w:ascii="Arial" w:cs="Arial" w:eastAsia="Arial" w:hAnsi="Arial"/>
          <w:sz w:val="16"/>
          <w:szCs w:val="16"/>
          <w:color w:val="131313"/>
        </w:rPr>
        <w:t xml:space="preserve"> </w:t>
      </w:r>
      <w:r>
        <w:rPr>
          <w:rFonts w:ascii="Arial" w:cs="Arial" w:eastAsia="Arial" w:hAnsi="Arial"/>
          <w:sz w:val="16"/>
          <w:szCs w:val="16"/>
          <w:color w:val="151515"/>
        </w:rPr>
        <w:t>and</w:t>
      </w:r>
      <w:r>
        <w:rPr>
          <w:rFonts w:ascii="Arial" w:cs="Arial" w:eastAsia="Arial" w:hAnsi="Arial"/>
          <w:sz w:val="16"/>
          <w:szCs w:val="16"/>
          <w:color w:val="131313"/>
        </w:rPr>
        <w:t xml:space="preserve"> </w:t>
      </w:r>
      <w:r>
        <w:rPr>
          <w:rFonts w:ascii="Arial" w:cs="Arial" w:eastAsia="Arial" w:hAnsi="Arial"/>
          <w:sz w:val="16"/>
          <w:szCs w:val="16"/>
          <w:color w:val="161616"/>
        </w:rPr>
        <w:t>proprietary</w:t>
      </w:r>
      <w:r>
        <w:rPr>
          <w:rFonts w:ascii="Arial" w:cs="Arial" w:eastAsia="Arial" w:hAnsi="Arial"/>
          <w:sz w:val="16"/>
          <w:szCs w:val="16"/>
          <w:color w:val="131313"/>
        </w:rPr>
        <w:t xml:space="preserve"> </w:t>
      </w:r>
      <w:r>
        <w:rPr>
          <w:rFonts w:ascii="Arial" w:cs="Arial" w:eastAsia="Arial" w:hAnsi="Arial"/>
          <w:sz w:val="16"/>
          <w:szCs w:val="16"/>
          <w:color w:val="0E0E0E"/>
        </w:rPr>
        <w:t xml:space="preserve">information, </w:t>
      </w:r>
      <w:r>
        <w:rPr>
          <w:rFonts w:ascii="Arial" w:cs="Arial" w:eastAsia="Arial" w:hAnsi="Arial"/>
          <w:sz w:val="16"/>
          <w:szCs w:val="16"/>
          <w:color w:val="1C1C1C"/>
        </w:rPr>
        <w:t>(b)</w:t>
      </w:r>
      <w:r>
        <w:rPr>
          <w:rFonts w:ascii="Arial" w:cs="Arial" w:eastAsia="Arial" w:hAnsi="Arial"/>
          <w:sz w:val="16"/>
          <w:szCs w:val="16"/>
          <w:color w:val="0E0E0E"/>
        </w:rPr>
        <w:t xml:space="preserve"> </w:t>
      </w:r>
      <w:r>
        <w:rPr>
          <w:rFonts w:ascii="Arial" w:cs="Arial" w:eastAsia="Arial" w:hAnsi="Arial"/>
          <w:sz w:val="16"/>
          <w:szCs w:val="16"/>
          <w:color w:val="131313"/>
        </w:rPr>
        <w:t>competition</w:t>
      </w:r>
      <w:r>
        <w:rPr>
          <w:rFonts w:ascii="Arial" w:cs="Arial" w:eastAsia="Arial" w:hAnsi="Arial"/>
          <w:sz w:val="16"/>
          <w:szCs w:val="16"/>
          <w:color w:val="0E0E0E"/>
        </w:rPr>
        <w:t xml:space="preserve"> </w:t>
      </w:r>
      <w:r>
        <w:rPr>
          <w:rFonts w:ascii="Arial" w:cs="Arial" w:eastAsia="Arial" w:hAnsi="Arial"/>
          <w:sz w:val="16"/>
          <w:szCs w:val="16"/>
          <w:color w:val="1F1F1F"/>
        </w:rPr>
        <w:t>with</w:t>
      </w:r>
      <w:r>
        <w:rPr>
          <w:rFonts w:ascii="Arial" w:cs="Arial" w:eastAsia="Arial" w:hAnsi="Arial"/>
          <w:sz w:val="16"/>
          <w:szCs w:val="16"/>
          <w:color w:val="0E0E0E"/>
        </w:rPr>
        <w:t xml:space="preserve"> </w:t>
      </w:r>
      <w:r>
        <w:rPr>
          <w:rFonts w:ascii="Arial" w:cs="Arial" w:eastAsia="Arial" w:hAnsi="Arial"/>
          <w:sz w:val="16"/>
          <w:szCs w:val="16"/>
          <w:color w:val="0F0F0F"/>
        </w:rPr>
        <w:t>the</w:t>
      </w:r>
      <w:r>
        <w:rPr>
          <w:rFonts w:ascii="Arial" w:cs="Arial" w:eastAsia="Arial" w:hAnsi="Arial"/>
          <w:sz w:val="16"/>
          <w:szCs w:val="16"/>
          <w:color w:val="0E0E0E"/>
        </w:rPr>
        <w:t xml:space="preserve"> </w:t>
      </w:r>
      <w:r>
        <w:rPr>
          <w:rFonts w:ascii="Arial" w:cs="Arial" w:eastAsia="Arial" w:hAnsi="Arial"/>
          <w:sz w:val="16"/>
          <w:szCs w:val="16"/>
          <w:color w:val="151515"/>
        </w:rPr>
        <w:t>Company,</w:t>
      </w:r>
      <w:r>
        <w:rPr>
          <w:rFonts w:ascii="Arial" w:cs="Arial" w:eastAsia="Arial" w:hAnsi="Arial"/>
          <w:sz w:val="16"/>
          <w:szCs w:val="16"/>
          <w:color w:val="0E0E0E"/>
        </w:rPr>
        <w:t xml:space="preserve"> </w:t>
      </w:r>
      <w:r>
        <w:rPr>
          <w:rFonts w:ascii="Arial" w:cs="Arial" w:eastAsia="Arial" w:hAnsi="Arial"/>
          <w:sz w:val="16"/>
          <w:szCs w:val="16"/>
          <w:color w:val="232323"/>
        </w:rPr>
        <w:t>(c)</w:t>
      </w:r>
      <w:r>
        <w:rPr>
          <w:rFonts w:ascii="Arial" w:cs="Arial" w:eastAsia="Arial" w:hAnsi="Arial"/>
          <w:sz w:val="16"/>
          <w:szCs w:val="16"/>
          <w:color w:val="0E0E0E"/>
        </w:rPr>
        <w:t xml:space="preserve"> </w:t>
      </w:r>
      <w:r>
        <w:rPr>
          <w:rFonts w:ascii="Arial" w:cs="Arial" w:eastAsia="Arial" w:hAnsi="Arial"/>
          <w:sz w:val="16"/>
          <w:szCs w:val="16"/>
          <w:color w:val="0F0F0F"/>
        </w:rPr>
        <w:t>solicitation</w:t>
      </w:r>
      <w:r>
        <w:rPr>
          <w:rFonts w:ascii="Arial" w:cs="Arial" w:eastAsia="Arial" w:hAnsi="Arial"/>
          <w:sz w:val="16"/>
          <w:szCs w:val="16"/>
          <w:color w:val="0E0E0E"/>
        </w:rPr>
        <w:t xml:space="preserve"> </w:t>
      </w:r>
      <w:r>
        <w:rPr>
          <w:rFonts w:ascii="Arial" w:cs="Arial" w:eastAsia="Arial" w:hAnsi="Arial"/>
          <w:sz w:val="16"/>
          <w:szCs w:val="16"/>
          <w:color w:val="131313"/>
        </w:rPr>
        <w:t>of</w:t>
      </w:r>
      <w:r>
        <w:rPr>
          <w:rFonts w:ascii="Arial" w:cs="Arial" w:eastAsia="Arial" w:hAnsi="Arial"/>
          <w:sz w:val="16"/>
          <w:szCs w:val="16"/>
          <w:color w:val="0E0E0E"/>
        </w:rPr>
        <w:t xml:space="preserve"> </w:t>
      </w:r>
      <w:r>
        <w:rPr>
          <w:rFonts w:ascii="Arial" w:cs="Arial" w:eastAsia="Arial" w:hAnsi="Arial"/>
          <w:sz w:val="16"/>
          <w:szCs w:val="16"/>
          <w:color w:val="161616"/>
        </w:rPr>
        <w:t>the Company’s</w:t>
      </w:r>
      <w:r>
        <w:rPr>
          <w:rFonts w:ascii="Arial" w:cs="Arial" w:eastAsia="Arial" w:hAnsi="Arial"/>
          <w:sz w:val="16"/>
          <w:szCs w:val="16"/>
          <w:color w:val="0E0E0E"/>
        </w:rPr>
        <w:t xml:space="preserve"> </w:t>
      </w:r>
      <w:r>
        <w:rPr>
          <w:rFonts w:ascii="Arial" w:cs="Arial" w:eastAsia="Arial" w:hAnsi="Arial"/>
          <w:sz w:val="16"/>
          <w:szCs w:val="16"/>
          <w:color w:val="151515"/>
        </w:rPr>
        <w:t>customers,</w:t>
      </w:r>
      <w:r>
        <w:rPr>
          <w:rFonts w:ascii="Arial" w:cs="Arial" w:eastAsia="Arial" w:hAnsi="Arial"/>
          <w:sz w:val="16"/>
          <w:szCs w:val="16"/>
          <w:color w:val="0E0E0E"/>
        </w:rPr>
        <w:t xml:space="preserve"> </w:t>
      </w:r>
      <w:r>
        <w:rPr>
          <w:rFonts w:ascii="Arial" w:cs="Arial" w:eastAsia="Arial" w:hAnsi="Arial"/>
          <w:sz w:val="16"/>
          <w:szCs w:val="16"/>
          <w:color w:val="111111"/>
        </w:rPr>
        <w:t>suppliers</w:t>
      </w:r>
      <w:r>
        <w:rPr>
          <w:rFonts w:ascii="Arial" w:cs="Arial" w:eastAsia="Arial" w:hAnsi="Arial"/>
          <w:sz w:val="16"/>
          <w:szCs w:val="16"/>
          <w:color w:val="0E0E0E"/>
        </w:rPr>
        <w:t xml:space="preserve"> </w:t>
      </w:r>
      <w:r>
        <w:rPr>
          <w:rFonts w:ascii="Arial" w:cs="Arial" w:eastAsia="Arial" w:hAnsi="Arial"/>
          <w:sz w:val="16"/>
          <w:szCs w:val="16"/>
          <w:color w:val="080808"/>
        </w:rPr>
        <w:t>and</w:t>
      </w:r>
      <w:r>
        <w:rPr>
          <w:rFonts w:ascii="Arial" w:cs="Arial" w:eastAsia="Arial" w:hAnsi="Arial"/>
          <w:sz w:val="16"/>
          <w:szCs w:val="16"/>
          <w:color w:val="0E0E0E"/>
        </w:rPr>
        <w:t xml:space="preserve"> </w:t>
      </w:r>
      <w:r>
        <w:rPr>
          <w:rFonts w:ascii="Arial" w:cs="Arial" w:eastAsia="Arial" w:hAnsi="Arial"/>
          <w:sz w:val="16"/>
          <w:szCs w:val="16"/>
          <w:color w:val="0F0F0F"/>
        </w:rPr>
        <w:t>vendors</w:t>
      </w:r>
      <w:r>
        <w:rPr>
          <w:rFonts w:ascii="Arial" w:cs="Arial" w:eastAsia="Arial" w:hAnsi="Arial"/>
          <w:sz w:val="16"/>
          <w:szCs w:val="16"/>
          <w:color w:val="0E0E0E"/>
        </w:rPr>
        <w:t xml:space="preserve"> </w:t>
      </w:r>
      <w:r>
        <w:rPr>
          <w:rFonts w:ascii="Arial" w:cs="Arial" w:eastAsia="Arial" w:hAnsi="Arial"/>
          <w:sz w:val="16"/>
          <w:szCs w:val="16"/>
          <w:color w:val="232323"/>
        </w:rPr>
        <w:t>and</w:t>
      </w:r>
      <w:r>
        <w:rPr>
          <w:rFonts w:ascii="Arial" w:cs="Arial" w:eastAsia="Arial" w:hAnsi="Arial"/>
          <w:sz w:val="16"/>
          <w:szCs w:val="16"/>
          <w:color w:val="0E0E0E"/>
        </w:rPr>
        <w:t xml:space="preserve"> </w:t>
      </w:r>
      <w:r>
        <w:rPr>
          <w:rFonts w:ascii="Arial" w:cs="Arial" w:eastAsia="Arial" w:hAnsi="Arial"/>
          <w:sz w:val="16"/>
          <w:szCs w:val="16"/>
          <w:color w:val="1C1C1C"/>
        </w:rPr>
        <w:t>(d)</w:t>
      </w:r>
      <w:r>
        <w:rPr>
          <w:rFonts w:ascii="Arial" w:cs="Arial" w:eastAsia="Arial" w:hAnsi="Arial"/>
          <w:sz w:val="16"/>
          <w:szCs w:val="16"/>
          <w:color w:val="0E0E0E"/>
        </w:rPr>
        <w:t xml:space="preserve"> </w:t>
      </w:r>
      <w:r>
        <w:rPr>
          <w:rFonts w:ascii="Arial" w:cs="Arial" w:eastAsia="Arial" w:hAnsi="Arial"/>
          <w:sz w:val="16"/>
          <w:szCs w:val="16"/>
          <w:color w:val="070707"/>
        </w:rPr>
        <w:t>solicitation</w:t>
      </w:r>
      <w:r>
        <w:rPr>
          <w:rFonts w:ascii="Arial" w:cs="Arial" w:eastAsia="Arial" w:hAnsi="Arial"/>
          <w:sz w:val="16"/>
          <w:szCs w:val="16"/>
          <w:color w:val="0E0E0E"/>
        </w:rPr>
        <w:t xml:space="preserve"> </w:t>
      </w:r>
      <w:r>
        <w:rPr>
          <w:rFonts w:ascii="Arial" w:cs="Arial" w:eastAsia="Arial" w:hAnsi="Arial"/>
          <w:sz w:val="16"/>
          <w:szCs w:val="16"/>
          <w:color w:val="161616"/>
        </w:rPr>
        <w:t>of</w:t>
      </w:r>
      <w:r>
        <w:rPr>
          <w:rFonts w:ascii="Arial" w:cs="Arial" w:eastAsia="Arial" w:hAnsi="Arial"/>
          <w:sz w:val="16"/>
          <w:szCs w:val="16"/>
          <w:color w:val="0E0E0E"/>
        </w:rPr>
        <w:t xml:space="preserve"> </w:t>
      </w:r>
      <w:r>
        <w:rPr>
          <w:rFonts w:ascii="Arial" w:cs="Arial" w:eastAsia="Arial" w:hAnsi="Arial"/>
          <w:sz w:val="16"/>
          <w:szCs w:val="16"/>
          <w:color w:val="111111"/>
        </w:rPr>
        <w:t>the</w:t>
      </w:r>
      <w:r>
        <w:rPr>
          <w:rFonts w:ascii="Arial" w:cs="Arial" w:eastAsia="Arial" w:hAnsi="Arial"/>
          <w:sz w:val="16"/>
          <w:szCs w:val="16"/>
          <w:color w:val="0E0E0E"/>
        </w:rPr>
        <w:t xml:space="preserve"> Company’s </w:t>
      </w:r>
      <w:r>
        <w:rPr>
          <w:rFonts w:ascii="Arial" w:cs="Arial" w:eastAsia="Arial" w:hAnsi="Arial"/>
          <w:sz w:val="16"/>
          <w:szCs w:val="16"/>
          <w:color w:val="1A1A1A"/>
        </w:rPr>
        <w:t>employees. Executive</w:t>
      </w:r>
      <w:r>
        <w:rPr>
          <w:rFonts w:ascii="Arial" w:cs="Arial" w:eastAsia="Arial" w:hAnsi="Arial"/>
          <w:sz w:val="16"/>
          <w:szCs w:val="16"/>
          <w:color w:val="0E0E0E"/>
        </w:rPr>
        <w:t xml:space="preserve"> </w:t>
      </w:r>
      <w:r>
        <w:rPr>
          <w:rFonts w:ascii="Arial" w:cs="Arial" w:eastAsia="Arial" w:hAnsi="Arial"/>
          <w:sz w:val="16"/>
          <w:szCs w:val="16"/>
          <w:color w:val="111111"/>
        </w:rPr>
        <w:t>hereby</w:t>
      </w:r>
      <w:r>
        <w:rPr>
          <w:rFonts w:ascii="Arial" w:cs="Arial" w:eastAsia="Arial" w:hAnsi="Arial"/>
          <w:sz w:val="16"/>
          <w:szCs w:val="16"/>
          <w:color w:val="0E0E0E"/>
        </w:rPr>
        <w:t xml:space="preserve"> </w:t>
      </w:r>
      <w:r>
        <w:rPr>
          <w:rFonts w:ascii="Arial" w:cs="Arial" w:eastAsia="Arial" w:hAnsi="Arial"/>
          <w:sz w:val="16"/>
          <w:szCs w:val="16"/>
          <w:color w:val="151515"/>
        </w:rPr>
        <w:t>affirms</w:t>
      </w:r>
      <w:r>
        <w:rPr>
          <w:rFonts w:ascii="Arial" w:cs="Arial" w:eastAsia="Arial" w:hAnsi="Arial"/>
          <w:sz w:val="16"/>
          <w:szCs w:val="16"/>
          <w:color w:val="0E0E0E"/>
        </w:rPr>
        <w:t xml:space="preserve"> </w:t>
      </w:r>
      <w:r>
        <w:rPr>
          <w:rFonts w:ascii="Arial" w:cs="Arial" w:eastAsia="Arial" w:hAnsi="Arial"/>
          <w:sz w:val="16"/>
          <w:szCs w:val="16"/>
          <w:color w:val="1F1F1F"/>
        </w:rPr>
        <w:t>his</w:t>
      </w:r>
      <w:r>
        <w:rPr>
          <w:rFonts w:ascii="Arial" w:cs="Arial" w:eastAsia="Arial" w:hAnsi="Arial"/>
          <w:sz w:val="16"/>
          <w:szCs w:val="16"/>
          <w:color w:val="0E0E0E"/>
        </w:rPr>
        <w:t xml:space="preserve"> </w:t>
      </w:r>
      <w:r>
        <w:rPr>
          <w:rFonts w:ascii="Arial" w:cs="Arial" w:eastAsia="Arial" w:hAnsi="Arial"/>
          <w:sz w:val="16"/>
          <w:szCs w:val="16"/>
          <w:color w:val="1C1C1C"/>
        </w:rPr>
        <w:t>obligations</w:t>
      </w:r>
      <w:r>
        <w:rPr>
          <w:rFonts w:ascii="Arial" w:cs="Arial" w:eastAsia="Arial" w:hAnsi="Arial"/>
          <w:sz w:val="16"/>
          <w:szCs w:val="16"/>
          <w:color w:val="0E0E0E"/>
        </w:rPr>
        <w:t xml:space="preserve"> </w:t>
      </w:r>
      <w:r>
        <w:rPr>
          <w:rFonts w:ascii="Arial" w:cs="Arial" w:eastAsia="Arial" w:hAnsi="Arial"/>
          <w:sz w:val="16"/>
          <w:szCs w:val="16"/>
          <w:color w:val="1A1A1A"/>
        </w:rPr>
        <w:t>under</w:t>
      </w:r>
      <w:r>
        <w:rPr>
          <w:rFonts w:ascii="Arial" w:cs="Arial" w:eastAsia="Arial" w:hAnsi="Arial"/>
          <w:sz w:val="16"/>
          <w:szCs w:val="16"/>
          <w:color w:val="0E0E0E"/>
        </w:rPr>
        <w:t xml:space="preserve"> </w:t>
      </w:r>
      <w:r>
        <w:rPr>
          <w:rFonts w:ascii="Arial" w:cs="Arial" w:eastAsia="Arial" w:hAnsi="Arial"/>
          <w:sz w:val="16"/>
          <w:szCs w:val="16"/>
          <w:color w:val="131313"/>
        </w:rPr>
        <w:t>the</w:t>
      </w:r>
      <w:r>
        <w:rPr>
          <w:rFonts w:ascii="Arial" w:cs="Arial" w:eastAsia="Arial" w:hAnsi="Arial"/>
          <w:sz w:val="16"/>
          <w:szCs w:val="16"/>
          <w:color w:val="0E0E0E"/>
        </w:rPr>
        <w:t xml:space="preserve"> </w:t>
      </w:r>
      <w:r>
        <w:rPr>
          <w:rFonts w:ascii="Arial" w:cs="Arial" w:eastAsia="Arial" w:hAnsi="Arial"/>
          <w:sz w:val="16"/>
          <w:szCs w:val="16"/>
          <w:color w:val="151515"/>
        </w:rPr>
        <w:t>Noncompete</w:t>
      </w:r>
      <w:r>
        <w:rPr>
          <w:rFonts w:ascii="Arial" w:cs="Arial" w:eastAsia="Arial" w:hAnsi="Arial"/>
          <w:sz w:val="16"/>
          <w:szCs w:val="16"/>
          <w:color w:val="0E0E0E"/>
        </w:rPr>
        <w:t xml:space="preserve"> </w:t>
      </w:r>
      <w:r>
        <w:rPr>
          <w:rFonts w:ascii="Arial" w:cs="Arial" w:eastAsia="Arial" w:hAnsi="Arial"/>
          <w:sz w:val="16"/>
          <w:szCs w:val="16"/>
          <w:color w:val="0A0A0A"/>
        </w:rPr>
        <w:t>Agreement</w:t>
      </w:r>
      <w:r>
        <w:rPr>
          <w:rFonts w:ascii="Arial" w:cs="Arial" w:eastAsia="Arial" w:hAnsi="Arial"/>
          <w:sz w:val="16"/>
          <w:szCs w:val="16"/>
          <w:color w:val="0E0E0E"/>
        </w:rPr>
        <w:t xml:space="preserve"> </w:t>
      </w:r>
      <w:r>
        <w:rPr>
          <w:rFonts w:ascii="Arial" w:cs="Arial" w:eastAsia="Arial" w:hAnsi="Arial"/>
          <w:sz w:val="16"/>
          <w:szCs w:val="16"/>
          <w:color w:val="212121"/>
        </w:rPr>
        <w:t>and</w:t>
      </w:r>
      <w:r>
        <w:rPr>
          <w:rFonts w:ascii="Arial" w:cs="Arial" w:eastAsia="Arial" w:hAnsi="Arial"/>
          <w:sz w:val="16"/>
          <w:szCs w:val="16"/>
          <w:color w:val="0E0E0E"/>
        </w:rPr>
        <w:t xml:space="preserve"> </w:t>
      </w:r>
      <w:r>
        <w:rPr>
          <w:rFonts w:ascii="Arial" w:cs="Arial" w:eastAsia="Arial" w:hAnsi="Arial"/>
          <w:sz w:val="16"/>
          <w:szCs w:val="16"/>
          <w:color w:val="161616"/>
        </w:rPr>
        <w:t>acknowledges</w:t>
      </w:r>
      <w:r>
        <w:rPr>
          <w:rFonts w:ascii="Arial" w:cs="Arial" w:eastAsia="Arial" w:hAnsi="Arial"/>
          <w:sz w:val="16"/>
          <w:szCs w:val="16"/>
          <w:color w:val="0E0E0E"/>
        </w:rPr>
        <w:t xml:space="preserve"> </w:t>
      </w:r>
      <w:r>
        <w:rPr>
          <w:rFonts w:ascii="Arial" w:cs="Arial" w:eastAsia="Arial" w:hAnsi="Arial"/>
          <w:sz w:val="16"/>
          <w:szCs w:val="16"/>
          <w:color w:val="151515"/>
        </w:rPr>
        <w:t>that</w:t>
      </w:r>
      <w:r>
        <w:rPr>
          <w:rFonts w:ascii="Arial" w:cs="Arial" w:eastAsia="Arial" w:hAnsi="Arial"/>
          <w:sz w:val="16"/>
          <w:szCs w:val="16"/>
          <w:color w:val="0E0E0E"/>
        </w:rPr>
        <w:t xml:space="preserve"> </w:t>
      </w:r>
      <w:r>
        <w:rPr>
          <w:rFonts w:ascii="Arial" w:cs="Arial" w:eastAsia="Arial" w:hAnsi="Arial"/>
          <w:sz w:val="16"/>
          <w:szCs w:val="16"/>
          <w:color w:val="111111"/>
        </w:rPr>
        <w:t>such provisions shall</w:t>
      </w:r>
      <w:r>
        <w:rPr>
          <w:rFonts w:ascii="Arial" w:cs="Arial" w:eastAsia="Arial" w:hAnsi="Arial"/>
          <w:sz w:val="16"/>
          <w:szCs w:val="16"/>
          <w:color w:val="0E0E0E"/>
        </w:rPr>
        <w:t xml:space="preserve"> </w:t>
      </w:r>
      <w:r>
        <w:rPr>
          <w:rFonts w:ascii="Arial" w:cs="Arial" w:eastAsia="Arial" w:hAnsi="Arial"/>
          <w:sz w:val="16"/>
          <w:szCs w:val="16"/>
          <w:color w:val="131313"/>
        </w:rPr>
        <w:t xml:space="preserve">remain </w:t>
      </w:r>
      <w:r>
        <w:rPr>
          <w:rFonts w:ascii="Arial" w:cs="Arial" w:eastAsia="Arial" w:hAnsi="Arial"/>
          <w:sz w:val="16"/>
          <w:szCs w:val="16"/>
          <w:color w:val="242424"/>
        </w:rPr>
        <w:t>in</w:t>
      </w:r>
      <w:r>
        <w:rPr>
          <w:rFonts w:ascii="Arial" w:cs="Arial" w:eastAsia="Arial" w:hAnsi="Arial"/>
          <w:sz w:val="16"/>
          <w:szCs w:val="16"/>
          <w:color w:val="131313"/>
        </w:rPr>
        <w:t xml:space="preserve"> </w:t>
      </w:r>
      <w:r>
        <w:rPr>
          <w:rFonts w:ascii="Arial" w:cs="Arial" w:eastAsia="Arial" w:hAnsi="Arial"/>
          <w:sz w:val="16"/>
          <w:szCs w:val="16"/>
          <w:color w:val="0E0E0E"/>
        </w:rPr>
        <w:t>full</w:t>
      </w:r>
      <w:r>
        <w:rPr>
          <w:rFonts w:ascii="Arial" w:cs="Arial" w:eastAsia="Arial" w:hAnsi="Arial"/>
          <w:sz w:val="16"/>
          <w:szCs w:val="16"/>
          <w:color w:val="131313"/>
        </w:rPr>
        <w:t xml:space="preserve"> </w:t>
      </w:r>
      <w:r>
        <w:rPr>
          <w:rFonts w:ascii="Arial" w:cs="Arial" w:eastAsia="Arial" w:hAnsi="Arial"/>
          <w:sz w:val="16"/>
          <w:szCs w:val="16"/>
          <w:color w:val="161616"/>
        </w:rPr>
        <w:t>force</w:t>
      </w:r>
      <w:r>
        <w:rPr>
          <w:rFonts w:ascii="Arial" w:cs="Arial" w:eastAsia="Arial" w:hAnsi="Arial"/>
          <w:sz w:val="16"/>
          <w:szCs w:val="16"/>
          <w:color w:val="131313"/>
        </w:rPr>
        <w:t xml:space="preserve"> </w:t>
      </w:r>
      <w:r>
        <w:rPr>
          <w:rFonts w:ascii="Arial" w:cs="Arial" w:eastAsia="Arial" w:hAnsi="Arial"/>
          <w:sz w:val="16"/>
          <w:szCs w:val="16"/>
          <w:color w:val="1D1D1D"/>
        </w:rPr>
        <w:t>and</w:t>
      </w:r>
      <w:r>
        <w:rPr>
          <w:rFonts w:ascii="Arial" w:cs="Arial" w:eastAsia="Arial" w:hAnsi="Arial"/>
          <w:sz w:val="16"/>
          <w:szCs w:val="16"/>
          <w:color w:val="131313"/>
        </w:rPr>
        <w:t xml:space="preserve"> </w:t>
      </w:r>
      <w:r>
        <w:rPr>
          <w:rFonts w:ascii="Arial" w:cs="Arial" w:eastAsia="Arial" w:hAnsi="Arial"/>
          <w:sz w:val="16"/>
          <w:szCs w:val="16"/>
          <w:color w:val="000000"/>
        </w:rPr>
        <w:t>effect.</w:t>
      </w:r>
      <w:r>
        <w:rPr>
          <w:rFonts w:ascii="Arial" w:cs="Arial" w:eastAsia="Arial" w:hAnsi="Arial"/>
          <w:sz w:val="16"/>
          <w:szCs w:val="16"/>
          <w:color w:val="131313"/>
        </w:rPr>
        <w:t xml:space="preserve"> </w:t>
      </w:r>
      <w:r>
        <w:rPr>
          <w:rFonts w:ascii="Arial" w:cs="Arial" w:eastAsia="Arial" w:hAnsi="Arial"/>
          <w:sz w:val="16"/>
          <w:szCs w:val="16"/>
          <w:color w:val="181818"/>
        </w:rPr>
        <w:t>Executive</w:t>
      </w:r>
      <w:r>
        <w:rPr>
          <w:rFonts w:ascii="Arial" w:cs="Arial" w:eastAsia="Arial" w:hAnsi="Arial"/>
          <w:sz w:val="16"/>
          <w:szCs w:val="16"/>
          <w:color w:val="131313"/>
        </w:rPr>
        <w:t xml:space="preserve"> </w:t>
      </w:r>
      <w:r>
        <w:rPr>
          <w:rFonts w:ascii="Arial" w:cs="Arial" w:eastAsia="Arial" w:hAnsi="Arial"/>
          <w:sz w:val="16"/>
          <w:szCs w:val="16"/>
          <w:color w:val="161616"/>
        </w:rPr>
        <w:t>hereby represents</w:t>
      </w:r>
      <w:r>
        <w:rPr>
          <w:rFonts w:ascii="Arial" w:cs="Arial" w:eastAsia="Arial" w:hAnsi="Arial"/>
          <w:sz w:val="16"/>
          <w:szCs w:val="16"/>
          <w:color w:val="131313"/>
        </w:rPr>
        <w:t xml:space="preserve"> </w:t>
      </w:r>
      <w:r>
        <w:rPr>
          <w:rFonts w:ascii="Arial" w:cs="Arial" w:eastAsia="Arial" w:hAnsi="Arial"/>
          <w:sz w:val="16"/>
          <w:szCs w:val="16"/>
          <w:color w:val="151515"/>
        </w:rPr>
        <w:t>and</w:t>
      </w:r>
      <w:r>
        <w:rPr>
          <w:rFonts w:ascii="Arial" w:cs="Arial" w:eastAsia="Arial" w:hAnsi="Arial"/>
          <w:sz w:val="16"/>
          <w:szCs w:val="16"/>
          <w:color w:val="131313"/>
        </w:rPr>
        <w:t xml:space="preserve"> </w:t>
      </w:r>
      <w:r>
        <w:rPr>
          <w:rFonts w:ascii="Arial" w:cs="Arial" w:eastAsia="Arial" w:hAnsi="Arial"/>
          <w:sz w:val="16"/>
          <w:szCs w:val="16"/>
          <w:color w:val="1A1A1A"/>
        </w:rPr>
        <w:t>warrants</w:t>
      </w:r>
      <w:r>
        <w:rPr>
          <w:rFonts w:ascii="Arial" w:cs="Arial" w:eastAsia="Arial" w:hAnsi="Arial"/>
          <w:sz w:val="16"/>
          <w:szCs w:val="16"/>
          <w:color w:val="131313"/>
        </w:rPr>
        <w:t xml:space="preserve"> </w:t>
      </w:r>
      <w:r>
        <w:rPr>
          <w:rFonts w:ascii="Arial" w:cs="Arial" w:eastAsia="Arial" w:hAnsi="Arial"/>
          <w:sz w:val="16"/>
          <w:szCs w:val="16"/>
          <w:color w:val="151515"/>
        </w:rPr>
        <w:t>that</w:t>
      </w:r>
      <w:r>
        <w:rPr>
          <w:rFonts w:ascii="Arial" w:cs="Arial" w:eastAsia="Arial" w:hAnsi="Arial"/>
          <w:sz w:val="16"/>
          <w:szCs w:val="16"/>
          <w:color w:val="131313"/>
        </w:rPr>
        <w:t xml:space="preserve"> </w:t>
      </w:r>
      <w:r>
        <w:rPr>
          <w:rFonts w:ascii="Arial" w:cs="Arial" w:eastAsia="Arial" w:hAnsi="Arial"/>
          <w:sz w:val="16"/>
          <w:szCs w:val="16"/>
          <w:color w:val="1F1F1F"/>
        </w:rPr>
        <w:t>he</w:t>
      </w:r>
      <w:r>
        <w:rPr>
          <w:rFonts w:ascii="Arial" w:cs="Arial" w:eastAsia="Arial" w:hAnsi="Arial"/>
          <w:sz w:val="16"/>
          <w:szCs w:val="16"/>
          <w:color w:val="131313"/>
        </w:rPr>
        <w:t xml:space="preserve"> </w:t>
      </w:r>
      <w:r>
        <w:rPr>
          <w:rFonts w:ascii="Arial" w:cs="Arial" w:eastAsia="Arial" w:hAnsi="Arial"/>
          <w:sz w:val="16"/>
          <w:szCs w:val="16"/>
          <w:color w:val="242424"/>
        </w:rPr>
        <w:t>will</w:t>
      </w:r>
      <w:r>
        <w:rPr>
          <w:rFonts w:ascii="Arial" w:cs="Arial" w:eastAsia="Arial" w:hAnsi="Arial"/>
          <w:sz w:val="16"/>
          <w:szCs w:val="16"/>
          <w:color w:val="131313"/>
        </w:rPr>
        <w:t xml:space="preserve"> </w:t>
      </w:r>
      <w:r>
        <w:rPr>
          <w:rFonts w:ascii="Arial" w:cs="Arial" w:eastAsia="Arial" w:hAnsi="Arial"/>
          <w:sz w:val="16"/>
          <w:szCs w:val="16"/>
          <w:color w:val="161616"/>
        </w:rPr>
        <w:t>comply</w:t>
      </w:r>
      <w:r>
        <w:rPr>
          <w:rFonts w:ascii="Arial" w:cs="Arial" w:eastAsia="Arial" w:hAnsi="Arial"/>
          <w:sz w:val="16"/>
          <w:szCs w:val="16"/>
          <w:color w:val="131313"/>
        </w:rPr>
        <w:t xml:space="preserve"> </w:t>
      </w:r>
      <w:r>
        <w:rPr>
          <w:rFonts w:ascii="Arial" w:cs="Arial" w:eastAsia="Arial" w:hAnsi="Arial"/>
          <w:sz w:val="16"/>
          <w:szCs w:val="16"/>
          <w:color w:val="0F0F0F"/>
        </w:rPr>
        <w:t>with</w:t>
      </w:r>
      <w:r>
        <w:rPr>
          <w:rFonts w:ascii="Arial" w:cs="Arial" w:eastAsia="Arial" w:hAnsi="Arial"/>
          <w:sz w:val="16"/>
          <w:szCs w:val="16"/>
          <w:color w:val="131313"/>
        </w:rPr>
        <w:t xml:space="preserve"> </w:t>
      </w:r>
      <w:r>
        <w:rPr>
          <w:rFonts w:ascii="Arial" w:cs="Arial" w:eastAsia="Arial" w:hAnsi="Arial"/>
          <w:sz w:val="16"/>
          <w:szCs w:val="16"/>
          <w:color w:val="181818"/>
        </w:rPr>
        <w:t>the</w:t>
      </w:r>
      <w:r>
        <w:rPr>
          <w:rFonts w:ascii="Arial" w:cs="Arial" w:eastAsia="Arial" w:hAnsi="Arial"/>
          <w:sz w:val="16"/>
          <w:szCs w:val="16"/>
          <w:color w:val="131313"/>
        </w:rPr>
        <w:t xml:space="preserve"> </w:t>
      </w:r>
      <w:r>
        <w:rPr>
          <w:rFonts w:ascii="Arial" w:cs="Arial" w:eastAsia="Arial" w:hAnsi="Arial"/>
          <w:sz w:val="16"/>
          <w:szCs w:val="16"/>
          <w:color w:val="000000"/>
        </w:rPr>
        <w:t>terms</w:t>
      </w:r>
      <w:r>
        <w:rPr>
          <w:rFonts w:ascii="Arial" w:cs="Arial" w:eastAsia="Arial" w:hAnsi="Arial"/>
          <w:sz w:val="16"/>
          <w:szCs w:val="16"/>
          <w:color w:val="131313"/>
        </w:rPr>
        <w:t xml:space="preserve"> </w:t>
      </w:r>
      <w:r>
        <w:rPr>
          <w:rFonts w:ascii="Arial" w:cs="Arial" w:eastAsia="Arial" w:hAnsi="Arial"/>
          <w:sz w:val="16"/>
          <w:szCs w:val="16"/>
          <w:color w:val="1C1C1C"/>
        </w:rPr>
        <w:t>of</w:t>
      </w:r>
      <w:r>
        <w:rPr>
          <w:rFonts w:ascii="Arial" w:cs="Arial" w:eastAsia="Arial" w:hAnsi="Arial"/>
          <w:sz w:val="16"/>
          <w:szCs w:val="16"/>
          <w:color w:val="131313"/>
        </w:rPr>
        <w:t xml:space="preserve"> </w:t>
      </w:r>
      <w:r>
        <w:rPr>
          <w:rFonts w:ascii="Arial" w:cs="Arial" w:eastAsia="Arial" w:hAnsi="Arial"/>
          <w:sz w:val="16"/>
          <w:szCs w:val="16"/>
          <w:color w:val="0C0C0C"/>
        </w:rPr>
        <w:t>the</w:t>
      </w:r>
      <w:r>
        <w:rPr>
          <w:rFonts w:ascii="Arial" w:cs="Arial" w:eastAsia="Arial" w:hAnsi="Arial"/>
          <w:sz w:val="16"/>
          <w:szCs w:val="16"/>
          <w:color w:val="131313"/>
        </w:rPr>
        <w:t xml:space="preserve"> Noncompete Agreement.</w:t>
      </w:r>
    </w:p>
    <w:p>
      <w:pPr>
        <w:spacing w:after="0" w:line="164" w:lineRule="exact"/>
        <w:rPr>
          <w:rFonts w:ascii="Arial" w:cs="Arial" w:eastAsia="Arial" w:hAnsi="Arial"/>
          <w:sz w:val="16"/>
          <w:szCs w:val="16"/>
          <w:color w:val="auto"/>
        </w:rPr>
      </w:pPr>
    </w:p>
    <w:p>
      <w:pPr>
        <w:ind w:left="652" w:hanging="652"/>
        <w:spacing w:after="0" w:line="290" w:lineRule="auto"/>
        <w:tabs>
          <w:tab w:leader="none" w:pos="652" w:val="left"/>
        </w:tabs>
        <w:numPr>
          <w:ilvl w:val="0"/>
          <w:numId w:val="30"/>
        </w:numPr>
        <w:rPr>
          <w:rFonts w:ascii="Arial" w:cs="Arial" w:eastAsia="Arial" w:hAnsi="Arial"/>
          <w:sz w:val="16"/>
          <w:szCs w:val="16"/>
          <w:color w:val="auto"/>
        </w:rPr>
      </w:pPr>
      <w:r>
        <w:rPr>
          <w:rFonts w:ascii="Arial" w:cs="Arial" w:eastAsia="Arial" w:hAnsi="Arial"/>
          <w:sz w:val="16"/>
          <w:szCs w:val="16"/>
          <w:b w:val="1"/>
          <w:bCs w:val="1"/>
          <w:i w:val="1"/>
          <w:iCs w:val="1"/>
          <w:color w:val="131313"/>
        </w:rPr>
        <w:t xml:space="preserve">Non-Disparagement </w:t>
      </w:r>
      <w:r>
        <w:rPr>
          <w:rFonts w:ascii="Arial" w:cs="Arial" w:eastAsia="Arial" w:hAnsi="Arial"/>
          <w:sz w:val="16"/>
          <w:szCs w:val="16"/>
          <w:color w:val="131313"/>
        </w:rPr>
        <w:t>- Executive agrees that, except as may be required by law or court order, he will not, directly or indirectly, make any</w:t>
      </w:r>
      <w:r>
        <w:rPr>
          <w:rFonts w:ascii="Arial" w:cs="Arial" w:eastAsia="Arial" w:hAnsi="Arial"/>
          <w:sz w:val="16"/>
          <w:szCs w:val="16"/>
          <w:b w:val="1"/>
          <w:bCs w:val="1"/>
          <w:i w:val="1"/>
          <w:iCs w:val="1"/>
          <w:color w:val="131313"/>
        </w:rPr>
        <w:t xml:space="preserve"> </w:t>
      </w:r>
      <w:r>
        <w:rPr>
          <w:rFonts w:ascii="Arial" w:cs="Arial" w:eastAsia="Arial" w:hAnsi="Arial"/>
          <w:sz w:val="16"/>
          <w:szCs w:val="16"/>
          <w:color w:val="131313"/>
        </w:rPr>
        <w:t>statement, oral or written, or perform any act or omission that is or could be detrimental in any material respect to the reputation or goodwill of the Company or any other person or entity released herein. Further, the Company agrees that, except as may be required by law or court order, it will not, directly or indirectly, make any statement, oral or written, or perform any act or omission which is or could be detrimental in any material respect to the reputation or goodwill of Executive. The parties agree and understand that the Company’s obligations under this Paragraph extend only to the members of the Company’s Board of Directors, the Executive Officers of the Company and any employee of the Company who has been authorized by an Executive Officer to communicate, or perform any act or omission, on behalf of the Company with respect to Executive. The parties further agree that truthful statements made in connection with legal proceedings will not violate this provision.</w:t>
      </w:r>
    </w:p>
    <w:p>
      <w:pPr>
        <w:sectPr>
          <w:pgSz w:w="11900" w:h="16838" w:orient="portrait"/>
          <w:cols w:equalWidth="0" w:num="1">
            <w:col w:w="11212"/>
          </w:cols>
          <w:pgMar w:left="328" w:top="557" w:right="359" w:bottom="1440" w:gutter="0" w:footer="0" w:header="0"/>
        </w:sectPr>
      </w:pPr>
    </w:p>
    <w:bookmarkStart w:id="50" w:name="page51"/>
    <w:bookmarkEnd w:id="50"/>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Non-Contact; </w:t>
      </w:r>
      <w:r>
        <w:rPr>
          <w:rFonts w:ascii="Arial" w:cs="Arial" w:eastAsia="Arial" w:hAnsi="Arial"/>
          <w:sz w:val="18"/>
          <w:szCs w:val="18"/>
          <w:b w:val="1"/>
          <w:bCs w:val="1"/>
          <w:i w:val="1"/>
          <w:iCs w:val="1"/>
          <w:color w:val="181818"/>
        </w:rPr>
        <w:t>Cooperation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32323"/>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0E0E0E"/>
        </w:rPr>
        <w:t>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A1A1A"/>
        </w:rPr>
        <w:t>ag</w:t>
      </w:r>
      <w:r>
        <w:rPr>
          <w:rFonts w:ascii="Arial" w:cs="Arial" w:eastAsia="Arial" w:hAnsi="Arial"/>
          <w:sz w:val="18"/>
          <w:szCs w:val="18"/>
          <w:color w:val="1C1C1C"/>
        </w:rPr>
        <w:t>rees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D1D1D"/>
        </w:rPr>
        <w:t>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81818"/>
        </w:rPr>
        <w:t>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C1C1C"/>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050505"/>
        </w:rPr>
        <w:t>after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31313"/>
        </w:rPr>
        <w:t>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0F0F0F"/>
        </w:rPr>
        <w:t>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81818"/>
        </w:rPr>
        <w:t>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61616"/>
        </w:rPr>
        <w:t>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0C0C0C"/>
        </w:rPr>
        <w:t>Agreement:</w:t>
      </w:r>
    </w:p>
    <w:p>
      <w:pPr>
        <w:spacing w:after="0" w:line="23" w:lineRule="exact"/>
        <w:rPr>
          <w:rFonts w:ascii="Arial" w:cs="Arial" w:eastAsia="Arial" w:hAnsi="Arial"/>
          <w:sz w:val="18"/>
          <w:szCs w:val="18"/>
          <w:color w:val="auto"/>
        </w:rPr>
      </w:pPr>
    </w:p>
    <w:p>
      <w:pPr>
        <w:ind w:left="1300" w:right="20" w:hanging="644"/>
        <w:spacing w:after="0" w:line="281" w:lineRule="auto"/>
        <w:tabs>
          <w:tab w:leader="none" w:pos="1300" w:val="left"/>
        </w:tabs>
        <w:numPr>
          <w:ilvl w:val="1"/>
          <w:numId w:val="31"/>
        </w:numPr>
        <w:rPr>
          <w:rFonts w:ascii="Arial" w:cs="Arial" w:eastAsia="Arial" w:hAnsi="Arial"/>
          <w:sz w:val="16"/>
          <w:szCs w:val="16"/>
          <w:color w:val="auto"/>
        </w:rPr>
      </w:pPr>
      <w:r>
        <w:rPr>
          <w:rFonts w:ascii="Arial" w:cs="Arial" w:eastAsia="Arial" w:hAnsi="Arial"/>
          <w:sz w:val="16"/>
          <w:szCs w:val="16"/>
          <w:color w:val="1C1C1C"/>
        </w:rPr>
        <w:t xml:space="preserve">Unless </w:t>
      </w:r>
      <w:r>
        <w:rPr>
          <w:rFonts w:ascii="Arial" w:cs="Arial" w:eastAsia="Arial" w:hAnsi="Arial"/>
          <w:sz w:val="16"/>
          <w:szCs w:val="16"/>
          <w:color w:val="181818"/>
        </w:rPr>
        <w:t>specifically requested</w:t>
      </w:r>
      <w:r>
        <w:rPr>
          <w:rFonts w:ascii="Arial" w:cs="Arial" w:eastAsia="Arial" w:hAnsi="Arial"/>
          <w:sz w:val="16"/>
          <w:szCs w:val="16"/>
          <w:color w:val="1C1C1C"/>
        </w:rPr>
        <w:t xml:space="preserve"> </w:t>
      </w:r>
      <w:r>
        <w:rPr>
          <w:rFonts w:ascii="Arial" w:cs="Arial" w:eastAsia="Arial" w:hAnsi="Arial"/>
          <w:sz w:val="16"/>
          <w:szCs w:val="16"/>
          <w:color w:val="212121"/>
        </w:rPr>
        <w:t>or</w:t>
      </w:r>
      <w:r>
        <w:rPr>
          <w:rFonts w:ascii="Arial" w:cs="Arial" w:eastAsia="Arial" w:hAnsi="Arial"/>
          <w:sz w:val="16"/>
          <w:szCs w:val="16"/>
          <w:color w:val="1C1C1C"/>
        </w:rPr>
        <w:t xml:space="preserve"> </w:t>
      </w:r>
      <w:r>
        <w:rPr>
          <w:rFonts w:ascii="Arial" w:cs="Arial" w:eastAsia="Arial" w:hAnsi="Arial"/>
          <w:sz w:val="16"/>
          <w:szCs w:val="16"/>
          <w:color w:val="0E0E0E"/>
        </w:rPr>
        <w:t>authorized</w:t>
      </w:r>
      <w:r>
        <w:rPr>
          <w:rFonts w:ascii="Arial" w:cs="Arial" w:eastAsia="Arial" w:hAnsi="Arial"/>
          <w:sz w:val="16"/>
          <w:szCs w:val="16"/>
          <w:color w:val="1C1C1C"/>
        </w:rPr>
        <w:t xml:space="preserve"> </w:t>
      </w:r>
      <w:r>
        <w:rPr>
          <w:rFonts w:ascii="Arial" w:cs="Arial" w:eastAsia="Arial" w:hAnsi="Arial"/>
          <w:sz w:val="16"/>
          <w:szCs w:val="16"/>
          <w:color w:val="1A1A1A"/>
        </w:rPr>
        <w:t>by</w:t>
      </w:r>
      <w:r>
        <w:rPr>
          <w:rFonts w:ascii="Arial" w:cs="Arial" w:eastAsia="Arial" w:hAnsi="Arial"/>
          <w:sz w:val="16"/>
          <w:szCs w:val="16"/>
          <w:color w:val="1C1C1C"/>
        </w:rPr>
        <w:t xml:space="preserve"> </w:t>
      </w:r>
      <w:r>
        <w:rPr>
          <w:rFonts w:ascii="Arial" w:cs="Arial" w:eastAsia="Arial" w:hAnsi="Arial"/>
          <w:sz w:val="16"/>
          <w:szCs w:val="16"/>
          <w:color w:val="0F0F0F"/>
        </w:rPr>
        <w:t>the</w:t>
      </w:r>
      <w:r>
        <w:rPr>
          <w:rFonts w:ascii="Arial" w:cs="Arial" w:eastAsia="Arial" w:hAnsi="Arial"/>
          <w:sz w:val="16"/>
          <w:szCs w:val="16"/>
          <w:color w:val="1C1C1C"/>
        </w:rPr>
        <w:t xml:space="preserve"> </w:t>
      </w:r>
      <w:r>
        <w:rPr>
          <w:rFonts w:ascii="Arial" w:cs="Arial" w:eastAsia="Arial" w:hAnsi="Arial"/>
          <w:sz w:val="16"/>
          <w:szCs w:val="16"/>
          <w:color w:val="070707"/>
        </w:rPr>
        <w:t>Company’s</w:t>
      </w:r>
      <w:r>
        <w:rPr>
          <w:rFonts w:ascii="Arial" w:cs="Arial" w:eastAsia="Arial" w:hAnsi="Arial"/>
          <w:sz w:val="16"/>
          <w:szCs w:val="16"/>
          <w:color w:val="1C1C1C"/>
        </w:rPr>
        <w:t xml:space="preserve"> </w:t>
      </w:r>
      <w:r>
        <w:rPr>
          <w:rFonts w:ascii="Arial" w:cs="Arial" w:eastAsia="Arial" w:hAnsi="Arial"/>
          <w:sz w:val="16"/>
          <w:szCs w:val="16"/>
          <w:color w:val="1F1F1F"/>
        </w:rPr>
        <w:t>Chief</w:t>
      </w:r>
      <w:r>
        <w:rPr>
          <w:rFonts w:ascii="Arial" w:cs="Arial" w:eastAsia="Arial" w:hAnsi="Arial"/>
          <w:sz w:val="16"/>
          <w:szCs w:val="16"/>
          <w:color w:val="1C1C1C"/>
        </w:rPr>
        <w:t xml:space="preserve"> </w:t>
      </w:r>
      <w:r>
        <w:rPr>
          <w:rFonts w:ascii="Arial" w:cs="Arial" w:eastAsia="Arial" w:hAnsi="Arial"/>
          <w:sz w:val="16"/>
          <w:szCs w:val="16"/>
          <w:color w:val="050505"/>
        </w:rPr>
        <w:t>Executive</w:t>
      </w:r>
      <w:r>
        <w:rPr>
          <w:rFonts w:ascii="Arial" w:cs="Arial" w:eastAsia="Arial" w:hAnsi="Arial"/>
          <w:sz w:val="16"/>
          <w:szCs w:val="16"/>
          <w:color w:val="1C1C1C"/>
        </w:rPr>
        <w:t xml:space="preserve"> </w:t>
      </w:r>
      <w:r>
        <w:rPr>
          <w:rFonts w:ascii="Arial" w:cs="Arial" w:eastAsia="Arial" w:hAnsi="Arial"/>
          <w:sz w:val="16"/>
          <w:szCs w:val="16"/>
          <w:color w:val="131313"/>
        </w:rPr>
        <w:t>Officer or Chief Financial Officer,</w:t>
      </w:r>
      <w:r>
        <w:rPr>
          <w:rFonts w:ascii="Arial" w:cs="Arial" w:eastAsia="Arial" w:hAnsi="Arial"/>
          <w:sz w:val="16"/>
          <w:szCs w:val="16"/>
          <w:color w:val="1C1C1C"/>
        </w:rPr>
        <w:t xml:space="preserve"> </w:t>
      </w:r>
      <w:r>
        <w:rPr>
          <w:rFonts w:ascii="Arial" w:cs="Arial" w:eastAsia="Arial" w:hAnsi="Arial"/>
          <w:sz w:val="16"/>
          <w:szCs w:val="16"/>
          <w:color w:val="1A1A1A"/>
        </w:rPr>
        <w:t>Executive</w:t>
      </w:r>
      <w:r>
        <w:rPr>
          <w:rFonts w:ascii="Arial" w:cs="Arial" w:eastAsia="Arial" w:hAnsi="Arial"/>
          <w:sz w:val="16"/>
          <w:szCs w:val="16"/>
          <w:color w:val="1C1C1C"/>
        </w:rPr>
        <w:t xml:space="preserve"> </w:t>
      </w:r>
      <w:r>
        <w:rPr>
          <w:rFonts w:ascii="Arial" w:cs="Arial" w:eastAsia="Arial" w:hAnsi="Arial"/>
          <w:sz w:val="16"/>
          <w:szCs w:val="16"/>
          <w:color w:val="1F1F1F"/>
        </w:rPr>
        <w:t>will</w:t>
      </w:r>
      <w:r>
        <w:rPr>
          <w:rFonts w:ascii="Arial" w:cs="Arial" w:eastAsia="Arial" w:hAnsi="Arial"/>
          <w:sz w:val="16"/>
          <w:szCs w:val="16"/>
          <w:color w:val="1C1C1C"/>
        </w:rPr>
        <w:t xml:space="preserve"> not </w:t>
      </w:r>
      <w:r>
        <w:rPr>
          <w:rFonts w:ascii="Arial" w:cs="Arial" w:eastAsia="Arial" w:hAnsi="Arial"/>
          <w:sz w:val="16"/>
          <w:szCs w:val="16"/>
          <w:color w:val="181818"/>
        </w:rPr>
        <w:t xml:space="preserve">engage </w:t>
      </w:r>
      <w:r>
        <w:rPr>
          <w:rFonts w:ascii="Arial" w:cs="Arial" w:eastAsia="Arial" w:hAnsi="Arial"/>
          <w:sz w:val="16"/>
          <w:szCs w:val="16"/>
          <w:color w:val="232323"/>
        </w:rPr>
        <w:t>in</w:t>
      </w:r>
      <w:r>
        <w:rPr>
          <w:rFonts w:ascii="Arial" w:cs="Arial" w:eastAsia="Arial" w:hAnsi="Arial"/>
          <w:sz w:val="16"/>
          <w:szCs w:val="16"/>
          <w:color w:val="181818"/>
        </w:rPr>
        <w:t xml:space="preserve"> </w:t>
      </w:r>
      <w:r>
        <w:rPr>
          <w:rFonts w:ascii="Arial" w:cs="Arial" w:eastAsia="Arial" w:hAnsi="Arial"/>
          <w:sz w:val="16"/>
          <w:szCs w:val="16"/>
          <w:color w:val="151515"/>
        </w:rPr>
        <w:t>any form</w:t>
      </w:r>
      <w:r>
        <w:rPr>
          <w:rFonts w:ascii="Arial" w:cs="Arial" w:eastAsia="Arial" w:hAnsi="Arial"/>
          <w:sz w:val="16"/>
          <w:szCs w:val="16"/>
          <w:color w:val="181818"/>
        </w:rPr>
        <w:t xml:space="preserve"> </w:t>
      </w:r>
      <w:r>
        <w:rPr>
          <w:rFonts w:ascii="Arial" w:cs="Arial" w:eastAsia="Arial" w:hAnsi="Arial"/>
          <w:sz w:val="16"/>
          <w:szCs w:val="16"/>
          <w:color w:val="1F1F1F"/>
        </w:rPr>
        <w:t>of</w:t>
      </w:r>
      <w:r>
        <w:rPr>
          <w:rFonts w:ascii="Arial" w:cs="Arial" w:eastAsia="Arial" w:hAnsi="Arial"/>
          <w:sz w:val="16"/>
          <w:szCs w:val="16"/>
          <w:color w:val="181818"/>
        </w:rPr>
        <w:t xml:space="preserve"> </w:t>
      </w:r>
      <w:r>
        <w:rPr>
          <w:rFonts w:ascii="Arial" w:cs="Arial" w:eastAsia="Arial" w:hAnsi="Arial"/>
          <w:sz w:val="16"/>
          <w:szCs w:val="16"/>
          <w:color w:val="000000"/>
        </w:rPr>
        <w:t>communication (whether</w:t>
      </w:r>
      <w:r>
        <w:rPr>
          <w:rFonts w:ascii="Arial" w:cs="Arial" w:eastAsia="Arial" w:hAnsi="Arial"/>
          <w:sz w:val="16"/>
          <w:szCs w:val="16"/>
          <w:color w:val="181818"/>
        </w:rPr>
        <w:t xml:space="preserve"> </w:t>
      </w:r>
      <w:r>
        <w:rPr>
          <w:rFonts w:ascii="Arial" w:cs="Arial" w:eastAsia="Arial" w:hAnsi="Arial"/>
          <w:sz w:val="16"/>
          <w:szCs w:val="16"/>
          <w:color w:val="131313"/>
        </w:rPr>
        <w:t>initiated</w:t>
      </w:r>
      <w:r>
        <w:rPr>
          <w:rFonts w:ascii="Arial" w:cs="Arial" w:eastAsia="Arial" w:hAnsi="Arial"/>
          <w:sz w:val="16"/>
          <w:szCs w:val="16"/>
          <w:color w:val="181818"/>
        </w:rPr>
        <w:t xml:space="preserve"> by </w:t>
      </w:r>
      <w:r>
        <w:rPr>
          <w:rFonts w:ascii="Arial" w:cs="Arial" w:eastAsia="Arial" w:hAnsi="Arial"/>
          <w:sz w:val="16"/>
          <w:szCs w:val="16"/>
          <w:color w:val="0F0F0F"/>
        </w:rPr>
        <w:t>Executive</w:t>
      </w:r>
      <w:r>
        <w:rPr>
          <w:rFonts w:ascii="Arial" w:cs="Arial" w:eastAsia="Arial" w:hAnsi="Arial"/>
          <w:sz w:val="16"/>
          <w:szCs w:val="16"/>
          <w:color w:val="181818"/>
        </w:rPr>
        <w:t xml:space="preserve"> </w:t>
      </w:r>
      <w:r>
        <w:rPr>
          <w:rFonts w:ascii="Arial" w:cs="Arial" w:eastAsia="Arial" w:hAnsi="Arial"/>
          <w:sz w:val="16"/>
          <w:szCs w:val="16"/>
          <w:color w:val="1F1F1F"/>
        </w:rPr>
        <w:t>or</w:t>
      </w:r>
      <w:r>
        <w:rPr>
          <w:rFonts w:ascii="Arial" w:cs="Arial" w:eastAsia="Arial" w:hAnsi="Arial"/>
          <w:sz w:val="16"/>
          <w:szCs w:val="16"/>
          <w:color w:val="181818"/>
        </w:rPr>
        <w:t xml:space="preserve"> </w:t>
      </w:r>
      <w:r>
        <w:rPr>
          <w:rFonts w:ascii="Arial" w:cs="Arial" w:eastAsia="Arial" w:hAnsi="Arial"/>
          <w:sz w:val="16"/>
          <w:szCs w:val="16"/>
          <w:color w:val="111111"/>
        </w:rPr>
        <w:t>others)</w:t>
      </w:r>
      <w:r>
        <w:rPr>
          <w:rFonts w:ascii="Arial" w:cs="Arial" w:eastAsia="Arial" w:hAnsi="Arial"/>
          <w:sz w:val="16"/>
          <w:szCs w:val="16"/>
          <w:color w:val="181818"/>
        </w:rPr>
        <w:t xml:space="preserve"> </w:t>
      </w:r>
      <w:r>
        <w:rPr>
          <w:rFonts w:ascii="Arial" w:cs="Arial" w:eastAsia="Arial" w:hAnsi="Arial"/>
          <w:sz w:val="16"/>
          <w:szCs w:val="16"/>
          <w:color w:val="1C1C1C"/>
        </w:rPr>
        <w:t>with</w:t>
      </w:r>
      <w:r>
        <w:rPr>
          <w:rFonts w:ascii="Arial" w:cs="Arial" w:eastAsia="Arial" w:hAnsi="Arial"/>
          <w:sz w:val="16"/>
          <w:szCs w:val="16"/>
          <w:color w:val="181818"/>
        </w:rPr>
        <w:t xml:space="preserve"> </w:t>
      </w:r>
      <w:r>
        <w:rPr>
          <w:rFonts w:ascii="Arial" w:cs="Arial" w:eastAsia="Arial" w:hAnsi="Arial"/>
          <w:sz w:val="16"/>
          <w:szCs w:val="16"/>
          <w:color w:val="0F0F0F"/>
        </w:rPr>
        <w:t>investors</w:t>
      </w:r>
      <w:r>
        <w:rPr>
          <w:rFonts w:ascii="Arial" w:cs="Arial" w:eastAsia="Arial" w:hAnsi="Arial"/>
          <w:sz w:val="16"/>
          <w:szCs w:val="16"/>
          <w:color w:val="181818"/>
        </w:rPr>
        <w:t xml:space="preserve"> or </w:t>
      </w:r>
      <w:r>
        <w:rPr>
          <w:rFonts w:ascii="Arial" w:cs="Arial" w:eastAsia="Arial" w:hAnsi="Arial"/>
          <w:sz w:val="16"/>
          <w:szCs w:val="16"/>
          <w:color w:val="0C0C0C"/>
        </w:rPr>
        <w:t>potential</w:t>
      </w:r>
      <w:r>
        <w:rPr>
          <w:rFonts w:ascii="Arial" w:cs="Arial" w:eastAsia="Arial" w:hAnsi="Arial"/>
          <w:sz w:val="16"/>
          <w:szCs w:val="16"/>
          <w:color w:val="181818"/>
        </w:rPr>
        <w:t xml:space="preserve"> </w:t>
      </w:r>
      <w:r>
        <w:rPr>
          <w:rFonts w:ascii="Arial" w:cs="Arial" w:eastAsia="Arial" w:hAnsi="Arial"/>
          <w:sz w:val="16"/>
          <w:szCs w:val="16"/>
          <w:color w:val="111111"/>
        </w:rPr>
        <w:t>investors,</w:t>
      </w:r>
      <w:r>
        <w:rPr>
          <w:rFonts w:ascii="Arial" w:cs="Arial" w:eastAsia="Arial" w:hAnsi="Arial"/>
          <w:sz w:val="16"/>
          <w:szCs w:val="16"/>
          <w:color w:val="181818"/>
        </w:rPr>
        <w:t xml:space="preserve"> </w:t>
      </w:r>
      <w:r>
        <w:rPr>
          <w:rFonts w:ascii="Arial" w:cs="Arial" w:eastAsia="Arial" w:hAnsi="Arial"/>
          <w:sz w:val="16"/>
          <w:szCs w:val="16"/>
          <w:color w:val="0F0F0F"/>
        </w:rPr>
        <w:t>commercial</w:t>
      </w:r>
      <w:r>
        <w:rPr>
          <w:rFonts w:ascii="Arial" w:cs="Arial" w:eastAsia="Arial" w:hAnsi="Arial"/>
          <w:sz w:val="16"/>
          <w:szCs w:val="16"/>
          <w:color w:val="181818"/>
        </w:rPr>
        <w:t xml:space="preserve"> </w:t>
      </w:r>
      <w:r>
        <w:rPr>
          <w:rFonts w:ascii="Arial" w:cs="Arial" w:eastAsia="Arial" w:hAnsi="Arial"/>
          <w:sz w:val="16"/>
          <w:szCs w:val="16"/>
          <w:color w:val="0C0C0C"/>
        </w:rPr>
        <w:t xml:space="preserve">bankers </w:t>
      </w:r>
      <w:r>
        <w:rPr>
          <w:rFonts w:ascii="Arial" w:cs="Arial" w:eastAsia="Arial" w:hAnsi="Arial"/>
          <w:sz w:val="16"/>
          <w:szCs w:val="16"/>
          <w:color w:val="181818"/>
        </w:rPr>
        <w:t>or</w:t>
      </w:r>
      <w:r>
        <w:rPr>
          <w:rFonts w:ascii="Arial" w:cs="Arial" w:eastAsia="Arial" w:hAnsi="Arial"/>
          <w:sz w:val="16"/>
          <w:szCs w:val="16"/>
          <w:color w:val="0C0C0C"/>
        </w:rPr>
        <w:t xml:space="preserve"> </w:t>
      </w:r>
      <w:r>
        <w:rPr>
          <w:rFonts w:ascii="Arial" w:cs="Arial" w:eastAsia="Arial" w:hAnsi="Arial"/>
          <w:sz w:val="16"/>
          <w:szCs w:val="16"/>
          <w:color w:val="1D1D1D"/>
        </w:rPr>
        <w:t>other</w:t>
      </w:r>
      <w:r>
        <w:rPr>
          <w:rFonts w:ascii="Arial" w:cs="Arial" w:eastAsia="Arial" w:hAnsi="Arial"/>
          <w:sz w:val="16"/>
          <w:szCs w:val="16"/>
          <w:color w:val="0C0C0C"/>
        </w:rPr>
        <w:t xml:space="preserve"> lenders, </w:t>
      </w:r>
      <w:r>
        <w:rPr>
          <w:rFonts w:ascii="Arial" w:cs="Arial" w:eastAsia="Arial" w:hAnsi="Arial"/>
          <w:sz w:val="16"/>
          <w:szCs w:val="16"/>
          <w:color w:val="131313"/>
        </w:rPr>
        <w:t>financial</w:t>
      </w:r>
      <w:r>
        <w:rPr>
          <w:rFonts w:ascii="Arial" w:cs="Arial" w:eastAsia="Arial" w:hAnsi="Arial"/>
          <w:sz w:val="16"/>
          <w:szCs w:val="16"/>
          <w:color w:val="0C0C0C"/>
        </w:rPr>
        <w:t xml:space="preserve"> </w:t>
      </w:r>
      <w:r>
        <w:rPr>
          <w:rFonts w:ascii="Arial" w:cs="Arial" w:eastAsia="Arial" w:hAnsi="Arial"/>
          <w:sz w:val="16"/>
          <w:szCs w:val="16"/>
          <w:color w:val="232323"/>
        </w:rPr>
        <w:t>or</w:t>
      </w:r>
      <w:r>
        <w:rPr>
          <w:rFonts w:ascii="Arial" w:cs="Arial" w:eastAsia="Arial" w:hAnsi="Arial"/>
          <w:sz w:val="16"/>
          <w:szCs w:val="16"/>
          <w:color w:val="0C0C0C"/>
        </w:rPr>
        <w:t xml:space="preserve"> </w:t>
      </w:r>
      <w:r>
        <w:rPr>
          <w:rFonts w:ascii="Arial" w:cs="Arial" w:eastAsia="Arial" w:hAnsi="Arial"/>
          <w:sz w:val="16"/>
          <w:szCs w:val="16"/>
          <w:color w:val="000000"/>
        </w:rPr>
        <w:t>industry</w:t>
      </w:r>
      <w:r>
        <w:rPr>
          <w:rFonts w:ascii="Arial" w:cs="Arial" w:eastAsia="Arial" w:hAnsi="Arial"/>
          <w:sz w:val="16"/>
          <w:szCs w:val="16"/>
          <w:color w:val="0C0C0C"/>
        </w:rPr>
        <w:t xml:space="preserve"> </w:t>
      </w:r>
      <w:r>
        <w:rPr>
          <w:rFonts w:ascii="Arial" w:cs="Arial" w:eastAsia="Arial" w:hAnsi="Arial"/>
          <w:sz w:val="16"/>
          <w:szCs w:val="16"/>
          <w:color w:val="111111"/>
        </w:rPr>
        <w:t>analysts,</w:t>
      </w:r>
      <w:r>
        <w:rPr>
          <w:rFonts w:ascii="Arial" w:cs="Arial" w:eastAsia="Arial" w:hAnsi="Arial"/>
          <w:sz w:val="16"/>
          <w:szCs w:val="16"/>
          <w:color w:val="0C0C0C"/>
        </w:rPr>
        <w:t xml:space="preserve"> </w:t>
      </w:r>
      <w:r>
        <w:rPr>
          <w:rFonts w:ascii="Arial" w:cs="Arial" w:eastAsia="Arial" w:hAnsi="Arial"/>
          <w:sz w:val="16"/>
          <w:szCs w:val="16"/>
          <w:color w:val="131313"/>
        </w:rPr>
        <w:t>investment</w:t>
      </w:r>
      <w:r>
        <w:rPr>
          <w:rFonts w:ascii="Arial" w:cs="Arial" w:eastAsia="Arial" w:hAnsi="Arial"/>
          <w:sz w:val="16"/>
          <w:szCs w:val="16"/>
          <w:color w:val="0C0C0C"/>
        </w:rPr>
        <w:t xml:space="preserve"> </w:t>
      </w:r>
      <w:r>
        <w:rPr>
          <w:rFonts w:ascii="Arial" w:cs="Arial" w:eastAsia="Arial" w:hAnsi="Arial"/>
          <w:sz w:val="16"/>
          <w:szCs w:val="16"/>
          <w:color w:val="181818"/>
        </w:rPr>
        <w:t>bankers,</w:t>
      </w:r>
      <w:r>
        <w:rPr>
          <w:rFonts w:ascii="Arial" w:cs="Arial" w:eastAsia="Arial" w:hAnsi="Arial"/>
          <w:sz w:val="16"/>
          <w:szCs w:val="16"/>
          <w:color w:val="0C0C0C"/>
        </w:rPr>
        <w:t xml:space="preserve"> </w:t>
      </w:r>
      <w:r>
        <w:rPr>
          <w:rFonts w:ascii="Arial" w:cs="Arial" w:eastAsia="Arial" w:hAnsi="Arial"/>
          <w:sz w:val="16"/>
          <w:szCs w:val="16"/>
          <w:color w:val="161616"/>
        </w:rPr>
        <w:t>or</w:t>
      </w:r>
      <w:r>
        <w:rPr>
          <w:rFonts w:ascii="Arial" w:cs="Arial" w:eastAsia="Arial" w:hAnsi="Arial"/>
          <w:sz w:val="16"/>
          <w:szCs w:val="16"/>
          <w:color w:val="0C0C0C"/>
        </w:rPr>
        <w:t xml:space="preserve"> </w:t>
      </w:r>
      <w:r>
        <w:rPr>
          <w:rFonts w:ascii="Arial" w:cs="Arial" w:eastAsia="Arial" w:hAnsi="Arial"/>
          <w:sz w:val="16"/>
          <w:szCs w:val="16"/>
          <w:color w:val="1D1D1D"/>
        </w:rPr>
        <w:t>auditors</w:t>
      </w:r>
      <w:r>
        <w:rPr>
          <w:rFonts w:ascii="Arial" w:cs="Arial" w:eastAsia="Arial" w:hAnsi="Arial"/>
          <w:sz w:val="16"/>
          <w:szCs w:val="16"/>
          <w:color w:val="0C0C0C"/>
        </w:rPr>
        <w:t xml:space="preserve"> </w:t>
      </w:r>
      <w:r>
        <w:rPr>
          <w:rFonts w:ascii="Arial" w:cs="Arial" w:eastAsia="Arial" w:hAnsi="Arial"/>
          <w:sz w:val="16"/>
          <w:szCs w:val="16"/>
          <w:color w:val="2D2D2D"/>
        </w:rPr>
        <w:t>or</w:t>
      </w:r>
      <w:r>
        <w:rPr>
          <w:rFonts w:ascii="Arial" w:cs="Arial" w:eastAsia="Arial" w:hAnsi="Arial"/>
          <w:sz w:val="16"/>
          <w:szCs w:val="16"/>
          <w:color w:val="0C0C0C"/>
        </w:rPr>
        <w:t xml:space="preserve"> </w:t>
      </w:r>
      <w:r>
        <w:rPr>
          <w:rFonts w:ascii="Arial" w:cs="Arial" w:eastAsia="Arial" w:hAnsi="Arial"/>
          <w:sz w:val="16"/>
          <w:szCs w:val="16"/>
          <w:color w:val="1A1A1A"/>
        </w:rPr>
        <w:t>other</w:t>
      </w:r>
      <w:r>
        <w:rPr>
          <w:rFonts w:ascii="Arial" w:cs="Arial" w:eastAsia="Arial" w:hAnsi="Arial"/>
          <w:sz w:val="16"/>
          <w:szCs w:val="16"/>
          <w:color w:val="0C0C0C"/>
        </w:rPr>
        <w:t xml:space="preserve"> </w:t>
      </w:r>
      <w:r>
        <w:rPr>
          <w:rFonts w:ascii="Arial" w:cs="Arial" w:eastAsia="Arial" w:hAnsi="Arial"/>
          <w:sz w:val="16"/>
          <w:szCs w:val="16"/>
          <w:color w:val="111111"/>
        </w:rPr>
        <w:t>financial professionals</w:t>
      </w:r>
      <w:r>
        <w:rPr>
          <w:rFonts w:ascii="Arial" w:cs="Arial" w:eastAsia="Arial" w:hAnsi="Arial"/>
          <w:sz w:val="16"/>
          <w:szCs w:val="16"/>
          <w:color w:val="0C0C0C"/>
        </w:rPr>
        <w:t xml:space="preserve"> </w:t>
      </w:r>
      <w:r>
        <w:rPr>
          <w:rFonts w:ascii="Arial" w:cs="Arial" w:eastAsia="Arial" w:hAnsi="Arial"/>
          <w:sz w:val="16"/>
          <w:szCs w:val="16"/>
          <w:color w:val="000000"/>
        </w:rPr>
        <w:t>regarding</w:t>
      </w:r>
      <w:r>
        <w:rPr>
          <w:rFonts w:ascii="Arial" w:cs="Arial" w:eastAsia="Arial" w:hAnsi="Arial"/>
          <w:sz w:val="16"/>
          <w:szCs w:val="16"/>
          <w:color w:val="0C0C0C"/>
        </w:rPr>
        <w:t xml:space="preserve"> </w:t>
      </w:r>
      <w:r>
        <w:rPr>
          <w:rFonts w:ascii="Arial" w:cs="Arial" w:eastAsia="Arial" w:hAnsi="Arial"/>
          <w:sz w:val="16"/>
          <w:szCs w:val="16"/>
          <w:color w:val="111111"/>
        </w:rPr>
        <w:t>the</w:t>
      </w:r>
      <w:r>
        <w:rPr>
          <w:rFonts w:ascii="Arial" w:cs="Arial" w:eastAsia="Arial" w:hAnsi="Arial"/>
          <w:sz w:val="16"/>
          <w:szCs w:val="16"/>
          <w:color w:val="0C0C0C"/>
        </w:rPr>
        <w:t xml:space="preserve"> </w:t>
      </w:r>
      <w:r>
        <w:rPr>
          <w:rFonts w:ascii="Arial" w:cs="Arial" w:eastAsia="Arial" w:hAnsi="Arial"/>
          <w:sz w:val="16"/>
          <w:szCs w:val="16"/>
          <w:color w:val="0A0A0A"/>
        </w:rPr>
        <w:t xml:space="preserve">Company, </w:t>
      </w:r>
      <w:r>
        <w:rPr>
          <w:rFonts w:ascii="Arial" w:cs="Arial" w:eastAsia="Arial" w:hAnsi="Arial"/>
          <w:sz w:val="16"/>
          <w:szCs w:val="16"/>
          <w:color w:val="1F1F1F"/>
        </w:rPr>
        <w:t>the</w:t>
      </w:r>
      <w:r>
        <w:rPr>
          <w:rFonts w:ascii="Arial" w:cs="Arial" w:eastAsia="Arial" w:hAnsi="Arial"/>
          <w:sz w:val="16"/>
          <w:szCs w:val="16"/>
          <w:color w:val="0A0A0A"/>
        </w:rPr>
        <w:t xml:space="preserve"> </w:t>
      </w:r>
      <w:r>
        <w:rPr>
          <w:rFonts w:ascii="Arial" w:cs="Arial" w:eastAsia="Arial" w:hAnsi="Arial"/>
          <w:sz w:val="16"/>
          <w:szCs w:val="16"/>
          <w:color w:val="0C0C0C"/>
        </w:rPr>
        <w:t>Company’s business</w:t>
      </w:r>
      <w:r>
        <w:rPr>
          <w:rFonts w:ascii="Arial" w:cs="Arial" w:eastAsia="Arial" w:hAnsi="Arial"/>
          <w:sz w:val="16"/>
          <w:szCs w:val="16"/>
          <w:color w:val="0A0A0A"/>
        </w:rPr>
        <w:t xml:space="preserve"> </w:t>
      </w:r>
      <w:r>
        <w:rPr>
          <w:rFonts w:ascii="Arial" w:cs="Arial" w:eastAsia="Arial" w:hAnsi="Arial"/>
          <w:sz w:val="16"/>
          <w:szCs w:val="16"/>
          <w:color w:val="2B2B2B"/>
        </w:rPr>
        <w:t>or</w:t>
      </w:r>
      <w:r>
        <w:rPr>
          <w:rFonts w:ascii="Arial" w:cs="Arial" w:eastAsia="Arial" w:hAnsi="Arial"/>
          <w:sz w:val="16"/>
          <w:szCs w:val="16"/>
          <w:color w:val="0A0A0A"/>
        </w:rPr>
        <w:t xml:space="preserve"> </w:t>
      </w:r>
      <w:r>
        <w:rPr>
          <w:rFonts w:ascii="Arial" w:cs="Arial" w:eastAsia="Arial" w:hAnsi="Arial"/>
          <w:sz w:val="16"/>
          <w:szCs w:val="16"/>
          <w:color w:val="181818"/>
        </w:rPr>
        <w:t>any</w:t>
      </w:r>
      <w:r>
        <w:rPr>
          <w:rFonts w:ascii="Arial" w:cs="Arial" w:eastAsia="Arial" w:hAnsi="Arial"/>
          <w:sz w:val="16"/>
          <w:szCs w:val="16"/>
          <w:color w:val="0A0A0A"/>
        </w:rPr>
        <w:t xml:space="preserve"> </w:t>
      </w:r>
      <w:r>
        <w:rPr>
          <w:rFonts w:ascii="Arial" w:cs="Arial" w:eastAsia="Arial" w:hAnsi="Arial"/>
          <w:sz w:val="16"/>
          <w:szCs w:val="16"/>
          <w:color w:val="151515"/>
        </w:rPr>
        <w:t>aspect</w:t>
      </w:r>
      <w:r>
        <w:rPr>
          <w:rFonts w:ascii="Arial" w:cs="Arial" w:eastAsia="Arial" w:hAnsi="Arial"/>
          <w:sz w:val="16"/>
          <w:szCs w:val="16"/>
          <w:color w:val="0A0A0A"/>
        </w:rPr>
        <w:t xml:space="preserve"> </w:t>
      </w:r>
      <w:r>
        <w:rPr>
          <w:rFonts w:ascii="Arial" w:cs="Arial" w:eastAsia="Arial" w:hAnsi="Arial"/>
          <w:sz w:val="16"/>
          <w:szCs w:val="16"/>
          <w:color w:val="1C1C1C"/>
        </w:rPr>
        <w:t>of</w:t>
      </w:r>
      <w:r>
        <w:rPr>
          <w:rFonts w:ascii="Arial" w:cs="Arial" w:eastAsia="Arial" w:hAnsi="Arial"/>
          <w:sz w:val="16"/>
          <w:szCs w:val="16"/>
          <w:color w:val="0A0A0A"/>
        </w:rPr>
        <w:t xml:space="preserve"> </w:t>
      </w:r>
      <w:r>
        <w:rPr>
          <w:rFonts w:ascii="Arial" w:cs="Arial" w:eastAsia="Arial" w:hAnsi="Arial"/>
          <w:sz w:val="16"/>
          <w:szCs w:val="16"/>
          <w:color w:val="131313"/>
        </w:rPr>
        <w:t>Executive’s</w:t>
      </w:r>
      <w:r>
        <w:rPr>
          <w:rFonts w:ascii="Arial" w:cs="Arial" w:eastAsia="Arial" w:hAnsi="Arial"/>
          <w:sz w:val="16"/>
          <w:szCs w:val="16"/>
          <w:color w:val="0A0A0A"/>
        </w:rPr>
        <w:t xml:space="preserve"> </w:t>
      </w:r>
      <w:r>
        <w:rPr>
          <w:rFonts w:ascii="Arial" w:cs="Arial" w:eastAsia="Arial" w:hAnsi="Arial"/>
          <w:sz w:val="16"/>
          <w:szCs w:val="16"/>
          <w:color w:val="161616"/>
        </w:rPr>
        <w:t>employment</w:t>
      </w:r>
      <w:r>
        <w:rPr>
          <w:rFonts w:ascii="Arial" w:cs="Arial" w:eastAsia="Arial" w:hAnsi="Arial"/>
          <w:sz w:val="16"/>
          <w:szCs w:val="16"/>
          <w:color w:val="0A0A0A"/>
        </w:rPr>
        <w:t xml:space="preserve"> </w:t>
      </w:r>
      <w:r>
        <w:rPr>
          <w:rFonts w:ascii="Arial" w:cs="Arial" w:eastAsia="Arial" w:hAnsi="Arial"/>
          <w:sz w:val="16"/>
          <w:szCs w:val="16"/>
          <w:color w:val="1F1F1F"/>
        </w:rPr>
        <w:t>with</w:t>
      </w:r>
      <w:r>
        <w:rPr>
          <w:rFonts w:ascii="Arial" w:cs="Arial" w:eastAsia="Arial" w:hAnsi="Arial"/>
          <w:sz w:val="16"/>
          <w:szCs w:val="16"/>
          <w:color w:val="0A0A0A"/>
        </w:rPr>
        <w:t xml:space="preserve"> </w:t>
      </w:r>
      <w:r>
        <w:rPr>
          <w:rFonts w:ascii="Arial" w:cs="Arial" w:eastAsia="Arial" w:hAnsi="Arial"/>
          <w:sz w:val="16"/>
          <w:szCs w:val="16"/>
          <w:color w:val="161616"/>
        </w:rPr>
        <w:t>the</w:t>
      </w:r>
      <w:r>
        <w:rPr>
          <w:rFonts w:ascii="Arial" w:cs="Arial" w:eastAsia="Arial" w:hAnsi="Arial"/>
          <w:sz w:val="16"/>
          <w:szCs w:val="16"/>
          <w:color w:val="0A0A0A"/>
        </w:rPr>
        <w:t xml:space="preserve"> </w:t>
      </w:r>
      <w:r>
        <w:rPr>
          <w:rFonts w:ascii="Arial" w:cs="Arial" w:eastAsia="Arial" w:hAnsi="Arial"/>
          <w:sz w:val="16"/>
          <w:szCs w:val="16"/>
          <w:color w:val="1A1A1A"/>
        </w:rPr>
        <w:t>Company; provided, however, that Executive is not</w:t>
      </w:r>
      <w:r>
        <w:rPr>
          <w:rFonts w:ascii="Arial" w:cs="Arial" w:eastAsia="Arial" w:hAnsi="Arial"/>
          <w:sz w:val="16"/>
          <w:szCs w:val="16"/>
          <w:color w:val="0A0A0A"/>
        </w:rPr>
        <w:t xml:space="preserve"> </w:t>
      </w:r>
      <w:r>
        <w:rPr>
          <w:rFonts w:ascii="Arial" w:cs="Arial" w:eastAsia="Arial" w:hAnsi="Arial"/>
          <w:sz w:val="16"/>
          <w:szCs w:val="16"/>
          <w:color w:val="1A1A1A"/>
        </w:rPr>
        <w:t>prohibited from describing his job duties while employed with the Company in the context of seeking future employment.</w:t>
      </w:r>
    </w:p>
    <w:p>
      <w:pPr>
        <w:spacing w:after="0" w:line="2" w:lineRule="exact"/>
        <w:rPr>
          <w:rFonts w:ascii="Arial" w:cs="Arial" w:eastAsia="Arial" w:hAnsi="Arial"/>
          <w:sz w:val="16"/>
          <w:szCs w:val="16"/>
          <w:color w:val="auto"/>
        </w:rPr>
      </w:pPr>
    </w:p>
    <w:p>
      <w:pPr>
        <w:ind w:left="1300" w:right="200" w:hanging="644"/>
        <w:spacing w:after="0" w:line="250"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161616"/>
        </w:rPr>
        <w:t xml:space="preserve">Unless </w:t>
      </w:r>
      <w:r>
        <w:rPr>
          <w:rFonts w:ascii="Arial" w:cs="Arial" w:eastAsia="Arial" w:hAnsi="Arial"/>
          <w:sz w:val="18"/>
          <w:szCs w:val="18"/>
          <w:color w:val="131313"/>
        </w:rPr>
        <w:t>specifically</w:t>
      </w:r>
      <w:r>
        <w:rPr>
          <w:rFonts w:ascii="Arial" w:cs="Arial" w:eastAsia="Arial" w:hAnsi="Arial"/>
          <w:sz w:val="18"/>
          <w:szCs w:val="18"/>
          <w:color w:val="161616"/>
        </w:rPr>
        <w:t xml:space="preserve"> </w:t>
      </w:r>
      <w:r>
        <w:rPr>
          <w:rFonts w:ascii="Arial" w:cs="Arial" w:eastAsia="Arial" w:hAnsi="Arial"/>
          <w:sz w:val="18"/>
          <w:szCs w:val="18"/>
          <w:color w:val="070707"/>
        </w:rPr>
        <w:t>requested</w:t>
      </w:r>
      <w:r>
        <w:rPr>
          <w:rFonts w:ascii="Arial" w:cs="Arial" w:eastAsia="Arial" w:hAnsi="Arial"/>
          <w:sz w:val="18"/>
          <w:szCs w:val="18"/>
          <w:color w:val="161616"/>
        </w:rPr>
        <w:t xml:space="preserve"> </w:t>
      </w:r>
      <w:r>
        <w:rPr>
          <w:rFonts w:ascii="Arial" w:cs="Arial" w:eastAsia="Arial" w:hAnsi="Arial"/>
          <w:sz w:val="18"/>
          <w:szCs w:val="18"/>
          <w:color w:val="262626"/>
        </w:rPr>
        <w:t>or</w:t>
      </w:r>
      <w:r>
        <w:rPr>
          <w:rFonts w:ascii="Arial" w:cs="Arial" w:eastAsia="Arial" w:hAnsi="Arial"/>
          <w:sz w:val="18"/>
          <w:szCs w:val="18"/>
          <w:color w:val="161616"/>
        </w:rPr>
        <w:t xml:space="preserve"> </w:t>
      </w:r>
      <w:r>
        <w:rPr>
          <w:rFonts w:ascii="Arial" w:cs="Arial" w:eastAsia="Arial" w:hAnsi="Arial"/>
          <w:sz w:val="18"/>
          <w:szCs w:val="18"/>
          <w:color w:val="1A1A1A"/>
        </w:rPr>
        <w:t>authorized</w:t>
      </w:r>
      <w:r>
        <w:rPr>
          <w:rFonts w:ascii="Arial" w:cs="Arial" w:eastAsia="Arial" w:hAnsi="Arial"/>
          <w:sz w:val="18"/>
          <w:szCs w:val="18"/>
          <w:color w:val="161616"/>
        </w:rPr>
        <w:t xml:space="preserve"> </w:t>
      </w:r>
      <w:r>
        <w:rPr>
          <w:rFonts w:ascii="Arial" w:cs="Arial" w:eastAsia="Arial" w:hAnsi="Arial"/>
          <w:sz w:val="18"/>
          <w:szCs w:val="18"/>
          <w:color w:val="242424"/>
        </w:rPr>
        <w:t>by</w:t>
      </w:r>
      <w:r>
        <w:rPr>
          <w:rFonts w:ascii="Arial" w:cs="Arial" w:eastAsia="Arial" w:hAnsi="Arial"/>
          <w:sz w:val="18"/>
          <w:szCs w:val="18"/>
          <w:color w:val="161616"/>
        </w:rPr>
        <w:t xml:space="preserve"> </w:t>
      </w:r>
      <w:r>
        <w:rPr>
          <w:rFonts w:ascii="Arial" w:cs="Arial" w:eastAsia="Arial" w:hAnsi="Arial"/>
          <w:sz w:val="18"/>
          <w:szCs w:val="18"/>
          <w:color w:val="181818"/>
        </w:rPr>
        <w:t>the</w:t>
      </w:r>
      <w:r>
        <w:rPr>
          <w:rFonts w:ascii="Arial" w:cs="Arial" w:eastAsia="Arial" w:hAnsi="Arial"/>
          <w:sz w:val="18"/>
          <w:szCs w:val="18"/>
          <w:color w:val="161616"/>
        </w:rPr>
        <w:t xml:space="preserve"> </w:t>
      </w:r>
      <w:r>
        <w:rPr>
          <w:rFonts w:ascii="Arial" w:cs="Arial" w:eastAsia="Arial" w:hAnsi="Arial"/>
          <w:sz w:val="18"/>
          <w:szCs w:val="18"/>
          <w:color w:val="0E0E0E"/>
        </w:rPr>
        <w:t>Company’s Chief Executive Officer or</w:t>
      </w:r>
      <w:r>
        <w:rPr>
          <w:rFonts w:ascii="Arial" w:cs="Arial" w:eastAsia="Arial" w:hAnsi="Arial"/>
          <w:sz w:val="18"/>
          <w:szCs w:val="18"/>
          <w:color w:val="161616"/>
        </w:rPr>
        <w:t xml:space="preserve"> Chief </w:t>
      </w:r>
      <w:r>
        <w:rPr>
          <w:rFonts w:ascii="Arial" w:cs="Arial" w:eastAsia="Arial" w:hAnsi="Arial"/>
          <w:sz w:val="18"/>
          <w:szCs w:val="18"/>
          <w:color w:val="0C0C0C"/>
        </w:rPr>
        <w:t>Financial</w:t>
      </w:r>
      <w:r>
        <w:rPr>
          <w:rFonts w:ascii="Arial" w:cs="Arial" w:eastAsia="Arial" w:hAnsi="Arial"/>
          <w:sz w:val="18"/>
          <w:szCs w:val="18"/>
          <w:color w:val="161616"/>
        </w:rPr>
        <w:t xml:space="preserve"> </w:t>
      </w:r>
      <w:r>
        <w:rPr>
          <w:rFonts w:ascii="Arial" w:cs="Arial" w:eastAsia="Arial" w:hAnsi="Arial"/>
          <w:sz w:val="18"/>
          <w:szCs w:val="18"/>
          <w:color w:val="070707"/>
        </w:rPr>
        <w:t>Officer,</w:t>
      </w:r>
      <w:r>
        <w:rPr>
          <w:rFonts w:ascii="Arial" w:cs="Arial" w:eastAsia="Arial" w:hAnsi="Arial"/>
          <w:sz w:val="18"/>
          <w:szCs w:val="18"/>
          <w:color w:val="161616"/>
        </w:rPr>
        <w:t xml:space="preserve"> </w:t>
      </w:r>
      <w:r>
        <w:rPr>
          <w:rFonts w:ascii="Arial" w:cs="Arial" w:eastAsia="Arial" w:hAnsi="Arial"/>
          <w:sz w:val="18"/>
          <w:szCs w:val="18"/>
          <w:color w:val="0A0A0A"/>
        </w:rPr>
        <w:t>Executive</w:t>
      </w:r>
      <w:r>
        <w:rPr>
          <w:rFonts w:ascii="Arial" w:cs="Arial" w:eastAsia="Arial" w:hAnsi="Arial"/>
          <w:sz w:val="18"/>
          <w:szCs w:val="18"/>
          <w:color w:val="161616"/>
        </w:rPr>
        <w:t xml:space="preserve"> </w:t>
      </w:r>
      <w:r>
        <w:rPr>
          <w:rFonts w:ascii="Arial" w:cs="Arial" w:eastAsia="Arial" w:hAnsi="Arial"/>
          <w:sz w:val="18"/>
          <w:szCs w:val="18"/>
          <w:color w:val="000000"/>
        </w:rPr>
        <w:t>will</w:t>
      </w:r>
      <w:r>
        <w:rPr>
          <w:rFonts w:ascii="Arial" w:cs="Arial" w:eastAsia="Arial" w:hAnsi="Arial"/>
          <w:sz w:val="18"/>
          <w:szCs w:val="18"/>
          <w:color w:val="161616"/>
        </w:rPr>
        <w:t xml:space="preserve"> </w:t>
      </w:r>
      <w:r>
        <w:rPr>
          <w:rFonts w:ascii="Arial" w:cs="Arial" w:eastAsia="Arial" w:hAnsi="Arial"/>
          <w:sz w:val="18"/>
          <w:szCs w:val="18"/>
          <w:color w:val="1C1C1C"/>
        </w:rPr>
        <w:t>not</w:t>
      </w:r>
      <w:r>
        <w:rPr>
          <w:rFonts w:ascii="Arial" w:cs="Arial" w:eastAsia="Arial" w:hAnsi="Arial"/>
          <w:sz w:val="18"/>
          <w:szCs w:val="18"/>
          <w:color w:val="161616"/>
        </w:rPr>
        <w:t xml:space="preserve"> </w:t>
      </w:r>
      <w:r>
        <w:rPr>
          <w:rFonts w:ascii="Arial" w:cs="Arial" w:eastAsia="Arial" w:hAnsi="Arial"/>
          <w:sz w:val="18"/>
          <w:szCs w:val="18"/>
          <w:color w:val="131313"/>
        </w:rPr>
        <w:t xml:space="preserve">contact </w:t>
      </w:r>
      <w:r>
        <w:rPr>
          <w:rFonts w:ascii="Arial" w:cs="Arial" w:eastAsia="Arial" w:hAnsi="Arial"/>
          <w:sz w:val="18"/>
          <w:szCs w:val="18"/>
          <w:color w:val="181818"/>
        </w:rPr>
        <w:t>any</w:t>
      </w:r>
      <w:r>
        <w:rPr>
          <w:rFonts w:ascii="Arial" w:cs="Arial" w:eastAsia="Arial" w:hAnsi="Arial"/>
          <w:sz w:val="18"/>
          <w:szCs w:val="18"/>
          <w:color w:val="131313"/>
        </w:rPr>
        <w:t xml:space="preserve"> </w:t>
      </w:r>
      <w:r>
        <w:rPr>
          <w:rFonts w:ascii="Arial" w:cs="Arial" w:eastAsia="Arial" w:hAnsi="Arial"/>
          <w:sz w:val="18"/>
          <w:szCs w:val="18"/>
          <w:color w:val="0E0E0E"/>
        </w:rPr>
        <w:t>employee</w:t>
      </w:r>
      <w:r>
        <w:rPr>
          <w:rFonts w:ascii="Arial" w:cs="Arial" w:eastAsia="Arial" w:hAnsi="Arial"/>
          <w:sz w:val="18"/>
          <w:szCs w:val="18"/>
          <w:color w:val="131313"/>
        </w:rPr>
        <w:t xml:space="preserve"> of </w:t>
      </w:r>
      <w:r>
        <w:rPr>
          <w:rFonts w:ascii="Arial" w:cs="Arial" w:eastAsia="Arial" w:hAnsi="Arial"/>
          <w:sz w:val="18"/>
          <w:szCs w:val="18"/>
          <w:color w:val="1A1A1A"/>
        </w:rPr>
        <w:t>the</w:t>
      </w:r>
      <w:r>
        <w:rPr>
          <w:rFonts w:ascii="Arial" w:cs="Arial" w:eastAsia="Arial" w:hAnsi="Arial"/>
          <w:sz w:val="18"/>
          <w:szCs w:val="18"/>
          <w:color w:val="131313"/>
        </w:rPr>
        <w:t xml:space="preserve"> </w:t>
      </w:r>
      <w:r>
        <w:rPr>
          <w:rFonts w:ascii="Arial" w:cs="Arial" w:eastAsia="Arial" w:hAnsi="Arial"/>
          <w:sz w:val="18"/>
          <w:szCs w:val="18"/>
          <w:color w:val="0C0C0C"/>
        </w:rPr>
        <w:t>Company</w:t>
      </w:r>
      <w:r>
        <w:rPr>
          <w:rFonts w:ascii="Arial" w:cs="Arial" w:eastAsia="Arial" w:hAnsi="Arial"/>
          <w:sz w:val="18"/>
          <w:szCs w:val="18"/>
          <w:color w:val="131313"/>
        </w:rPr>
        <w:t xml:space="preserve"> </w:t>
      </w:r>
      <w:r>
        <w:rPr>
          <w:rFonts w:ascii="Arial" w:cs="Arial" w:eastAsia="Arial" w:hAnsi="Arial"/>
          <w:sz w:val="18"/>
          <w:szCs w:val="18"/>
          <w:color w:val="050505"/>
        </w:rPr>
        <w:t>regarding</w:t>
      </w:r>
      <w:r>
        <w:rPr>
          <w:rFonts w:ascii="Arial" w:cs="Arial" w:eastAsia="Arial" w:hAnsi="Arial"/>
          <w:sz w:val="18"/>
          <w:szCs w:val="18"/>
          <w:color w:val="131313"/>
        </w:rPr>
        <w:t xml:space="preserve"> </w:t>
      </w:r>
      <w:r>
        <w:rPr>
          <w:rFonts w:ascii="Arial" w:cs="Arial" w:eastAsia="Arial" w:hAnsi="Arial"/>
          <w:sz w:val="18"/>
          <w:szCs w:val="18"/>
          <w:color w:val="1A1A1A"/>
        </w:rPr>
        <w:t>the</w:t>
      </w:r>
      <w:r>
        <w:rPr>
          <w:rFonts w:ascii="Arial" w:cs="Arial" w:eastAsia="Arial" w:hAnsi="Arial"/>
          <w:sz w:val="18"/>
          <w:szCs w:val="18"/>
          <w:color w:val="131313"/>
        </w:rPr>
        <w:t xml:space="preserve"> </w:t>
      </w:r>
      <w:r>
        <w:rPr>
          <w:rFonts w:ascii="Arial" w:cs="Arial" w:eastAsia="Arial" w:hAnsi="Arial"/>
          <w:sz w:val="18"/>
          <w:szCs w:val="18"/>
          <w:color w:val="0C0C0C"/>
        </w:rPr>
        <w:t>Company’s</w:t>
      </w:r>
      <w:r>
        <w:rPr>
          <w:rFonts w:ascii="Arial" w:cs="Arial" w:eastAsia="Arial" w:hAnsi="Arial"/>
          <w:sz w:val="18"/>
          <w:szCs w:val="18"/>
          <w:color w:val="131313"/>
        </w:rPr>
        <w:t xml:space="preserve"> business </w:t>
      </w:r>
      <w:r>
        <w:rPr>
          <w:rFonts w:ascii="Arial" w:cs="Arial" w:eastAsia="Arial" w:hAnsi="Arial"/>
          <w:sz w:val="18"/>
          <w:szCs w:val="18"/>
          <w:color w:val="2A2A2A"/>
        </w:rPr>
        <w:t>or</w:t>
      </w:r>
      <w:r>
        <w:rPr>
          <w:rFonts w:ascii="Arial" w:cs="Arial" w:eastAsia="Arial" w:hAnsi="Arial"/>
          <w:sz w:val="18"/>
          <w:szCs w:val="18"/>
          <w:color w:val="131313"/>
        </w:rPr>
        <w:t xml:space="preserve"> </w:t>
      </w:r>
      <w:r>
        <w:rPr>
          <w:rFonts w:ascii="Arial" w:cs="Arial" w:eastAsia="Arial" w:hAnsi="Arial"/>
          <w:sz w:val="18"/>
          <w:szCs w:val="18"/>
          <w:color w:val="212121"/>
        </w:rPr>
        <w:t>any</w:t>
      </w:r>
      <w:r>
        <w:rPr>
          <w:rFonts w:ascii="Arial" w:cs="Arial" w:eastAsia="Arial" w:hAnsi="Arial"/>
          <w:sz w:val="18"/>
          <w:szCs w:val="18"/>
          <w:color w:val="131313"/>
        </w:rPr>
        <w:t xml:space="preserve"> </w:t>
      </w:r>
      <w:r>
        <w:rPr>
          <w:rFonts w:ascii="Arial" w:cs="Arial" w:eastAsia="Arial" w:hAnsi="Arial"/>
          <w:sz w:val="18"/>
          <w:szCs w:val="18"/>
          <w:color w:val="111111"/>
        </w:rPr>
        <w:t>aspect</w:t>
      </w:r>
      <w:r>
        <w:rPr>
          <w:rFonts w:ascii="Arial" w:cs="Arial" w:eastAsia="Arial" w:hAnsi="Arial"/>
          <w:sz w:val="18"/>
          <w:szCs w:val="18"/>
          <w:color w:val="131313"/>
        </w:rPr>
        <w:t xml:space="preserve"> </w:t>
      </w:r>
      <w:r>
        <w:rPr>
          <w:rFonts w:ascii="Arial" w:cs="Arial" w:eastAsia="Arial" w:hAnsi="Arial"/>
          <w:sz w:val="18"/>
          <w:szCs w:val="18"/>
          <w:color w:val="242424"/>
        </w:rPr>
        <w:t>of</w:t>
      </w:r>
      <w:r>
        <w:rPr>
          <w:rFonts w:ascii="Arial" w:cs="Arial" w:eastAsia="Arial" w:hAnsi="Arial"/>
          <w:sz w:val="18"/>
          <w:szCs w:val="18"/>
          <w:color w:val="131313"/>
        </w:rPr>
        <w:t xml:space="preserve"> </w:t>
      </w:r>
      <w:r>
        <w:rPr>
          <w:rFonts w:ascii="Arial" w:cs="Arial" w:eastAsia="Arial" w:hAnsi="Arial"/>
          <w:sz w:val="18"/>
          <w:szCs w:val="18"/>
          <w:color w:val="0A0A0A"/>
        </w:rPr>
        <w:t>Executive’s</w:t>
      </w:r>
      <w:r>
        <w:rPr>
          <w:rFonts w:ascii="Arial" w:cs="Arial" w:eastAsia="Arial" w:hAnsi="Arial"/>
          <w:sz w:val="18"/>
          <w:szCs w:val="18"/>
          <w:color w:val="131313"/>
        </w:rPr>
        <w:t xml:space="preserve"> </w:t>
      </w:r>
      <w:r>
        <w:rPr>
          <w:rFonts w:ascii="Arial" w:cs="Arial" w:eastAsia="Arial" w:hAnsi="Arial"/>
          <w:sz w:val="18"/>
          <w:szCs w:val="18"/>
          <w:color w:val="1A1A1A"/>
        </w:rPr>
        <w:t>or</w:t>
      </w:r>
      <w:r>
        <w:rPr>
          <w:rFonts w:ascii="Arial" w:cs="Arial" w:eastAsia="Arial" w:hAnsi="Arial"/>
          <w:sz w:val="18"/>
          <w:szCs w:val="18"/>
          <w:color w:val="131313"/>
        </w:rPr>
        <w:t xml:space="preserve"> </w:t>
      </w:r>
      <w:r>
        <w:rPr>
          <w:rFonts w:ascii="Arial" w:cs="Arial" w:eastAsia="Arial" w:hAnsi="Arial"/>
          <w:sz w:val="18"/>
          <w:szCs w:val="18"/>
          <w:color w:val="111111"/>
        </w:rPr>
        <w:t>such employee’s</w:t>
      </w:r>
      <w:r>
        <w:rPr>
          <w:rFonts w:ascii="Arial" w:cs="Arial" w:eastAsia="Arial" w:hAnsi="Arial"/>
          <w:sz w:val="18"/>
          <w:szCs w:val="18"/>
          <w:color w:val="131313"/>
        </w:rPr>
        <w:t xml:space="preserve"> </w:t>
      </w:r>
      <w:r>
        <w:rPr>
          <w:rFonts w:ascii="Arial" w:cs="Arial" w:eastAsia="Arial" w:hAnsi="Arial"/>
          <w:sz w:val="18"/>
          <w:szCs w:val="18"/>
          <w:color w:val="0C0C0C"/>
        </w:rPr>
        <w:t>employment</w:t>
      </w:r>
      <w:r>
        <w:rPr>
          <w:rFonts w:ascii="Arial" w:cs="Arial" w:eastAsia="Arial" w:hAnsi="Arial"/>
          <w:sz w:val="18"/>
          <w:szCs w:val="18"/>
          <w:color w:val="131313"/>
        </w:rPr>
        <w:t xml:space="preserve"> with the </w:t>
      </w:r>
      <w:r>
        <w:rPr>
          <w:rFonts w:ascii="Arial" w:cs="Arial" w:eastAsia="Arial" w:hAnsi="Arial"/>
          <w:sz w:val="18"/>
          <w:szCs w:val="18"/>
          <w:color w:val="161616"/>
        </w:rPr>
        <w:t>Company.</w:t>
      </w:r>
    </w:p>
    <w:p>
      <w:pPr>
        <w:spacing w:after="0" w:line="1" w:lineRule="exact"/>
        <w:rPr>
          <w:rFonts w:ascii="Arial" w:cs="Arial" w:eastAsia="Arial" w:hAnsi="Arial"/>
          <w:sz w:val="18"/>
          <w:szCs w:val="18"/>
          <w:color w:val="auto"/>
        </w:rPr>
      </w:pPr>
    </w:p>
    <w:p>
      <w:pPr>
        <w:ind w:left="1300" w:right="100" w:hanging="644"/>
        <w:spacing w:after="0" w:line="260"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050505"/>
        </w:rPr>
        <w:t xml:space="preserve">Executive </w:t>
      </w:r>
      <w:r>
        <w:rPr>
          <w:rFonts w:ascii="Arial" w:cs="Arial" w:eastAsia="Arial" w:hAnsi="Arial"/>
          <w:sz w:val="18"/>
          <w:szCs w:val="18"/>
          <w:color w:val="131313"/>
        </w:rPr>
        <w:t>will</w:t>
      </w:r>
      <w:r>
        <w:rPr>
          <w:rFonts w:ascii="Arial" w:cs="Arial" w:eastAsia="Arial" w:hAnsi="Arial"/>
          <w:sz w:val="18"/>
          <w:szCs w:val="18"/>
          <w:color w:val="050505"/>
        </w:rPr>
        <w:t xml:space="preserve"> </w:t>
      </w:r>
      <w:r>
        <w:rPr>
          <w:rFonts w:ascii="Arial" w:cs="Arial" w:eastAsia="Arial" w:hAnsi="Arial"/>
          <w:sz w:val="18"/>
          <w:szCs w:val="18"/>
          <w:color w:val="0F0F0F"/>
        </w:rPr>
        <w:t>cooperate</w:t>
      </w:r>
      <w:r>
        <w:rPr>
          <w:rFonts w:ascii="Arial" w:cs="Arial" w:eastAsia="Arial" w:hAnsi="Arial"/>
          <w:sz w:val="18"/>
          <w:szCs w:val="18"/>
          <w:color w:val="050505"/>
        </w:rPr>
        <w:t xml:space="preserve"> </w:t>
      </w:r>
      <w:r>
        <w:rPr>
          <w:rFonts w:ascii="Arial" w:cs="Arial" w:eastAsia="Arial" w:hAnsi="Arial"/>
          <w:sz w:val="18"/>
          <w:szCs w:val="18"/>
          <w:color w:val="131313"/>
        </w:rPr>
        <w:t>with</w:t>
      </w:r>
      <w:r>
        <w:rPr>
          <w:rFonts w:ascii="Arial" w:cs="Arial" w:eastAsia="Arial" w:hAnsi="Arial"/>
          <w:sz w:val="18"/>
          <w:szCs w:val="18"/>
          <w:color w:val="050505"/>
        </w:rPr>
        <w:t xml:space="preserve"> </w:t>
      </w:r>
      <w:r>
        <w:rPr>
          <w:rFonts w:ascii="Arial" w:cs="Arial" w:eastAsia="Arial" w:hAnsi="Arial"/>
          <w:sz w:val="18"/>
          <w:szCs w:val="18"/>
          <w:color w:val="1C1C1C"/>
        </w:rPr>
        <w:t>the</w:t>
      </w:r>
      <w:r>
        <w:rPr>
          <w:rFonts w:ascii="Arial" w:cs="Arial" w:eastAsia="Arial" w:hAnsi="Arial"/>
          <w:sz w:val="18"/>
          <w:szCs w:val="18"/>
          <w:color w:val="050505"/>
        </w:rPr>
        <w:t xml:space="preserve"> </w:t>
      </w:r>
      <w:r>
        <w:rPr>
          <w:rFonts w:ascii="Arial" w:cs="Arial" w:eastAsia="Arial" w:hAnsi="Arial"/>
          <w:sz w:val="18"/>
          <w:szCs w:val="18"/>
          <w:color w:val="181818"/>
        </w:rPr>
        <w:t>Company,</w:t>
      </w:r>
      <w:r>
        <w:rPr>
          <w:rFonts w:ascii="Arial" w:cs="Arial" w:eastAsia="Arial" w:hAnsi="Arial"/>
          <w:sz w:val="18"/>
          <w:szCs w:val="18"/>
          <w:color w:val="050505"/>
        </w:rPr>
        <w:t xml:space="preserve"> </w:t>
      </w:r>
      <w:r>
        <w:rPr>
          <w:rFonts w:ascii="Arial" w:cs="Arial" w:eastAsia="Arial" w:hAnsi="Arial"/>
          <w:sz w:val="18"/>
          <w:szCs w:val="18"/>
          <w:color w:val="000000"/>
        </w:rPr>
        <w:t>to</w:t>
      </w:r>
      <w:r>
        <w:rPr>
          <w:rFonts w:ascii="Arial" w:cs="Arial" w:eastAsia="Arial" w:hAnsi="Arial"/>
          <w:sz w:val="18"/>
          <w:szCs w:val="18"/>
          <w:color w:val="050505"/>
        </w:rPr>
        <w:t xml:space="preserve"> </w:t>
      </w:r>
      <w:r>
        <w:rPr>
          <w:rFonts w:ascii="Arial" w:cs="Arial" w:eastAsia="Arial" w:hAnsi="Arial"/>
          <w:sz w:val="18"/>
          <w:szCs w:val="18"/>
          <w:color w:val="161616"/>
        </w:rPr>
        <w:t>the</w:t>
      </w:r>
      <w:r>
        <w:rPr>
          <w:rFonts w:ascii="Arial" w:cs="Arial" w:eastAsia="Arial" w:hAnsi="Arial"/>
          <w:sz w:val="18"/>
          <w:szCs w:val="18"/>
          <w:color w:val="050505"/>
        </w:rPr>
        <w:t xml:space="preserve"> </w:t>
      </w:r>
      <w:r>
        <w:rPr>
          <w:rFonts w:ascii="Arial" w:cs="Arial" w:eastAsia="Arial" w:hAnsi="Arial"/>
          <w:sz w:val="18"/>
          <w:szCs w:val="18"/>
          <w:color w:val="0F0F0F"/>
        </w:rPr>
        <w:t>extent</w:t>
      </w:r>
      <w:r>
        <w:rPr>
          <w:rFonts w:ascii="Arial" w:cs="Arial" w:eastAsia="Arial" w:hAnsi="Arial"/>
          <w:sz w:val="18"/>
          <w:szCs w:val="18"/>
          <w:color w:val="050505"/>
        </w:rPr>
        <w:t xml:space="preserve"> </w:t>
      </w:r>
      <w:r>
        <w:rPr>
          <w:rFonts w:ascii="Arial" w:cs="Arial" w:eastAsia="Arial" w:hAnsi="Arial"/>
          <w:sz w:val="18"/>
          <w:szCs w:val="18"/>
          <w:color w:val="131313"/>
        </w:rPr>
        <w:t>and</w:t>
      </w:r>
      <w:r>
        <w:rPr>
          <w:rFonts w:ascii="Arial" w:cs="Arial" w:eastAsia="Arial" w:hAnsi="Arial"/>
          <w:sz w:val="18"/>
          <w:szCs w:val="18"/>
          <w:color w:val="050505"/>
        </w:rPr>
        <w:t xml:space="preserve"> </w:t>
      </w:r>
      <w:r>
        <w:rPr>
          <w:rFonts w:ascii="Arial" w:cs="Arial" w:eastAsia="Arial" w:hAnsi="Arial"/>
          <w:sz w:val="18"/>
          <w:szCs w:val="18"/>
          <w:color w:val="161616"/>
        </w:rPr>
        <w:t>as</w:t>
      </w:r>
      <w:r>
        <w:rPr>
          <w:rFonts w:ascii="Arial" w:cs="Arial" w:eastAsia="Arial" w:hAnsi="Arial"/>
          <w:sz w:val="18"/>
          <w:szCs w:val="18"/>
          <w:color w:val="050505"/>
        </w:rPr>
        <w:t xml:space="preserve"> </w:t>
      </w:r>
      <w:r>
        <w:rPr>
          <w:rFonts w:ascii="Arial" w:cs="Arial" w:eastAsia="Arial" w:hAnsi="Arial"/>
          <w:sz w:val="18"/>
          <w:szCs w:val="18"/>
          <w:color w:val="111111"/>
        </w:rPr>
        <w:t>requested</w:t>
      </w:r>
      <w:r>
        <w:rPr>
          <w:rFonts w:ascii="Arial" w:cs="Arial" w:eastAsia="Arial" w:hAnsi="Arial"/>
          <w:sz w:val="18"/>
          <w:szCs w:val="18"/>
          <w:color w:val="050505"/>
        </w:rPr>
        <w:t xml:space="preserve"> </w:t>
      </w:r>
      <w:r>
        <w:rPr>
          <w:rFonts w:ascii="Arial" w:cs="Arial" w:eastAsia="Arial" w:hAnsi="Arial"/>
          <w:sz w:val="18"/>
          <w:szCs w:val="18"/>
          <w:color w:val="0C0C0C"/>
        </w:rPr>
        <w:t>by</w:t>
      </w:r>
      <w:r>
        <w:rPr>
          <w:rFonts w:ascii="Arial" w:cs="Arial" w:eastAsia="Arial" w:hAnsi="Arial"/>
          <w:sz w:val="18"/>
          <w:szCs w:val="18"/>
          <w:color w:val="050505"/>
        </w:rPr>
        <w:t xml:space="preserve"> </w:t>
      </w:r>
      <w:r>
        <w:rPr>
          <w:rFonts w:ascii="Arial" w:cs="Arial" w:eastAsia="Arial" w:hAnsi="Arial"/>
          <w:sz w:val="18"/>
          <w:szCs w:val="18"/>
          <w:color w:val="0F0F0F"/>
        </w:rPr>
        <w:t>the</w:t>
      </w:r>
      <w:r>
        <w:rPr>
          <w:rFonts w:ascii="Arial" w:cs="Arial" w:eastAsia="Arial" w:hAnsi="Arial"/>
          <w:sz w:val="18"/>
          <w:szCs w:val="18"/>
          <w:color w:val="050505"/>
        </w:rPr>
        <w:t xml:space="preserve"> </w:t>
      </w:r>
      <w:r>
        <w:rPr>
          <w:rFonts w:ascii="Arial" w:cs="Arial" w:eastAsia="Arial" w:hAnsi="Arial"/>
          <w:sz w:val="18"/>
          <w:szCs w:val="18"/>
          <w:color w:val="000000"/>
        </w:rPr>
        <w:t>Company’s Chief Executive Officer or</w:t>
      </w:r>
      <w:r>
        <w:rPr>
          <w:rFonts w:ascii="Arial" w:cs="Arial" w:eastAsia="Arial" w:hAnsi="Arial"/>
          <w:sz w:val="18"/>
          <w:szCs w:val="18"/>
          <w:color w:val="050505"/>
        </w:rPr>
        <w:t xml:space="preserve"> </w:t>
      </w:r>
      <w:r>
        <w:rPr>
          <w:rFonts w:ascii="Arial" w:cs="Arial" w:eastAsia="Arial" w:hAnsi="Arial"/>
          <w:sz w:val="18"/>
          <w:szCs w:val="18"/>
          <w:color w:val="181818"/>
        </w:rPr>
        <w:t>Chief</w:t>
      </w:r>
      <w:r>
        <w:rPr>
          <w:rFonts w:ascii="Arial" w:cs="Arial" w:eastAsia="Arial" w:hAnsi="Arial"/>
          <w:sz w:val="18"/>
          <w:szCs w:val="18"/>
          <w:color w:val="050505"/>
        </w:rPr>
        <w:t xml:space="preserve"> </w:t>
      </w:r>
      <w:r>
        <w:rPr>
          <w:rFonts w:ascii="Arial" w:cs="Arial" w:eastAsia="Arial" w:hAnsi="Arial"/>
          <w:sz w:val="18"/>
          <w:szCs w:val="18"/>
          <w:color w:val="1C1C1C"/>
        </w:rPr>
        <w:t>Financial</w:t>
      </w:r>
      <w:r>
        <w:rPr>
          <w:rFonts w:ascii="Arial" w:cs="Arial" w:eastAsia="Arial" w:hAnsi="Arial"/>
          <w:sz w:val="18"/>
          <w:szCs w:val="18"/>
          <w:color w:val="050505"/>
        </w:rPr>
        <w:t xml:space="preserve"> </w:t>
      </w:r>
      <w:r>
        <w:rPr>
          <w:rFonts w:ascii="Arial" w:cs="Arial" w:eastAsia="Arial" w:hAnsi="Arial"/>
          <w:sz w:val="18"/>
          <w:szCs w:val="18"/>
          <w:color w:val="1F1F1F"/>
        </w:rPr>
        <w:t xml:space="preserve">Officer, </w:t>
      </w:r>
      <w:r>
        <w:rPr>
          <w:rFonts w:ascii="Arial" w:cs="Arial" w:eastAsia="Arial" w:hAnsi="Arial"/>
          <w:sz w:val="18"/>
          <w:szCs w:val="18"/>
          <w:color w:val="282828"/>
        </w:rPr>
        <w:t>in</w:t>
      </w:r>
      <w:r>
        <w:rPr>
          <w:rFonts w:ascii="Arial" w:cs="Arial" w:eastAsia="Arial" w:hAnsi="Arial"/>
          <w:sz w:val="18"/>
          <w:szCs w:val="18"/>
          <w:color w:val="1F1F1F"/>
        </w:rPr>
        <w:t xml:space="preserve"> </w:t>
      </w:r>
      <w:r>
        <w:rPr>
          <w:rFonts w:ascii="Arial" w:cs="Arial" w:eastAsia="Arial" w:hAnsi="Arial"/>
          <w:sz w:val="18"/>
          <w:szCs w:val="18"/>
          <w:color w:val="0E0E0E"/>
        </w:rPr>
        <w:t>transitioning</w:t>
      </w:r>
      <w:r>
        <w:rPr>
          <w:rFonts w:ascii="Arial" w:cs="Arial" w:eastAsia="Arial" w:hAnsi="Arial"/>
          <w:sz w:val="18"/>
          <w:szCs w:val="18"/>
          <w:color w:val="1F1F1F"/>
        </w:rPr>
        <w:t xml:space="preserve"> </w:t>
      </w:r>
      <w:r>
        <w:rPr>
          <w:rFonts w:ascii="Arial" w:cs="Arial" w:eastAsia="Arial" w:hAnsi="Arial"/>
          <w:sz w:val="18"/>
          <w:szCs w:val="18"/>
          <w:color w:val="000000"/>
        </w:rPr>
        <w:t>the</w:t>
      </w:r>
      <w:r>
        <w:rPr>
          <w:rFonts w:ascii="Arial" w:cs="Arial" w:eastAsia="Arial" w:hAnsi="Arial"/>
          <w:sz w:val="18"/>
          <w:szCs w:val="18"/>
          <w:color w:val="1F1F1F"/>
        </w:rPr>
        <w:t xml:space="preserve"> </w:t>
      </w:r>
      <w:r>
        <w:rPr>
          <w:rFonts w:ascii="Arial" w:cs="Arial" w:eastAsia="Arial" w:hAnsi="Arial"/>
          <w:sz w:val="18"/>
          <w:szCs w:val="18"/>
          <w:color w:val="0C0C0C"/>
        </w:rPr>
        <w:t>management</w:t>
      </w:r>
      <w:r>
        <w:rPr>
          <w:rFonts w:ascii="Arial" w:cs="Arial" w:eastAsia="Arial" w:hAnsi="Arial"/>
          <w:sz w:val="18"/>
          <w:szCs w:val="18"/>
          <w:color w:val="1F1F1F"/>
        </w:rPr>
        <w:t xml:space="preserve"> </w:t>
      </w:r>
      <w:r>
        <w:rPr>
          <w:rFonts w:ascii="Arial" w:cs="Arial" w:eastAsia="Arial" w:hAnsi="Arial"/>
          <w:sz w:val="18"/>
          <w:szCs w:val="18"/>
          <w:color w:val="080808"/>
        </w:rPr>
        <w:t>of</w:t>
      </w:r>
      <w:r>
        <w:rPr>
          <w:rFonts w:ascii="Arial" w:cs="Arial" w:eastAsia="Arial" w:hAnsi="Arial"/>
          <w:sz w:val="18"/>
          <w:szCs w:val="18"/>
          <w:color w:val="1F1F1F"/>
        </w:rPr>
        <w:t xml:space="preserve"> </w:t>
      </w:r>
      <w:r>
        <w:rPr>
          <w:rFonts w:ascii="Arial" w:cs="Arial" w:eastAsia="Arial" w:hAnsi="Arial"/>
          <w:sz w:val="18"/>
          <w:szCs w:val="18"/>
          <w:color w:val="111111"/>
        </w:rPr>
        <w:t>the</w:t>
      </w:r>
      <w:r>
        <w:rPr>
          <w:rFonts w:ascii="Arial" w:cs="Arial" w:eastAsia="Arial" w:hAnsi="Arial"/>
          <w:sz w:val="18"/>
          <w:szCs w:val="18"/>
          <w:color w:val="1F1F1F"/>
        </w:rPr>
        <w:t xml:space="preserve"> </w:t>
      </w:r>
      <w:r>
        <w:rPr>
          <w:rFonts w:ascii="Arial" w:cs="Arial" w:eastAsia="Arial" w:hAnsi="Arial"/>
          <w:sz w:val="18"/>
          <w:szCs w:val="18"/>
          <w:color w:val="0C0C0C"/>
        </w:rPr>
        <w:t>Company’s Finance and</w:t>
      </w:r>
      <w:r>
        <w:rPr>
          <w:rFonts w:ascii="Arial" w:cs="Arial" w:eastAsia="Arial" w:hAnsi="Arial"/>
          <w:sz w:val="18"/>
          <w:szCs w:val="18"/>
          <w:color w:val="1F1F1F"/>
        </w:rPr>
        <w:t xml:space="preserve"> </w:t>
      </w:r>
      <w:r>
        <w:rPr>
          <w:rFonts w:ascii="Arial" w:cs="Arial" w:eastAsia="Arial" w:hAnsi="Arial"/>
          <w:sz w:val="18"/>
          <w:szCs w:val="18"/>
          <w:color w:val="161616"/>
        </w:rPr>
        <w:t>Accounting</w:t>
      </w:r>
      <w:r>
        <w:rPr>
          <w:rFonts w:ascii="Arial" w:cs="Arial" w:eastAsia="Arial" w:hAnsi="Arial"/>
          <w:sz w:val="18"/>
          <w:szCs w:val="18"/>
          <w:color w:val="1F1F1F"/>
        </w:rPr>
        <w:t xml:space="preserve"> </w:t>
      </w:r>
      <w:r>
        <w:rPr>
          <w:rFonts w:ascii="Arial" w:cs="Arial" w:eastAsia="Arial" w:hAnsi="Arial"/>
          <w:sz w:val="18"/>
          <w:szCs w:val="18"/>
          <w:color w:val="181818"/>
        </w:rPr>
        <w:t>functions.</w:t>
      </w:r>
    </w:p>
    <w:p>
      <w:pPr>
        <w:spacing w:after="0" w:line="185" w:lineRule="exact"/>
        <w:rPr>
          <w:rFonts w:ascii="Arial" w:cs="Arial" w:eastAsia="Arial" w:hAnsi="Arial"/>
          <w:sz w:val="18"/>
          <w:szCs w:val="18"/>
          <w:color w:val="auto"/>
        </w:rPr>
      </w:pPr>
    </w:p>
    <w:p>
      <w:pPr>
        <w:ind w:left="720" w:right="280" w:hanging="712"/>
        <w:spacing w:after="0" w:line="263"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Applicable </w:t>
      </w:r>
      <w:r>
        <w:rPr>
          <w:rFonts w:ascii="Arial" w:cs="Arial" w:eastAsia="Arial" w:hAnsi="Arial"/>
          <w:sz w:val="18"/>
          <w:szCs w:val="18"/>
          <w:b w:val="1"/>
          <w:bCs w:val="1"/>
          <w:i w:val="1"/>
          <w:iCs w:val="1"/>
          <w:color w:val="181818"/>
        </w:rPr>
        <w:t>Law</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i w:val="1"/>
          <w:iCs w:val="1"/>
          <w:color w:val="161616"/>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i w:val="1"/>
          <w:iCs w:val="1"/>
          <w:color w:val="131313"/>
        </w:rPr>
        <w:t>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464B64"/>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61616"/>
        </w:rPr>
        <w:t>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61616"/>
        </w:rPr>
        <w:t>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0E0E0E"/>
        </w:rPr>
        <w:t>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INTERPRETED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81818"/>
        </w:rPr>
        <w:t>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0F0F0F"/>
        </w:rPr>
        <w:t>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0C0C0C"/>
        </w:rPr>
        <w:t>RESPECTS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0E0E0E"/>
        </w:rPr>
        <w:t>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A1A1A"/>
        </w:rPr>
        <w:t>INTERNAL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81818"/>
        </w:rPr>
        <w:t>LAWS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12121"/>
        </w:rPr>
        <w:t>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11111"/>
        </w:rPr>
        <w:t>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61616"/>
        </w:rPr>
        <w:t xml:space="preserve">STATE </w:t>
      </w:r>
      <w:r>
        <w:rPr>
          <w:rFonts w:ascii="Arial" w:cs="Arial" w:eastAsia="Arial" w:hAnsi="Arial"/>
          <w:sz w:val="18"/>
          <w:szCs w:val="18"/>
          <w:color w:val="212121"/>
        </w:rPr>
        <w:t>OF</w:t>
      </w:r>
      <w:r>
        <w:rPr>
          <w:rFonts w:ascii="Arial" w:cs="Arial" w:eastAsia="Arial" w:hAnsi="Arial"/>
          <w:sz w:val="18"/>
          <w:szCs w:val="18"/>
          <w:color w:val="161616"/>
        </w:rPr>
        <w:t xml:space="preserve"> </w:t>
      </w:r>
      <w:r>
        <w:rPr>
          <w:rFonts w:ascii="Arial" w:cs="Arial" w:eastAsia="Arial" w:hAnsi="Arial"/>
          <w:sz w:val="18"/>
          <w:szCs w:val="18"/>
          <w:color w:val="0A0A0A"/>
        </w:rPr>
        <w:t>TEXAS,</w:t>
      </w:r>
      <w:r>
        <w:rPr>
          <w:rFonts w:ascii="Arial" w:cs="Arial" w:eastAsia="Arial" w:hAnsi="Arial"/>
          <w:sz w:val="18"/>
          <w:szCs w:val="18"/>
          <w:color w:val="161616"/>
        </w:rPr>
        <w:t xml:space="preserve"> </w:t>
      </w:r>
      <w:r>
        <w:rPr>
          <w:rFonts w:ascii="Arial" w:cs="Arial" w:eastAsia="Arial" w:hAnsi="Arial"/>
          <w:sz w:val="18"/>
          <w:szCs w:val="18"/>
          <w:color w:val="111111"/>
        </w:rPr>
        <w:t>AND</w:t>
      </w:r>
      <w:r>
        <w:rPr>
          <w:rFonts w:ascii="Arial" w:cs="Arial" w:eastAsia="Arial" w:hAnsi="Arial"/>
          <w:sz w:val="18"/>
          <w:szCs w:val="18"/>
          <w:color w:val="161616"/>
        </w:rPr>
        <w:t xml:space="preserve"> </w:t>
      </w:r>
      <w:r>
        <w:rPr>
          <w:rFonts w:ascii="Arial" w:cs="Arial" w:eastAsia="Arial" w:hAnsi="Arial"/>
          <w:sz w:val="18"/>
          <w:szCs w:val="18"/>
          <w:color w:val="0A0A0A"/>
        </w:rPr>
        <w:t>THE</w:t>
      </w:r>
      <w:r>
        <w:rPr>
          <w:rFonts w:ascii="Arial" w:cs="Arial" w:eastAsia="Arial" w:hAnsi="Arial"/>
          <w:sz w:val="18"/>
          <w:szCs w:val="18"/>
          <w:color w:val="161616"/>
        </w:rPr>
        <w:t xml:space="preserve"> </w:t>
      </w:r>
      <w:r>
        <w:rPr>
          <w:rFonts w:ascii="Arial" w:cs="Arial" w:eastAsia="Arial" w:hAnsi="Arial"/>
          <w:sz w:val="18"/>
          <w:szCs w:val="18"/>
          <w:color w:val="080808"/>
        </w:rPr>
        <w:t>VENUE</w:t>
      </w:r>
      <w:r>
        <w:rPr>
          <w:rFonts w:ascii="Arial" w:cs="Arial" w:eastAsia="Arial" w:hAnsi="Arial"/>
          <w:sz w:val="18"/>
          <w:szCs w:val="18"/>
          <w:color w:val="161616"/>
        </w:rPr>
        <w:t xml:space="preserve"> </w:t>
      </w:r>
      <w:r>
        <w:rPr>
          <w:rFonts w:ascii="Arial" w:cs="Arial" w:eastAsia="Arial" w:hAnsi="Arial"/>
          <w:sz w:val="18"/>
          <w:szCs w:val="18"/>
          <w:color w:val="000000"/>
        </w:rPr>
        <w:t>FOR THE</w:t>
      </w:r>
      <w:r>
        <w:rPr>
          <w:rFonts w:ascii="Arial" w:cs="Arial" w:eastAsia="Arial" w:hAnsi="Arial"/>
          <w:sz w:val="18"/>
          <w:szCs w:val="18"/>
          <w:color w:val="161616"/>
        </w:rPr>
        <w:t xml:space="preserve"> </w:t>
      </w:r>
      <w:r>
        <w:rPr>
          <w:rFonts w:ascii="Arial" w:cs="Arial" w:eastAsia="Arial" w:hAnsi="Arial"/>
          <w:sz w:val="18"/>
          <w:szCs w:val="18"/>
          <w:color w:val="0E0E0E"/>
        </w:rPr>
        <w:t>RESOLUTION</w:t>
      </w:r>
      <w:r>
        <w:rPr>
          <w:rFonts w:ascii="Arial" w:cs="Arial" w:eastAsia="Arial" w:hAnsi="Arial"/>
          <w:sz w:val="18"/>
          <w:szCs w:val="18"/>
          <w:color w:val="161616"/>
        </w:rPr>
        <w:t xml:space="preserve"> OF </w:t>
      </w:r>
      <w:r>
        <w:rPr>
          <w:rFonts w:ascii="Arial" w:cs="Arial" w:eastAsia="Arial" w:hAnsi="Arial"/>
          <w:sz w:val="18"/>
          <w:szCs w:val="18"/>
          <w:color w:val="0F0F0F"/>
        </w:rPr>
        <w:t>ANY</w:t>
      </w:r>
      <w:r>
        <w:rPr>
          <w:rFonts w:ascii="Arial" w:cs="Arial" w:eastAsia="Arial" w:hAnsi="Arial"/>
          <w:sz w:val="18"/>
          <w:szCs w:val="18"/>
          <w:color w:val="161616"/>
        </w:rPr>
        <w:t xml:space="preserve"> </w:t>
      </w:r>
      <w:r>
        <w:rPr>
          <w:rFonts w:ascii="Arial" w:cs="Arial" w:eastAsia="Arial" w:hAnsi="Arial"/>
          <w:sz w:val="18"/>
          <w:szCs w:val="18"/>
          <w:color w:val="181818"/>
        </w:rPr>
        <w:t>DISPUTES</w:t>
      </w:r>
      <w:r>
        <w:rPr>
          <w:rFonts w:ascii="Arial" w:cs="Arial" w:eastAsia="Arial" w:hAnsi="Arial"/>
          <w:sz w:val="18"/>
          <w:szCs w:val="18"/>
          <w:color w:val="161616"/>
        </w:rPr>
        <w:t xml:space="preserve"> </w:t>
      </w:r>
      <w:r>
        <w:rPr>
          <w:rFonts w:ascii="Arial" w:cs="Arial" w:eastAsia="Arial" w:hAnsi="Arial"/>
          <w:sz w:val="18"/>
          <w:szCs w:val="18"/>
          <w:color w:val="080808"/>
        </w:rPr>
        <w:t>(LOCATION</w:t>
      </w:r>
      <w:r>
        <w:rPr>
          <w:rFonts w:ascii="Arial" w:cs="Arial" w:eastAsia="Arial" w:hAnsi="Arial"/>
          <w:sz w:val="18"/>
          <w:szCs w:val="18"/>
          <w:color w:val="161616"/>
        </w:rPr>
        <w:t xml:space="preserve"> </w:t>
      </w:r>
      <w:r>
        <w:rPr>
          <w:rFonts w:ascii="Arial" w:cs="Arial" w:eastAsia="Arial" w:hAnsi="Arial"/>
          <w:sz w:val="18"/>
          <w:szCs w:val="18"/>
          <w:color w:val="1A1A1A"/>
        </w:rPr>
        <w:t>OF</w:t>
      </w:r>
      <w:r>
        <w:rPr>
          <w:rFonts w:ascii="Arial" w:cs="Arial" w:eastAsia="Arial" w:hAnsi="Arial"/>
          <w:sz w:val="18"/>
          <w:szCs w:val="18"/>
          <w:color w:val="161616"/>
        </w:rPr>
        <w:t xml:space="preserve"> </w:t>
      </w:r>
      <w:r>
        <w:rPr>
          <w:rFonts w:ascii="Arial" w:cs="Arial" w:eastAsia="Arial" w:hAnsi="Arial"/>
          <w:sz w:val="18"/>
          <w:szCs w:val="18"/>
          <w:color w:val="0A0A0A"/>
        </w:rPr>
        <w:t>ANY</w:t>
      </w:r>
      <w:r>
        <w:rPr>
          <w:rFonts w:ascii="Arial" w:cs="Arial" w:eastAsia="Arial" w:hAnsi="Arial"/>
          <w:sz w:val="18"/>
          <w:szCs w:val="18"/>
          <w:color w:val="161616"/>
        </w:rPr>
        <w:t xml:space="preserve"> </w:t>
      </w:r>
      <w:r>
        <w:rPr>
          <w:rFonts w:ascii="Arial" w:cs="Arial" w:eastAsia="Arial" w:hAnsi="Arial"/>
          <w:sz w:val="18"/>
          <w:szCs w:val="18"/>
          <w:color w:val="151515"/>
        </w:rPr>
        <w:t>LAWSUIT)</w:t>
      </w:r>
      <w:r>
        <w:rPr>
          <w:rFonts w:ascii="Arial" w:cs="Arial" w:eastAsia="Arial" w:hAnsi="Arial"/>
          <w:sz w:val="18"/>
          <w:szCs w:val="18"/>
          <w:color w:val="161616"/>
        </w:rPr>
        <w:t xml:space="preserve"> </w:t>
      </w:r>
      <w:r>
        <w:rPr>
          <w:rFonts w:ascii="Arial" w:cs="Arial" w:eastAsia="Arial" w:hAnsi="Arial"/>
          <w:sz w:val="18"/>
          <w:szCs w:val="18"/>
          <w:color w:val="111111"/>
        </w:rPr>
        <w:t>SHALL</w:t>
      </w:r>
      <w:r>
        <w:rPr>
          <w:rFonts w:ascii="Arial" w:cs="Arial" w:eastAsia="Arial" w:hAnsi="Arial"/>
          <w:sz w:val="18"/>
          <w:szCs w:val="18"/>
          <w:color w:val="161616"/>
        </w:rPr>
        <w:t xml:space="preserve"> </w:t>
      </w:r>
      <w:r>
        <w:rPr>
          <w:rFonts w:ascii="Arial" w:cs="Arial" w:eastAsia="Arial" w:hAnsi="Arial"/>
          <w:sz w:val="18"/>
          <w:szCs w:val="18"/>
          <w:color w:val="181818"/>
        </w:rPr>
        <w:t>BE</w:t>
      </w:r>
      <w:r>
        <w:rPr>
          <w:rFonts w:ascii="Arial" w:cs="Arial" w:eastAsia="Arial" w:hAnsi="Arial"/>
          <w:sz w:val="18"/>
          <w:szCs w:val="18"/>
          <w:color w:val="161616"/>
        </w:rPr>
        <w:t xml:space="preserve"> SOLELY </w:t>
      </w:r>
      <w:r>
        <w:rPr>
          <w:rFonts w:ascii="Arial" w:cs="Arial" w:eastAsia="Arial" w:hAnsi="Arial"/>
          <w:sz w:val="18"/>
          <w:szCs w:val="18"/>
          <w:color w:val="1F1F1F"/>
        </w:rPr>
        <w:t>IN</w:t>
      </w:r>
      <w:r>
        <w:rPr>
          <w:rFonts w:ascii="Arial" w:cs="Arial" w:eastAsia="Arial" w:hAnsi="Arial"/>
          <w:sz w:val="18"/>
          <w:szCs w:val="18"/>
          <w:color w:val="161616"/>
        </w:rPr>
        <w:t xml:space="preserve"> </w:t>
      </w:r>
      <w:r>
        <w:rPr>
          <w:rFonts w:ascii="Arial" w:cs="Arial" w:eastAsia="Arial" w:hAnsi="Arial"/>
          <w:sz w:val="18"/>
          <w:szCs w:val="18"/>
          <w:color w:val="131313"/>
        </w:rPr>
        <w:t>THE</w:t>
      </w:r>
      <w:r>
        <w:rPr>
          <w:rFonts w:ascii="Arial" w:cs="Arial" w:eastAsia="Arial" w:hAnsi="Arial"/>
          <w:sz w:val="18"/>
          <w:szCs w:val="18"/>
          <w:color w:val="161616"/>
        </w:rPr>
        <w:t xml:space="preserve"> </w:t>
      </w:r>
      <w:r>
        <w:rPr>
          <w:rFonts w:ascii="Arial" w:cs="Arial" w:eastAsia="Arial" w:hAnsi="Arial"/>
          <w:sz w:val="18"/>
          <w:szCs w:val="18"/>
          <w:color w:val="0E0E0E"/>
        </w:rPr>
        <w:t>STATE</w:t>
      </w:r>
      <w:r>
        <w:rPr>
          <w:rFonts w:ascii="Arial" w:cs="Arial" w:eastAsia="Arial" w:hAnsi="Arial"/>
          <w:sz w:val="18"/>
          <w:szCs w:val="18"/>
          <w:color w:val="161616"/>
        </w:rPr>
        <w:t xml:space="preserve"> </w:t>
      </w:r>
      <w:r>
        <w:rPr>
          <w:rFonts w:ascii="Arial" w:cs="Arial" w:eastAsia="Arial" w:hAnsi="Arial"/>
          <w:sz w:val="18"/>
          <w:szCs w:val="18"/>
          <w:color w:val="1F1F1F"/>
        </w:rPr>
        <w:t>AND</w:t>
      </w:r>
      <w:r>
        <w:rPr>
          <w:rFonts w:ascii="Arial" w:cs="Arial" w:eastAsia="Arial" w:hAnsi="Arial"/>
          <w:sz w:val="18"/>
          <w:szCs w:val="18"/>
          <w:color w:val="161616"/>
        </w:rPr>
        <w:t xml:space="preserve"> </w:t>
      </w:r>
      <w:r>
        <w:rPr>
          <w:rFonts w:ascii="Arial" w:cs="Arial" w:eastAsia="Arial" w:hAnsi="Arial"/>
          <w:sz w:val="18"/>
          <w:szCs w:val="18"/>
          <w:color w:val="1C1C1C"/>
        </w:rPr>
        <w:t>FEDERAL</w:t>
      </w:r>
      <w:r>
        <w:rPr>
          <w:rFonts w:ascii="Arial" w:cs="Arial" w:eastAsia="Arial" w:hAnsi="Arial"/>
          <w:sz w:val="18"/>
          <w:szCs w:val="18"/>
          <w:color w:val="161616"/>
        </w:rPr>
        <w:t xml:space="preserve"> </w:t>
      </w:r>
      <w:r>
        <w:rPr>
          <w:rFonts w:ascii="Arial" w:cs="Arial" w:eastAsia="Arial" w:hAnsi="Arial"/>
          <w:sz w:val="18"/>
          <w:szCs w:val="18"/>
          <w:color w:val="181818"/>
        </w:rPr>
        <w:t>COURTS</w:t>
      </w:r>
      <w:r>
        <w:rPr>
          <w:rFonts w:ascii="Arial" w:cs="Arial" w:eastAsia="Arial" w:hAnsi="Arial"/>
          <w:sz w:val="18"/>
          <w:szCs w:val="18"/>
          <w:color w:val="161616"/>
        </w:rPr>
        <w:t xml:space="preserve"> </w:t>
      </w:r>
      <w:r>
        <w:rPr>
          <w:rFonts w:ascii="Arial" w:cs="Arial" w:eastAsia="Arial" w:hAnsi="Arial"/>
          <w:sz w:val="18"/>
          <w:szCs w:val="18"/>
          <w:color w:val="1A1A1A"/>
        </w:rPr>
        <w:t>OF</w:t>
      </w:r>
      <w:r>
        <w:rPr>
          <w:rFonts w:ascii="Arial" w:cs="Arial" w:eastAsia="Arial" w:hAnsi="Arial"/>
          <w:sz w:val="18"/>
          <w:szCs w:val="18"/>
          <w:color w:val="161616"/>
        </w:rPr>
        <w:t xml:space="preserve"> </w:t>
      </w:r>
      <w:r>
        <w:rPr>
          <w:rFonts w:ascii="Arial" w:cs="Arial" w:eastAsia="Arial" w:hAnsi="Arial"/>
          <w:sz w:val="18"/>
          <w:szCs w:val="18"/>
          <w:color w:val="0E0E0E"/>
        </w:rPr>
        <w:t>TRAVIS</w:t>
      </w:r>
      <w:r>
        <w:rPr>
          <w:rFonts w:ascii="Arial" w:cs="Arial" w:eastAsia="Arial" w:hAnsi="Arial"/>
          <w:sz w:val="18"/>
          <w:szCs w:val="18"/>
          <w:color w:val="161616"/>
        </w:rPr>
        <w:t xml:space="preserve"> </w:t>
      </w:r>
      <w:r>
        <w:rPr>
          <w:rFonts w:ascii="Arial" w:cs="Arial" w:eastAsia="Arial" w:hAnsi="Arial"/>
          <w:sz w:val="18"/>
          <w:szCs w:val="18"/>
          <w:color w:val="000000"/>
        </w:rPr>
        <w:t>COUNTY,</w:t>
      </w:r>
      <w:r>
        <w:rPr>
          <w:rFonts w:ascii="Arial" w:cs="Arial" w:eastAsia="Arial" w:hAnsi="Arial"/>
          <w:sz w:val="18"/>
          <w:szCs w:val="18"/>
          <w:color w:val="161616"/>
        </w:rPr>
        <w:t xml:space="preserve"> </w:t>
      </w:r>
      <w:r>
        <w:rPr>
          <w:rFonts w:ascii="Arial" w:cs="Arial" w:eastAsia="Arial" w:hAnsi="Arial"/>
          <w:sz w:val="18"/>
          <w:szCs w:val="18"/>
          <w:color w:val="0A0A0A"/>
        </w:rPr>
        <w:t>TEXAS.</w:t>
      </w:r>
    </w:p>
    <w:p>
      <w:pPr>
        <w:spacing w:after="0" w:line="183" w:lineRule="exact"/>
        <w:rPr>
          <w:rFonts w:ascii="Arial" w:cs="Arial" w:eastAsia="Arial" w:hAnsi="Arial"/>
          <w:sz w:val="18"/>
          <w:szCs w:val="18"/>
          <w:color w:val="auto"/>
        </w:rPr>
      </w:pPr>
    </w:p>
    <w:p>
      <w:pPr>
        <w:ind w:left="660" w:right="20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Severability </w:t>
      </w:r>
      <w:r>
        <w:rPr>
          <w:rFonts w:ascii="Arial" w:cs="Arial" w:eastAsia="Arial" w:hAnsi="Arial"/>
          <w:sz w:val="18"/>
          <w:szCs w:val="18"/>
          <w:color w:val="242424"/>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31313"/>
        </w:rPr>
        <w:t>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A1A1A"/>
        </w:rPr>
        <w:t>fact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11111"/>
        </w:rPr>
        <w:t>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81818"/>
        </w:rPr>
        <w:t>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F1F1F"/>
        </w:rPr>
        <w: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C1C1C"/>
        </w:rPr>
        <w:t>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61616"/>
        </w:rPr>
        <w:t>Paragraphs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A1A1A"/>
        </w:rPr>
        <w: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0E0E0E"/>
        </w:rPr>
        <w:t>portion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080808"/>
        </w:rPr>
        <w:t>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0F0F0F"/>
        </w:rPr>
        <w:t>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81818"/>
        </w:rPr>
        <w:t>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A1A1A"/>
        </w:rPr>
        <w:t>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31313"/>
        </w:rPr>
        <w:t>deemed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11111"/>
        </w:rPr>
        <w:t>invalid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81818"/>
        </w:rPr>
        <w:t>or unenforceable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11111"/>
        </w:rPr>
        <w:t>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080808"/>
        </w:rPr>
        <w:t>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11111"/>
        </w:rPr>
        <w:t>court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0F0F0F"/>
        </w:rPr>
        <w:t xml:space="preserve">shall </w:t>
      </w:r>
      <w:r>
        <w:rPr>
          <w:rFonts w:ascii="Arial" w:cs="Arial" w:eastAsia="Arial" w:hAnsi="Arial"/>
          <w:sz w:val="18"/>
          <w:szCs w:val="18"/>
          <w:color w:val="1D1D1D"/>
        </w:rPr>
        <w:t>not</w:t>
      </w:r>
      <w:r>
        <w:rPr>
          <w:rFonts w:ascii="Arial" w:cs="Arial" w:eastAsia="Arial" w:hAnsi="Arial"/>
          <w:sz w:val="18"/>
          <w:szCs w:val="18"/>
          <w:color w:val="0F0F0F"/>
        </w:rPr>
        <w:t xml:space="preserve"> </w:t>
      </w:r>
      <w:r>
        <w:rPr>
          <w:rFonts w:ascii="Arial" w:cs="Arial" w:eastAsia="Arial" w:hAnsi="Arial"/>
          <w:sz w:val="18"/>
          <w:szCs w:val="18"/>
          <w:color w:val="0C0C0C"/>
        </w:rPr>
        <w:t>invalidate the</w:t>
      </w:r>
      <w:r>
        <w:rPr>
          <w:rFonts w:ascii="Arial" w:cs="Arial" w:eastAsia="Arial" w:hAnsi="Arial"/>
          <w:sz w:val="18"/>
          <w:szCs w:val="18"/>
          <w:color w:val="0F0F0F"/>
        </w:rPr>
        <w:t xml:space="preserve"> </w:t>
      </w:r>
      <w:r>
        <w:rPr>
          <w:rFonts w:ascii="Arial" w:cs="Arial" w:eastAsia="Arial" w:hAnsi="Arial"/>
          <w:sz w:val="18"/>
          <w:szCs w:val="18"/>
          <w:color w:val="000000"/>
        </w:rPr>
        <w:t>remaining</w:t>
      </w:r>
      <w:r>
        <w:rPr>
          <w:rFonts w:ascii="Arial" w:cs="Arial" w:eastAsia="Arial" w:hAnsi="Arial"/>
          <w:sz w:val="18"/>
          <w:szCs w:val="18"/>
          <w:color w:val="0F0F0F"/>
        </w:rPr>
        <w:t xml:space="preserve"> </w:t>
      </w:r>
      <w:r>
        <w:rPr>
          <w:rFonts w:ascii="Arial" w:cs="Arial" w:eastAsia="Arial" w:hAnsi="Arial"/>
          <w:sz w:val="18"/>
          <w:szCs w:val="18"/>
          <w:color w:val="0C0C0C"/>
        </w:rPr>
        <w:t>Paragraphs</w:t>
      </w:r>
      <w:r>
        <w:rPr>
          <w:rFonts w:ascii="Arial" w:cs="Arial" w:eastAsia="Arial" w:hAnsi="Arial"/>
          <w:sz w:val="18"/>
          <w:szCs w:val="18"/>
          <w:color w:val="0F0F0F"/>
        </w:rPr>
        <w:t xml:space="preserve"> </w:t>
      </w:r>
      <w:r>
        <w:rPr>
          <w:rFonts w:ascii="Arial" w:cs="Arial" w:eastAsia="Arial" w:hAnsi="Arial"/>
          <w:sz w:val="18"/>
          <w:szCs w:val="18"/>
          <w:color w:val="1A1A1A"/>
        </w:rPr>
        <w:t>or</w:t>
      </w:r>
      <w:r>
        <w:rPr>
          <w:rFonts w:ascii="Arial" w:cs="Arial" w:eastAsia="Arial" w:hAnsi="Arial"/>
          <w:sz w:val="18"/>
          <w:szCs w:val="18"/>
          <w:color w:val="0F0F0F"/>
        </w:rPr>
        <w:t xml:space="preserve"> </w:t>
      </w:r>
      <w:r>
        <w:rPr>
          <w:rFonts w:ascii="Arial" w:cs="Arial" w:eastAsia="Arial" w:hAnsi="Arial"/>
          <w:sz w:val="18"/>
          <w:szCs w:val="18"/>
          <w:color w:val="181818"/>
        </w:rPr>
        <w:t>portions</w:t>
      </w:r>
      <w:r>
        <w:rPr>
          <w:rFonts w:ascii="Arial" w:cs="Arial" w:eastAsia="Arial" w:hAnsi="Arial"/>
          <w:sz w:val="18"/>
          <w:szCs w:val="18"/>
          <w:color w:val="0F0F0F"/>
        </w:rPr>
        <w:t xml:space="preserve"> of </w:t>
      </w:r>
      <w:r>
        <w:rPr>
          <w:rFonts w:ascii="Arial" w:cs="Arial" w:eastAsia="Arial" w:hAnsi="Arial"/>
          <w:sz w:val="18"/>
          <w:szCs w:val="18"/>
          <w:color w:val="181818"/>
        </w:rPr>
        <w:t>such</w:t>
      </w:r>
      <w:r>
        <w:rPr>
          <w:rFonts w:ascii="Arial" w:cs="Arial" w:eastAsia="Arial" w:hAnsi="Arial"/>
          <w:sz w:val="18"/>
          <w:szCs w:val="18"/>
          <w:color w:val="0F0F0F"/>
        </w:rPr>
        <w:t xml:space="preserve"> </w:t>
      </w:r>
      <w:r>
        <w:rPr>
          <w:rFonts w:ascii="Arial" w:cs="Arial" w:eastAsia="Arial" w:hAnsi="Arial"/>
          <w:sz w:val="18"/>
          <w:szCs w:val="18"/>
          <w:color w:val="0E0E0E"/>
        </w:rPr>
        <w:t>Paragraphs</w:t>
      </w:r>
      <w:r>
        <w:rPr>
          <w:rFonts w:ascii="Arial" w:cs="Arial" w:eastAsia="Arial" w:hAnsi="Arial"/>
          <w:sz w:val="18"/>
          <w:szCs w:val="18"/>
          <w:color w:val="0F0F0F"/>
        </w:rPr>
        <w:t xml:space="preserve"> </w:t>
      </w:r>
      <w:r>
        <w:rPr>
          <w:rFonts w:ascii="Arial" w:cs="Arial" w:eastAsia="Arial" w:hAnsi="Arial"/>
          <w:sz w:val="18"/>
          <w:szCs w:val="18"/>
          <w:color w:val="131313"/>
        </w:rPr>
        <w:t>of</w:t>
      </w:r>
      <w:r>
        <w:rPr>
          <w:rFonts w:ascii="Arial" w:cs="Arial" w:eastAsia="Arial" w:hAnsi="Arial"/>
          <w:sz w:val="18"/>
          <w:szCs w:val="18"/>
          <w:color w:val="0F0F0F"/>
        </w:rPr>
        <w:t xml:space="preserve"> </w:t>
      </w:r>
      <w:r>
        <w:rPr>
          <w:rFonts w:ascii="Arial" w:cs="Arial" w:eastAsia="Arial" w:hAnsi="Arial"/>
          <w:sz w:val="18"/>
          <w:szCs w:val="18"/>
          <w:color w:val="000000"/>
        </w:rPr>
        <w:t>this</w:t>
      </w:r>
      <w:r>
        <w:rPr>
          <w:rFonts w:ascii="Arial" w:cs="Arial" w:eastAsia="Arial" w:hAnsi="Arial"/>
          <w:sz w:val="18"/>
          <w:szCs w:val="18"/>
          <w:color w:val="0F0F0F"/>
        </w:rPr>
        <w:t xml:space="preserve"> </w:t>
      </w:r>
      <w:r>
        <w:rPr>
          <w:rFonts w:ascii="Arial" w:cs="Arial" w:eastAsia="Arial" w:hAnsi="Arial"/>
          <w:sz w:val="18"/>
          <w:szCs w:val="18"/>
          <w:color w:val="181818"/>
        </w:rPr>
        <w:t>Ag</w:t>
      </w:r>
      <w:r>
        <w:rPr>
          <w:rFonts w:ascii="Arial" w:cs="Arial" w:eastAsia="Arial" w:hAnsi="Arial"/>
          <w:sz w:val="18"/>
          <w:szCs w:val="18"/>
          <w:color w:val="0A0A0A"/>
        </w:rPr>
        <w:t>reement.</w:t>
      </w:r>
    </w:p>
    <w:p>
      <w:pPr>
        <w:spacing w:after="0" w:line="166" w:lineRule="exact"/>
        <w:rPr>
          <w:rFonts w:ascii="Arial" w:cs="Arial" w:eastAsia="Arial" w:hAnsi="Arial"/>
          <w:sz w:val="18"/>
          <w:szCs w:val="18"/>
          <w:color w:val="auto"/>
        </w:rPr>
      </w:pPr>
    </w:p>
    <w:p>
      <w:pPr>
        <w:ind w:left="660" w:right="20" w:hanging="652"/>
        <w:spacing w:after="0" w:line="25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1A1A1A"/>
        </w:rPr>
        <w:t xml:space="preserve">Entire Agreement; </w:t>
      </w:r>
      <w:r>
        <w:rPr>
          <w:rFonts w:ascii="Arial" w:cs="Arial" w:eastAsia="Arial" w:hAnsi="Arial"/>
          <w:sz w:val="18"/>
          <w:szCs w:val="18"/>
          <w:b w:val="1"/>
          <w:bCs w:val="1"/>
          <w:color w:val="0F0F0F"/>
        </w:rPr>
        <w:t>Amendments</w:t>
      </w:r>
      <w:r>
        <w:rPr>
          <w:rFonts w:ascii="Arial" w:cs="Arial" w:eastAsia="Arial" w:hAnsi="Arial"/>
          <w:sz w:val="18"/>
          <w:szCs w:val="18"/>
          <w:b w:val="1"/>
          <w:bCs w:val="1"/>
          <w:color w:val="1A1A1A"/>
        </w:rPr>
        <w:t xml:space="preserve"> </w:t>
      </w:r>
      <w:r>
        <w:rPr>
          <w:rFonts w:ascii="Arial" w:cs="Arial" w:eastAsia="Arial" w:hAnsi="Arial"/>
          <w:sz w:val="18"/>
          <w:szCs w:val="18"/>
          <w:color w:val="1C1C1C"/>
        </w:rPr>
        <w:t>-</w:t>
      </w:r>
      <w:r>
        <w:rPr>
          <w:rFonts w:ascii="Arial" w:cs="Arial" w:eastAsia="Arial" w:hAnsi="Arial"/>
          <w:sz w:val="18"/>
          <w:szCs w:val="18"/>
          <w:b w:val="1"/>
          <w:bCs w:val="1"/>
          <w:color w:val="1A1A1A"/>
        </w:rPr>
        <w:t xml:space="preserve"> </w:t>
      </w:r>
      <w:r>
        <w:rPr>
          <w:rFonts w:ascii="Arial" w:cs="Arial" w:eastAsia="Arial" w:hAnsi="Arial"/>
          <w:sz w:val="18"/>
          <w:szCs w:val="18"/>
          <w:color w:val="0F0F0F"/>
        </w:rPr>
        <w:t>This Agreement</w:t>
      </w:r>
      <w:r>
        <w:rPr>
          <w:rFonts w:ascii="Arial" w:cs="Arial" w:eastAsia="Arial" w:hAnsi="Arial"/>
          <w:sz w:val="18"/>
          <w:szCs w:val="18"/>
          <w:b w:val="1"/>
          <w:bCs w:val="1"/>
          <w:color w:val="1A1A1A"/>
        </w:rPr>
        <w:t xml:space="preserve"> </w:t>
      </w:r>
      <w:r>
        <w:rPr>
          <w:rFonts w:ascii="Arial" w:cs="Arial" w:eastAsia="Arial" w:hAnsi="Arial"/>
          <w:sz w:val="18"/>
          <w:szCs w:val="18"/>
          <w:color w:val="000000"/>
        </w:rPr>
        <w:t>constitutes the</w:t>
      </w:r>
      <w:r>
        <w:rPr>
          <w:rFonts w:ascii="Arial" w:cs="Arial" w:eastAsia="Arial" w:hAnsi="Arial"/>
          <w:sz w:val="18"/>
          <w:szCs w:val="18"/>
          <w:b w:val="1"/>
          <w:bCs w:val="1"/>
          <w:color w:val="1A1A1A"/>
        </w:rPr>
        <w:t xml:space="preserve"> </w:t>
      </w:r>
      <w:r>
        <w:rPr>
          <w:rFonts w:ascii="Arial" w:cs="Arial" w:eastAsia="Arial" w:hAnsi="Arial"/>
          <w:sz w:val="18"/>
          <w:szCs w:val="18"/>
          <w:color w:val="0F0F0F"/>
        </w:rPr>
        <w:t>entire</w:t>
      </w:r>
      <w:r>
        <w:rPr>
          <w:rFonts w:ascii="Arial" w:cs="Arial" w:eastAsia="Arial" w:hAnsi="Arial"/>
          <w:sz w:val="18"/>
          <w:szCs w:val="18"/>
          <w:b w:val="1"/>
          <w:bCs w:val="1"/>
          <w:color w:val="1A1A1A"/>
        </w:rPr>
        <w:t xml:space="preserve"> </w:t>
      </w:r>
      <w:r>
        <w:rPr>
          <w:rFonts w:ascii="Arial" w:cs="Arial" w:eastAsia="Arial" w:hAnsi="Arial"/>
          <w:sz w:val="18"/>
          <w:szCs w:val="18"/>
          <w:color w:val="111111"/>
        </w:rPr>
        <w:t>agreement</w:t>
      </w:r>
      <w:r>
        <w:rPr>
          <w:rFonts w:ascii="Arial" w:cs="Arial" w:eastAsia="Arial" w:hAnsi="Arial"/>
          <w:sz w:val="18"/>
          <w:szCs w:val="18"/>
          <w:b w:val="1"/>
          <w:bCs w:val="1"/>
          <w:color w:val="1A1A1A"/>
        </w:rPr>
        <w:t xml:space="preserve"> </w:t>
      </w:r>
      <w:r>
        <w:rPr>
          <w:rFonts w:ascii="Arial" w:cs="Arial" w:eastAsia="Arial" w:hAnsi="Arial"/>
          <w:sz w:val="18"/>
          <w:szCs w:val="18"/>
          <w:color w:val="131313"/>
        </w:rPr>
        <w:t>between</w:t>
      </w:r>
      <w:r>
        <w:rPr>
          <w:rFonts w:ascii="Arial" w:cs="Arial" w:eastAsia="Arial" w:hAnsi="Arial"/>
          <w:sz w:val="18"/>
          <w:szCs w:val="18"/>
          <w:b w:val="1"/>
          <w:bCs w:val="1"/>
          <w:color w:val="1A1A1A"/>
        </w:rPr>
        <w:t xml:space="preserve"> </w:t>
      </w:r>
      <w:r>
        <w:rPr>
          <w:rFonts w:ascii="Arial" w:cs="Arial" w:eastAsia="Arial" w:hAnsi="Arial"/>
          <w:sz w:val="18"/>
          <w:szCs w:val="18"/>
          <w:color w:val="111111"/>
        </w:rPr>
        <w:t>Executive</w:t>
      </w:r>
      <w:r>
        <w:rPr>
          <w:rFonts w:ascii="Arial" w:cs="Arial" w:eastAsia="Arial" w:hAnsi="Arial"/>
          <w:sz w:val="18"/>
          <w:szCs w:val="18"/>
          <w:b w:val="1"/>
          <w:bCs w:val="1"/>
          <w:color w:val="1A1A1A"/>
        </w:rPr>
        <w:t xml:space="preserve"> </w:t>
      </w:r>
      <w:r>
        <w:rPr>
          <w:rFonts w:ascii="Arial" w:cs="Arial" w:eastAsia="Arial" w:hAnsi="Arial"/>
          <w:sz w:val="18"/>
          <w:szCs w:val="18"/>
          <w:color w:val="151515"/>
        </w:rPr>
        <w:t>and</w:t>
      </w:r>
      <w:r>
        <w:rPr>
          <w:rFonts w:ascii="Arial" w:cs="Arial" w:eastAsia="Arial" w:hAnsi="Arial"/>
          <w:sz w:val="18"/>
          <w:szCs w:val="18"/>
          <w:b w:val="1"/>
          <w:bCs w:val="1"/>
          <w:color w:val="1A1A1A"/>
        </w:rPr>
        <w:t xml:space="preserve"> </w:t>
      </w:r>
      <w:r>
        <w:rPr>
          <w:rFonts w:ascii="Arial" w:cs="Arial" w:eastAsia="Arial" w:hAnsi="Arial"/>
          <w:sz w:val="18"/>
          <w:szCs w:val="18"/>
          <w:color w:val="1A1A1A"/>
        </w:rPr>
        <w:t>the</w:t>
      </w:r>
      <w:r>
        <w:rPr>
          <w:rFonts w:ascii="Arial" w:cs="Arial" w:eastAsia="Arial" w:hAnsi="Arial"/>
          <w:sz w:val="18"/>
          <w:szCs w:val="18"/>
          <w:b w:val="1"/>
          <w:bCs w:val="1"/>
          <w:color w:val="1A1A1A"/>
        </w:rPr>
        <w:t xml:space="preserve"> </w:t>
      </w:r>
      <w:r>
        <w:rPr>
          <w:rFonts w:ascii="Arial" w:cs="Arial" w:eastAsia="Arial" w:hAnsi="Arial"/>
          <w:sz w:val="18"/>
          <w:szCs w:val="18"/>
          <w:color w:val="181818"/>
        </w:rPr>
        <w:t>Company, and</w:t>
      </w:r>
      <w:r>
        <w:rPr>
          <w:rFonts w:ascii="Arial" w:cs="Arial" w:eastAsia="Arial" w:hAnsi="Arial"/>
          <w:sz w:val="18"/>
          <w:szCs w:val="18"/>
          <w:b w:val="1"/>
          <w:bCs w:val="1"/>
          <w:color w:val="1A1A1A"/>
        </w:rPr>
        <w:t xml:space="preserve"> </w:t>
      </w:r>
      <w:r>
        <w:rPr>
          <w:rFonts w:ascii="Arial" w:cs="Arial" w:eastAsia="Arial" w:hAnsi="Arial"/>
          <w:sz w:val="18"/>
          <w:szCs w:val="18"/>
          <w:color w:val="0E0E0E"/>
        </w:rPr>
        <w:t>supersedes</w:t>
      </w:r>
      <w:r>
        <w:rPr>
          <w:rFonts w:ascii="Arial" w:cs="Arial" w:eastAsia="Arial" w:hAnsi="Arial"/>
          <w:sz w:val="18"/>
          <w:szCs w:val="18"/>
          <w:b w:val="1"/>
          <w:bCs w:val="1"/>
          <w:color w:val="1A1A1A"/>
        </w:rPr>
        <w:t xml:space="preserve"> </w:t>
      </w:r>
      <w:r>
        <w:rPr>
          <w:rFonts w:ascii="Arial" w:cs="Arial" w:eastAsia="Arial" w:hAnsi="Arial"/>
          <w:sz w:val="18"/>
          <w:szCs w:val="18"/>
          <w:color w:val="212121"/>
        </w:rPr>
        <w:t>all</w:t>
      </w:r>
      <w:r>
        <w:rPr>
          <w:rFonts w:ascii="Arial" w:cs="Arial" w:eastAsia="Arial" w:hAnsi="Arial"/>
          <w:sz w:val="18"/>
          <w:szCs w:val="18"/>
          <w:b w:val="1"/>
          <w:bCs w:val="1"/>
          <w:color w:val="1A1A1A"/>
        </w:rPr>
        <w:t xml:space="preserve"> </w:t>
      </w:r>
      <w:r>
        <w:rPr>
          <w:rFonts w:ascii="Arial" w:cs="Arial" w:eastAsia="Arial" w:hAnsi="Arial"/>
          <w:sz w:val="18"/>
          <w:szCs w:val="18"/>
          <w:color w:val="151515"/>
        </w:rPr>
        <w:t xml:space="preserve">prior </w:t>
      </w:r>
      <w:r>
        <w:rPr>
          <w:rFonts w:ascii="Arial" w:cs="Arial" w:eastAsia="Arial" w:hAnsi="Arial"/>
          <w:sz w:val="18"/>
          <w:szCs w:val="18"/>
          <w:color w:val="181818"/>
        </w:rPr>
        <w:t>oral</w:t>
      </w:r>
      <w:r>
        <w:rPr>
          <w:rFonts w:ascii="Arial" w:cs="Arial" w:eastAsia="Arial" w:hAnsi="Arial"/>
          <w:sz w:val="18"/>
          <w:szCs w:val="18"/>
          <w:color w:val="151515"/>
        </w:rPr>
        <w:t xml:space="preserve"> </w:t>
      </w:r>
      <w:r>
        <w:rPr>
          <w:rFonts w:ascii="Arial" w:cs="Arial" w:eastAsia="Arial" w:hAnsi="Arial"/>
          <w:sz w:val="18"/>
          <w:szCs w:val="18"/>
          <w:color w:val="161616"/>
        </w:rPr>
        <w:t>or</w:t>
      </w:r>
      <w:r>
        <w:rPr>
          <w:rFonts w:ascii="Arial" w:cs="Arial" w:eastAsia="Arial" w:hAnsi="Arial"/>
          <w:sz w:val="18"/>
          <w:szCs w:val="18"/>
          <w:color w:val="151515"/>
        </w:rPr>
        <w:t xml:space="preserve"> </w:t>
      </w:r>
      <w:r>
        <w:rPr>
          <w:rFonts w:ascii="Arial" w:cs="Arial" w:eastAsia="Arial" w:hAnsi="Arial"/>
          <w:sz w:val="18"/>
          <w:szCs w:val="18"/>
          <w:color w:val="000000"/>
        </w:rPr>
        <w:t>written</w:t>
      </w:r>
      <w:r>
        <w:rPr>
          <w:rFonts w:ascii="Arial" w:cs="Arial" w:eastAsia="Arial" w:hAnsi="Arial"/>
          <w:sz w:val="18"/>
          <w:szCs w:val="18"/>
          <w:color w:val="151515"/>
        </w:rPr>
        <w:t xml:space="preserve"> </w:t>
      </w:r>
      <w:r>
        <w:rPr>
          <w:rFonts w:ascii="Arial" w:cs="Arial" w:eastAsia="Arial" w:hAnsi="Arial"/>
          <w:sz w:val="18"/>
          <w:szCs w:val="18"/>
          <w:color w:val="111111"/>
        </w:rPr>
        <w:t>negotiations</w:t>
      </w:r>
      <w:r>
        <w:rPr>
          <w:rFonts w:ascii="Arial" w:cs="Arial" w:eastAsia="Arial" w:hAnsi="Arial"/>
          <w:sz w:val="18"/>
          <w:szCs w:val="18"/>
          <w:color w:val="151515"/>
        </w:rPr>
        <w:t xml:space="preserve"> </w:t>
      </w:r>
      <w:r>
        <w:rPr>
          <w:rFonts w:ascii="Arial" w:cs="Arial" w:eastAsia="Arial" w:hAnsi="Arial"/>
          <w:sz w:val="18"/>
          <w:szCs w:val="18"/>
          <w:color w:val="0E0E0E"/>
        </w:rPr>
        <w:t>and</w:t>
      </w:r>
      <w:r>
        <w:rPr>
          <w:rFonts w:ascii="Arial" w:cs="Arial" w:eastAsia="Arial" w:hAnsi="Arial"/>
          <w:sz w:val="18"/>
          <w:szCs w:val="18"/>
          <w:color w:val="151515"/>
        </w:rPr>
        <w:t xml:space="preserve"> </w:t>
      </w:r>
      <w:r>
        <w:rPr>
          <w:rFonts w:ascii="Arial" w:cs="Arial" w:eastAsia="Arial" w:hAnsi="Arial"/>
          <w:sz w:val="18"/>
          <w:szCs w:val="18"/>
          <w:color w:val="131313"/>
        </w:rPr>
        <w:t>agreements</w:t>
      </w:r>
      <w:r>
        <w:rPr>
          <w:rFonts w:ascii="Arial" w:cs="Arial" w:eastAsia="Arial" w:hAnsi="Arial"/>
          <w:sz w:val="18"/>
          <w:szCs w:val="18"/>
          <w:color w:val="151515"/>
        </w:rPr>
        <w:t xml:space="preserve"> with </w:t>
      </w:r>
      <w:r>
        <w:rPr>
          <w:rFonts w:ascii="Arial" w:cs="Arial" w:eastAsia="Arial" w:hAnsi="Arial"/>
          <w:sz w:val="18"/>
          <w:szCs w:val="18"/>
          <w:color w:val="181818"/>
        </w:rPr>
        <w:t>the</w:t>
      </w:r>
      <w:r>
        <w:rPr>
          <w:rFonts w:ascii="Arial" w:cs="Arial" w:eastAsia="Arial" w:hAnsi="Arial"/>
          <w:sz w:val="18"/>
          <w:szCs w:val="18"/>
          <w:color w:val="151515"/>
        </w:rPr>
        <w:t xml:space="preserve"> </w:t>
      </w:r>
      <w:r>
        <w:rPr>
          <w:rFonts w:ascii="Arial" w:cs="Arial" w:eastAsia="Arial" w:hAnsi="Arial"/>
          <w:sz w:val="18"/>
          <w:szCs w:val="18"/>
          <w:color w:val="131313"/>
        </w:rPr>
        <w:t>Company,</w:t>
      </w:r>
      <w:r>
        <w:rPr>
          <w:rFonts w:ascii="Arial" w:cs="Arial" w:eastAsia="Arial" w:hAnsi="Arial"/>
          <w:sz w:val="18"/>
          <w:szCs w:val="18"/>
          <w:color w:val="151515"/>
        </w:rPr>
        <w:t xml:space="preserve"> </w:t>
      </w:r>
      <w:r>
        <w:rPr>
          <w:rFonts w:ascii="Arial" w:cs="Arial" w:eastAsia="Arial" w:hAnsi="Arial"/>
          <w:sz w:val="18"/>
          <w:szCs w:val="18"/>
          <w:color w:val="181818"/>
        </w:rPr>
        <w:t>concerning</w:t>
      </w:r>
      <w:r>
        <w:rPr>
          <w:rFonts w:ascii="Arial" w:cs="Arial" w:eastAsia="Arial" w:hAnsi="Arial"/>
          <w:sz w:val="18"/>
          <w:szCs w:val="18"/>
          <w:color w:val="151515"/>
        </w:rPr>
        <w:t xml:space="preserve"> </w:t>
      </w:r>
      <w:r>
        <w:rPr>
          <w:rFonts w:ascii="Arial" w:cs="Arial" w:eastAsia="Arial" w:hAnsi="Arial"/>
          <w:sz w:val="18"/>
          <w:szCs w:val="18"/>
          <w:color w:val="1C1C1C"/>
        </w:rPr>
        <w:t>the</w:t>
      </w:r>
      <w:r>
        <w:rPr>
          <w:rFonts w:ascii="Arial" w:cs="Arial" w:eastAsia="Arial" w:hAnsi="Arial"/>
          <w:sz w:val="18"/>
          <w:szCs w:val="18"/>
          <w:color w:val="151515"/>
        </w:rPr>
        <w:t xml:space="preserve"> </w:t>
      </w:r>
      <w:r>
        <w:rPr>
          <w:rFonts w:ascii="Arial" w:cs="Arial" w:eastAsia="Arial" w:hAnsi="Arial"/>
          <w:sz w:val="18"/>
          <w:szCs w:val="18"/>
          <w:color w:val="0C0C0C"/>
        </w:rPr>
        <w:t>subject</w:t>
      </w:r>
      <w:r>
        <w:rPr>
          <w:rFonts w:ascii="Arial" w:cs="Arial" w:eastAsia="Arial" w:hAnsi="Arial"/>
          <w:sz w:val="18"/>
          <w:szCs w:val="18"/>
          <w:color w:val="151515"/>
        </w:rPr>
        <w:t xml:space="preserve"> </w:t>
      </w:r>
      <w:r>
        <w:rPr>
          <w:rFonts w:ascii="Arial" w:cs="Arial" w:eastAsia="Arial" w:hAnsi="Arial"/>
          <w:sz w:val="18"/>
          <w:szCs w:val="18"/>
          <w:color w:val="1F1F1F"/>
        </w:rPr>
        <w:t>matter</w:t>
      </w:r>
      <w:r>
        <w:rPr>
          <w:rFonts w:ascii="Arial" w:cs="Arial" w:eastAsia="Arial" w:hAnsi="Arial"/>
          <w:sz w:val="18"/>
          <w:szCs w:val="18"/>
          <w:color w:val="151515"/>
        </w:rPr>
        <w:t xml:space="preserve"> </w:t>
      </w:r>
      <w:r>
        <w:rPr>
          <w:rFonts w:ascii="Arial" w:cs="Arial" w:eastAsia="Arial" w:hAnsi="Arial"/>
          <w:sz w:val="18"/>
          <w:szCs w:val="18"/>
          <w:color w:val="181818"/>
        </w:rPr>
        <w:t>hereof;</w:t>
      </w:r>
      <w:r>
        <w:rPr>
          <w:rFonts w:ascii="Arial" w:cs="Arial" w:eastAsia="Arial" w:hAnsi="Arial"/>
          <w:sz w:val="18"/>
          <w:szCs w:val="18"/>
          <w:color w:val="151515"/>
        </w:rPr>
        <w:t xml:space="preserve"> </w:t>
      </w:r>
      <w:r>
        <w:rPr>
          <w:rFonts w:ascii="Arial" w:cs="Arial" w:eastAsia="Arial" w:hAnsi="Arial"/>
          <w:sz w:val="18"/>
          <w:szCs w:val="18"/>
          <w:color w:val="131313"/>
        </w:rPr>
        <w:t>provided,</w:t>
      </w:r>
      <w:r>
        <w:rPr>
          <w:rFonts w:ascii="Arial" w:cs="Arial" w:eastAsia="Arial" w:hAnsi="Arial"/>
          <w:sz w:val="18"/>
          <w:szCs w:val="18"/>
          <w:color w:val="151515"/>
        </w:rPr>
        <w:t xml:space="preserve"> </w:t>
      </w:r>
      <w:r>
        <w:rPr>
          <w:rFonts w:ascii="Arial" w:cs="Arial" w:eastAsia="Arial" w:hAnsi="Arial"/>
          <w:sz w:val="18"/>
          <w:szCs w:val="18"/>
          <w:color w:val="1A1A1A"/>
        </w:rPr>
        <w:t>however, that</w:t>
      </w:r>
      <w:r>
        <w:rPr>
          <w:rFonts w:ascii="Arial" w:cs="Arial" w:eastAsia="Arial" w:hAnsi="Arial"/>
          <w:sz w:val="18"/>
          <w:szCs w:val="18"/>
          <w:color w:val="151515"/>
        </w:rPr>
        <w:t xml:space="preserve"> </w:t>
      </w:r>
      <w:r>
        <w:rPr>
          <w:rFonts w:ascii="Arial" w:cs="Arial" w:eastAsia="Arial" w:hAnsi="Arial"/>
          <w:sz w:val="18"/>
          <w:szCs w:val="18"/>
          <w:color w:val="131313"/>
        </w:rPr>
        <w:t>as</w:t>
      </w:r>
      <w:r>
        <w:rPr>
          <w:rFonts w:ascii="Arial" w:cs="Arial" w:eastAsia="Arial" w:hAnsi="Arial"/>
          <w:sz w:val="18"/>
          <w:szCs w:val="18"/>
          <w:color w:val="151515"/>
        </w:rPr>
        <w:t xml:space="preserve"> </w:t>
      </w:r>
      <w:r>
        <w:rPr>
          <w:rFonts w:ascii="Arial" w:cs="Arial" w:eastAsia="Arial" w:hAnsi="Arial"/>
          <w:sz w:val="18"/>
          <w:szCs w:val="18"/>
          <w:color w:val="1C1C1C"/>
        </w:rPr>
        <w:t>noted</w:t>
      </w:r>
      <w:r>
        <w:rPr>
          <w:rFonts w:ascii="Arial" w:cs="Arial" w:eastAsia="Arial" w:hAnsi="Arial"/>
          <w:sz w:val="18"/>
          <w:szCs w:val="18"/>
          <w:color w:val="151515"/>
        </w:rPr>
        <w:t xml:space="preserve"> </w:t>
      </w:r>
      <w:r>
        <w:rPr>
          <w:rFonts w:ascii="Arial" w:cs="Arial" w:eastAsia="Arial" w:hAnsi="Arial"/>
          <w:sz w:val="18"/>
          <w:szCs w:val="18"/>
          <w:color w:val="1C1C1C"/>
        </w:rPr>
        <w:t xml:space="preserve">Paragraph </w:t>
      </w:r>
      <w:r>
        <w:rPr>
          <w:rFonts w:ascii="Arial" w:cs="Arial" w:eastAsia="Arial" w:hAnsi="Arial"/>
          <w:sz w:val="18"/>
          <w:szCs w:val="18"/>
          <w:color w:val="161616"/>
        </w:rPr>
        <w:t>8</w:t>
      </w:r>
      <w:r>
        <w:rPr>
          <w:rFonts w:ascii="Arial" w:cs="Arial" w:eastAsia="Arial" w:hAnsi="Arial"/>
          <w:sz w:val="18"/>
          <w:szCs w:val="18"/>
          <w:color w:val="1C1C1C"/>
        </w:rPr>
        <w:t xml:space="preserve"> </w:t>
      </w:r>
      <w:r>
        <w:rPr>
          <w:rFonts w:ascii="Arial" w:cs="Arial" w:eastAsia="Arial" w:hAnsi="Arial"/>
          <w:sz w:val="18"/>
          <w:szCs w:val="18"/>
          <w:color w:val="151515"/>
        </w:rPr>
        <w:t>above,</w:t>
      </w:r>
      <w:r>
        <w:rPr>
          <w:rFonts w:ascii="Arial" w:cs="Arial" w:eastAsia="Arial" w:hAnsi="Arial"/>
          <w:sz w:val="18"/>
          <w:szCs w:val="18"/>
          <w:color w:val="1C1C1C"/>
        </w:rPr>
        <w:t xml:space="preserve"> </w:t>
      </w:r>
      <w:r>
        <w:rPr>
          <w:rFonts w:ascii="Arial" w:cs="Arial" w:eastAsia="Arial" w:hAnsi="Arial"/>
          <w:sz w:val="18"/>
          <w:szCs w:val="18"/>
          <w:color w:val="161616"/>
        </w:rPr>
        <w:t>the</w:t>
      </w:r>
      <w:r>
        <w:rPr>
          <w:rFonts w:ascii="Arial" w:cs="Arial" w:eastAsia="Arial" w:hAnsi="Arial"/>
          <w:sz w:val="18"/>
          <w:szCs w:val="18"/>
          <w:color w:val="1C1C1C"/>
        </w:rPr>
        <w:t xml:space="preserve"> </w:t>
      </w:r>
      <w:r>
        <w:rPr>
          <w:rFonts w:ascii="Arial" w:cs="Arial" w:eastAsia="Arial" w:hAnsi="Arial"/>
          <w:sz w:val="18"/>
          <w:szCs w:val="18"/>
          <w:color w:val="131313"/>
        </w:rPr>
        <w:t>provisions</w:t>
      </w:r>
      <w:r>
        <w:rPr>
          <w:rFonts w:ascii="Arial" w:cs="Arial" w:eastAsia="Arial" w:hAnsi="Arial"/>
          <w:sz w:val="18"/>
          <w:szCs w:val="18"/>
          <w:color w:val="1C1C1C"/>
        </w:rPr>
        <w:t xml:space="preserve"> </w:t>
      </w:r>
      <w:r>
        <w:rPr>
          <w:rFonts w:ascii="Arial" w:cs="Arial" w:eastAsia="Arial" w:hAnsi="Arial"/>
          <w:sz w:val="18"/>
          <w:szCs w:val="18"/>
          <w:color w:val="232323"/>
        </w:rPr>
        <w:t>of the</w:t>
      </w:r>
      <w:r>
        <w:rPr>
          <w:rFonts w:ascii="Arial" w:cs="Arial" w:eastAsia="Arial" w:hAnsi="Arial"/>
          <w:sz w:val="18"/>
          <w:szCs w:val="18"/>
          <w:color w:val="1C1C1C"/>
        </w:rPr>
        <w:t xml:space="preserve"> </w:t>
      </w:r>
      <w:r>
        <w:rPr>
          <w:rFonts w:ascii="Arial" w:cs="Arial" w:eastAsia="Arial" w:hAnsi="Arial"/>
          <w:sz w:val="18"/>
          <w:szCs w:val="18"/>
          <w:color w:val="0C0C0C"/>
        </w:rPr>
        <w:t>Noncompete</w:t>
      </w:r>
      <w:r>
        <w:rPr>
          <w:rFonts w:ascii="Arial" w:cs="Arial" w:eastAsia="Arial" w:hAnsi="Arial"/>
          <w:sz w:val="18"/>
          <w:szCs w:val="18"/>
          <w:color w:val="1C1C1C"/>
        </w:rPr>
        <w:t xml:space="preserve"> </w:t>
      </w:r>
      <w:r>
        <w:rPr>
          <w:rFonts w:ascii="Arial" w:cs="Arial" w:eastAsia="Arial" w:hAnsi="Arial"/>
          <w:sz w:val="18"/>
          <w:szCs w:val="18"/>
          <w:color w:val="0A0A0A"/>
        </w:rPr>
        <w:t>Agreement</w:t>
      </w:r>
      <w:r>
        <w:rPr>
          <w:rFonts w:ascii="Arial" w:cs="Arial" w:eastAsia="Arial" w:hAnsi="Arial"/>
          <w:sz w:val="18"/>
          <w:szCs w:val="18"/>
          <w:color w:val="1C1C1C"/>
        </w:rPr>
        <w:t xml:space="preserve"> </w:t>
      </w:r>
      <w:r>
        <w:rPr>
          <w:rFonts w:ascii="Arial" w:cs="Arial" w:eastAsia="Arial" w:hAnsi="Arial"/>
          <w:sz w:val="18"/>
          <w:szCs w:val="18"/>
          <w:color w:val="1A1A1A"/>
        </w:rPr>
        <w:t>shall</w:t>
      </w:r>
      <w:r>
        <w:rPr>
          <w:rFonts w:ascii="Arial" w:cs="Arial" w:eastAsia="Arial" w:hAnsi="Arial"/>
          <w:sz w:val="18"/>
          <w:szCs w:val="18"/>
          <w:color w:val="1C1C1C"/>
        </w:rPr>
        <w:t xml:space="preserve"> </w:t>
      </w:r>
      <w:r>
        <w:rPr>
          <w:rFonts w:ascii="Arial" w:cs="Arial" w:eastAsia="Arial" w:hAnsi="Arial"/>
          <w:sz w:val="18"/>
          <w:szCs w:val="18"/>
          <w:color w:val="161616"/>
        </w:rPr>
        <w:t>remain</w:t>
      </w:r>
      <w:r>
        <w:rPr>
          <w:rFonts w:ascii="Arial" w:cs="Arial" w:eastAsia="Arial" w:hAnsi="Arial"/>
          <w:sz w:val="18"/>
          <w:szCs w:val="18"/>
          <w:color w:val="1C1C1C"/>
        </w:rPr>
        <w:t xml:space="preserve"> </w:t>
      </w:r>
      <w:r>
        <w:rPr>
          <w:rFonts w:ascii="Arial" w:cs="Arial" w:eastAsia="Arial" w:hAnsi="Arial"/>
          <w:sz w:val="18"/>
          <w:szCs w:val="18"/>
          <w:color w:val="1F1F1F"/>
        </w:rPr>
        <w:t>in</w:t>
      </w:r>
      <w:r>
        <w:rPr>
          <w:rFonts w:ascii="Arial" w:cs="Arial" w:eastAsia="Arial" w:hAnsi="Arial"/>
          <w:sz w:val="18"/>
          <w:szCs w:val="18"/>
          <w:color w:val="1C1C1C"/>
        </w:rPr>
        <w:t xml:space="preserve"> </w:t>
      </w:r>
      <w:r>
        <w:rPr>
          <w:rFonts w:ascii="Arial" w:cs="Arial" w:eastAsia="Arial" w:hAnsi="Arial"/>
          <w:sz w:val="18"/>
          <w:szCs w:val="18"/>
          <w:color w:val="161616"/>
        </w:rPr>
        <w:t>full</w:t>
      </w:r>
      <w:r>
        <w:rPr>
          <w:rFonts w:ascii="Arial" w:cs="Arial" w:eastAsia="Arial" w:hAnsi="Arial"/>
          <w:sz w:val="18"/>
          <w:szCs w:val="18"/>
          <w:color w:val="1C1C1C"/>
        </w:rPr>
        <w:t xml:space="preserve"> </w:t>
      </w:r>
      <w:r>
        <w:rPr>
          <w:rFonts w:ascii="Arial" w:cs="Arial" w:eastAsia="Arial" w:hAnsi="Arial"/>
          <w:sz w:val="18"/>
          <w:szCs w:val="18"/>
          <w:color w:val="181818"/>
        </w:rPr>
        <w:t>force</w:t>
      </w:r>
      <w:r>
        <w:rPr>
          <w:rFonts w:ascii="Arial" w:cs="Arial" w:eastAsia="Arial" w:hAnsi="Arial"/>
          <w:sz w:val="18"/>
          <w:szCs w:val="18"/>
          <w:color w:val="1C1C1C"/>
        </w:rPr>
        <w:t xml:space="preserve"> </w:t>
      </w:r>
      <w:r>
        <w:rPr>
          <w:rFonts w:ascii="Arial" w:cs="Arial" w:eastAsia="Arial" w:hAnsi="Arial"/>
          <w:sz w:val="18"/>
          <w:szCs w:val="18"/>
          <w:color w:val="131313"/>
        </w:rPr>
        <w:t>and</w:t>
      </w:r>
      <w:r>
        <w:rPr>
          <w:rFonts w:ascii="Arial" w:cs="Arial" w:eastAsia="Arial" w:hAnsi="Arial"/>
          <w:sz w:val="18"/>
          <w:szCs w:val="18"/>
          <w:color w:val="1C1C1C"/>
        </w:rPr>
        <w:t xml:space="preserve"> </w:t>
      </w:r>
      <w:r>
        <w:rPr>
          <w:rFonts w:ascii="Arial" w:cs="Arial" w:eastAsia="Arial" w:hAnsi="Arial"/>
          <w:sz w:val="18"/>
          <w:szCs w:val="18"/>
          <w:color w:val="161616"/>
        </w:rPr>
        <w:t>effect</w:t>
      </w:r>
      <w:r>
        <w:rPr>
          <w:rFonts w:ascii="Arial" w:cs="Arial" w:eastAsia="Arial" w:hAnsi="Arial"/>
          <w:sz w:val="18"/>
          <w:szCs w:val="18"/>
          <w:color w:val="1C1C1C"/>
        </w:rPr>
        <w:t xml:space="preserve"> </w:t>
      </w:r>
      <w:r>
        <w:rPr>
          <w:rFonts w:ascii="Arial" w:cs="Arial" w:eastAsia="Arial" w:hAnsi="Arial"/>
          <w:sz w:val="18"/>
          <w:szCs w:val="18"/>
          <w:color w:val="1D1D1D"/>
        </w:rPr>
        <w:t>in</w:t>
      </w:r>
      <w:r>
        <w:rPr>
          <w:rFonts w:ascii="Arial" w:cs="Arial" w:eastAsia="Arial" w:hAnsi="Arial"/>
          <w:sz w:val="18"/>
          <w:szCs w:val="18"/>
          <w:color w:val="1C1C1C"/>
        </w:rPr>
        <w:t xml:space="preserve"> </w:t>
      </w:r>
      <w:r>
        <w:rPr>
          <w:rFonts w:ascii="Arial" w:cs="Arial" w:eastAsia="Arial" w:hAnsi="Arial"/>
          <w:sz w:val="18"/>
          <w:szCs w:val="18"/>
          <w:color w:val="000000"/>
        </w:rPr>
        <w:t>accordance</w:t>
      </w:r>
      <w:r>
        <w:rPr>
          <w:rFonts w:ascii="Arial" w:cs="Arial" w:eastAsia="Arial" w:hAnsi="Arial"/>
          <w:sz w:val="18"/>
          <w:szCs w:val="18"/>
          <w:color w:val="1C1C1C"/>
        </w:rPr>
        <w:t xml:space="preserve"> </w:t>
      </w:r>
      <w:r>
        <w:rPr>
          <w:rFonts w:ascii="Arial" w:cs="Arial" w:eastAsia="Arial" w:hAnsi="Arial"/>
          <w:sz w:val="18"/>
          <w:szCs w:val="18"/>
          <w:color w:val="0E0E0E"/>
        </w:rPr>
        <w:t>with</w:t>
      </w:r>
      <w:r>
        <w:rPr>
          <w:rFonts w:ascii="Arial" w:cs="Arial" w:eastAsia="Arial" w:hAnsi="Arial"/>
          <w:sz w:val="18"/>
          <w:szCs w:val="18"/>
          <w:color w:val="1C1C1C"/>
        </w:rPr>
        <w:t xml:space="preserve"> </w:t>
      </w:r>
      <w:r>
        <w:rPr>
          <w:rFonts w:ascii="Arial" w:cs="Arial" w:eastAsia="Arial" w:hAnsi="Arial"/>
          <w:sz w:val="18"/>
          <w:szCs w:val="18"/>
          <w:color w:val="181818"/>
        </w:rPr>
        <w:t>its</w:t>
      </w:r>
      <w:r>
        <w:rPr>
          <w:rFonts w:ascii="Arial" w:cs="Arial" w:eastAsia="Arial" w:hAnsi="Arial"/>
          <w:sz w:val="18"/>
          <w:szCs w:val="18"/>
          <w:color w:val="1C1C1C"/>
        </w:rPr>
        <w:t xml:space="preserve"> </w:t>
      </w:r>
      <w:r>
        <w:rPr>
          <w:rFonts w:ascii="Arial" w:cs="Arial" w:eastAsia="Arial" w:hAnsi="Arial"/>
          <w:sz w:val="18"/>
          <w:szCs w:val="18"/>
          <w:color w:val="0F0F0F"/>
        </w:rPr>
        <w:t>terms,</w:t>
      </w:r>
      <w:r>
        <w:rPr>
          <w:rFonts w:ascii="Arial" w:cs="Arial" w:eastAsia="Arial" w:hAnsi="Arial"/>
          <w:sz w:val="18"/>
          <w:szCs w:val="18"/>
          <w:color w:val="1C1C1C"/>
        </w:rPr>
        <w:t xml:space="preserve"> </w:t>
      </w:r>
      <w:r>
        <w:rPr>
          <w:rFonts w:ascii="Arial" w:cs="Arial" w:eastAsia="Arial" w:hAnsi="Arial"/>
          <w:sz w:val="18"/>
          <w:szCs w:val="18"/>
          <w:color w:val="1F1F1F"/>
        </w:rPr>
        <w:t>and</w:t>
      </w:r>
      <w:r>
        <w:rPr>
          <w:rFonts w:ascii="Arial" w:cs="Arial" w:eastAsia="Arial" w:hAnsi="Arial"/>
          <w:sz w:val="18"/>
          <w:szCs w:val="18"/>
          <w:color w:val="1C1C1C"/>
        </w:rPr>
        <w:t xml:space="preserve"> </w:t>
      </w:r>
      <w:r>
        <w:rPr>
          <w:rFonts w:ascii="Arial" w:cs="Arial" w:eastAsia="Arial" w:hAnsi="Arial"/>
          <w:sz w:val="18"/>
          <w:szCs w:val="18"/>
          <w:color w:val="0F0F0F"/>
        </w:rPr>
        <w:t>Executive</w:t>
      </w:r>
      <w:r>
        <w:rPr>
          <w:rFonts w:ascii="Arial" w:cs="Arial" w:eastAsia="Arial" w:hAnsi="Arial"/>
          <w:sz w:val="18"/>
          <w:szCs w:val="18"/>
          <w:color w:val="1C1C1C"/>
        </w:rPr>
        <w:t xml:space="preserve"> </w:t>
      </w:r>
      <w:r>
        <w:rPr>
          <w:rFonts w:ascii="Arial" w:cs="Arial" w:eastAsia="Arial" w:hAnsi="Arial"/>
          <w:sz w:val="18"/>
          <w:szCs w:val="18"/>
          <w:color w:val="232323"/>
        </w:rPr>
        <w:t xml:space="preserve">shall </w:t>
      </w:r>
      <w:r>
        <w:rPr>
          <w:rFonts w:ascii="Arial" w:cs="Arial" w:eastAsia="Arial" w:hAnsi="Arial"/>
          <w:sz w:val="18"/>
          <w:szCs w:val="18"/>
          <w:color w:val="1C1C1C"/>
        </w:rPr>
        <w:t>remain</w:t>
      </w:r>
      <w:r>
        <w:rPr>
          <w:rFonts w:ascii="Arial" w:cs="Arial" w:eastAsia="Arial" w:hAnsi="Arial"/>
          <w:sz w:val="18"/>
          <w:szCs w:val="18"/>
          <w:color w:val="232323"/>
        </w:rPr>
        <w:t xml:space="preserve"> </w:t>
      </w:r>
      <w:r>
        <w:rPr>
          <w:rFonts w:ascii="Arial" w:cs="Arial" w:eastAsia="Arial" w:hAnsi="Arial"/>
          <w:sz w:val="18"/>
          <w:szCs w:val="18"/>
          <w:color w:val="212121"/>
        </w:rPr>
        <w:t>subject</w:t>
      </w:r>
      <w:r>
        <w:rPr>
          <w:rFonts w:ascii="Arial" w:cs="Arial" w:eastAsia="Arial" w:hAnsi="Arial"/>
          <w:sz w:val="18"/>
          <w:szCs w:val="18"/>
          <w:color w:val="232323"/>
        </w:rPr>
        <w:t xml:space="preserve"> </w:t>
      </w:r>
      <w:r>
        <w:rPr>
          <w:rFonts w:ascii="Arial" w:cs="Arial" w:eastAsia="Arial" w:hAnsi="Arial"/>
          <w:sz w:val="18"/>
          <w:szCs w:val="18"/>
          <w:color w:val="1A1A1A"/>
        </w:rPr>
        <w:t>to</w:t>
      </w:r>
      <w:r>
        <w:rPr>
          <w:rFonts w:ascii="Arial" w:cs="Arial" w:eastAsia="Arial" w:hAnsi="Arial"/>
          <w:sz w:val="18"/>
          <w:szCs w:val="18"/>
          <w:color w:val="232323"/>
        </w:rPr>
        <w:t xml:space="preserve"> </w:t>
      </w:r>
      <w:r>
        <w:rPr>
          <w:rFonts w:ascii="Arial" w:cs="Arial" w:eastAsia="Arial" w:hAnsi="Arial"/>
          <w:sz w:val="18"/>
          <w:szCs w:val="18"/>
          <w:color w:val="1C1C1C"/>
        </w:rPr>
        <w:t>the</w:t>
      </w:r>
      <w:r>
        <w:rPr>
          <w:rFonts w:ascii="Arial" w:cs="Arial" w:eastAsia="Arial" w:hAnsi="Arial"/>
          <w:sz w:val="18"/>
          <w:szCs w:val="18"/>
          <w:color w:val="232323"/>
        </w:rPr>
        <w:t xml:space="preserve"> </w:t>
      </w:r>
      <w:r>
        <w:rPr>
          <w:rFonts w:ascii="Arial" w:cs="Arial" w:eastAsia="Arial" w:hAnsi="Arial"/>
          <w:sz w:val="18"/>
          <w:szCs w:val="18"/>
          <w:color w:val="0C0C0C"/>
        </w:rPr>
        <w:t>obligations</w:t>
      </w:r>
      <w:r>
        <w:rPr>
          <w:rFonts w:ascii="Arial" w:cs="Arial" w:eastAsia="Arial" w:hAnsi="Arial"/>
          <w:sz w:val="18"/>
          <w:szCs w:val="18"/>
          <w:color w:val="232323"/>
        </w:rPr>
        <w:t xml:space="preserve"> </w:t>
      </w:r>
      <w:r>
        <w:rPr>
          <w:rFonts w:ascii="Arial" w:cs="Arial" w:eastAsia="Arial" w:hAnsi="Arial"/>
          <w:sz w:val="18"/>
          <w:szCs w:val="18"/>
          <w:color w:val="161616"/>
        </w:rPr>
        <w:t>set</w:t>
      </w:r>
      <w:r>
        <w:rPr>
          <w:rFonts w:ascii="Arial" w:cs="Arial" w:eastAsia="Arial" w:hAnsi="Arial"/>
          <w:sz w:val="18"/>
          <w:szCs w:val="18"/>
          <w:color w:val="232323"/>
        </w:rPr>
        <w:t xml:space="preserve"> </w:t>
      </w:r>
      <w:r>
        <w:rPr>
          <w:rFonts w:ascii="Arial" w:cs="Arial" w:eastAsia="Arial" w:hAnsi="Arial"/>
          <w:sz w:val="18"/>
          <w:szCs w:val="18"/>
          <w:color w:val="1F1F1F"/>
        </w:rPr>
        <w:t>forth</w:t>
      </w:r>
      <w:r>
        <w:rPr>
          <w:rFonts w:ascii="Arial" w:cs="Arial" w:eastAsia="Arial" w:hAnsi="Arial"/>
          <w:sz w:val="18"/>
          <w:szCs w:val="18"/>
          <w:color w:val="232323"/>
        </w:rPr>
        <w:t xml:space="preserve"> </w:t>
      </w:r>
      <w:r>
        <w:rPr>
          <w:rFonts w:ascii="Arial" w:cs="Arial" w:eastAsia="Arial" w:hAnsi="Arial"/>
          <w:sz w:val="18"/>
          <w:szCs w:val="18"/>
          <w:color w:val="080808"/>
        </w:rPr>
        <w:t>therein.</w:t>
      </w:r>
      <w:r>
        <w:rPr>
          <w:rFonts w:ascii="Arial" w:cs="Arial" w:eastAsia="Arial" w:hAnsi="Arial"/>
          <w:sz w:val="18"/>
          <w:szCs w:val="18"/>
          <w:color w:val="232323"/>
        </w:rPr>
        <w:t xml:space="preserve"> </w:t>
      </w:r>
      <w:r>
        <w:rPr>
          <w:rFonts w:ascii="Arial" w:cs="Arial" w:eastAsia="Arial" w:hAnsi="Arial"/>
          <w:sz w:val="18"/>
          <w:szCs w:val="18"/>
          <w:color w:val="131313"/>
        </w:rPr>
        <w:t>Executive</w:t>
      </w:r>
      <w:r>
        <w:rPr>
          <w:rFonts w:ascii="Arial" w:cs="Arial" w:eastAsia="Arial" w:hAnsi="Arial"/>
          <w:sz w:val="18"/>
          <w:szCs w:val="18"/>
          <w:color w:val="232323"/>
        </w:rPr>
        <w:t xml:space="preserve"> </w:t>
      </w:r>
      <w:r>
        <w:rPr>
          <w:rFonts w:ascii="Arial" w:cs="Arial" w:eastAsia="Arial" w:hAnsi="Arial"/>
          <w:sz w:val="18"/>
          <w:szCs w:val="18"/>
          <w:color w:val="0A0A0A"/>
        </w:rPr>
        <w:t>understands</w:t>
      </w:r>
      <w:r>
        <w:rPr>
          <w:rFonts w:ascii="Arial" w:cs="Arial" w:eastAsia="Arial" w:hAnsi="Arial"/>
          <w:sz w:val="18"/>
          <w:szCs w:val="18"/>
          <w:color w:val="232323"/>
        </w:rPr>
        <w:t xml:space="preserve"> </w:t>
      </w:r>
      <w:r>
        <w:rPr>
          <w:rFonts w:ascii="Arial" w:cs="Arial" w:eastAsia="Arial" w:hAnsi="Arial"/>
          <w:sz w:val="18"/>
          <w:szCs w:val="18"/>
          <w:color w:val="111111"/>
        </w:rPr>
        <w:t>and</w:t>
      </w:r>
      <w:r>
        <w:rPr>
          <w:rFonts w:ascii="Arial" w:cs="Arial" w:eastAsia="Arial" w:hAnsi="Arial"/>
          <w:sz w:val="18"/>
          <w:szCs w:val="18"/>
          <w:color w:val="232323"/>
        </w:rPr>
        <w:t xml:space="preserve"> </w:t>
      </w:r>
      <w:r>
        <w:rPr>
          <w:rFonts w:ascii="Arial" w:cs="Arial" w:eastAsia="Arial" w:hAnsi="Arial"/>
          <w:sz w:val="18"/>
          <w:szCs w:val="18"/>
          <w:color w:val="1A1A1A"/>
        </w:rPr>
        <w:t>acknowledges</w:t>
      </w:r>
      <w:r>
        <w:rPr>
          <w:rFonts w:ascii="Arial" w:cs="Arial" w:eastAsia="Arial" w:hAnsi="Arial"/>
          <w:sz w:val="18"/>
          <w:szCs w:val="18"/>
          <w:color w:val="232323"/>
        </w:rPr>
        <w:t xml:space="preserve"> </w:t>
      </w:r>
      <w:r>
        <w:rPr>
          <w:rFonts w:ascii="Arial" w:cs="Arial" w:eastAsia="Arial" w:hAnsi="Arial"/>
          <w:sz w:val="18"/>
          <w:szCs w:val="18"/>
          <w:color w:val="161616"/>
        </w:rPr>
        <w:t>that</w:t>
      </w:r>
      <w:r>
        <w:rPr>
          <w:rFonts w:ascii="Arial" w:cs="Arial" w:eastAsia="Arial" w:hAnsi="Arial"/>
          <w:sz w:val="18"/>
          <w:szCs w:val="18"/>
          <w:color w:val="232323"/>
        </w:rPr>
        <w:t xml:space="preserve"> </w:t>
      </w:r>
      <w:r>
        <w:rPr>
          <w:rFonts w:ascii="Arial" w:cs="Arial" w:eastAsia="Arial" w:hAnsi="Arial"/>
          <w:sz w:val="18"/>
          <w:szCs w:val="18"/>
          <w:color w:val="1A1A1A"/>
        </w:rPr>
        <w:t>any</w:t>
      </w:r>
      <w:r>
        <w:rPr>
          <w:rFonts w:ascii="Arial" w:cs="Arial" w:eastAsia="Arial" w:hAnsi="Arial"/>
          <w:sz w:val="18"/>
          <w:szCs w:val="18"/>
          <w:color w:val="232323"/>
        </w:rPr>
        <w:t xml:space="preserve"> </w:t>
      </w:r>
      <w:r>
        <w:rPr>
          <w:rFonts w:ascii="Arial" w:cs="Arial" w:eastAsia="Arial" w:hAnsi="Arial"/>
          <w:sz w:val="18"/>
          <w:szCs w:val="18"/>
          <w:color w:val="1C1C1C"/>
        </w:rPr>
        <w:t>breach</w:t>
      </w:r>
      <w:r>
        <w:rPr>
          <w:rFonts w:ascii="Arial" w:cs="Arial" w:eastAsia="Arial" w:hAnsi="Arial"/>
          <w:sz w:val="18"/>
          <w:szCs w:val="18"/>
          <w:color w:val="232323"/>
        </w:rPr>
        <w:t xml:space="preserve"> </w:t>
      </w:r>
      <w:r>
        <w:rPr>
          <w:rFonts w:ascii="Arial" w:cs="Arial" w:eastAsia="Arial" w:hAnsi="Arial"/>
          <w:sz w:val="18"/>
          <w:szCs w:val="18"/>
          <w:color w:val="212121"/>
        </w:rPr>
        <w:t>of</w:t>
      </w:r>
      <w:r>
        <w:rPr>
          <w:rFonts w:ascii="Arial" w:cs="Arial" w:eastAsia="Arial" w:hAnsi="Arial"/>
          <w:sz w:val="18"/>
          <w:szCs w:val="18"/>
          <w:color w:val="232323"/>
        </w:rPr>
        <w:t xml:space="preserve"> </w:t>
      </w:r>
      <w:r>
        <w:rPr>
          <w:rFonts w:ascii="Arial" w:cs="Arial" w:eastAsia="Arial" w:hAnsi="Arial"/>
          <w:sz w:val="18"/>
          <w:szCs w:val="18"/>
          <w:color w:val="1A1A1A"/>
        </w:rPr>
        <w:t>this</w:t>
      </w:r>
      <w:r>
        <w:rPr>
          <w:rFonts w:ascii="Arial" w:cs="Arial" w:eastAsia="Arial" w:hAnsi="Arial"/>
          <w:sz w:val="18"/>
          <w:szCs w:val="18"/>
          <w:color w:val="232323"/>
        </w:rPr>
        <w:t xml:space="preserve"> </w:t>
      </w:r>
      <w:r>
        <w:rPr>
          <w:rFonts w:ascii="Arial" w:cs="Arial" w:eastAsia="Arial" w:hAnsi="Arial"/>
          <w:sz w:val="18"/>
          <w:szCs w:val="18"/>
          <w:color w:val="0C0C0C"/>
        </w:rPr>
        <w:t>Agreement or</w:t>
      </w:r>
      <w:r>
        <w:rPr>
          <w:rFonts w:ascii="Arial" w:cs="Arial" w:eastAsia="Arial" w:hAnsi="Arial"/>
          <w:sz w:val="18"/>
          <w:szCs w:val="18"/>
          <w:color w:val="232323"/>
        </w:rPr>
        <w:t xml:space="preserve"> </w:t>
      </w:r>
      <w:r>
        <w:rPr>
          <w:rFonts w:ascii="Arial" w:cs="Arial" w:eastAsia="Arial" w:hAnsi="Arial"/>
          <w:sz w:val="18"/>
          <w:szCs w:val="18"/>
          <w:color w:val="0F0F0F"/>
        </w:rPr>
        <w:t>Executive’s</w:t>
      </w:r>
      <w:r>
        <w:rPr>
          <w:rFonts w:ascii="Arial" w:cs="Arial" w:eastAsia="Arial" w:hAnsi="Arial"/>
          <w:sz w:val="18"/>
          <w:szCs w:val="18"/>
          <w:color w:val="232323"/>
        </w:rPr>
        <w:t xml:space="preserve"> </w:t>
      </w:r>
      <w:r>
        <w:rPr>
          <w:rFonts w:ascii="Arial" w:cs="Arial" w:eastAsia="Arial" w:hAnsi="Arial"/>
          <w:sz w:val="18"/>
          <w:szCs w:val="18"/>
          <w:color w:val="151515"/>
        </w:rPr>
        <w:t xml:space="preserve">continuing </w:t>
      </w:r>
      <w:r>
        <w:rPr>
          <w:rFonts w:ascii="Arial" w:cs="Arial" w:eastAsia="Arial" w:hAnsi="Arial"/>
          <w:sz w:val="18"/>
          <w:szCs w:val="18"/>
          <w:color w:val="0C0C0C"/>
        </w:rPr>
        <w:t>obligations</w:t>
      </w:r>
      <w:r>
        <w:rPr>
          <w:rFonts w:ascii="Arial" w:cs="Arial" w:eastAsia="Arial" w:hAnsi="Arial"/>
          <w:sz w:val="18"/>
          <w:szCs w:val="18"/>
          <w:color w:val="151515"/>
        </w:rPr>
        <w:t xml:space="preserve"> </w:t>
      </w:r>
      <w:r>
        <w:rPr>
          <w:rFonts w:ascii="Arial" w:cs="Arial" w:eastAsia="Arial" w:hAnsi="Arial"/>
          <w:sz w:val="18"/>
          <w:szCs w:val="18"/>
          <w:color w:val="212121"/>
        </w:rPr>
        <w:t>under</w:t>
      </w:r>
      <w:r>
        <w:rPr>
          <w:rFonts w:ascii="Arial" w:cs="Arial" w:eastAsia="Arial" w:hAnsi="Arial"/>
          <w:sz w:val="18"/>
          <w:szCs w:val="18"/>
          <w:color w:val="151515"/>
        </w:rPr>
        <w:t xml:space="preserve"> </w:t>
      </w:r>
      <w:r>
        <w:rPr>
          <w:rFonts w:ascii="Arial" w:cs="Arial" w:eastAsia="Arial" w:hAnsi="Arial"/>
          <w:sz w:val="18"/>
          <w:szCs w:val="18"/>
          <w:color w:val="1C1C1C"/>
        </w:rPr>
        <w:t>the</w:t>
      </w:r>
      <w:r>
        <w:rPr>
          <w:rFonts w:ascii="Arial" w:cs="Arial" w:eastAsia="Arial" w:hAnsi="Arial"/>
          <w:sz w:val="18"/>
          <w:szCs w:val="18"/>
          <w:color w:val="151515"/>
        </w:rPr>
        <w:t xml:space="preserve"> Noncompete </w:t>
      </w:r>
      <w:r>
        <w:rPr>
          <w:rFonts w:ascii="Arial" w:cs="Arial" w:eastAsia="Arial" w:hAnsi="Arial"/>
          <w:sz w:val="18"/>
          <w:szCs w:val="18"/>
          <w:color w:val="111111"/>
        </w:rPr>
        <w:t>Agreement</w:t>
      </w:r>
      <w:r>
        <w:rPr>
          <w:rFonts w:ascii="Arial" w:cs="Arial" w:eastAsia="Arial" w:hAnsi="Arial"/>
          <w:sz w:val="18"/>
          <w:szCs w:val="18"/>
          <w:color w:val="151515"/>
        </w:rPr>
        <w:t xml:space="preserve"> </w:t>
      </w:r>
      <w:r>
        <w:rPr>
          <w:rFonts w:ascii="Arial" w:cs="Arial" w:eastAsia="Arial" w:hAnsi="Arial"/>
          <w:sz w:val="18"/>
          <w:szCs w:val="18"/>
          <w:color w:val="1C1C1C"/>
        </w:rPr>
        <w:t>will</w:t>
      </w:r>
      <w:r>
        <w:rPr>
          <w:rFonts w:ascii="Arial" w:cs="Arial" w:eastAsia="Arial" w:hAnsi="Arial"/>
          <w:sz w:val="18"/>
          <w:szCs w:val="18"/>
          <w:color w:val="151515"/>
        </w:rPr>
        <w:t xml:space="preserve"> </w:t>
      </w:r>
      <w:r>
        <w:rPr>
          <w:rFonts w:ascii="Arial" w:cs="Arial" w:eastAsia="Arial" w:hAnsi="Arial"/>
          <w:sz w:val="18"/>
          <w:szCs w:val="18"/>
          <w:color w:val="181818"/>
        </w:rPr>
        <w:t>entitle</w:t>
      </w:r>
      <w:r>
        <w:rPr>
          <w:rFonts w:ascii="Arial" w:cs="Arial" w:eastAsia="Arial" w:hAnsi="Arial"/>
          <w:sz w:val="18"/>
          <w:szCs w:val="18"/>
          <w:color w:val="151515"/>
        </w:rPr>
        <w:t xml:space="preserve"> </w:t>
      </w:r>
      <w:r>
        <w:rPr>
          <w:rFonts w:ascii="Arial" w:cs="Arial" w:eastAsia="Arial" w:hAnsi="Arial"/>
          <w:sz w:val="18"/>
          <w:szCs w:val="18"/>
          <w:color w:val="1A1A1A"/>
        </w:rPr>
        <w:t>the</w:t>
      </w:r>
      <w:r>
        <w:rPr>
          <w:rFonts w:ascii="Arial" w:cs="Arial" w:eastAsia="Arial" w:hAnsi="Arial"/>
          <w:sz w:val="18"/>
          <w:szCs w:val="18"/>
          <w:color w:val="151515"/>
        </w:rPr>
        <w:t xml:space="preserve"> </w:t>
      </w:r>
      <w:r>
        <w:rPr>
          <w:rFonts w:ascii="Arial" w:cs="Arial" w:eastAsia="Arial" w:hAnsi="Arial"/>
          <w:sz w:val="18"/>
          <w:szCs w:val="18"/>
          <w:color w:val="111111"/>
        </w:rPr>
        <w:t>Company</w:t>
      </w:r>
      <w:r>
        <w:rPr>
          <w:rFonts w:ascii="Arial" w:cs="Arial" w:eastAsia="Arial" w:hAnsi="Arial"/>
          <w:sz w:val="18"/>
          <w:szCs w:val="18"/>
          <w:color w:val="151515"/>
        </w:rPr>
        <w:t xml:space="preserve"> </w:t>
      </w:r>
      <w:r>
        <w:rPr>
          <w:rFonts w:ascii="Arial" w:cs="Arial" w:eastAsia="Arial" w:hAnsi="Arial"/>
          <w:sz w:val="18"/>
          <w:szCs w:val="18"/>
          <w:color w:val="1D1D1D"/>
        </w:rPr>
        <w:t>to</w:t>
      </w:r>
      <w:r>
        <w:rPr>
          <w:rFonts w:ascii="Arial" w:cs="Arial" w:eastAsia="Arial" w:hAnsi="Arial"/>
          <w:sz w:val="18"/>
          <w:szCs w:val="18"/>
          <w:color w:val="151515"/>
        </w:rPr>
        <w:t xml:space="preserve"> </w:t>
      </w:r>
      <w:r>
        <w:rPr>
          <w:rFonts w:ascii="Arial" w:cs="Arial" w:eastAsia="Arial" w:hAnsi="Arial"/>
          <w:sz w:val="18"/>
          <w:szCs w:val="18"/>
          <w:color w:val="131313"/>
        </w:rPr>
        <w:t>cease</w:t>
      </w:r>
      <w:r>
        <w:rPr>
          <w:rFonts w:ascii="Arial" w:cs="Arial" w:eastAsia="Arial" w:hAnsi="Arial"/>
          <w:sz w:val="18"/>
          <w:szCs w:val="18"/>
          <w:color w:val="151515"/>
        </w:rPr>
        <w:t xml:space="preserve"> </w:t>
      </w:r>
      <w:r>
        <w:rPr>
          <w:rFonts w:ascii="Arial" w:cs="Arial" w:eastAsia="Arial" w:hAnsi="Arial"/>
          <w:sz w:val="18"/>
          <w:szCs w:val="18"/>
          <w:color w:val="161616"/>
        </w:rPr>
        <w:t>making</w:t>
      </w:r>
      <w:r>
        <w:rPr>
          <w:rFonts w:ascii="Arial" w:cs="Arial" w:eastAsia="Arial" w:hAnsi="Arial"/>
          <w:sz w:val="18"/>
          <w:szCs w:val="18"/>
          <w:color w:val="151515"/>
        </w:rPr>
        <w:t xml:space="preserve"> </w:t>
      </w:r>
      <w:r>
        <w:rPr>
          <w:rFonts w:ascii="Arial" w:cs="Arial" w:eastAsia="Arial" w:hAnsi="Arial"/>
          <w:sz w:val="18"/>
          <w:szCs w:val="18"/>
          <w:color w:val="232323"/>
        </w:rPr>
        <w:t>the</w:t>
      </w:r>
      <w:r>
        <w:rPr>
          <w:rFonts w:ascii="Arial" w:cs="Arial" w:eastAsia="Arial" w:hAnsi="Arial"/>
          <w:sz w:val="18"/>
          <w:szCs w:val="18"/>
          <w:color w:val="151515"/>
        </w:rPr>
        <w:t xml:space="preserve"> </w:t>
      </w:r>
      <w:r>
        <w:rPr>
          <w:rFonts w:ascii="Arial" w:cs="Arial" w:eastAsia="Arial" w:hAnsi="Arial"/>
          <w:sz w:val="18"/>
          <w:szCs w:val="18"/>
          <w:color w:val="161616"/>
        </w:rPr>
        <w:t>payments</w:t>
      </w:r>
      <w:r>
        <w:rPr>
          <w:rFonts w:ascii="Arial" w:cs="Arial" w:eastAsia="Arial" w:hAnsi="Arial"/>
          <w:sz w:val="18"/>
          <w:szCs w:val="18"/>
          <w:color w:val="151515"/>
        </w:rPr>
        <w:t xml:space="preserve"> </w:t>
      </w:r>
      <w:r>
        <w:rPr>
          <w:rFonts w:ascii="Arial" w:cs="Arial" w:eastAsia="Arial" w:hAnsi="Arial"/>
          <w:sz w:val="18"/>
          <w:szCs w:val="18"/>
          <w:color w:val="131313"/>
        </w:rPr>
        <w:t>described</w:t>
      </w:r>
      <w:r>
        <w:rPr>
          <w:rFonts w:ascii="Arial" w:cs="Arial" w:eastAsia="Arial" w:hAnsi="Arial"/>
          <w:sz w:val="18"/>
          <w:szCs w:val="18"/>
          <w:color w:val="151515"/>
        </w:rPr>
        <w:t xml:space="preserve"> </w:t>
      </w:r>
      <w:r>
        <w:rPr>
          <w:rFonts w:ascii="Arial" w:cs="Arial" w:eastAsia="Arial" w:hAnsi="Arial"/>
          <w:sz w:val="18"/>
          <w:szCs w:val="18"/>
          <w:color w:val="181818"/>
        </w:rPr>
        <w:t>in Paragraph</w:t>
      </w:r>
      <w:r>
        <w:rPr>
          <w:rFonts w:ascii="Arial" w:cs="Arial" w:eastAsia="Arial" w:hAnsi="Arial"/>
          <w:sz w:val="18"/>
          <w:szCs w:val="18"/>
          <w:color w:val="151515"/>
        </w:rPr>
        <w:t xml:space="preserve"> </w:t>
      </w:r>
      <w:r>
        <w:rPr>
          <w:rFonts w:ascii="Arial" w:cs="Arial" w:eastAsia="Arial" w:hAnsi="Arial"/>
          <w:sz w:val="18"/>
          <w:szCs w:val="18"/>
          <w:color w:val="0C0C0C"/>
        </w:rPr>
        <w:t>2</w:t>
      </w:r>
      <w:r>
        <w:rPr>
          <w:rFonts w:ascii="Arial" w:cs="Arial" w:eastAsia="Arial" w:hAnsi="Arial"/>
          <w:sz w:val="18"/>
          <w:szCs w:val="18"/>
          <w:color w:val="151515"/>
        </w:rPr>
        <w:t xml:space="preserve"> </w:t>
      </w:r>
      <w:r>
        <w:rPr>
          <w:rFonts w:ascii="Arial" w:cs="Arial" w:eastAsia="Arial" w:hAnsi="Arial"/>
          <w:sz w:val="18"/>
          <w:szCs w:val="18"/>
          <w:color w:val="232323"/>
        </w:rPr>
        <w:t>above</w:t>
      </w:r>
      <w:r>
        <w:rPr>
          <w:rFonts w:ascii="Arial" w:cs="Arial" w:eastAsia="Arial" w:hAnsi="Arial"/>
          <w:sz w:val="18"/>
          <w:szCs w:val="18"/>
          <w:color w:val="111111"/>
        </w:rPr>
        <w:t>,</w:t>
      </w:r>
      <w:r>
        <w:rPr>
          <w:rFonts w:ascii="Arial" w:cs="Arial" w:eastAsia="Arial" w:hAnsi="Arial"/>
          <w:sz w:val="18"/>
          <w:szCs w:val="18"/>
          <w:color w:val="151515"/>
        </w:rPr>
        <w:t xml:space="preserve"> </w:t>
      </w:r>
      <w:r>
        <w:rPr>
          <w:rFonts w:ascii="Arial" w:cs="Arial" w:eastAsia="Arial" w:hAnsi="Arial"/>
          <w:sz w:val="18"/>
          <w:szCs w:val="18"/>
          <w:color w:val="111111"/>
        </w:rPr>
        <w:t xml:space="preserve">and recover </w:t>
      </w:r>
      <w:r>
        <w:rPr>
          <w:rFonts w:ascii="Arial" w:cs="Arial" w:eastAsia="Arial" w:hAnsi="Arial"/>
          <w:sz w:val="18"/>
          <w:szCs w:val="18"/>
          <w:color w:val="0F0F0F"/>
        </w:rPr>
        <w:t>any</w:t>
      </w:r>
      <w:r>
        <w:rPr>
          <w:rFonts w:ascii="Arial" w:cs="Arial" w:eastAsia="Arial" w:hAnsi="Arial"/>
          <w:sz w:val="18"/>
          <w:szCs w:val="18"/>
          <w:color w:val="111111"/>
        </w:rPr>
        <w:t xml:space="preserve"> </w:t>
      </w:r>
      <w:r>
        <w:rPr>
          <w:rFonts w:ascii="Arial" w:cs="Arial" w:eastAsia="Arial" w:hAnsi="Arial"/>
          <w:sz w:val="18"/>
          <w:szCs w:val="18"/>
          <w:color w:val="181818"/>
        </w:rPr>
        <w:t>such</w:t>
      </w:r>
      <w:r>
        <w:rPr>
          <w:rFonts w:ascii="Arial" w:cs="Arial" w:eastAsia="Arial" w:hAnsi="Arial"/>
          <w:sz w:val="18"/>
          <w:szCs w:val="18"/>
          <w:color w:val="111111"/>
        </w:rPr>
        <w:t xml:space="preserve"> </w:t>
      </w:r>
      <w:r>
        <w:rPr>
          <w:rFonts w:ascii="Arial" w:cs="Arial" w:eastAsia="Arial" w:hAnsi="Arial"/>
          <w:sz w:val="18"/>
          <w:szCs w:val="18"/>
          <w:color w:val="0E0E0E"/>
        </w:rPr>
        <w:t>payments previously</w:t>
      </w:r>
      <w:r>
        <w:rPr>
          <w:rFonts w:ascii="Arial" w:cs="Arial" w:eastAsia="Arial" w:hAnsi="Arial"/>
          <w:sz w:val="18"/>
          <w:szCs w:val="18"/>
          <w:color w:val="111111"/>
        </w:rPr>
        <w:t xml:space="preserve"> </w:t>
      </w:r>
      <w:r>
        <w:rPr>
          <w:rFonts w:ascii="Arial" w:cs="Arial" w:eastAsia="Arial" w:hAnsi="Arial"/>
          <w:sz w:val="18"/>
          <w:szCs w:val="18"/>
          <w:color w:val="1D1D1D"/>
        </w:rPr>
        <w:t>made,</w:t>
      </w:r>
      <w:r>
        <w:rPr>
          <w:rFonts w:ascii="Arial" w:cs="Arial" w:eastAsia="Arial" w:hAnsi="Arial"/>
          <w:sz w:val="18"/>
          <w:szCs w:val="18"/>
          <w:color w:val="111111"/>
        </w:rPr>
        <w:t xml:space="preserve"> </w:t>
      </w:r>
      <w:r>
        <w:rPr>
          <w:rFonts w:ascii="Arial" w:cs="Arial" w:eastAsia="Arial" w:hAnsi="Arial"/>
          <w:sz w:val="18"/>
          <w:szCs w:val="18"/>
          <w:color w:val="1F1F1F"/>
        </w:rPr>
        <w:t>in</w:t>
      </w:r>
      <w:r>
        <w:rPr>
          <w:rFonts w:ascii="Arial" w:cs="Arial" w:eastAsia="Arial" w:hAnsi="Arial"/>
          <w:sz w:val="18"/>
          <w:szCs w:val="18"/>
          <w:color w:val="111111"/>
        </w:rPr>
        <w:t xml:space="preserve"> </w:t>
      </w:r>
      <w:r>
        <w:rPr>
          <w:rFonts w:ascii="Arial" w:cs="Arial" w:eastAsia="Arial" w:hAnsi="Arial"/>
          <w:sz w:val="18"/>
          <w:szCs w:val="18"/>
          <w:color w:val="151515"/>
        </w:rPr>
        <w:t>addition</w:t>
      </w:r>
      <w:r>
        <w:rPr>
          <w:rFonts w:ascii="Arial" w:cs="Arial" w:eastAsia="Arial" w:hAnsi="Arial"/>
          <w:sz w:val="18"/>
          <w:szCs w:val="18"/>
          <w:color w:val="111111"/>
        </w:rPr>
        <w:t xml:space="preserve"> </w:t>
      </w:r>
      <w:r>
        <w:rPr>
          <w:rFonts w:ascii="Arial" w:cs="Arial" w:eastAsia="Arial" w:hAnsi="Arial"/>
          <w:sz w:val="18"/>
          <w:szCs w:val="18"/>
          <w:color w:val="212121"/>
        </w:rPr>
        <w:t>to</w:t>
      </w:r>
      <w:r>
        <w:rPr>
          <w:rFonts w:ascii="Arial" w:cs="Arial" w:eastAsia="Arial" w:hAnsi="Arial"/>
          <w:sz w:val="18"/>
          <w:szCs w:val="18"/>
          <w:color w:val="111111"/>
        </w:rPr>
        <w:t xml:space="preserve"> </w:t>
      </w:r>
      <w:r>
        <w:rPr>
          <w:rFonts w:ascii="Arial" w:cs="Arial" w:eastAsia="Arial" w:hAnsi="Arial"/>
          <w:sz w:val="18"/>
          <w:szCs w:val="18"/>
          <w:color w:val="181818"/>
        </w:rPr>
        <w:t>any</w:t>
      </w:r>
      <w:r>
        <w:rPr>
          <w:rFonts w:ascii="Arial" w:cs="Arial" w:eastAsia="Arial" w:hAnsi="Arial"/>
          <w:sz w:val="18"/>
          <w:szCs w:val="18"/>
          <w:color w:val="111111"/>
        </w:rPr>
        <w:t xml:space="preserve"> </w:t>
      </w:r>
      <w:r>
        <w:rPr>
          <w:rFonts w:ascii="Arial" w:cs="Arial" w:eastAsia="Arial" w:hAnsi="Arial"/>
          <w:sz w:val="18"/>
          <w:szCs w:val="18"/>
          <w:color w:val="0F0F0F"/>
        </w:rPr>
        <w:t>other remedies that</w:t>
      </w:r>
      <w:r>
        <w:rPr>
          <w:rFonts w:ascii="Arial" w:cs="Arial" w:eastAsia="Arial" w:hAnsi="Arial"/>
          <w:sz w:val="18"/>
          <w:szCs w:val="18"/>
          <w:color w:val="111111"/>
        </w:rPr>
        <w:t xml:space="preserve"> </w:t>
      </w:r>
      <w:r>
        <w:rPr>
          <w:rFonts w:ascii="Arial" w:cs="Arial" w:eastAsia="Arial" w:hAnsi="Arial"/>
          <w:sz w:val="18"/>
          <w:szCs w:val="18"/>
          <w:color w:val="0A0A0A"/>
        </w:rPr>
        <w:t>may</w:t>
      </w:r>
      <w:r>
        <w:rPr>
          <w:rFonts w:ascii="Arial" w:cs="Arial" w:eastAsia="Arial" w:hAnsi="Arial"/>
          <w:sz w:val="18"/>
          <w:szCs w:val="18"/>
          <w:color w:val="111111"/>
        </w:rPr>
        <w:t xml:space="preserve"> </w:t>
      </w:r>
      <w:r>
        <w:rPr>
          <w:rFonts w:ascii="Arial" w:cs="Arial" w:eastAsia="Arial" w:hAnsi="Arial"/>
          <w:sz w:val="18"/>
          <w:szCs w:val="18"/>
          <w:color w:val="161616"/>
        </w:rPr>
        <w:t>be</w:t>
      </w:r>
      <w:r>
        <w:rPr>
          <w:rFonts w:ascii="Arial" w:cs="Arial" w:eastAsia="Arial" w:hAnsi="Arial"/>
          <w:sz w:val="18"/>
          <w:szCs w:val="18"/>
          <w:color w:val="111111"/>
        </w:rPr>
        <w:t xml:space="preserve"> </w:t>
      </w:r>
      <w:r>
        <w:rPr>
          <w:rFonts w:ascii="Arial" w:cs="Arial" w:eastAsia="Arial" w:hAnsi="Arial"/>
          <w:sz w:val="18"/>
          <w:szCs w:val="18"/>
          <w:color w:val="0E0E0E"/>
        </w:rPr>
        <w:t>available</w:t>
      </w:r>
      <w:r>
        <w:rPr>
          <w:rFonts w:ascii="Arial" w:cs="Arial" w:eastAsia="Arial" w:hAnsi="Arial"/>
          <w:sz w:val="18"/>
          <w:szCs w:val="18"/>
          <w:color w:val="111111"/>
        </w:rPr>
        <w:t xml:space="preserve"> to </w:t>
      </w:r>
      <w:r>
        <w:rPr>
          <w:rFonts w:ascii="Arial" w:cs="Arial" w:eastAsia="Arial" w:hAnsi="Arial"/>
          <w:sz w:val="18"/>
          <w:szCs w:val="18"/>
          <w:color w:val="212121"/>
        </w:rPr>
        <w:t>the</w:t>
      </w:r>
      <w:r>
        <w:rPr>
          <w:rFonts w:ascii="Arial" w:cs="Arial" w:eastAsia="Arial" w:hAnsi="Arial"/>
          <w:sz w:val="18"/>
          <w:szCs w:val="18"/>
          <w:color w:val="111111"/>
        </w:rPr>
        <w:t xml:space="preserve"> </w:t>
      </w:r>
      <w:r>
        <w:rPr>
          <w:rFonts w:ascii="Arial" w:cs="Arial" w:eastAsia="Arial" w:hAnsi="Arial"/>
          <w:sz w:val="18"/>
          <w:szCs w:val="18"/>
          <w:color w:val="131313"/>
        </w:rPr>
        <w:t>Company.</w:t>
      </w:r>
      <w:r>
        <w:rPr>
          <w:rFonts w:ascii="Arial" w:cs="Arial" w:eastAsia="Arial" w:hAnsi="Arial"/>
          <w:sz w:val="18"/>
          <w:szCs w:val="18"/>
          <w:color w:val="111111"/>
        </w:rPr>
        <w:t xml:space="preserve"> </w:t>
      </w:r>
      <w:r>
        <w:rPr>
          <w:rFonts w:ascii="Arial" w:cs="Arial" w:eastAsia="Arial" w:hAnsi="Arial"/>
          <w:sz w:val="18"/>
          <w:szCs w:val="18"/>
          <w:color w:val="232323"/>
        </w:rPr>
        <w:t>This</w:t>
      </w:r>
      <w:r>
        <w:rPr>
          <w:rFonts w:ascii="Arial" w:cs="Arial" w:eastAsia="Arial" w:hAnsi="Arial"/>
          <w:sz w:val="18"/>
          <w:szCs w:val="18"/>
          <w:color w:val="111111"/>
        </w:rPr>
        <w:t xml:space="preserve"> </w:t>
      </w:r>
      <w:r>
        <w:rPr>
          <w:rFonts w:ascii="Arial" w:cs="Arial" w:eastAsia="Arial" w:hAnsi="Arial"/>
          <w:sz w:val="18"/>
          <w:szCs w:val="18"/>
          <w:color w:val="131313"/>
        </w:rPr>
        <w:t>Agreement</w:t>
      </w:r>
      <w:r>
        <w:rPr>
          <w:rFonts w:ascii="Arial" w:cs="Arial" w:eastAsia="Arial" w:hAnsi="Arial"/>
          <w:sz w:val="18"/>
          <w:szCs w:val="18"/>
          <w:color w:val="111111"/>
        </w:rPr>
        <w:t xml:space="preserve"> may </w:t>
      </w:r>
      <w:r>
        <w:rPr>
          <w:rFonts w:ascii="Arial" w:cs="Arial" w:eastAsia="Arial" w:hAnsi="Arial"/>
          <w:sz w:val="18"/>
          <w:szCs w:val="18"/>
          <w:color w:val="131313"/>
        </w:rPr>
        <w:t xml:space="preserve">not </w:t>
      </w:r>
      <w:r>
        <w:rPr>
          <w:rFonts w:ascii="Arial" w:cs="Arial" w:eastAsia="Arial" w:hAnsi="Arial"/>
          <w:sz w:val="18"/>
          <w:szCs w:val="18"/>
          <w:color w:val="0C0C0C"/>
        </w:rPr>
        <w:t>be</w:t>
      </w:r>
      <w:r>
        <w:rPr>
          <w:rFonts w:ascii="Arial" w:cs="Arial" w:eastAsia="Arial" w:hAnsi="Arial"/>
          <w:sz w:val="18"/>
          <w:szCs w:val="18"/>
          <w:color w:val="131313"/>
        </w:rPr>
        <w:t xml:space="preserve"> </w:t>
      </w:r>
      <w:r>
        <w:rPr>
          <w:rFonts w:ascii="Arial" w:cs="Arial" w:eastAsia="Arial" w:hAnsi="Arial"/>
          <w:sz w:val="18"/>
          <w:szCs w:val="18"/>
          <w:color w:val="111111"/>
        </w:rPr>
        <w:t>amended</w:t>
      </w:r>
      <w:r>
        <w:rPr>
          <w:rFonts w:ascii="Arial" w:cs="Arial" w:eastAsia="Arial" w:hAnsi="Arial"/>
          <w:sz w:val="18"/>
          <w:szCs w:val="18"/>
          <w:color w:val="131313"/>
        </w:rPr>
        <w:t xml:space="preserve"> </w:t>
      </w:r>
      <w:r>
        <w:rPr>
          <w:rFonts w:ascii="Arial" w:cs="Arial" w:eastAsia="Arial" w:hAnsi="Arial"/>
          <w:sz w:val="18"/>
          <w:szCs w:val="18"/>
          <w:color w:val="232323"/>
        </w:rPr>
        <w:t>or</w:t>
      </w:r>
      <w:r>
        <w:rPr>
          <w:rFonts w:ascii="Arial" w:cs="Arial" w:eastAsia="Arial" w:hAnsi="Arial"/>
          <w:sz w:val="18"/>
          <w:szCs w:val="18"/>
          <w:color w:val="131313"/>
        </w:rPr>
        <w:t xml:space="preserve"> </w:t>
      </w:r>
      <w:r>
        <w:rPr>
          <w:rFonts w:ascii="Arial" w:cs="Arial" w:eastAsia="Arial" w:hAnsi="Arial"/>
          <w:sz w:val="18"/>
          <w:szCs w:val="18"/>
          <w:color w:val="0F0F0F"/>
        </w:rPr>
        <w:t>modified</w:t>
      </w:r>
      <w:r>
        <w:rPr>
          <w:rFonts w:ascii="Arial" w:cs="Arial" w:eastAsia="Arial" w:hAnsi="Arial"/>
          <w:sz w:val="18"/>
          <w:szCs w:val="18"/>
          <w:color w:val="131313"/>
        </w:rPr>
        <w:t xml:space="preserve"> </w:t>
      </w:r>
      <w:r>
        <w:rPr>
          <w:rFonts w:ascii="Arial" w:cs="Arial" w:eastAsia="Arial" w:hAnsi="Arial"/>
          <w:sz w:val="18"/>
          <w:szCs w:val="18"/>
          <w:color w:val="000000"/>
        </w:rPr>
        <w:t>except</w:t>
      </w:r>
      <w:r>
        <w:rPr>
          <w:rFonts w:ascii="Arial" w:cs="Arial" w:eastAsia="Arial" w:hAnsi="Arial"/>
          <w:sz w:val="18"/>
          <w:szCs w:val="18"/>
          <w:color w:val="131313"/>
        </w:rPr>
        <w:t xml:space="preserve"> </w:t>
      </w:r>
      <w:r>
        <w:rPr>
          <w:rFonts w:ascii="Arial" w:cs="Arial" w:eastAsia="Arial" w:hAnsi="Arial"/>
          <w:sz w:val="18"/>
          <w:szCs w:val="18"/>
          <w:color w:val="151515"/>
        </w:rPr>
        <w:t>by</w:t>
      </w:r>
      <w:r>
        <w:rPr>
          <w:rFonts w:ascii="Arial" w:cs="Arial" w:eastAsia="Arial" w:hAnsi="Arial"/>
          <w:sz w:val="18"/>
          <w:szCs w:val="18"/>
          <w:color w:val="131313"/>
        </w:rPr>
        <w:t xml:space="preserve"> </w:t>
      </w:r>
      <w:r>
        <w:rPr>
          <w:rFonts w:ascii="Arial" w:cs="Arial" w:eastAsia="Arial" w:hAnsi="Arial"/>
          <w:sz w:val="18"/>
          <w:szCs w:val="18"/>
          <w:color w:val="232323"/>
        </w:rPr>
        <w:t>a</w:t>
      </w:r>
      <w:r>
        <w:rPr>
          <w:rFonts w:ascii="Arial" w:cs="Arial" w:eastAsia="Arial" w:hAnsi="Arial"/>
          <w:sz w:val="18"/>
          <w:szCs w:val="18"/>
          <w:color w:val="131313"/>
        </w:rPr>
        <w:t xml:space="preserve"> </w:t>
      </w:r>
      <w:r>
        <w:rPr>
          <w:rFonts w:ascii="Arial" w:cs="Arial" w:eastAsia="Arial" w:hAnsi="Arial"/>
          <w:sz w:val="18"/>
          <w:szCs w:val="18"/>
          <w:color w:val="0E0E0E"/>
        </w:rPr>
        <w:t>written</w:t>
      </w:r>
      <w:r>
        <w:rPr>
          <w:rFonts w:ascii="Arial" w:cs="Arial" w:eastAsia="Arial" w:hAnsi="Arial"/>
          <w:sz w:val="18"/>
          <w:szCs w:val="18"/>
          <w:color w:val="131313"/>
        </w:rPr>
        <w:t xml:space="preserve"> </w:t>
      </w:r>
      <w:r>
        <w:rPr>
          <w:rFonts w:ascii="Arial" w:cs="Arial" w:eastAsia="Arial" w:hAnsi="Arial"/>
          <w:sz w:val="18"/>
          <w:szCs w:val="18"/>
          <w:color w:val="0C0C0C"/>
        </w:rPr>
        <w:t>agreement</w:t>
      </w:r>
      <w:r>
        <w:rPr>
          <w:rFonts w:ascii="Arial" w:cs="Arial" w:eastAsia="Arial" w:hAnsi="Arial"/>
          <w:sz w:val="18"/>
          <w:szCs w:val="18"/>
          <w:color w:val="131313"/>
        </w:rPr>
        <w:t xml:space="preserve"> </w:t>
      </w:r>
      <w:r>
        <w:rPr>
          <w:rFonts w:ascii="Arial" w:cs="Arial" w:eastAsia="Arial" w:hAnsi="Arial"/>
          <w:sz w:val="18"/>
          <w:szCs w:val="18"/>
          <w:color w:val="282828"/>
        </w:rPr>
        <w:t>sig</w:t>
      </w:r>
      <w:r>
        <w:rPr>
          <w:rFonts w:ascii="Arial" w:cs="Arial" w:eastAsia="Arial" w:hAnsi="Arial"/>
          <w:sz w:val="18"/>
          <w:szCs w:val="18"/>
          <w:color w:val="1F1F1F"/>
        </w:rPr>
        <w:t>ned</w:t>
      </w:r>
      <w:r>
        <w:rPr>
          <w:rFonts w:ascii="Arial" w:cs="Arial" w:eastAsia="Arial" w:hAnsi="Arial"/>
          <w:sz w:val="18"/>
          <w:szCs w:val="18"/>
          <w:color w:val="131313"/>
        </w:rPr>
        <w:t xml:space="preserve"> by </w:t>
      </w:r>
      <w:r>
        <w:rPr>
          <w:rFonts w:ascii="Arial" w:cs="Arial" w:eastAsia="Arial" w:hAnsi="Arial"/>
          <w:sz w:val="18"/>
          <w:szCs w:val="18"/>
          <w:color w:val="0C0C0C"/>
        </w:rPr>
        <w:t>Executive and</w:t>
      </w:r>
      <w:r>
        <w:rPr>
          <w:rFonts w:ascii="Arial" w:cs="Arial" w:eastAsia="Arial" w:hAnsi="Arial"/>
          <w:sz w:val="18"/>
          <w:szCs w:val="18"/>
          <w:color w:val="131313"/>
        </w:rPr>
        <w:t xml:space="preserve"> </w:t>
      </w:r>
      <w:r>
        <w:rPr>
          <w:rFonts w:ascii="Arial" w:cs="Arial" w:eastAsia="Arial" w:hAnsi="Arial"/>
          <w:sz w:val="18"/>
          <w:szCs w:val="18"/>
          <w:color w:val="242424"/>
        </w:rPr>
        <w:t>the</w:t>
      </w:r>
      <w:r>
        <w:rPr>
          <w:rFonts w:ascii="Arial" w:cs="Arial" w:eastAsia="Arial" w:hAnsi="Arial"/>
          <w:sz w:val="18"/>
          <w:szCs w:val="18"/>
          <w:color w:val="131313"/>
        </w:rPr>
        <w:t xml:space="preserve"> </w:t>
      </w:r>
      <w:r>
        <w:rPr>
          <w:rFonts w:ascii="Arial" w:cs="Arial" w:eastAsia="Arial" w:hAnsi="Arial"/>
          <w:sz w:val="18"/>
          <w:szCs w:val="18"/>
          <w:color w:val="1A1A1A"/>
        </w:rPr>
        <w:t>Company’s</w:t>
      </w:r>
      <w:r>
        <w:rPr>
          <w:rFonts w:ascii="Arial" w:cs="Arial" w:eastAsia="Arial" w:hAnsi="Arial"/>
          <w:sz w:val="18"/>
          <w:szCs w:val="18"/>
          <w:color w:val="131313"/>
        </w:rPr>
        <w:t xml:space="preserve"> </w:t>
      </w:r>
      <w:r>
        <w:rPr>
          <w:rFonts w:ascii="Arial" w:cs="Arial" w:eastAsia="Arial" w:hAnsi="Arial"/>
          <w:sz w:val="18"/>
          <w:szCs w:val="18"/>
          <w:color w:val="0F0F0F"/>
        </w:rPr>
        <w:t>Chief Executive Officer or Chief Legal</w:t>
      </w:r>
      <w:r>
        <w:rPr>
          <w:rFonts w:ascii="Arial" w:cs="Arial" w:eastAsia="Arial" w:hAnsi="Arial"/>
          <w:sz w:val="18"/>
          <w:szCs w:val="18"/>
          <w:color w:val="131313"/>
        </w:rPr>
        <w:t xml:space="preserve"> </w:t>
      </w:r>
      <w:r>
        <w:rPr>
          <w:rFonts w:ascii="Arial" w:cs="Arial" w:eastAsia="Arial" w:hAnsi="Arial"/>
          <w:sz w:val="18"/>
          <w:szCs w:val="18"/>
          <w:color w:val="161616"/>
        </w:rPr>
        <w:t>Officer.</w:t>
      </w:r>
    </w:p>
    <w:p>
      <w:pPr>
        <w:spacing w:after="0" w:line="191" w:lineRule="exact"/>
        <w:rPr>
          <w:rFonts w:ascii="Arial" w:cs="Arial" w:eastAsia="Arial" w:hAnsi="Arial"/>
          <w:sz w:val="18"/>
          <w:szCs w:val="18"/>
          <w:color w:val="auto"/>
        </w:rPr>
      </w:pPr>
    </w:p>
    <w:p>
      <w:pPr>
        <w:ind w:left="660" w:right="160" w:hanging="652"/>
        <w:spacing w:after="0" w:line="26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131313"/>
        </w:rPr>
        <w:t xml:space="preserve">Certain Acknowledgments </w:t>
      </w:r>
      <w:r>
        <w:rPr>
          <w:rFonts w:ascii="Arial" w:cs="Arial" w:eastAsia="Arial" w:hAnsi="Arial"/>
          <w:sz w:val="18"/>
          <w:szCs w:val="18"/>
          <w:color w:val="2F2F2F"/>
        </w:rPr>
        <w:t>-</w:t>
      </w:r>
      <w:r>
        <w:rPr>
          <w:rFonts w:ascii="Arial" w:cs="Arial" w:eastAsia="Arial" w:hAnsi="Arial"/>
          <w:sz w:val="18"/>
          <w:szCs w:val="18"/>
          <w:b w:val="1"/>
          <w:bCs w:val="1"/>
          <w:i w:val="1"/>
          <w:iCs w:val="1"/>
          <w:color w:val="131313"/>
        </w:rPr>
        <w:t xml:space="preserve"> </w:t>
      </w:r>
      <w:r>
        <w:rPr>
          <w:rFonts w:ascii="Arial" w:cs="Arial" w:eastAsia="Arial" w:hAnsi="Arial"/>
          <w:sz w:val="18"/>
          <w:szCs w:val="18"/>
          <w:b w:val="1"/>
          <w:bCs w:val="1"/>
          <w:color w:val="161616"/>
        </w:rPr>
        <w:t>Executive acknowledges</w:t>
      </w:r>
      <w:r>
        <w:rPr>
          <w:rFonts w:ascii="Arial" w:cs="Arial" w:eastAsia="Arial" w:hAnsi="Arial"/>
          <w:sz w:val="18"/>
          <w:szCs w:val="18"/>
          <w:b w:val="1"/>
          <w:bCs w:val="1"/>
          <w:i w:val="1"/>
          <w:iCs w:val="1"/>
          <w:color w:val="131313"/>
        </w:rPr>
        <w:t xml:space="preserve"> </w:t>
      </w:r>
      <w:r>
        <w:rPr>
          <w:rFonts w:ascii="Arial" w:cs="Arial" w:eastAsia="Arial" w:hAnsi="Arial"/>
          <w:sz w:val="18"/>
          <w:szCs w:val="18"/>
          <w:b w:val="1"/>
          <w:bCs w:val="1"/>
          <w:color w:val="1C1C1C"/>
        </w:rPr>
        <w:t>(a)</w:t>
      </w:r>
      <w:r>
        <w:rPr>
          <w:rFonts w:ascii="Arial" w:cs="Arial" w:eastAsia="Arial" w:hAnsi="Arial"/>
          <w:sz w:val="18"/>
          <w:szCs w:val="18"/>
          <w:b w:val="1"/>
          <w:bCs w:val="1"/>
          <w:i w:val="1"/>
          <w:iCs w:val="1"/>
          <w:color w:val="131313"/>
        </w:rPr>
        <w:t xml:space="preserve"> </w:t>
      </w:r>
      <w:r>
        <w:rPr>
          <w:rFonts w:ascii="Arial" w:cs="Arial" w:eastAsia="Arial" w:hAnsi="Arial"/>
          <w:sz w:val="18"/>
          <w:szCs w:val="18"/>
          <w:b w:val="1"/>
          <w:bCs w:val="1"/>
          <w:color w:val="181818"/>
        </w:rPr>
        <w:t>that</w:t>
      </w:r>
      <w:r>
        <w:rPr>
          <w:rFonts w:ascii="Arial" w:cs="Arial" w:eastAsia="Arial" w:hAnsi="Arial"/>
          <w:sz w:val="18"/>
          <w:szCs w:val="18"/>
          <w:b w:val="1"/>
          <w:bCs w:val="1"/>
          <w:i w:val="1"/>
          <w:iCs w:val="1"/>
          <w:color w:val="131313"/>
        </w:rPr>
        <w:t xml:space="preserve"> </w:t>
      </w:r>
      <w:r>
        <w:rPr>
          <w:rFonts w:ascii="Arial" w:cs="Arial" w:eastAsia="Arial" w:hAnsi="Arial"/>
          <w:sz w:val="18"/>
          <w:szCs w:val="18"/>
          <w:b w:val="1"/>
          <w:bCs w:val="1"/>
          <w:color w:val="1F1F1F"/>
        </w:rPr>
        <w:t>he has</w:t>
      </w:r>
      <w:r>
        <w:rPr>
          <w:rFonts w:ascii="Arial" w:cs="Arial" w:eastAsia="Arial" w:hAnsi="Arial"/>
          <w:sz w:val="18"/>
          <w:szCs w:val="18"/>
          <w:b w:val="1"/>
          <w:bCs w:val="1"/>
          <w:i w:val="1"/>
          <w:iCs w:val="1"/>
          <w:color w:val="131313"/>
        </w:rPr>
        <w:t xml:space="preserve"> </w:t>
      </w:r>
      <w:r>
        <w:rPr>
          <w:rFonts w:ascii="Arial" w:cs="Arial" w:eastAsia="Arial" w:hAnsi="Arial"/>
          <w:sz w:val="18"/>
          <w:szCs w:val="18"/>
          <w:b w:val="1"/>
          <w:bCs w:val="1"/>
          <w:color w:val="0F0F0F"/>
        </w:rPr>
        <w:t>carefully</w:t>
      </w:r>
      <w:r>
        <w:rPr>
          <w:rFonts w:ascii="Arial" w:cs="Arial" w:eastAsia="Arial" w:hAnsi="Arial"/>
          <w:sz w:val="18"/>
          <w:szCs w:val="18"/>
          <w:b w:val="1"/>
          <w:bCs w:val="1"/>
          <w:i w:val="1"/>
          <w:iCs w:val="1"/>
          <w:color w:val="131313"/>
        </w:rPr>
        <w:t xml:space="preserve"> </w:t>
      </w:r>
      <w:r>
        <w:rPr>
          <w:rFonts w:ascii="Arial" w:cs="Arial" w:eastAsia="Arial" w:hAnsi="Arial"/>
          <w:sz w:val="18"/>
          <w:szCs w:val="18"/>
          <w:b w:val="1"/>
          <w:bCs w:val="1"/>
          <w:color w:val="161616"/>
        </w:rPr>
        <w:t>read</w:t>
      </w:r>
      <w:r>
        <w:rPr>
          <w:rFonts w:ascii="Arial" w:cs="Arial" w:eastAsia="Arial" w:hAnsi="Arial"/>
          <w:sz w:val="18"/>
          <w:szCs w:val="18"/>
          <w:b w:val="1"/>
          <w:bCs w:val="1"/>
          <w:i w:val="1"/>
          <w:iCs w:val="1"/>
          <w:color w:val="131313"/>
        </w:rPr>
        <w:t xml:space="preserve"> </w:t>
      </w:r>
      <w:r>
        <w:rPr>
          <w:rFonts w:ascii="Arial" w:cs="Arial" w:eastAsia="Arial" w:hAnsi="Arial"/>
          <w:sz w:val="18"/>
          <w:szCs w:val="18"/>
          <w:b w:val="1"/>
          <w:bCs w:val="1"/>
          <w:color w:val="1C1C1C"/>
        </w:rPr>
        <w:t>this</w:t>
      </w:r>
      <w:r>
        <w:rPr>
          <w:rFonts w:ascii="Arial" w:cs="Arial" w:eastAsia="Arial" w:hAnsi="Arial"/>
          <w:sz w:val="18"/>
          <w:szCs w:val="18"/>
          <w:b w:val="1"/>
          <w:bCs w:val="1"/>
          <w:i w:val="1"/>
          <w:iCs w:val="1"/>
          <w:color w:val="131313"/>
        </w:rPr>
        <w:t xml:space="preserve"> </w:t>
      </w:r>
      <w:r>
        <w:rPr>
          <w:rFonts w:ascii="Arial" w:cs="Arial" w:eastAsia="Arial" w:hAnsi="Arial"/>
          <w:sz w:val="18"/>
          <w:szCs w:val="18"/>
          <w:b w:val="1"/>
          <w:bCs w:val="1"/>
          <w:color w:val="151515"/>
        </w:rPr>
        <w:t>Agreement</w:t>
      </w:r>
      <w:r>
        <w:rPr>
          <w:rFonts w:ascii="Arial" w:cs="Arial" w:eastAsia="Arial" w:hAnsi="Arial"/>
          <w:sz w:val="18"/>
          <w:szCs w:val="18"/>
          <w:b w:val="1"/>
          <w:bCs w:val="1"/>
          <w:i w:val="1"/>
          <w:iCs w:val="1"/>
          <w:color w:val="131313"/>
        </w:rPr>
        <w:t xml:space="preserve"> </w:t>
      </w:r>
      <w:r>
        <w:rPr>
          <w:rFonts w:ascii="Arial" w:cs="Arial" w:eastAsia="Arial" w:hAnsi="Arial"/>
          <w:sz w:val="18"/>
          <w:szCs w:val="18"/>
          <w:b w:val="1"/>
          <w:bCs w:val="1"/>
          <w:color w:val="1F1F1F"/>
        </w:rPr>
        <w:t>and</w:t>
      </w:r>
      <w:r>
        <w:rPr>
          <w:rFonts w:ascii="Arial" w:cs="Arial" w:eastAsia="Arial" w:hAnsi="Arial"/>
          <w:sz w:val="18"/>
          <w:szCs w:val="18"/>
          <w:b w:val="1"/>
          <w:bCs w:val="1"/>
          <w:i w:val="1"/>
          <w:iCs w:val="1"/>
          <w:color w:val="131313"/>
        </w:rPr>
        <w:t xml:space="preserve"> </w:t>
      </w:r>
      <w:r>
        <w:rPr>
          <w:rFonts w:ascii="Arial" w:cs="Arial" w:eastAsia="Arial" w:hAnsi="Arial"/>
          <w:sz w:val="18"/>
          <w:szCs w:val="18"/>
          <w:b w:val="1"/>
          <w:bCs w:val="1"/>
          <w:color w:val="161616"/>
        </w:rPr>
        <w:t>is</w:t>
      </w:r>
      <w:r>
        <w:rPr>
          <w:rFonts w:ascii="Arial" w:cs="Arial" w:eastAsia="Arial" w:hAnsi="Arial"/>
          <w:sz w:val="18"/>
          <w:szCs w:val="18"/>
          <w:b w:val="1"/>
          <w:bCs w:val="1"/>
          <w:i w:val="1"/>
          <w:iCs w:val="1"/>
          <w:color w:val="131313"/>
        </w:rPr>
        <w:t xml:space="preserve"> </w:t>
      </w:r>
      <w:r>
        <w:rPr>
          <w:rFonts w:ascii="Arial" w:cs="Arial" w:eastAsia="Arial" w:hAnsi="Arial"/>
          <w:sz w:val="18"/>
          <w:szCs w:val="18"/>
          <w:b w:val="1"/>
          <w:bCs w:val="1"/>
          <w:color w:val="1C1C1C"/>
        </w:rPr>
        <w:t>signing</w:t>
      </w:r>
      <w:r>
        <w:rPr>
          <w:rFonts w:ascii="Arial" w:cs="Arial" w:eastAsia="Arial" w:hAnsi="Arial"/>
          <w:sz w:val="18"/>
          <w:szCs w:val="18"/>
          <w:b w:val="1"/>
          <w:bCs w:val="1"/>
          <w:i w:val="1"/>
          <w:iCs w:val="1"/>
          <w:color w:val="131313"/>
        </w:rPr>
        <w:t xml:space="preserve"> </w:t>
      </w:r>
      <w:r>
        <w:rPr>
          <w:rFonts w:ascii="Arial" w:cs="Arial" w:eastAsia="Arial" w:hAnsi="Arial"/>
          <w:sz w:val="18"/>
          <w:szCs w:val="18"/>
          <w:b w:val="1"/>
          <w:bCs w:val="1"/>
          <w:color w:val="232323"/>
        </w:rPr>
        <w:t>it</w:t>
      </w:r>
      <w:r>
        <w:rPr>
          <w:rFonts w:ascii="Arial" w:cs="Arial" w:eastAsia="Arial" w:hAnsi="Arial"/>
          <w:sz w:val="18"/>
          <w:szCs w:val="18"/>
          <w:b w:val="1"/>
          <w:bCs w:val="1"/>
          <w:i w:val="1"/>
          <w:iCs w:val="1"/>
          <w:color w:val="131313"/>
        </w:rPr>
        <w:t xml:space="preserve"> </w:t>
      </w:r>
      <w:r>
        <w:rPr>
          <w:rFonts w:ascii="Arial" w:cs="Arial" w:eastAsia="Arial" w:hAnsi="Arial"/>
          <w:sz w:val="18"/>
          <w:szCs w:val="18"/>
          <w:b w:val="1"/>
          <w:bCs w:val="1"/>
          <w:color w:val="131313"/>
        </w:rPr>
        <w:t>voluntarily</w:t>
      </w:r>
      <w:r>
        <w:rPr>
          <w:rFonts w:ascii="Arial" w:cs="Arial" w:eastAsia="Arial" w:hAnsi="Arial"/>
          <w:sz w:val="18"/>
          <w:szCs w:val="18"/>
          <w:b w:val="1"/>
          <w:bCs w:val="1"/>
          <w:i w:val="1"/>
          <w:iCs w:val="1"/>
          <w:color w:val="131313"/>
        </w:rPr>
        <w:t xml:space="preserve"> </w:t>
      </w:r>
      <w:r>
        <w:rPr>
          <w:rFonts w:ascii="Arial" w:cs="Arial" w:eastAsia="Arial" w:hAnsi="Arial"/>
          <w:sz w:val="18"/>
          <w:szCs w:val="18"/>
          <w:b w:val="1"/>
          <w:bCs w:val="1"/>
          <w:color w:val="1C1C1C"/>
        </w:rPr>
        <w:t>with</w:t>
      </w:r>
      <w:r>
        <w:rPr>
          <w:rFonts w:ascii="Arial" w:cs="Arial" w:eastAsia="Arial" w:hAnsi="Arial"/>
          <w:sz w:val="18"/>
          <w:szCs w:val="18"/>
          <w:b w:val="1"/>
          <w:bCs w:val="1"/>
          <w:i w:val="1"/>
          <w:iCs w:val="1"/>
          <w:color w:val="131313"/>
        </w:rPr>
        <w:t xml:space="preserve"> </w:t>
      </w:r>
      <w:r>
        <w:rPr>
          <w:rFonts w:ascii="Arial" w:cs="Arial" w:eastAsia="Arial" w:hAnsi="Arial"/>
          <w:sz w:val="18"/>
          <w:szCs w:val="18"/>
          <w:b w:val="1"/>
          <w:bCs w:val="1"/>
          <w:color w:val="161616"/>
        </w:rPr>
        <w:t>full</w:t>
      </w:r>
      <w:r>
        <w:rPr>
          <w:rFonts w:ascii="Arial" w:cs="Arial" w:eastAsia="Arial" w:hAnsi="Arial"/>
          <w:sz w:val="18"/>
          <w:szCs w:val="18"/>
          <w:b w:val="1"/>
          <w:bCs w:val="1"/>
          <w:i w:val="1"/>
          <w:iCs w:val="1"/>
          <w:color w:val="131313"/>
        </w:rPr>
        <w:t xml:space="preserve"> </w:t>
      </w:r>
      <w:r>
        <w:rPr>
          <w:rFonts w:ascii="Arial" w:cs="Arial" w:eastAsia="Arial" w:hAnsi="Arial"/>
          <w:sz w:val="18"/>
          <w:szCs w:val="18"/>
          <w:b w:val="1"/>
          <w:bCs w:val="1"/>
          <w:color w:val="161616"/>
        </w:rPr>
        <w:t xml:space="preserve">knowledge </w:t>
      </w:r>
      <w:r>
        <w:rPr>
          <w:rFonts w:ascii="Arial" w:cs="Arial" w:eastAsia="Arial" w:hAnsi="Arial"/>
          <w:sz w:val="18"/>
          <w:szCs w:val="18"/>
          <w:b w:val="1"/>
          <w:bCs w:val="1"/>
          <w:color w:val="1D1D1D"/>
        </w:rPr>
        <w:t>of</w:t>
      </w:r>
      <w:r>
        <w:rPr>
          <w:rFonts w:ascii="Arial" w:cs="Arial" w:eastAsia="Arial" w:hAnsi="Arial"/>
          <w:sz w:val="18"/>
          <w:szCs w:val="18"/>
          <w:b w:val="1"/>
          <w:bCs w:val="1"/>
          <w:color w:val="161616"/>
        </w:rPr>
        <w:t xml:space="preserve"> </w:t>
      </w:r>
      <w:r>
        <w:rPr>
          <w:rFonts w:ascii="Arial" w:cs="Arial" w:eastAsia="Arial" w:hAnsi="Arial"/>
          <w:sz w:val="18"/>
          <w:szCs w:val="18"/>
          <w:b w:val="1"/>
          <w:bCs w:val="1"/>
          <w:color w:val="181818"/>
        </w:rPr>
        <w:t>its</w:t>
      </w:r>
      <w:r>
        <w:rPr>
          <w:rFonts w:ascii="Arial" w:cs="Arial" w:eastAsia="Arial" w:hAnsi="Arial"/>
          <w:sz w:val="18"/>
          <w:szCs w:val="18"/>
          <w:b w:val="1"/>
          <w:bCs w:val="1"/>
          <w:color w:val="161616"/>
        </w:rPr>
        <w:t xml:space="preserve"> </w:t>
      </w:r>
      <w:r>
        <w:rPr>
          <w:rFonts w:ascii="Arial" w:cs="Arial" w:eastAsia="Arial" w:hAnsi="Arial"/>
          <w:sz w:val="18"/>
          <w:szCs w:val="18"/>
          <w:b w:val="1"/>
          <w:bCs w:val="1"/>
          <w:color w:val="151515"/>
        </w:rPr>
        <w:t>contents,</w:t>
      </w:r>
      <w:r>
        <w:rPr>
          <w:rFonts w:ascii="Arial" w:cs="Arial" w:eastAsia="Arial" w:hAnsi="Arial"/>
          <w:sz w:val="18"/>
          <w:szCs w:val="18"/>
          <w:b w:val="1"/>
          <w:bCs w:val="1"/>
          <w:color w:val="161616"/>
        </w:rPr>
        <w:t xml:space="preserve"> </w:t>
      </w:r>
      <w:r>
        <w:rPr>
          <w:rFonts w:ascii="Arial" w:cs="Arial" w:eastAsia="Arial" w:hAnsi="Arial"/>
          <w:sz w:val="18"/>
          <w:szCs w:val="18"/>
          <w:b w:val="1"/>
          <w:bCs w:val="1"/>
          <w:color w:val="1D1D1D"/>
        </w:rPr>
        <w:t>(b)</w:t>
      </w:r>
      <w:r>
        <w:rPr>
          <w:rFonts w:ascii="Arial" w:cs="Arial" w:eastAsia="Arial" w:hAnsi="Arial"/>
          <w:sz w:val="18"/>
          <w:szCs w:val="18"/>
          <w:b w:val="1"/>
          <w:bCs w:val="1"/>
          <w:color w:val="161616"/>
        </w:rPr>
        <w:t xml:space="preserve"> </w:t>
      </w:r>
      <w:r>
        <w:rPr>
          <w:rFonts w:ascii="Arial" w:cs="Arial" w:eastAsia="Arial" w:hAnsi="Arial"/>
          <w:sz w:val="18"/>
          <w:szCs w:val="18"/>
          <w:b w:val="1"/>
          <w:bCs w:val="1"/>
          <w:color w:val="282828"/>
        </w:rPr>
        <w:t>that</w:t>
      </w:r>
      <w:r>
        <w:rPr>
          <w:rFonts w:ascii="Arial" w:cs="Arial" w:eastAsia="Arial" w:hAnsi="Arial"/>
          <w:sz w:val="18"/>
          <w:szCs w:val="18"/>
          <w:b w:val="1"/>
          <w:bCs w:val="1"/>
          <w:color w:val="161616"/>
        </w:rPr>
        <w:t xml:space="preserve"> </w:t>
      </w:r>
      <w:r>
        <w:rPr>
          <w:rFonts w:ascii="Arial" w:cs="Arial" w:eastAsia="Arial" w:hAnsi="Arial"/>
          <w:sz w:val="18"/>
          <w:szCs w:val="18"/>
          <w:b w:val="1"/>
          <w:bCs w:val="1"/>
          <w:color w:val="262626"/>
        </w:rPr>
        <w:t>he has</w:t>
      </w:r>
      <w:r>
        <w:rPr>
          <w:rFonts w:ascii="Arial" w:cs="Arial" w:eastAsia="Arial" w:hAnsi="Arial"/>
          <w:sz w:val="18"/>
          <w:szCs w:val="18"/>
          <w:b w:val="1"/>
          <w:bCs w:val="1"/>
          <w:color w:val="161616"/>
        </w:rPr>
        <w:t xml:space="preserve"> </w:t>
      </w:r>
      <w:r>
        <w:rPr>
          <w:rFonts w:ascii="Arial" w:cs="Arial" w:eastAsia="Arial" w:hAnsi="Arial"/>
          <w:sz w:val="18"/>
          <w:szCs w:val="18"/>
          <w:b w:val="1"/>
          <w:bCs w:val="1"/>
          <w:color w:val="212121"/>
        </w:rPr>
        <w:t>been advised</w:t>
      </w:r>
      <w:r>
        <w:rPr>
          <w:rFonts w:ascii="Arial" w:cs="Arial" w:eastAsia="Arial" w:hAnsi="Arial"/>
          <w:sz w:val="18"/>
          <w:szCs w:val="18"/>
          <w:b w:val="1"/>
          <w:bCs w:val="1"/>
          <w:color w:val="161616"/>
        </w:rPr>
        <w:t xml:space="preserve"> </w:t>
      </w:r>
      <w:r>
        <w:rPr>
          <w:rFonts w:ascii="Arial" w:cs="Arial" w:eastAsia="Arial" w:hAnsi="Arial"/>
          <w:sz w:val="18"/>
          <w:szCs w:val="18"/>
          <w:b w:val="1"/>
          <w:bCs w:val="1"/>
          <w:color w:val="1C1C1C"/>
        </w:rPr>
        <w:t>by</w:t>
      </w:r>
      <w:r>
        <w:rPr>
          <w:rFonts w:ascii="Arial" w:cs="Arial" w:eastAsia="Arial" w:hAnsi="Arial"/>
          <w:sz w:val="18"/>
          <w:szCs w:val="18"/>
          <w:b w:val="1"/>
          <w:bCs w:val="1"/>
          <w:color w:val="161616"/>
        </w:rPr>
        <w:t xml:space="preserve"> counsel </w:t>
      </w:r>
      <w:r>
        <w:rPr>
          <w:rFonts w:ascii="Arial" w:cs="Arial" w:eastAsia="Arial" w:hAnsi="Arial"/>
          <w:sz w:val="18"/>
          <w:szCs w:val="18"/>
          <w:b w:val="1"/>
          <w:bCs w:val="1"/>
          <w:color w:val="181818"/>
        </w:rPr>
        <w:t>to the</w:t>
      </w:r>
      <w:r>
        <w:rPr>
          <w:rFonts w:ascii="Arial" w:cs="Arial" w:eastAsia="Arial" w:hAnsi="Arial"/>
          <w:sz w:val="18"/>
          <w:szCs w:val="18"/>
          <w:b w:val="1"/>
          <w:bCs w:val="1"/>
          <w:color w:val="161616"/>
        </w:rPr>
        <w:t xml:space="preserve"> </w:t>
      </w:r>
      <w:r>
        <w:rPr>
          <w:rFonts w:ascii="Arial" w:cs="Arial" w:eastAsia="Arial" w:hAnsi="Arial"/>
          <w:sz w:val="18"/>
          <w:szCs w:val="18"/>
          <w:b w:val="1"/>
          <w:bCs w:val="1"/>
          <w:color w:val="1C1C1C"/>
        </w:rPr>
        <w:t>extent</w:t>
      </w:r>
      <w:r>
        <w:rPr>
          <w:rFonts w:ascii="Arial" w:cs="Arial" w:eastAsia="Arial" w:hAnsi="Arial"/>
          <w:sz w:val="18"/>
          <w:szCs w:val="18"/>
          <w:b w:val="1"/>
          <w:bCs w:val="1"/>
          <w:color w:val="161616"/>
        </w:rPr>
        <w:t xml:space="preserve"> </w:t>
      </w:r>
      <w:r>
        <w:rPr>
          <w:rFonts w:ascii="Arial" w:cs="Arial" w:eastAsia="Arial" w:hAnsi="Arial"/>
          <w:sz w:val="18"/>
          <w:szCs w:val="18"/>
          <w:b w:val="1"/>
          <w:bCs w:val="1"/>
          <w:color w:val="131313"/>
        </w:rPr>
        <w:t>he</w:t>
      </w:r>
      <w:r>
        <w:rPr>
          <w:rFonts w:ascii="Arial" w:cs="Arial" w:eastAsia="Arial" w:hAnsi="Arial"/>
          <w:sz w:val="18"/>
          <w:szCs w:val="18"/>
          <w:b w:val="1"/>
          <w:bCs w:val="1"/>
          <w:color w:val="161616"/>
        </w:rPr>
        <w:t xml:space="preserve"> </w:t>
      </w:r>
      <w:r>
        <w:rPr>
          <w:rFonts w:ascii="Arial" w:cs="Arial" w:eastAsia="Arial" w:hAnsi="Arial"/>
          <w:sz w:val="18"/>
          <w:szCs w:val="18"/>
          <w:b w:val="1"/>
          <w:bCs w:val="1"/>
          <w:color w:val="181818"/>
        </w:rPr>
        <w:t>deems</w:t>
      </w:r>
      <w:r>
        <w:rPr>
          <w:rFonts w:ascii="Arial" w:cs="Arial" w:eastAsia="Arial" w:hAnsi="Arial"/>
          <w:sz w:val="18"/>
          <w:szCs w:val="18"/>
          <w:b w:val="1"/>
          <w:bCs w:val="1"/>
          <w:color w:val="161616"/>
        </w:rPr>
        <w:t xml:space="preserve"> </w:t>
      </w:r>
      <w:r>
        <w:rPr>
          <w:rFonts w:ascii="Arial" w:cs="Arial" w:eastAsia="Arial" w:hAnsi="Arial"/>
          <w:sz w:val="18"/>
          <w:szCs w:val="18"/>
          <w:b w:val="1"/>
          <w:bCs w:val="1"/>
          <w:color w:val="111111"/>
        </w:rPr>
        <w:t>necessary,</w:t>
      </w:r>
      <w:r>
        <w:rPr>
          <w:rFonts w:ascii="Arial" w:cs="Arial" w:eastAsia="Arial" w:hAnsi="Arial"/>
          <w:sz w:val="18"/>
          <w:szCs w:val="18"/>
          <w:b w:val="1"/>
          <w:bCs w:val="1"/>
          <w:color w:val="161616"/>
        </w:rPr>
        <w:t xml:space="preserve"> </w:t>
      </w:r>
      <w:r>
        <w:rPr>
          <w:rFonts w:ascii="Arial" w:cs="Arial" w:eastAsia="Arial" w:hAnsi="Arial"/>
          <w:sz w:val="18"/>
          <w:szCs w:val="18"/>
          <w:b w:val="1"/>
          <w:bCs w:val="1"/>
          <w:color w:val="181818"/>
        </w:rPr>
        <w:t>appropriate</w:t>
      </w:r>
      <w:r>
        <w:rPr>
          <w:rFonts w:ascii="Arial" w:cs="Arial" w:eastAsia="Arial" w:hAnsi="Arial"/>
          <w:sz w:val="18"/>
          <w:szCs w:val="18"/>
          <w:b w:val="1"/>
          <w:bCs w:val="1"/>
          <w:color w:val="161616"/>
        </w:rPr>
        <w:t xml:space="preserve"> </w:t>
      </w:r>
      <w:r>
        <w:rPr>
          <w:rFonts w:ascii="Arial" w:cs="Arial" w:eastAsia="Arial" w:hAnsi="Arial"/>
          <w:sz w:val="18"/>
          <w:szCs w:val="18"/>
          <w:b w:val="1"/>
          <w:bCs w:val="1"/>
          <w:color w:val="282828"/>
        </w:rPr>
        <w:t>or</w:t>
      </w:r>
      <w:r>
        <w:rPr>
          <w:rFonts w:ascii="Arial" w:cs="Arial" w:eastAsia="Arial" w:hAnsi="Arial"/>
          <w:sz w:val="18"/>
          <w:szCs w:val="18"/>
          <w:b w:val="1"/>
          <w:bCs w:val="1"/>
          <w:color w:val="161616"/>
        </w:rPr>
        <w:t xml:space="preserve"> desirable </w:t>
      </w:r>
      <w:r>
        <w:rPr>
          <w:rFonts w:ascii="Arial" w:cs="Arial" w:eastAsia="Arial" w:hAnsi="Arial"/>
          <w:sz w:val="18"/>
          <w:szCs w:val="18"/>
          <w:b w:val="1"/>
          <w:bCs w:val="1"/>
          <w:color w:val="1F1F1F"/>
        </w:rPr>
        <w:t>and</w:t>
      </w:r>
      <w:r>
        <w:rPr>
          <w:rFonts w:ascii="Arial" w:cs="Arial" w:eastAsia="Arial" w:hAnsi="Arial"/>
          <w:sz w:val="18"/>
          <w:szCs w:val="18"/>
          <w:b w:val="1"/>
          <w:bCs w:val="1"/>
          <w:color w:val="161616"/>
        </w:rPr>
        <w:t xml:space="preserve"> </w:t>
      </w:r>
      <w:r>
        <w:rPr>
          <w:rFonts w:ascii="Arial" w:cs="Arial" w:eastAsia="Arial" w:hAnsi="Arial"/>
          <w:sz w:val="18"/>
          <w:szCs w:val="18"/>
          <w:b w:val="1"/>
          <w:bCs w:val="1"/>
          <w:color w:val="1A1A1A"/>
        </w:rPr>
        <w:t>(c)</w:t>
      </w:r>
      <w:r>
        <w:rPr>
          <w:rFonts w:ascii="Arial" w:cs="Arial" w:eastAsia="Arial" w:hAnsi="Arial"/>
          <w:sz w:val="18"/>
          <w:szCs w:val="18"/>
          <w:b w:val="1"/>
          <w:bCs w:val="1"/>
          <w:color w:val="161616"/>
        </w:rPr>
        <w:t xml:space="preserve"> </w:t>
      </w:r>
      <w:r>
        <w:rPr>
          <w:rFonts w:ascii="Arial" w:cs="Arial" w:eastAsia="Arial" w:hAnsi="Arial"/>
          <w:sz w:val="18"/>
          <w:szCs w:val="18"/>
          <w:b w:val="1"/>
          <w:bCs w:val="1"/>
          <w:color w:val="111111"/>
        </w:rPr>
        <w:t>that</w:t>
      </w:r>
      <w:r>
        <w:rPr>
          <w:rFonts w:ascii="Arial" w:cs="Arial" w:eastAsia="Arial" w:hAnsi="Arial"/>
          <w:sz w:val="18"/>
          <w:szCs w:val="18"/>
          <w:b w:val="1"/>
          <w:bCs w:val="1"/>
          <w:color w:val="161616"/>
        </w:rPr>
        <w:t xml:space="preserve"> </w:t>
      </w:r>
      <w:r>
        <w:rPr>
          <w:rFonts w:ascii="Arial" w:cs="Arial" w:eastAsia="Arial" w:hAnsi="Arial"/>
          <w:sz w:val="18"/>
          <w:szCs w:val="18"/>
          <w:b w:val="1"/>
          <w:bCs w:val="1"/>
          <w:color w:val="1C1C1C"/>
        </w:rPr>
        <w:t xml:space="preserve">he </w:t>
      </w:r>
      <w:r>
        <w:rPr>
          <w:rFonts w:ascii="Arial" w:cs="Arial" w:eastAsia="Arial" w:hAnsi="Arial"/>
          <w:sz w:val="18"/>
          <w:szCs w:val="18"/>
          <w:b w:val="1"/>
          <w:bCs w:val="1"/>
          <w:color w:val="181818"/>
        </w:rPr>
        <w:t>understands</w:t>
      </w:r>
      <w:r>
        <w:rPr>
          <w:rFonts w:ascii="Arial" w:cs="Arial" w:eastAsia="Arial" w:hAnsi="Arial"/>
          <w:sz w:val="18"/>
          <w:szCs w:val="18"/>
          <w:b w:val="1"/>
          <w:bCs w:val="1"/>
          <w:color w:val="1C1C1C"/>
        </w:rPr>
        <w:t xml:space="preserve"> </w:t>
      </w:r>
      <w:r>
        <w:rPr>
          <w:rFonts w:ascii="Arial" w:cs="Arial" w:eastAsia="Arial" w:hAnsi="Arial"/>
          <w:sz w:val="18"/>
          <w:szCs w:val="18"/>
          <w:b w:val="1"/>
          <w:bCs w:val="1"/>
          <w:color w:val="212121"/>
        </w:rPr>
        <w:t>and</w:t>
      </w:r>
      <w:r>
        <w:rPr>
          <w:rFonts w:ascii="Arial" w:cs="Arial" w:eastAsia="Arial" w:hAnsi="Arial"/>
          <w:sz w:val="18"/>
          <w:szCs w:val="18"/>
          <w:b w:val="1"/>
          <w:bCs w:val="1"/>
          <w:color w:val="1C1C1C"/>
        </w:rPr>
        <w:t xml:space="preserve"> </w:t>
      </w:r>
      <w:r>
        <w:rPr>
          <w:rFonts w:ascii="Arial" w:cs="Arial" w:eastAsia="Arial" w:hAnsi="Arial"/>
          <w:sz w:val="18"/>
          <w:szCs w:val="18"/>
          <w:b w:val="1"/>
          <w:bCs w:val="1"/>
          <w:color w:val="1F1F1F"/>
        </w:rPr>
        <w:t>accepts all</w:t>
      </w:r>
      <w:r>
        <w:rPr>
          <w:rFonts w:ascii="Arial" w:cs="Arial" w:eastAsia="Arial" w:hAnsi="Arial"/>
          <w:sz w:val="18"/>
          <w:szCs w:val="18"/>
          <w:b w:val="1"/>
          <w:bCs w:val="1"/>
          <w:color w:val="1C1C1C"/>
        </w:rPr>
        <w:t xml:space="preserve"> </w:t>
      </w:r>
      <w:r>
        <w:rPr>
          <w:rFonts w:ascii="Arial" w:cs="Arial" w:eastAsia="Arial" w:hAnsi="Arial"/>
          <w:sz w:val="18"/>
          <w:szCs w:val="18"/>
          <w:b w:val="1"/>
          <w:bCs w:val="1"/>
          <w:color w:val="232323"/>
        </w:rPr>
        <w:t>the</w:t>
      </w:r>
      <w:r>
        <w:rPr>
          <w:rFonts w:ascii="Arial" w:cs="Arial" w:eastAsia="Arial" w:hAnsi="Arial"/>
          <w:sz w:val="18"/>
          <w:szCs w:val="18"/>
          <w:b w:val="1"/>
          <w:bCs w:val="1"/>
          <w:color w:val="1C1C1C"/>
        </w:rPr>
        <w:t xml:space="preserve"> </w:t>
      </w:r>
      <w:r>
        <w:rPr>
          <w:rFonts w:ascii="Arial" w:cs="Arial" w:eastAsia="Arial" w:hAnsi="Arial"/>
          <w:sz w:val="18"/>
          <w:szCs w:val="18"/>
          <w:b w:val="1"/>
          <w:bCs w:val="1"/>
          <w:color w:val="212121"/>
        </w:rPr>
        <w:t>terms</w:t>
      </w:r>
      <w:r>
        <w:rPr>
          <w:rFonts w:ascii="Arial" w:cs="Arial" w:eastAsia="Arial" w:hAnsi="Arial"/>
          <w:sz w:val="18"/>
          <w:szCs w:val="18"/>
          <w:b w:val="1"/>
          <w:bCs w:val="1"/>
          <w:color w:val="1C1C1C"/>
        </w:rPr>
        <w:t xml:space="preserve"> </w:t>
      </w:r>
      <w:r>
        <w:rPr>
          <w:rFonts w:ascii="Arial" w:cs="Arial" w:eastAsia="Arial" w:hAnsi="Arial"/>
          <w:sz w:val="18"/>
          <w:szCs w:val="18"/>
          <w:b w:val="1"/>
          <w:bCs w:val="1"/>
          <w:color w:val="2D2D2D"/>
        </w:rPr>
        <w:t>of</w:t>
      </w:r>
      <w:r>
        <w:rPr>
          <w:rFonts w:ascii="Arial" w:cs="Arial" w:eastAsia="Arial" w:hAnsi="Arial"/>
          <w:sz w:val="18"/>
          <w:szCs w:val="18"/>
          <w:b w:val="1"/>
          <w:bCs w:val="1"/>
          <w:color w:val="1C1C1C"/>
        </w:rPr>
        <w:t xml:space="preserve"> </w:t>
      </w:r>
      <w:r>
        <w:rPr>
          <w:rFonts w:ascii="Arial" w:cs="Arial" w:eastAsia="Arial" w:hAnsi="Arial"/>
          <w:sz w:val="18"/>
          <w:szCs w:val="18"/>
          <w:b w:val="1"/>
          <w:bCs w:val="1"/>
          <w:color w:val="1A1A1A"/>
        </w:rPr>
        <w:t>this</w:t>
      </w:r>
      <w:r>
        <w:rPr>
          <w:rFonts w:ascii="Arial" w:cs="Arial" w:eastAsia="Arial" w:hAnsi="Arial"/>
          <w:sz w:val="18"/>
          <w:szCs w:val="18"/>
          <w:b w:val="1"/>
          <w:bCs w:val="1"/>
          <w:color w:val="1C1C1C"/>
        </w:rPr>
        <w:t xml:space="preserve"> </w:t>
      </w:r>
      <w:r>
        <w:rPr>
          <w:rFonts w:ascii="Arial" w:cs="Arial" w:eastAsia="Arial" w:hAnsi="Arial"/>
          <w:sz w:val="18"/>
          <w:szCs w:val="18"/>
          <w:b w:val="1"/>
          <w:bCs w:val="1"/>
          <w:color w:val="161616"/>
        </w:rPr>
        <w:t>Agreement.</w:t>
      </w:r>
    </w:p>
    <w:p>
      <w:pPr>
        <w:spacing w:after="0" w:line="139" w:lineRule="exact"/>
        <w:rPr>
          <w:rFonts w:ascii="Arial" w:cs="Arial" w:eastAsia="Arial" w:hAnsi="Arial"/>
          <w:sz w:val="18"/>
          <w:szCs w:val="18"/>
          <w:color w:val="auto"/>
        </w:rPr>
      </w:pPr>
    </w:p>
    <w:p>
      <w:pPr>
        <w:ind w:left="660" w:hanging="652"/>
        <w:spacing w:after="0" w:line="289"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0C0C0C"/>
        </w:rPr>
        <w:t xml:space="preserve">Consideration </w:t>
      </w:r>
      <w:r>
        <w:rPr>
          <w:rFonts w:ascii="Arial" w:cs="Arial" w:eastAsia="Arial" w:hAnsi="Arial"/>
          <w:sz w:val="16"/>
          <w:szCs w:val="16"/>
          <w:b w:val="1"/>
          <w:bCs w:val="1"/>
          <w:i w:val="1"/>
          <w:iCs w:val="1"/>
          <w:color w:val="151515"/>
        </w:rPr>
        <w:t>and</w:t>
      </w:r>
      <w:r>
        <w:rPr>
          <w:rFonts w:ascii="Arial" w:cs="Arial" w:eastAsia="Arial" w:hAnsi="Arial"/>
          <w:sz w:val="16"/>
          <w:szCs w:val="16"/>
          <w:b w:val="1"/>
          <w:bCs w:val="1"/>
          <w:i w:val="1"/>
          <w:iCs w:val="1"/>
          <w:color w:val="0C0C0C"/>
        </w:rPr>
        <w:t xml:space="preserve"> </w:t>
      </w:r>
      <w:r>
        <w:rPr>
          <w:rFonts w:ascii="Arial" w:cs="Arial" w:eastAsia="Arial" w:hAnsi="Arial"/>
          <w:sz w:val="16"/>
          <w:szCs w:val="16"/>
          <w:b w:val="1"/>
          <w:bCs w:val="1"/>
          <w:i w:val="1"/>
          <w:iCs w:val="1"/>
          <w:color w:val="1C1C1C"/>
        </w:rPr>
        <w:t>Revocation</w:t>
      </w:r>
      <w:r>
        <w:rPr>
          <w:rFonts w:ascii="Arial" w:cs="Arial" w:eastAsia="Arial" w:hAnsi="Arial"/>
          <w:sz w:val="16"/>
          <w:szCs w:val="16"/>
          <w:b w:val="1"/>
          <w:bCs w:val="1"/>
          <w:i w:val="1"/>
          <w:iCs w:val="1"/>
          <w:color w:val="0C0C0C"/>
        </w:rPr>
        <w:t xml:space="preserve"> </w:t>
      </w:r>
      <w:r>
        <w:rPr>
          <w:rFonts w:ascii="Arial" w:cs="Arial" w:eastAsia="Arial" w:hAnsi="Arial"/>
          <w:sz w:val="16"/>
          <w:szCs w:val="16"/>
          <w:b w:val="1"/>
          <w:bCs w:val="1"/>
          <w:i w:val="1"/>
          <w:iCs w:val="1"/>
          <w:color w:val="1A1A1A"/>
        </w:rPr>
        <w:t>Periods</w:t>
      </w:r>
      <w:r>
        <w:rPr>
          <w:rFonts w:ascii="Arial" w:cs="Arial" w:eastAsia="Arial" w:hAnsi="Arial"/>
          <w:sz w:val="16"/>
          <w:szCs w:val="16"/>
          <w:b w:val="1"/>
          <w:bCs w:val="1"/>
          <w:i w:val="1"/>
          <w:iCs w:val="1"/>
          <w:color w:val="0C0C0C"/>
        </w:rPr>
        <w:t xml:space="preserve"> </w:t>
      </w:r>
      <w:r>
        <w:rPr>
          <w:rFonts w:ascii="Arial" w:cs="Arial" w:eastAsia="Arial" w:hAnsi="Arial"/>
          <w:sz w:val="16"/>
          <w:szCs w:val="16"/>
          <w:color w:val="2A2A2A"/>
        </w:rPr>
        <w:t>-</w:t>
      </w:r>
      <w:r>
        <w:rPr>
          <w:rFonts w:ascii="Arial" w:cs="Arial" w:eastAsia="Arial" w:hAnsi="Arial"/>
          <w:sz w:val="16"/>
          <w:szCs w:val="16"/>
          <w:b w:val="1"/>
          <w:bCs w:val="1"/>
          <w:i w:val="1"/>
          <w:iCs w:val="1"/>
          <w:color w:val="0C0C0C"/>
        </w:rPr>
        <w:t xml:space="preserve"> </w:t>
      </w:r>
      <w:r>
        <w:rPr>
          <w:rFonts w:ascii="Arial" w:cs="Arial" w:eastAsia="Arial" w:hAnsi="Arial"/>
          <w:sz w:val="16"/>
          <w:szCs w:val="16"/>
          <w:color w:val="1C1C1C"/>
        </w:rPr>
        <w:t>Executive may</w:t>
      </w:r>
      <w:r>
        <w:rPr>
          <w:rFonts w:ascii="Arial" w:cs="Arial" w:eastAsia="Arial" w:hAnsi="Arial"/>
          <w:sz w:val="16"/>
          <w:szCs w:val="16"/>
          <w:b w:val="1"/>
          <w:bCs w:val="1"/>
          <w:i w:val="1"/>
          <w:iCs w:val="1"/>
          <w:color w:val="0C0C0C"/>
        </w:rPr>
        <w:t xml:space="preserve"> </w:t>
      </w:r>
      <w:r>
        <w:rPr>
          <w:rFonts w:ascii="Arial" w:cs="Arial" w:eastAsia="Arial" w:hAnsi="Arial"/>
          <w:sz w:val="16"/>
          <w:szCs w:val="16"/>
          <w:color w:val="1D1D1D"/>
        </w:rPr>
        <w:t>take</w:t>
      </w:r>
      <w:r>
        <w:rPr>
          <w:rFonts w:ascii="Arial" w:cs="Arial" w:eastAsia="Arial" w:hAnsi="Arial"/>
          <w:sz w:val="16"/>
          <w:szCs w:val="16"/>
          <w:b w:val="1"/>
          <w:bCs w:val="1"/>
          <w:i w:val="1"/>
          <w:iCs w:val="1"/>
          <w:color w:val="0C0C0C"/>
        </w:rPr>
        <w:t xml:space="preserve"> </w:t>
      </w:r>
      <w:r>
        <w:rPr>
          <w:rFonts w:ascii="Arial" w:cs="Arial" w:eastAsia="Arial" w:hAnsi="Arial"/>
          <w:sz w:val="16"/>
          <w:szCs w:val="16"/>
          <w:color w:val="262626"/>
        </w:rPr>
        <w:t>up to</w:t>
      </w:r>
      <w:r>
        <w:rPr>
          <w:rFonts w:ascii="Arial" w:cs="Arial" w:eastAsia="Arial" w:hAnsi="Arial"/>
          <w:sz w:val="16"/>
          <w:szCs w:val="16"/>
          <w:b w:val="1"/>
          <w:bCs w:val="1"/>
          <w:i w:val="1"/>
          <w:iCs w:val="1"/>
          <w:color w:val="0C0C0C"/>
        </w:rPr>
        <w:t xml:space="preserve"> </w:t>
      </w:r>
      <w:r>
        <w:rPr>
          <w:rFonts w:ascii="Arial" w:cs="Arial" w:eastAsia="Arial" w:hAnsi="Arial"/>
          <w:sz w:val="16"/>
          <w:szCs w:val="16"/>
          <w:color w:val="151515"/>
        </w:rPr>
        <w:t>21</w:t>
      </w:r>
      <w:r>
        <w:rPr>
          <w:rFonts w:ascii="Arial" w:cs="Arial" w:eastAsia="Arial" w:hAnsi="Arial"/>
          <w:sz w:val="16"/>
          <w:szCs w:val="16"/>
          <w:b w:val="1"/>
          <w:bCs w:val="1"/>
          <w:i w:val="1"/>
          <w:iCs w:val="1"/>
          <w:color w:val="0C0C0C"/>
        </w:rPr>
        <w:t xml:space="preserve"> </w:t>
      </w:r>
      <w:r>
        <w:rPr>
          <w:rFonts w:ascii="Arial" w:cs="Arial" w:eastAsia="Arial" w:hAnsi="Arial"/>
          <w:sz w:val="16"/>
          <w:szCs w:val="16"/>
          <w:color w:val="080808"/>
        </w:rPr>
        <w:t>days</w:t>
      </w:r>
      <w:r>
        <w:rPr>
          <w:rFonts w:ascii="Arial" w:cs="Arial" w:eastAsia="Arial" w:hAnsi="Arial"/>
          <w:sz w:val="16"/>
          <w:szCs w:val="16"/>
          <w:b w:val="1"/>
          <w:bCs w:val="1"/>
          <w:i w:val="1"/>
          <w:iCs w:val="1"/>
          <w:color w:val="0C0C0C"/>
        </w:rPr>
        <w:t xml:space="preserve"> </w:t>
      </w:r>
      <w:r>
        <w:rPr>
          <w:rFonts w:ascii="Arial" w:cs="Arial" w:eastAsia="Arial" w:hAnsi="Arial"/>
          <w:sz w:val="16"/>
          <w:szCs w:val="16"/>
          <w:color w:val="1F1F1F"/>
        </w:rPr>
        <w:t>from</w:t>
      </w:r>
      <w:r>
        <w:rPr>
          <w:rFonts w:ascii="Arial" w:cs="Arial" w:eastAsia="Arial" w:hAnsi="Arial"/>
          <w:sz w:val="16"/>
          <w:szCs w:val="16"/>
          <w:b w:val="1"/>
          <w:bCs w:val="1"/>
          <w:i w:val="1"/>
          <w:iCs w:val="1"/>
          <w:color w:val="0C0C0C"/>
        </w:rPr>
        <w:t xml:space="preserve"> </w:t>
      </w:r>
      <w:r>
        <w:rPr>
          <w:rFonts w:ascii="Arial" w:cs="Arial" w:eastAsia="Arial" w:hAnsi="Arial"/>
          <w:sz w:val="16"/>
          <w:szCs w:val="16"/>
          <w:color w:val="161616"/>
        </w:rPr>
        <w:t>the</w:t>
      </w:r>
      <w:r>
        <w:rPr>
          <w:rFonts w:ascii="Arial" w:cs="Arial" w:eastAsia="Arial" w:hAnsi="Arial"/>
          <w:sz w:val="16"/>
          <w:szCs w:val="16"/>
          <w:b w:val="1"/>
          <w:bCs w:val="1"/>
          <w:i w:val="1"/>
          <w:iCs w:val="1"/>
          <w:color w:val="0C0C0C"/>
        </w:rPr>
        <w:t xml:space="preserve"> </w:t>
      </w:r>
      <w:r>
        <w:rPr>
          <w:rFonts w:ascii="Arial" w:cs="Arial" w:eastAsia="Arial" w:hAnsi="Arial"/>
          <w:sz w:val="16"/>
          <w:szCs w:val="16"/>
          <w:color w:val="181818"/>
        </w:rPr>
        <w:t>date</w:t>
      </w:r>
      <w:r>
        <w:rPr>
          <w:rFonts w:ascii="Arial" w:cs="Arial" w:eastAsia="Arial" w:hAnsi="Arial"/>
          <w:sz w:val="16"/>
          <w:szCs w:val="16"/>
          <w:b w:val="1"/>
          <w:bCs w:val="1"/>
          <w:i w:val="1"/>
          <w:iCs w:val="1"/>
          <w:color w:val="0C0C0C"/>
        </w:rPr>
        <w:t xml:space="preserve"> </w:t>
      </w:r>
      <w:r>
        <w:rPr>
          <w:rFonts w:ascii="Arial" w:cs="Arial" w:eastAsia="Arial" w:hAnsi="Arial"/>
          <w:sz w:val="16"/>
          <w:szCs w:val="16"/>
          <w:color w:val="242424"/>
        </w:rPr>
        <w:t>of</w:t>
      </w:r>
      <w:r>
        <w:rPr>
          <w:rFonts w:ascii="Arial" w:cs="Arial" w:eastAsia="Arial" w:hAnsi="Arial"/>
          <w:sz w:val="16"/>
          <w:szCs w:val="16"/>
          <w:b w:val="1"/>
          <w:bCs w:val="1"/>
          <w:i w:val="1"/>
          <w:iCs w:val="1"/>
          <w:color w:val="0C0C0C"/>
        </w:rPr>
        <w:t xml:space="preserve"> </w:t>
      </w:r>
      <w:r>
        <w:rPr>
          <w:rFonts w:ascii="Arial" w:cs="Arial" w:eastAsia="Arial" w:hAnsi="Arial"/>
          <w:sz w:val="16"/>
          <w:szCs w:val="16"/>
          <w:color w:val="151515"/>
        </w:rPr>
        <w:t>this</w:t>
      </w:r>
      <w:r>
        <w:rPr>
          <w:rFonts w:ascii="Arial" w:cs="Arial" w:eastAsia="Arial" w:hAnsi="Arial"/>
          <w:sz w:val="16"/>
          <w:szCs w:val="16"/>
          <w:b w:val="1"/>
          <w:bCs w:val="1"/>
          <w:i w:val="1"/>
          <w:iCs w:val="1"/>
          <w:color w:val="0C0C0C"/>
        </w:rPr>
        <w:t xml:space="preserve"> </w:t>
      </w:r>
      <w:r>
        <w:rPr>
          <w:rFonts w:ascii="Arial" w:cs="Arial" w:eastAsia="Arial" w:hAnsi="Arial"/>
          <w:sz w:val="16"/>
          <w:szCs w:val="16"/>
          <w:color w:val="161616"/>
        </w:rPr>
        <w:t>Agreement</w:t>
      </w:r>
      <w:r>
        <w:rPr>
          <w:rFonts w:ascii="Arial" w:cs="Arial" w:eastAsia="Arial" w:hAnsi="Arial"/>
          <w:sz w:val="16"/>
          <w:szCs w:val="16"/>
          <w:b w:val="1"/>
          <w:bCs w:val="1"/>
          <w:i w:val="1"/>
          <w:iCs w:val="1"/>
          <w:color w:val="0C0C0C"/>
        </w:rPr>
        <w:t xml:space="preserve"> </w:t>
      </w:r>
      <w:r>
        <w:rPr>
          <w:rFonts w:ascii="Arial" w:cs="Arial" w:eastAsia="Arial" w:hAnsi="Arial"/>
          <w:sz w:val="16"/>
          <w:szCs w:val="16"/>
          <w:color w:val="2D2D2D"/>
        </w:rPr>
        <w:t>to</w:t>
      </w:r>
      <w:r>
        <w:rPr>
          <w:rFonts w:ascii="Arial" w:cs="Arial" w:eastAsia="Arial" w:hAnsi="Arial"/>
          <w:sz w:val="16"/>
          <w:szCs w:val="16"/>
          <w:b w:val="1"/>
          <w:bCs w:val="1"/>
          <w:i w:val="1"/>
          <w:iCs w:val="1"/>
          <w:color w:val="0C0C0C"/>
        </w:rPr>
        <w:t xml:space="preserve"> </w:t>
      </w:r>
      <w:r>
        <w:rPr>
          <w:rFonts w:ascii="Arial" w:cs="Arial" w:eastAsia="Arial" w:hAnsi="Arial"/>
          <w:sz w:val="16"/>
          <w:szCs w:val="16"/>
          <w:color w:val="131313"/>
        </w:rPr>
        <w:t>consider</w:t>
      </w:r>
      <w:r>
        <w:rPr>
          <w:rFonts w:ascii="Arial" w:cs="Arial" w:eastAsia="Arial" w:hAnsi="Arial"/>
          <w:sz w:val="16"/>
          <w:szCs w:val="16"/>
          <w:b w:val="1"/>
          <w:bCs w:val="1"/>
          <w:i w:val="1"/>
          <w:iCs w:val="1"/>
          <w:color w:val="0C0C0C"/>
        </w:rPr>
        <w:t xml:space="preserve"> </w:t>
      </w:r>
      <w:r>
        <w:rPr>
          <w:rFonts w:ascii="Arial" w:cs="Arial" w:eastAsia="Arial" w:hAnsi="Arial"/>
          <w:sz w:val="16"/>
          <w:szCs w:val="16"/>
          <w:color w:val="1A1A1A"/>
        </w:rPr>
        <w:t>this</w:t>
      </w:r>
      <w:r>
        <w:rPr>
          <w:rFonts w:ascii="Arial" w:cs="Arial" w:eastAsia="Arial" w:hAnsi="Arial"/>
          <w:sz w:val="16"/>
          <w:szCs w:val="16"/>
          <w:b w:val="1"/>
          <w:bCs w:val="1"/>
          <w:i w:val="1"/>
          <w:iCs w:val="1"/>
          <w:color w:val="0C0C0C"/>
        </w:rPr>
        <w:t xml:space="preserve"> </w:t>
      </w:r>
      <w:r>
        <w:rPr>
          <w:rFonts w:ascii="Arial" w:cs="Arial" w:eastAsia="Arial" w:hAnsi="Arial"/>
          <w:sz w:val="16"/>
          <w:szCs w:val="16"/>
          <w:color w:val="161616"/>
        </w:rPr>
        <w:t>Agreement.</w:t>
      </w:r>
      <w:r>
        <w:rPr>
          <w:rFonts w:ascii="Arial" w:cs="Arial" w:eastAsia="Arial" w:hAnsi="Arial"/>
          <w:sz w:val="16"/>
          <w:szCs w:val="16"/>
          <w:b w:val="1"/>
          <w:bCs w:val="1"/>
          <w:i w:val="1"/>
          <w:iCs w:val="1"/>
          <w:color w:val="0C0C0C"/>
        </w:rPr>
        <w:t xml:space="preserve"> </w:t>
      </w:r>
      <w:r>
        <w:rPr>
          <w:rFonts w:ascii="Arial" w:cs="Arial" w:eastAsia="Arial" w:hAnsi="Arial"/>
          <w:sz w:val="16"/>
          <w:szCs w:val="16"/>
          <w:color w:val="000000"/>
        </w:rPr>
        <w:t>Executive</w:t>
      </w:r>
      <w:r>
        <w:rPr>
          <w:rFonts w:ascii="Arial" w:cs="Arial" w:eastAsia="Arial" w:hAnsi="Arial"/>
          <w:sz w:val="16"/>
          <w:szCs w:val="16"/>
          <w:b w:val="1"/>
          <w:bCs w:val="1"/>
          <w:i w:val="1"/>
          <w:iCs w:val="1"/>
          <w:color w:val="0C0C0C"/>
        </w:rPr>
        <w:t xml:space="preserve"> </w:t>
      </w:r>
      <w:r>
        <w:rPr>
          <w:rFonts w:ascii="Arial" w:cs="Arial" w:eastAsia="Arial" w:hAnsi="Arial"/>
          <w:sz w:val="16"/>
          <w:szCs w:val="16"/>
          <w:color w:val="181818"/>
        </w:rPr>
        <w:t xml:space="preserve">may </w:t>
      </w:r>
      <w:r>
        <w:rPr>
          <w:rFonts w:ascii="Arial" w:cs="Arial" w:eastAsia="Arial" w:hAnsi="Arial"/>
          <w:sz w:val="16"/>
          <w:szCs w:val="16"/>
          <w:color w:val="1A1A1A"/>
        </w:rPr>
        <w:t>use</w:t>
      </w:r>
      <w:r>
        <w:rPr>
          <w:rFonts w:ascii="Arial" w:cs="Arial" w:eastAsia="Arial" w:hAnsi="Arial"/>
          <w:sz w:val="16"/>
          <w:szCs w:val="16"/>
          <w:color w:val="181818"/>
        </w:rPr>
        <w:t xml:space="preserve"> </w:t>
      </w:r>
      <w:r>
        <w:rPr>
          <w:rFonts w:ascii="Arial" w:cs="Arial" w:eastAsia="Arial" w:hAnsi="Arial"/>
          <w:sz w:val="16"/>
          <w:szCs w:val="16"/>
          <w:color w:val="1F1F1F"/>
        </w:rPr>
        <w:t>as</w:t>
      </w:r>
      <w:r>
        <w:rPr>
          <w:rFonts w:ascii="Arial" w:cs="Arial" w:eastAsia="Arial" w:hAnsi="Arial"/>
          <w:sz w:val="16"/>
          <w:szCs w:val="16"/>
          <w:color w:val="181818"/>
        </w:rPr>
        <w:t xml:space="preserve"> </w:t>
      </w:r>
      <w:r>
        <w:rPr>
          <w:rFonts w:ascii="Arial" w:cs="Arial" w:eastAsia="Arial" w:hAnsi="Arial"/>
          <w:sz w:val="16"/>
          <w:szCs w:val="16"/>
          <w:color w:val="131313"/>
        </w:rPr>
        <w:t>much</w:t>
      </w:r>
      <w:r>
        <w:rPr>
          <w:rFonts w:ascii="Arial" w:cs="Arial" w:eastAsia="Arial" w:hAnsi="Arial"/>
          <w:sz w:val="16"/>
          <w:szCs w:val="16"/>
          <w:color w:val="181818"/>
        </w:rPr>
        <w:t xml:space="preserve"> or </w:t>
      </w:r>
      <w:r>
        <w:rPr>
          <w:rFonts w:ascii="Arial" w:cs="Arial" w:eastAsia="Arial" w:hAnsi="Arial"/>
          <w:sz w:val="16"/>
          <w:szCs w:val="16"/>
          <w:color w:val="232323"/>
        </w:rPr>
        <w:t>as</w:t>
      </w:r>
      <w:r>
        <w:rPr>
          <w:rFonts w:ascii="Arial" w:cs="Arial" w:eastAsia="Arial" w:hAnsi="Arial"/>
          <w:sz w:val="16"/>
          <w:szCs w:val="16"/>
          <w:color w:val="181818"/>
        </w:rPr>
        <w:t xml:space="preserve"> </w:t>
      </w:r>
      <w:r>
        <w:rPr>
          <w:rFonts w:ascii="Arial" w:cs="Arial" w:eastAsia="Arial" w:hAnsi="Arial"/>
          <w:sz w:val="16"/>
          <w:szCs w:val="16"/>
          <w:color w:val="161616"/>
        </w:rPr>
        <w:t>little</w:t>
      </w:r>
      <w:r>
        <w:rPr>
          <w:rFonts w:ascii="Arial" w:cs="Arial" w:eastAsia="Arial" w:hAnsi="Arial"/>
          <w:sz w:val="16"/>
          <w:szCs w:val="16"/>
          <w:color w:val="181818"/>
        </w:rPr>
        <w:t xml:space="preserve"> </w:t>
      </w:r>
      <w:r>
        <w:rPr>
          <w:rFonts w:ascii="Arial" w:cs="Arial" w:eastAsia="Arial" w:hAnsi="Arial"/>
          <w:sz w:val="16"/>
          <w:szCs w:val="16"/>
          <w:color w:val="1F1F1F"/>
        </w:rPr>
        <w:t>of</w:t>
      </w:r>
      <w:r>
        <w:rPr>
          <w:rFonts w:ascii="Arial" w:cs="Arial" w:eastAsia="Arial" w:hAnsi="Arial"/>
          <w:sz w:val="16"/>
          <w:szCs w:val="16"/>
          <w:color w:val="181818"/>
        </w:rPr>
        <w:t xml:space="preserve"> </w:t>
      </w:r>
      <w:r>
        <w:rPr>
          <w:rFonts w:ascii="Arial" w:cs="Arial" w:eastAsia="Arial" w:hAnsi="Arial"/>
          <w:sz w:val="16"/>
          <w:szCs w:val="16"/>
          <w:color w:val="242424"/>
        </w:rPr>
        <w:t>this</w:t>
      </w:r>
      <w:r>
        <w:rPr>
          <w:rFonts w:ascii="Arial" w:cs="Arial" w:eastAsia="Arial" w:hAnsi="Arial"/>
          <w:sz w:val="16"/>
          <w:szCs w:val="16"/>
          <w:color w:val="181818"/>
        </w:rPr>
        <w:t xml:space="preserve"> </w:t>
      </w:r>
      <w:r>
        <w:rPr>
          <w:rFonts w:ascii="Arial" w:cs="Arial" w:eastAsia="Arial" w:hAnsi="Arial"/>
          <w:sz w:val="16"/>
          <w:szCs w:val="16"/>
          <w:color w:val="000000"/>
        </w:rPr>
        <w:t>period</w:t>
      </w:r>
      <w:r>
        <w:rPr>
          <w:rFonts w:ascii="Arial" w:cs="Arial" w:eastAsia="Arial" w:hAnsi="Arial"/>
          <w:sz w:val="16"/>
          <w:szCs w:val="16"/>
          <w:color w:val="181818"/>
        </w:rPr>
        <w:t xml:space="preserve"> </w:t>
      </w:r>
      <w:r>
        <w:rPr>
          <w:rFonts w:ascii="Arial" w:cs="Arial" w:eastAsia="Arial" w:hAnsi="Arial"/>
          <w:sz w:val="16"/>
          <w:szCs w:val="16"/>
          <w:color w:val="151515"/>
        </w:rPr>
        <w:t>as</w:t>
      </w:r>
      <w:r>
        <w:rPr>
          <w:rFonts w:ascii="Arial" w:cs="Arial" w:eastAsia="Arial" w:hAnsi="Arial"/>
          <w:sz w:val="16"/>
          <w:szCs w:val="16"/>
          <w:color w:val="181818"/>
        </w:rPr>
        <w:t xml:space="preserve"> </w:t>
      </w:r>
      <w:r>
        <w:rPr>
          <w:rFonts w:ascii="Arial" w:cs="Arial" w:eastAsia="Arial" w:hAnsi="Arial"/>
          <w:sz w:val="16"/>
          <w:szCs w:val="16"/>
          <w:color w:val="2D2D2D"/>
        </w:rPr>
        <w:t>he</w:t>
      </w:r>
      <w:r>
        <w:rPr>
          <w:rFonts w:ascii="Arial" w:cs="Arial" w:eastAsia="Arial" w:hAnsi="Arial"/>
          <w:sz w:val="16"/>
          <w:szCs w:val="16"/>
          <w:color w:val="181818"/>
        </w:rPr>
        <w:t xml:space="preserve"> </w:t>
      </w:r>
      <w:r>
        <w:rPr>
          <w:rFonts w:ascii="Arial" w:cs="Arial" w:eastAsia="Arial" w:hAnsi="Arial"/>
          <w:sz w:val="16"/>
          <w:szCs w:val="16"/>
          <w:color w:val="1F1F1F"/>
        </w:rPr>
        <w:t>chooses before</w:t>
      </w:r>
      <w:r>
        <w:rPr>
          <w:rFonts w:ascii="Arial" w:cs="Arial" w:eastAsia="Arial" w:hAnsi="Arial"/>
          <w:sz w:val="16"/>
          <w:szCs w:val="16"/>
          <w:color w:val="181818"/>
        </w:rPr>
        <w:t xml:space="preserve"> </w:t>
      </w:r>
      <w:r>
        <w:rPr>
          <w:rFonts w:ascii="Arial" w:cs="Arial" w:eastAsia="Arial" w:hAnsi="Arial"/>
          <w:sz w:val="16"/>
          <w:szCs w:val="16"/>
          <w:color w:val="1C1C1C"/>
        </w:rPr>
        <w:t>signing</w:t>
      </w:r>
      <w:r>
        <w:rPr>
          <w:rFonts w:ascii="Arial" w:cs="Arial" w:eastAsia="Arial" w:hAnsi="Arial"/>
          <w:sz w:val="16"/>
          <w:szCs w:val="16"/>
          <w:color w:val="181818"/>
        </w:rPr>
        <w:t xml:space="preserve"> </w:t>
      </w:r>
      <w:r>
        <w:rPr>
          <w:rFonts w:ascii="Arial" w:cs="Arial" w:eastAsia="Arial" w:hAnsi="Arial"/>
          <w:sz w:val="16"/>
          <w:szCs w:val="16"/>
          <w:color w:val="232323"/>
        </w:rPr>
        <w:t>this</w:t>
      </w:r>
      <w:r>
        <w:rPr>
          <w:rFonts w:ascii="Arial" w:cs="Arial" w:eastAsia="Arial" w:hAnsi="Arial"/>
          <w:sz w:val="16"/>
          <w:szCs w:val="16"/>
          <w:color w:val="181818"/>
        </w:rPr>
        <w:t xml:space="preserve"> </w:t>
      </w:r>
      <w:r>
        <w:rPr>
          <w:rFonts w:ascii="Arial" w:cs="Arial" w:eastAsia="Arial" w:hAnsi="Arial"/>
          <w:sz w:val="16"/>
          <w:szCs w:val="16"/>
          <w:color w:val="111111"/>
        </w:rPr>
        <w:t>Agreement.</w:t>
      </w:r>
      <w:r>
        <w:rPr>
          <w:rFonts w:ascii="Arial" w:cs="Arial" w:eastAsia="Arial" w:hAnsi="Arial"/>
          <w:sz w:val="16"/>
          <w:szCs w:val="16"/>
          <w:color w:val="181818"/>
        </w:rPr>
        <w:t xml:space="preserve"> </w:t>
      </w:r>
      <w:r>
        <w:rPr>
          <w:rFonts w:ascii="Arial" w:cs="Arial" w:eastAsia="Arial" w:hAnsi="Arial"/>
          <w:sz w:val="16"/>
          <w:szCs w:val="16"/>
          <w:color w:val="0F0F0F"/>
        </w:rPr>
        <w:t>Executive</w:t>
      </w:r>
      <w:r>
        <w:rPr>
          <w:rFonts w:ascii="Arial" w:cs="Arial" w:eastAsia="Arial" w:hAnsi="Arial"/>
          <w:sz w:val="16"/>
          <w:szCs w:val="16"/>
          <w:color w:val="181818"/>
        </w:rPr>
        <w:t xml:space="preserve"> </w:t>
      </w:r>
      <w:r>
        <w:rPr>
          <w:rFonts w:ascii="Arial" w:cs="Arial" w:eastAsia="Arial" w:hAnsi="Arial"/>
          <w:sz w:val="16"/>
          <w:szCs w:val="16"/>
          <w:color w:val="000000"/>
        </w:rPr>
        <w:t>is</w:t>
      </w:r>
      <w:r>
        <w:rPr>
          <w:rFonts w:ascii="Arial" w:cs="Arial" w:eastAsia="Arial" w:hAnsi="Arial"/>
          <w:sz w:val="16"/>
          <w:szCs w:val="16"/>
          <w:color w:val="181818"/>
        </w:rPr>
        <w:t xml:space="preserve"> </w:t>
      </w:r>
      <w:r>
        <w:rPr>
          <w:rFonts w:ascii="Arial" w:cs="Arial" w:eastAsia="Arial" w:hAnsi="Arial"/>
          <w:sz w:val="16"/>
          <w:szCs w:val="16"/>
          <w:color w:val="131313"/>
        </w:rPr>
        <w:t>advised</w:t>
      </w:r>
      <w:r>
        <w:rPr>
          <w:rFonts w:ascii="Arial" w:cs="Arial" w:eastAsia="Arial" w:hAnsi="Arial"/>
          <w:sz w:val="16"/>
          <w:szCs w:val="16"/>
          <w:color w:val="181818"/>
        </w:rPr>
        <w:t xml:space="preserve"> </w:t>
      </w:r>
      <w:r>
        <w:rPr>
          <w:rFonts w:ascii="Arial" w:cs="Arial" w:eastAsia="Arial" w:hAnsi="Arial"/>
          <w:sz w:val="16"/>
          <w:szCs w:val="16"/>
          <w:color w:val="030303"/>
        </w:rPr>
        <w:t>to</w:t>
      </w:r>
      <w:r>
        <w:rPr>
          <w:rFonts w:ascii="Arial" w:cs="Arial" w:eastAsia="Arial" w:hAnsi="Arial"/>
          <w:sz w:val="16"/>
          <w:szCs w:val="16"/>
          <w:color w:val="181818"/>
        </w:rPr>
        <w:t xml:space="preserve"> </w:t>
      </w:r>
      <w:r>
        <w:rPr>
          <w:rFonts w:ascii="Arial" w:cs="Arial" w:eastAsia="Arial" w:hAnsi="Arial"/>
          <w:sz w:val="16"/>
          <w:szCs w:val="16"/>
          <w:color w:val="161616"/>
        </w:rPr>
        <w:t>consult</w:t>
      </w:r>
      <w:r>
        <w:rPr>
          <w:rFonts w:ascii="Arial" w:cs="Arial" w:eastAsia="Arial" w:hAnsi="Arial"/>
          <w:sz w:val="16"/>
          <w:szCs w:val="16"/>
          <w:color w:val="181818"/>
        </w:rPr>
        <w:t xml:space="preserve"> with </w:t>
      </w:r>
      <w:r>
        <w:rPr>
          <w:rFonts w:ascii="Arial" w:cs="Arial" w:eastAsia="Arial" w:hAnsi="Arial"/>
          <w:sz w:val="16"/>
          <w:szCs w:val="16"/>
          <w:color w:val="1C1C1C"/>
        </w:rPr>
        <w:t>an</w:t>
      </w:r>
      <w:r>
        <w:rPr>
          <w:rFonts w:ascii="Arial" w:cs="Arial" w:eastAsia="Arial" w:hAnsi="Arial"/>
          <w:sz w:val="16"/>
          <w:szCs w:val="16"/>
          <w:color w:val="181818"/>
        </w:rPr>
        <w:t xml:space="preserve"> attorney </w:t>
      </w:r>
      <w:r>
        <w:rPr>
          <w:rFonts w:ascii="Arial" w:cs="Arial" w:eastAsia="Arial" w:hAnsi="Arial"/>
          <w:sz w:val="16"/>
          <w:szCs w:val="16"/>
          <w:color w:val="282828"/>
        </w:rPr>
        <w:t>before</w:t>
      </w:r>
      <w:r>
        <w:rPr>
          <w:rFonts w:ascii="Arial" w:cs="Arial" w:eastAsia="Arial" w:hAnsi="Arial"/>
          <w:sz w:val="16"/>
          <w:szCs w:val="16"/>
          <w:color w:val="181818"/>
        </w:rPr>
        <w:t xml:space="preserve"> </w:t>
      </w:r>
      <w:r>
        <w:rPr>
          <w:rFonts w:ascii="Arial" w:cs="Arial" w:eastAsia="Arial" w:hAnsi="Arial"/>
          <w:sz w:val="16"/>
          <w:szCs w:val="16"/>
          <w:color w:val="161616"/>
        </w:rPr>
        <w:t xml:space="preserve">signing </w:t>
      </w:r>
      <w:r>
        <w:rPr>
          <w:rFonts w:ascii="Arial" w:cs="Arial" w:eastAsia="Arial" w:hAnsi="Arial"/>
          <w:sz w:val="16"/>
          <w:szCs w:val="16"/>
          <w:color w:val="1A1A1A"/>
        </w:rPr>
        <w:t>this</w:t>
      </w:r>
      <w:r>
        <w:rPr>
          <w:rFonts w:ascii="Arial" w:cs="Arial" w:eastAsia="Arial" w:hAnsi="Arial"/>
          <w:sz w:val="16"/>
          <w:szCs w:val="16"/>
          <w:color w:val="161616"/>
        </w:rPr>
        <w:t xml:space="preserve"> Agreement. </w:t>
      </w:r>
      <w:r>
        <w:rPr>
          <w:rFonts w:ascii="Arial" w:cs="Arial" w:eastAsia="Arial" w:hAnsi="Arial"/>
          <w:sz w:val="16"/>
          <w:szCs w:val="16"/>
          <w:color w:val="1C1C1C"/>
        </w:rPr>
        <w:t>If</w:t>
      </w:r>
      <w:r>
        <w:rPr>
          <w:rFonts w:ascii="Arial" w:cs="Arial" w:eastAsia="Arial" w:hAnsi="Arial"/>
          <w:sz w:val="16"/>
          <w:szCs w:val="16"/>
          <w:color w:val="161616"/>
        </w:rPr>
        <w:t xml:space="preserve"> </w:t>
      </w:r>
      <w:r>
        <w:rPr>
          <w:rFonts w:ascii="Arial" w:cs="Arial" w:eastAsia="Arial" w:hAnsi="Arial"/>
          <w:sz w:val="16"/>
          <w:szCs w:val="16"/>
          <w:color w:val="0F0F0F"/>
        </w:rPr>
        <w:t>Executive</w:t>
      </w:r>
      <w:r>
        <w:rPr>
          <w:rFonts w:ascii="Arial" w:cs="Arial" w:eastAsia="Arial" w:hAnsi="Arial"/>
          <w:sz w:val="16"/>
          <w:szCs w:val="16"/>
          <w:color w:val="161616"/>
        </w:rPr>
        <w:t xml:space="preserve"> </w:t>
      </w:r>
      <w:r>
        <w:rPr>
          <w:rFonts w:ascii="Arial" w:cs="Arial" w:eastAsia="Arial" w:hAnsi="Arial"/>
          <w:sz w:val="16"/>
          <w:szCs w:val="16"/>
          <w:color w:val="151515"/>
        </w:rPr>
        <w:t>accepts</w:t>
      </w:r>
      <w:r>
        <w:rPr>
          <w:rFonts w:ascii="Arial" w:cs="Arial" w:eastAsia="Arial" w:hAnsi="Arial"/>
          <w:sz w:val="16"/>
          <w:szCs w:val="16"/>
          <w:color w:val="161616"/>
        </w:rPr>
        <w:t xml:space="preserve"> </w:t>
      </w:r>
      <w:r>
        <w:rPr>
          <w:rFonts w:ascii="Arial" w:cs="Arial" w:eastAsia="Arial" w:hAnsi="Arial"/>
          <w:sz w:val="16"/>
          <w:szCs w:val="16"/>
          <w:color w:val="131313"/>
        </w:rPr>
        <w:t>this Agreement,</w:t>
      </w:r>
      <w:r>
        <w:rPr>
          <w:rFonts w:ascii="Arial" w:cs="Arial" w:eastAsia="Arial" w:hAnsi="Arial"/>
          <w:sz w:val="16"/>
          <w:szCs w:val="16"/>
          <w:color w:val="161616"/>
        </w:rPr>
        <w:t xml:space="preserve"> </w:t>
      </w:r>
      <w:r>
        <w:rPr>
          <w:rFonts w:ascii="Arial" w:cs="Arial" w:eastAsia="Arial" w:hAnsi="Arial"/>
          <w:sz w:val="16"/>
          <w:szCs w:val="16"/>
          <w:color w:val="262626"/>
        </w:rPr>
        <w:t>he</w:t>
      </w:r>
      <w:r>
        <w:rPr>
          <w:rFonts w:ascii="Arial" w:cs="Arial" w:eastAsia="Arial" w:hAnsi="Arial"/>
          <w:sz w:val="16"/>
          <w:szCs w:val="16"/>
          <w:color w:val="161616"/>
        </w:rPr>
        <w:t xml:space="preserve"> </w:t>
      </w:r>
      <w:r>
        <w:rPr>
          <w:rFonts w:ascii="Arial" w:cs="Arial" w:eastAsia="Arial" w:hAnsi="Arial"/>
          <w:sz w:val="16"/>
          <w:szCs w:val="16"/>
          <w:color w:val="1F1F1F"/>
        </w:rPr>
        <w:t>must</w:t>
      </w:r>
      <w:r>
        <w:rPr>
          <w:rFonts w:ascii="Arial" w:cs="Arial" w:eastAsia="Arial" w:hAnsi="Arial"/>
          <w:sz w:val="16"/>
          <w:szCs w:val="16"/>
          <w:color w:val="161616"/>
        </w:rPr>
        <w:t xml:space="preserve"> </w:t>
      </w:r>
      <w:r>
        <w:rPr>
          <w:rFonts w:ascii="Arial" w:cs="Arial" w:eastAsia="Arial" w:hAnsi="Arial"/>
          <w:sz w:val="16"/>
          <w:szCs w:val="16"/>
          <w:color w:val="0F0F0F"/>
        </w:rPr>
        <w:t>sign</w:t>
      </w:r>
      <w:r>
        <w:rPr>
          <w:rFonts w:ascii="Arial" w:cs="Arial" w:eastAsia="Arial" w:hAnsi="Arial"/>
          <w:sz w:val="16"/>
          <w:szCs w:val="16"/>
          <w:color w:val="161616"/>
        </w:rPr>
        <w:t xml:space="preserve"> </w:t>
      </w:r>
      <w:r>
        <w:rPr>
          <w:rFonts w:ascii="Arial" w:cs="Arial" w:eastAsia="Arial" w:hAnsi="Arial"/>
          <w:sz w:val="16"/>
          <w:szCs w:val="16"/>
          <w:color w:val="2B2B2B"/>
        </w:rPr>
        <w:t>it</w:t>
      </w:r>
      <w:r>
        <w:rPr>
          <w:rFonts w:ascii="Arial" w:cs="Arial" w:eastAsia="Arial" w:hAnsi="Arial"/>
          <w:sz w:val="16"/>
          <w:szCs w:val="16"/>
          <w:color w:val="161616"/>
        </w:rPr>
        <w:t xml:space="preserve"> </w:t>
      </w:r>
      <w:r>
        <w:rPr>
          <w:rFonts w:ascii="Arial" w:cs="Arial" w:eastAsia="Arial" w:hAnsi="Arial"/>
          <w:sz w:val="16"/>
          <w:szCs w:val="16"/>
          <w:color w:val="232323"/>
        </w:rPr>
        <w:t>and</w:t>
      </w:r>
      <w:r>
        <w:rPr>
          <w:rFonts w:ascii="Arial" w:cs="Arial" w:eastAsia="Arial" w:hAnsi="Arial"/>
          <w:sz w:val="16"/>
          <w:szCs w:val="16"/>
          <w:color w:val="161616"/>
        </w:rPr>
        <w:t xml:space="preserve"> </w:t>
      </w:r>
      <w:r>
        <w:rPr>
          <w:rFonts w:ascii="Arial" w:cs="Arial" w:eastAsia="Arial" w:hAnsi="Arial"/>
          <w:sz w:val="16"/>
          <w:szCs w:val="16"/>
          <w:color w:val="1F1F1F"/>
        </w:rPr>
        <w:t>return</w:t>
      </w:r>
      <w:r>
        <w:rPr>
          <w:rFonts w:ascii="Arial" w:cs="Arial" w:eastAsia="Arial" w:hAnsi="Arial"/>
          <w:sz w:val="16"/>
          <w:szCs w:val="16"/>
          <w:color w:val="161616"/>
        </w:rPr>
        <w:t xml:space="preserve"> </w:t>
      </w:r>
      <w:r>
        <w:rPr>
          <w:rFonts w:ascii="Arial" w:cs="Arial" w:eastAsia="Arial" w:hAnsi="Arial"/>
          <w:sz w:val="16"/>
          <w:szCs w:val="16"/>
          <w:color w:val="2A2A2A"/>
        </w:rPr>
        <w:t>it</w:t>
      </w:r>
      <w:r>
        <w:rPr>
          <w:rFonts w:ascii="Arial" w:cs="Arial" w:eastAsia="Arial" w:hAnsi="Arial"/>
          <w:sz w:val="16"/>
          <w:szCs w:val="16"/>
          <w:color w:val="161616"/>
        </w:rPr>
        <w:t xml:space="preserve"> </w:t>
      </w:r>
      <w:r>
        <w:rPr>
          <w:rFonts w:ascii="Arial" w:cs="Arial" w:eastAsia="Arial" w:hAnsi="Arial"/>
          <w:sz w:val="16"/>
          <w:szCs w:val="16"/>
          <w:color w:val="111111"/>
        </w:rPr>
        <w:t>to the</w:t>
      </w:r>
      <w:r>
        <w:rPr>
          <w:rFonts w:ascii="Arial" w:cs="Arial" w:eastAsia="Arial" w:hAnsi="Arial"/>
          <w:sz w:val="16"/>
          <w:szCs w:val="16"/>
          <w:color w:val="161616"/>
        </w:rPr>
        <w:t xml:space="preserve"> </w:t>
      </w:r>
      <w:r>
        <w:rPr>
          <w:rFonts w:ascii="Arial" w:cs="Arial" w:eastAsia="Arial" w:hAnsi="Arial"/>
          <w:sz w:val="16"/>
          <w:szCs w:val="16"/>
          <w:color w:val="1A1A1A"/>
        </w:rPr>
        <w:t>Company’s Chief Legal Officer</w:t>
      </w:r>
      <w:r>
        <w:rPr>
          <w:rFonts w:ascii="Arial" w:cs="Arial" w:eastAsia="Arial" w:hAnsi="Arial"/>
          <w:sz w:val="16"/>
          <w:szCs w:val="16"/>
          <w:color w:val="161616"/>
        </w:rPr>
        <w:t xml:space="preserve"> </w:t>
      </w:r>
      <w:r>
        <w:rPr>
          <w:rFonts w:ascii="Arial" w:cs="Arial" w:eastAsia="Arial" w:hAnsi="Arial"/>
          <w:sz w:val="16"/>
          <w:szCs w:val="16"/>
          <w:color w:val="181818"/>
        </w:rPr>
        <w:t>on</w:t>
      </w:r>
      <w:r>
        <w:rPr>
          <w:rFonts w:ascii="Arial" w:cs="Arial" w:eastAsia="Arial" w:hAnsi="Arial"/>
          <w:sz w:val="16"/>
          <w:szCs w:val="16"/>
          <w:color w:val="161616"/>
        </w:rPr>
        <w:t xml:space="preserve"> or </w:t>
      </w:r>
      <w:r>
        <w:rPr>
          <w:rFonts w:ascii="Arial" w:cs="Arial" w:eastAsia="Arial" w:hAnsi="Arial"/>
          <w:sz w:val="16"/>
          <w:szCs w:val="16"/>
          <w:color w:val="181818"/>
        </w:rPr>
        <w:t>before</w:t>
      </w:r>
      <w:r>
        <w:rPr>
          <w:rFonts w:ascii="Arial" w:cs="Arial" w:eastAsia="Arial" w:hAnsi="Arial"/>
          <w:sz w:val="16"/>
          <w:szCs w:val="16"/>
          <w:color w:val="161616"/>
        </w:rPr>
        <w:t xml:space="preserve"> </w:t>
      </w:r>
      <w:r>
        <w:rPr>
          <w:rFonts w:ascii="Arial" w:cs="Arial" w:eastAsia="Arial" w:hAnsi="Arial"/>
          <w:sz w:val="16"/>
          <w:szCs w:val="16"/>
          <w:color w:val="1D1D1D"/>
        </w:rPr>
        <w:t>the</w:t>
      </w:r>
      <w:r>
        <w:rPr>
          <w:rFonts w:ascii="Arial" w:cs="Arial" w:eastAsia="Arial" w:hAnsi="Arial"/>
          <w:sz w:val="16"/>
          <w:szCs w:val="16"/>
          <w:color w:val="161616"/>
        </w:rPr>
        <w:t xml:space="preserve"> </w:t>
      </w:r>
      <w:r>
        <w:rPr>
          <w:rFonts w:ascii="Arial" w:cs="Arial" w:eastAsia="Arial" w:hAnsi="Arial"/>
          <w:sz w:val="16"/>
          <w:szCs w:val="16"/>
          <w:color w:val="151515"/>
        </w:rPr>
        <w:t xml:space="preserve">expiration </w:t>
      </w:r>
      <w:r>
        <w:rPr>
          <w:rFonts w:ascii="Arial" w:cs="Arial" w:eastAsia="Arial" w:hAnsi="Arial"/>
          <w:sz w:val="16"/>
          <w:szCs w:val="16"/>
          <w:color w:val="1D1D1D"/>
        </w:rPr>
        <w:t>of</w:t>
      </w:r>
      <w:r>
        <w:rPr>
          <w:rFonts w:ascii="Arial" w:cs="Arial" w:eastAsia="Arial" w:hAnsi="Arial"/>
          <w:sz w:val="16"/>
          <w:szCs w:val="16"/>
          <w:color w:val="151515"/>
        </w:rPr>
        <w:t xml:space="preserve"> </w:t>
      </w:r>
      <w:r>
        <w:rPr>
          <w:rFonts w:ascii="Arial" w:cs="Arial" w:eastAsia="Arial" w:hAnsi="Arial"/>
          <w:sz w:val="16"/>
          <w:szCs w:val="16"/>
          <w:color w:val="212121"/>
        </w:rPr>
        <w:t>the</w:t>
      </w:r>
      <w:r>
        <w:rPr>
          <w:rFonts w:ascii="Arial" w:cs="Arial" w:eastAsia="Arial" w:hAnsi="Arial"/>
          <w:sz w:val="16"/>
          <w:szCs w:val="16"/>
          <w:color w:val="151515"/>
        </w:rPr>
        <w:t xml:space="preserve"> </w:t>
      </w:r>
      <w:r>
        <w:rPr>
          <w:rFonts w:ascii="Arial" w:cs="Arial" w:eastAsia="Arial" w:hAnsi="Arial"/>
          <w:sz w:val="16"/>
          <w:szCs w:val="16"/>
          <w:color w:val="131313"/>
        </w:rPr>
        <w:t>21-day</w:t>
      </w:r>
      <w:r>
        <w:rPr>
          <w:rFonts w:ascii="Arial" w:cs="Arial" w:eastAsia="Arial" w:hAnsi="Arial"/>
          <w:sz w:val="16"/>
          <w:szCs w:val="16"/>
          <w:color w:val="151515"/>
        </w:rPr>
        <w:t xml:space="preserve"> </w:t>
      </w:r>
      <w:r>
        <w:rPr>
          <w:rFonts w:ascii="Arial" w:cs="Arial" w:eastAsia="Arial" w:hAnsi="Arial"/>
          <w:sz w:val="16"/>
          <w:szCs w:val="16"/>
          <w:color w:val="161616"/>
        </w:rPr>
        <w:t>period</w:t>
      </w:r>
      <w:r>
        <w:rPr>
          <w:rFonts w:ascii="Arial" w:cs="Arial" w:eastAsia="Arial" w:hAnsi="Arial"/>
          <w:sz w:val="16"/>
          <w:szCs w:val="16"/>
          <w:color w:val="151515"/>
        </w:rPr>
        <w:t xml:space="preserve"> </w:t>
      </w:r>
      <w:r>
        <w:rPr>
          <w:rFonts w:ascii="Arial" w:cs="Arial" w:eastAsia="Arial" w:hAnsi="Arial"/>
          <w:sz w:val="16"/>
          <w:szCs w:val="16"/>
          <w:color w:val="181818"/>
        </w:rPr>
        <w:t>referred</w:t>
      </w:r>
      <w:r>
        <w:rPr>
          <w:rFonts w:ascii="Arial" w:cs="Arial" w:eastAsia="Arial" w:hAnsi="Arial"/>
          <w:sz w:val="16"/>
          <w:szCs w:val="16"/>
          <w:color w:val="151515"/>
        </w:rPr>
        <w:t xml:space="preserve"> </w:t>
      </w:r>
      <w:r>
        <w:rPr>
          <w:rFonts w:ascii="Arial" w:cs="Arial" w:eastAsia="Arial" w:hAnsi="Arial"/>
          <w:sz w:val="16"/>
          <w:szCs w:val="16"/>
          <w:color w:val="262626"/>
        </w:rPr>
        <w:t>to</w:t>
      </w:r>
      <w:r>
        <w:rPr>
          <w:rFonts w:ascii="Arial" w:cs="Arial" w:eastAsia="Arial" w:hAnsi="Arial"/>
          <w:sz w:val="16"/>
          <w:szCs w:val="16"/>
          <w:color w:val="151515"/>
        </w:rPr>
        <w:t xml:space="preserve"> </w:t>
      </w:r>
      <w:r>
        <w:rPr>
          <w:rFonts w:ascii="Arial" w:cs="Arial" w:eastAsia="Arial" w:hAnsi="Arial"/>
          <w:sz w:val="16"/>
          <w:szCs w:val="16"/>
          <w:color w:val="0C0C0C"/>
        </w:rPr>
        <w:t>above</w:t>
      </w:r>
      <w:r>
        <w:rPr>
          <w:rFonts w:ascii="Arial" w:cs="Arial" w:eastAsia="Arial" w:hAnsi="Arial"/>
          <w:sz w:val="16"/>
          <w:szCs w:val="16"/>
          <w:color w:val="151515"/>
        </w:rPr>
        <w:t xml:space="preserve"> </w:t>
      </w:r>
      <w:r>
        <w:rPr>
          <w:rFonts w:ascii="Arial" w:cs="Arial" w:eastAsia="Arial" w:hAnsi="Arial"/>
          <w:sz w:val="16"/>
          <w:szCs w:val="16"/>
          <w:color w:val="242424"/>
        </w:rPr>
        <w:t>or</w:t>
      </w:r>
      <w:r>
        <w:rPr>
          <w:rFonts w:ascii="Arial" w:cs="Arial" w:eastAsia="Arial" w:hAnsi="Arial"/>
          <w:sz w:val="16"/>
          <w:szCs w:val="16"/>
          <w:color w:val="151515"/>
        </w:rPr>
        <w:t xml:space="preserve"> </w:t>
      </w:r>
      <w:r>
        <w:rPr>
          <w:rFonts w:ascii="Arial" w:cs="Arial" w:eastAsia="Arial" w:hAnsi="Arial"/>
          <w:sz w:val="16"/>
          <w:szCs w:val="16"/>
          <w:color w:val="161616"/>
        </w:rPr>
        <w:t>the</w:t>
      </w:r>
      <w:r>
        <w:rPr>
          <w:rFonts w:ascii="Arial" w:cs="Arial" w:eastAsia="Arial" w:hAnsi="Arial"/>
          <w:sz w:val="16"/>
          <w:szCs w:val="16"/>
          <w:color w:val="151515"/>
        </w:rPr>
        <w:t xml:space="preserve"> </w:t>
      </w:r>
      <w:r>
        <w:rPr>
          <w:rFonts w:ascii="Arial" w:cs="Arial" w:eastAsia="Arial" w:hAnsi="Arial"/>
          <w:sz w:val="16"/>
          <w:szCs w:val="16"/>
          <w:color w:val="111111"/>
        </w:rPr>
        <w:t>Company’s</w:t>
      </w:r>
      <w:r>
        <w:rPr>
          <w:rFonts w:ascii="Arial" w:cs="Arial" w:eastAsia="Arial" w:hAnsi="Arial"/>
          <w:sz w:val="16"/>
          <w:szCs w:val="16"/>
          <w:color w:val="151515"/>
        </w:rPr>
        <w:t xml:space="preserve"> </w:t>
      </w:r>
      <w:r>
        <w:rPr>
          <w:rFonts w:ascii="Arial" w:cs="Arial" w:eastAsia="Arial" w:hAnsi="Arial"/>
          <w:sz w:val="16"/>
          <w:szCs w:val="16"/>
          <w:color w:val="181818"/>
        </w:rPr>
        <w:t>withdrawal</w:t>
      </w:r>
      <w:r>
        <w:rPr>
          <w:rFonts w:ascii="Arial" w:cs="Arial" w:eastAsia="Arial" w:hAnsi="Arial"/>
          <w:sz w:val="16"/>
          <w:szCs w:val="16"/>
          <w:color w:val="151515"/>
        </w:rPr>
        <w:t xml:space="preserve"> of </w:t>
      </w:r>
      <w:r>
        <w:rPr>
          <w:rFonts w:ascii="Arial" w:cs="Arial" w:eastAsia="Arial" w:hAnsi="Arial"/>
          <w:sz w:val="16"/>
          <w:szCs w:val="16"/>
          <w:color w:val="242424"/>
        </w:rPr>
        <w:t>the</w:t>
      </w:r>
      <w:r>
        <w:rPr>
          <w:rFonts w:ascii="Arial" w:cs="Arial" w:eastAsia="Arial" w:hAnsi="Arial"/>
          <w:sz w:val="16"/>
          <w:szCs w:val="16"/>
          <w:color w:val="151515"/>
        </w:rPr>
        <w:t xml:space="preserve"> </w:t>
      </w:r>
      <w:r>
        <w:rPr>
          <w:rFonts w:ascii="Arial" w:cs="Arial" w:eastAsia="Arial" w:hAnsi="Arial"/>
          <w:sz w:val="16"/>
          <w:szCs w:val="16"/>
          <w:color w:val="232323"/>
        </w:rPr>
        <w:t>offer</w:t>
      </w:r>
      <w:r>
        <w:rPr>
          <w:rFonts w:ascii="Arial" w:cs="Arial" w:eastAsia="Arial" w:hAnsi="Arial"/>
          <w:sz w:val="16"/>
          <w:szCs w:val="16"/>
          <w:color w:val="151515"/>
        </w:rPr>
        <w:t xml:space="preserve"> </w:t>
      </w:r>
      <w:r>
        <w:rPr>
          <w:rFonts w:ascii="Arial" w:cs="Arial" w:eastAsia="Arial" w:hAnsi="Arial"/>
          <w:sz w:val="16"/>
          <w:szCs w:val="16"/>
          <w:color w:val="1C1C1C"/>
        </w:rPr>
        <w:t>contained</w:t>
      </w:r>
      <w:r>
        <w:rPr>
          <w:rFonts w:ascii="Arial" w:cs="Arial" w:eastAsia="Arial" w:hAnsi="Arial"/>
          <w:sz w:val="16"/>
          <w:szCs w:val="16"/>
          <w:color w:val="151515"/>
        </w:rPr>
        <w:t xml:space="preserve"> </w:t>
      </w:r>
      <w:r>
        <w:rPr>
          <w:rFonts w:ascii="Arial" w:cs="Arial" w:eastAsia="Arial" w:hAnsi="Arial"/>
          <w:sz w:val="16"/>
          <w:szCs w:val="16"/>
          <w:color w:val="2D2D2D"/>
        </w:rPr>
        <w:t>in</w:t>
      </w:r>
      <w:r>
        <w:rPr>
          <w:rFonts w:ascii="Arial" w:cs="Arial" w:eastAsia="Arial" w:hAnsi="Arial"/>
          <w:sz w:val="16"/>
          <w:szCs w:val="16"/>
          <w:color w:val="151515"/>
        </w:rPr>
        <w:t xml:space="preserve"> </w:t>
      </w:r>
      <w:r>
        <w:rPr>
          <w:rFonts w:ascii="Arial" w:cs="Arial" w:eastAsia="Arial" w:hAnsi="Arial"/>
          <w:sz w:val="16"/>
          <w:szCs w:val="16"/>
          <w:color w:val="262626"/>
        </w:rPr>
        <w:t>this</w:t>
      </w:r>
      <w:r>
        <w:rPr>
          <w:rFonts w:ascii="Arial" w:cs="Arial" w:eastAsia="Arial" w:hAnsi="Arial"/>
          <w:sz w:val="16"/>
          <w:szCs w:val="16"/>
          <w:color w:val="151515"/>
        </w:rPr>
        <w:t xml:space="preserve"> </w:t>
      </w:r>
      <w:r>
        <w:rPr>
          <w:rFonts w:ascii="Arial" w:cs="Arial" w:eastAsia="Arial" w:hAnsi="Arial"/>
          <w:sz w:val="16"/>
          <w:szCs w:val="16"/>
          <w:color w:val="111111"/>
        </w:rPr>
        <w:t>Agreement. By</w:t>
      </w:r>
      <w:r>
        <w:rPr>
          <w:rFonts w:ascii="Arial" w:cs="Arial" w:eastAsia="Arial" w:hAnsi="Arial"/>
          <w:sz w:val="16"/>
          <w:szCs w:val="16"/>
          <w:color w:val="151515"/>
        </w:rPr>
        <w:t xml:space="preserve"> </w:t>
      </w:r>
      <w:r>
        <w:rPr>
          <w:rFonts w:ascii="Arial" w:cs="Arial" w:eastAsia="Arial" w:hAnsi="Arial"/>
          <w:sz w:val="16"/>
          <w:szCs w:val="16"/>
          <w:color w:val="0F0F0F"/>
        </w:rPr>
        <w:t>signing</w:t>
      </w:r>
      <w:r>
        <w:rPr>
          <w:rFonts w:ascii="Arial" w:cs="Arial" w:eastAsia="Arial" w:hAnsi="Arial"/>
          <w:sz w:val="16"/>
          <w:szCs w:val="16"/>
          <w:color w:val="151515"/>
        </w:rPr>
        <w:t xml:space="preserve"> </w:t>
      </w:r>
      <w:r>
        <w:rPr>
          <w:rFonts w:ascii="Arial" w:cs="Arial" w:eastAsia="Arial" w:hAnsi="Arial"/>
          <w:sz w:val="16"/>
          <w:szCs w:val="16"/>
          <w:color w:val="000000"/>
        </w:rPr>
        <w:t>this</w:t>
      </w:r>
      <w:r>
        <w:rPr>
          <w:rFonts w:ascii="Arial" w:cs="Arial" w:eastAsia="Arial" w:hAnsi="Arial"/>
          <w:sz w:val="16"/>
          <w:szCs w:val="16"/>
          <w:color w:val="151515"/>
        </w:rPr>
        <w:t xml:space="preserve"> </w:t>
      </w:r>
      <w:r>
        <w:rPr>
          <w:rFonts w:ascii="Arial" w:cs="Arial" w:eastAsia="Arial" w:hAnsi="Arial"/>
          <w:sz w:val="16"/>
          <w:szCs w:val="16"/>
          <w:color w:val="0F0F0F"/>
        </w:rPr>
        <w:t xml:space="preserve">Agreement, </w:t>
      </w:r>
      <w:r>
        <w:rPr>
          <w:rFonts w:ascii="Arial" w:cs="Arial" w:eastAsia="Arial" w:hAnsi="Arial"/>
          <w:sz w:val="16"/>
          <w:szCs w:val="16"/>
          <w:color w:val="111111"/>
        </w:rPr>
        <w:t>Executive</w:t>
      </w:r>
      <w:r>
        <w:rPr>
          <w:rFonts w:ascii="Arial" w:cs="Arial" w:eastAsia="Arial" w:hAnsi="Arial"/>
          <w:sz w:val="16"/>
          <w:szCs w:val="16"/>
          <w:color w:val="0F0F0F"/>
        </w:rPr>
        <w:t xml:space="preserve"> </w:t>
      </w:r>
      <w:r>
        <w:rPr>
          <w:rFonts w:ascii="Arial" w:cs="Arial" w:eastAsia="Arial" w:hAnsi="Arial"/>
          <w:sz w:val="16"/>
          <w:szCs w:val="16"/>
          <w:color w:val="1A1A1A"/>
        </w:rPr>
        <w:t>acknowledges</w:t>
      </w:r>
      <w:r>
        <w:rPr>
          <w:rFonts w:ascii="Arial" w:cs="Arial" w:eastAsia="Arial" w:hAnsi="Arial"/>
          <w:sz w:val="16"/>
          <w:szCs w:val="16"/>
          <w:color w:val="0F0F0F"/>
        </w:rPr>
        <w:t xml:space="preserve"> </w:t>
      </w:r>
      <w:r>
        <w:rPr>
          <w:rFonts w:ascii="Arial" w:cs="Arial" w:eastAsia="Arial" w:hAnsi="Arial"/>
          <w:sz w:val="16"/>
          <w:szCs w:val="16"/>
          <w:color w:val="1F1F1F"/>
        </w:rPr>
        <w:t>that he was</w:t>
      </w:r>
      <w:r>
        <w:rPr>
          <w:rFonts w:ascii="Arial" w:cs="Arial" w:eastAsia="Arial" w:hAnsi="Arial"/>
          <w:sz w:val="16"/>
          <w:szCs w:val="16"/>
          <w:color w:val="0F0F0F"/>
        </w:rPr>
        <w:t xml:space="preserve"> </w:t>
      </w:r>
      <w:r>
        <w:rPr>
          <w:rFonts w:ascii="Arial" w:cs="Arial" w:eastAsia="Arial" w:hAnsi="Arial"/>
          <w:sz w:val="16"/>
          <w:szCs w:val="16"/>
          <w:color w:val="0A0A0A"/>
        </w:rPr>
        <w:t>afforded</w:t>
      </w:r>
      <w:r>
        <w:rPr>
          <w:rFonts w:ascii="Arial" w:cs="Arial" w:eastAsia="Arial" w:hAnsi="Arial"/>
          <w:sz w:val="16"/>
          <w:szCs w:val="16"/>
          <w:color w:val="0F0F0F"/>
        </w:rPr>
        <w:t xml:space="preserve"> </w:t>
      </w:r>
      <w:r>
        <w:rPr>
          <w:rFonts w:ascii="Arial" w:cs="Arial" w:eastAsia="Arial" w:hAnsi="Arial"/>
          <w:sz w:val="16"/>
          <w:szCs w:val="16"/>
          <w:color w:val="161616"/>
        </w:rPr>
        <w:t>a</w:t>
      </w:r>
      <w:r>
        <w:rPr>
          <w:rFonts w:ascii="Arial" w:cs="Arial" w:eastAsia="Arial" w:hAnsi="Arial"/>
          <w:sz w:val="16"/>
          <w:szCs w:val="16"/>
          <w:color w:val="0F0F0F"/>
        </w:rPr>
        <w:t xml:space="preserve"> </w:t>
      </w:r>
      <w:r>
        <w:rPr>
          <w:rFonts w:ascii="Arial" w:cs="Arial" w:eastAsia="Arial" w:hAnsi="Arial"/>
          <w:sz w:val="16"/>
          <w:szCs w:val="16"/>
          <w:color w:val="1F1F1F"/>
        </w:rPr>
        <w:t>period</w:t>
      </w:r>
      <w:r>
        <w:rPr>
          <w:rFonts w:ascii="Arial" w:cs="Arial" w:eastAsia="Arial" w:hAnsi="Arial"/>
          <w:sz w:val="16"/>
          <w:szCs w:val="16"/>
          <w:color w:val="0F0F0F"/>
        </w:rPr>
        <w:t xml:space="preserve"> </w:t>
      </w:r>
      <w:r>
        <w:rPr>
          <w:rFonts w:ascii="Arial" w:cs="Arial" w:eastAsia="Arial" w:hAnsi="Arial"/>
          <w:sz w:val="16"/>
          <w:szCs w:val="16"/>
          <w:color w:val="161616"/>
        </w:rPr>
        <w:t>of</w:t>
      </w:r>
      <w:r>
        <w:rPr>
          <w:rFonts w:ascii="Arial" w:cs="Arial" w:eastAsia="Arial" w:hAnsi="Arial"/>
          <w:sz w:val="16"/>
          <w:szCs w:val="16"/>
          <w:color w:val="0F0F0F"/>
        </w:rPr>
        <w:t xml:space="preserve"> at </w:t>
      </w:r>
      <w:r>
        <w:rPr>
          <w:rFonts w:ascii="Arial" w:cs="Arial" w:eastAsia="Arial" w:hAnsi="Arial"/>
          <w:sz w:val="16"/>
          <w:szCs w:val="16"/>
          <w:color w:val="1F1F1F"/>
        </w:rPr>
        <w:t>least</w:t>
      </w:r>
      <w:r>
        <w:rPr>
          <w:rFonts w:ascii="Arial" w:cs="Arial" w:eastAsia="Arial" w:hAnsi="Arial"/>
          <w:sz w:val="16"/>
          <w:szCs w:val="16"/>
          <w:color w:val="0F0F0F"/>
        </w:rPr>
        <w:t xml:space="preserve"> </w:t>
      </w:r>
      <w:r>
        <w:rPr>
          <w:rFonts w:ascii="Arial" w:cs="Arial" w:eastAsia="Arial" w:hAnsi="Arial"/>
          <w:sz w:val="16"/>
          <w:szCs w:val="16"/>
          <w:color w:val="181818"/>
        </w:rPr>
        <w:t>21</w:t>
      </w:r>
      <w:r>
        <w:rPr>
          <w:rFonts w:ascii="Arial" w:cs="Arial" w:eastAsia="Arial" w:hAnsi="Arial"/>
          <w:sz w:val="16"/>
          <w:szCs w:val="16"/>
          <w:color w:val="0F0F0F"/>
        </w:rPr>
        <w:t xml:space="preserve"> </w:t>
      </w:r>
      <w:r>
        <w:rPr>
          <w:rFonts w:ascii="Arial" w:cs="Arial" w:eastAsia="Arial" w:hAnsi="Arial"/>
          <w:sz w:val="16"/>
          <w:szCs w:val="16"/>
          <w:color w:val="0E0E0E"/>
        </w:rPr>
        <w:t>days</w:t>
      </w:r>
      <w:r>
        <w:rPr>
          <w:rFonts w:ascii="Arial" w:cs="Arial" w:eastAsia="Arial" w:hAnsi="Arial"/>
          <w:sz w:val="16"/>
          <w:szCs w:val="16"/>
          <w:color w:val="0F0F0F"/>
        </w:rPr>
        <w:t xml:space="preserve"> </w:t>
      </w:r>
      <w:r>
        <w:rPr>
          <w:rFonts w:ascii="Arial" w:cs="Arial" w:eastAsia="Arial" w:hAnsi="Arial"/>
          <w:sz w:val="16"/>
          <w:szCs w:val="16"/>
          <w:color w:val="161616"/>
        </w:rPr>
        <w:t>from</w:t>
      </w:r>
      <w:r>
        <w:rPr>
          <w:rFonts w:ascii="Arial" w:cs="Arial" w:eastAsia="Arial" w:hAnsi="Arial"/>
          <w:sz w:val="16"/>
          <w:szCs w:val="16"/>
          <w:color w:val="0F0F0F"/>
        </w:rPr>
        <w:t xml:space="preserve"> the </w:t>
      </w:r>
      <w:r>
        <w:rPr>
          <w:rFonts w:ascii="Arial" w:cs="Arial" w:eastAsia="Arial" w:hAnsi="Arial"/>
          <w:sz w:val="16"/>
          <w:szCs w:val="16"/>
          <w:color w:val="131313"/>
        </w:rPr>
        <w:t>date</w:t>
      </w:r>
      <w:r>
        <w:rPr>
          <w:rFonts w:ascii="Arial" w:cs="Arial" w:eastAsia="Arial" w:hAnsi="Arial"/>
          <w:sz w:val="16"/>
          <w:szCs w:val="16"/>
          <w:color w:val="0F0F0F"/>
        </w:rPr>
        <w:t xml:space="preserve"> </w:t>
      </w:r>
      <w:r>
        <w:rPr>
          <w:rFonts w:ascii="Arial" w:cs="Arial" w:eastAsia="Arial" w:hAnsi="Arial"/>
          <w:sz w:val="16"/>
          <w:szCs w:val="16"/>
          <w:color w:val="161616"/>
        </w:rPr>
        <w:t>the Company’s proposal</w:t>
      </w:r>
      <w:r>
        <w:rPr>
          <w:rFonts w:ascii="Arial" w:cs="Arial" w:eastAsia="Arial" w:hAnsi="Arial"/>
          <w:sz w:val="16"/>
          <w:szCs w:val="16"/>
          <w:color w:val="0F0F0F"/>
        </w:rPr>
        <w:t xml:space="preserve"> </w:t>
      </w:r>
      <w:r>
        <w:rPr>
          <w:rFonts w:ascii="Arial" w:cs="Arial" w:eastAsia="Arial" w:hAnsi="Arial"/>
          <w:sz w:val="16"/>
          <w:szCs w:val="16"/>
          <w:color w:val="262626"/>
        </w:rPr>
        <w:t>was</w:t>
      </w:r>
      <w:r>
        <w:rPr>
          <w:rFonts w:ascii="Arial" w:cs="Arial" w:eastAsia="Arial" w:hAnsi="Arial"/>
          <w:sz w:val="16"/>
          <w:szCs w:val="16"/>
          <w:color w:val="0F0F0F"/>
        </w:rPr>
        <w:t xml:space="preserve"> </w:t>
      </w:r>
      <w:r>
        <w:rPr>
          <w:rFonts w:ascii="Arial" w:cs="Arial" w:eastAsia="Arial" w:hAnsi="Arial"/>
          <w:sz w:val="16"/>
          <w:szCs w:val="16"/>
          <w:color w:val="080808"/>
        </w:rPr>
        <w:t>presented</w:t>
      </w:r>
      <w:r>
        <w:rPr>
          <w:rFonts w:ascii="Arial" w:cs="Arial" w:eastAsia="Arial" w:hAnsi="Arial"/>
          <w:sz w:val="16"/>
          <w:szCs w:val="16"/>
          <w:color w:val="0F0F0F"/>
        </w:rPr>
        <w:t xml:space="preserve"> </w:t>
      </w:r>
      <w:r>
        <w:rPr>
          <w:rFonts w:ascii="Arial" w:cs="Arial" w:eastAsia="Arial" w:hAnsi="Arial"/>
          <w:sz w:val="16"/>
          <w:szCs w:val="16"/>
          <w:color w:val="181818"/>
        </w:rPr>
        <w:t>to</w:t>
      </w:r>
      <w:r>
        <w:rPr>
          <w:rFonts w:ascii="Arial" w:cs="Arial" w:eastAsia="Arial" w:hAnsi="Arial"/>
          <w:sz w:val="16"/>
          <w:szCs w:val="16"/>
          <w:color w:val="0F0F0F"/>
        </w:rPr>
        <w:t xml:space="preserve"> </w:t>
      </w:r>
      <w:r>
        <w:rPr>
          <w:rFonts w:ascii="Arial" w:cs="Arial" w:eastAsia="Arial" w:hAnsi="Arial"/>
          <w:sz w:val="16"/>
          <w:szCs w:val="16"/>
          <w:color w:val="1C1C1C"/>
        </w:rPr>
        <w:t>him</w:t>
      </w:r>
      <w:r>
        <w:rPr>
          <w:rFonts w:ascii="Arial" w:cs="Arial" w:eastAsia="Arial" w:hAnsi="Arial"/>
          <w:sz w:val="16"/>
          <w:szCs w:val="16"/>
          <w:color w:val="0F0F0F"/>
        </w:rPr>
        <w:t xml:space="preserve"> </w:t>
      </w:r>
      <w:r>
        <w:rPr>
          <w:rFonts w:ascii="Arial" w:cs="Arial" w:eastAsia="Arial" w:hAnsi="Arial"/>
          <w:sz w:val="16"/>
          <w:szCs w:val="16"/>
          <w:color w:val="111111"/>
        </w:rPr>
        <w:t xml:space="preserve">in </w:t>
      </w:r>
      <w:r>
        <w:rPr>
          <w:rFonts w:ascii="Arial" w:cs="Arial" w:eastAsia="Arial" w:hAnsi="Arial"/>
          <w:sz w:val="16"/>
          <w:szCs w:val="16"/>
          <w:color w:val="1A1A1A"/>
        </w:rPr>
        <w:t>which</w:t>
      </w:r>
      <w:r>
        <w:rPr>
          <w:rFonts w:ascii="Arial" w:cs="Arial" w:eastAsia="Arial" w:hAnsi="Arial"/>
          <w:sz w:val="16"/>
          <w:szCs w:val="16"/>
          <w:color w:val="111111"/>
        </w:rPr>
        <w:t xml:space="preserve"> </w:t>
      </w:r>
      <w:r>
        <w:rPr>
          <w:rFonts w:ascii="Arial" w:cs="Arial" w:eastAsia="Arial" w:hAnsi="Arial"/>
          <w:sz w:val="16"/>
          <w:szCs w:val="16"/>
          <w:color w:val="0A0A0A"/>
        </w:rPr>
        <w:t>to</w:t>
      </w:r>
      <w:r>
        <w:rPr>
          <w:rFonts w:ascii="Arial" w:cs="Arial" w:eastAsia="Arial" w:hAnsi="Arial"/>
          <w:sz w:val="16"/>
          <w:szCs w:val="16"/>
          <w:color w:val="111111"/>
        </w:rPr>
        <w:t xml:space="preserve"> </w:t>
      </w:r>
      <w:r>
        <w:rPr>
          <w:rFonts w:ascii="Arial" w:cs="Arial" w:eastAsia="Arial" w:hAnsi="Arial"/>
          <w:sz w:val="16"/>
          <w:szCs w:val="16"/>
          <w:color w:val="030303"/>
        </w:rPr>
        <w:t>consider</w:t>
      </w:r>
      <w:r>
        <w:rPr>
          <w:rFonts w:ascii="Arial" w:cs="Arial" w:eastAsia="Arial" w:hAnsi="Arial"/>
          <w:sz w:val="16"/>
          <w:szCs w:val="16"/>
          <w:color w:val="111111"/>
        </w:rPr>
        <w:t xml:space="preserve"> </w:t>
      </w:r>
      <w:r>
        <w:rPr>
          <w:rFonts w:ascii="Arial" w:cs="Arial" w:eastAsia="Arial" w:hAnsi="Arial"/>
          <w:sz w:val="16"/>
          <w:szCs w:val="16"/>
          <w:color w:val="232323"/>
        </w:rPr>
        <w:t>it.</w:t>
      </w:r>
      <w:r>
        <w:rPr>
          <w:rFonts w:ascii="Arial" w:cs="Arial" w:eastAsia="Arial" w:hAnsi="Arial"/>
          <w:sz w:val="16"/>
          <w:szCs w:val="16"/>
          <w:color w:val="111111"/>
        </w:rPr>
        <w:t xml:space="preserve"> </w:t>
      </w:r>
      <w:r>
        <w:rPr>
          <w:rFonts w:ascii="Arial" w:cs="Arial" w:eastAsia="Arial" w:hAnsi="Arial"/>
          <w:sz w:val="16"/>
          <w:szCs w:val="16"/>
          <w:color w:val="0C0C0C"/>
        </w:rPr>
        <w:t>Executive understands</w:t>
      </w:r>
      <w:r>
        <w:rPr>
          <w:rFonts w:ascii="Arial" w:cs="Arial" w:eastAsia="Arial" w:hAnsi="Arial"/>
          <w:sz w:val="16"/>
          <w:szCs w:val="16"/>
          <w:color w:val="111111"/>
        </w:rPr>
        <w:t xml:space="preserve"> </w:t>
      </w:r>
      <w:r>
        <w:rPr>
          <w:rFonts w:ascii="Arial" w:cs="Arial" w:eastAsia="Arial" w:hAnsi="Arial"/>
          <w:sz w:val="16"/>
          <w:szCs w:val="16"/>
          <w:color w:val="181818"/>
        </w:rPr>
        <w:t>that</w:t>
      </w:r>
      <w:r>
        <w:rPr>
          <w:rFonts w:ascii="Arial" w:cs="Arial" w:eastAsia="Arial" w:hAnsi="Arial"/>
          <w:sz w:val="16"/>
          <w:szCs w:val="16"/>
          <w:color w:val="111111"/>
        </w:rPr>
        <w:t xml:space="preserve"> </w:t>
      </w:r>
      <w:r>
        <w:rPr>
          <w:rFonts w:ascii="Arial" w:cs="Arial" w:eastAsia="Arial" w:hAnsi="Arial"/>
          <w:sz w:val="16"/>
          <w:szCs w:val="16"/>
          <w:color w:val="1F1F1F"/>
        </w:rPr>
        <w:t>any</w:t>
      </w:r>
      <w:r>
        <w:rPr>
          <w:rFonts w:ascii="Arial" w:cs="Arial" w:eastAsia="Arial" w:hAnsi="Arial"/>
          <w:sz w:val="16"/>
          <w:szCs w:val="16"/>
          <w:color w:val="111111"/>
        </w:rPr>
        <w:t xml:space="preserve"> </w:t>
      </w:r>
      <w:r>
        <w:rPr>
          <w:rFonts w:ascii="Arial" w:cs="Arial" w:eastAsia="Arial" w:hAnsi="Arial"/>
          <w:sz w:val="16"/>
          <w:szCs w:val="16"/>
          <w:color w:val="181818"/>
        </w:rPr>
        <w:t>changes</w:t>
      </w:r>
      <w:r>
        <w:rPr>
          <w:rFonts w:ascii="Arial" w:cs="Arial" w:eastAsia="Arial" w:hAnsi="Arial"/>
          <w:sz w:val="16"/>
          <w:szCs w:val="16"/>
          <w:color w:val="111111"/>
        </w:rPr>
        <w:t xml:space="preserve"> </w:t>
      </w:r>
      <w:r>
        <w:rPr>
          <w:rFonts w:ascii="Arial" w:cs="Arial" w:eastAsia="Arial" w:hAnsi="Arial"/>
          <w:sz w:val="16"/>
          <w:szCs w:val="16"/>
          <w:color w:val="161616"/>
        </w:rPr>
        <w:t>that</w:t>
      </w:r>
      <w:r>
        <w:rPr>
          <w:rFonts w:ascii="Arial" w:cs="Arial" w:eastAsia="Arial" w:hAnsi="Arial"/>
          <w:sz w:val="16"/>
          <w:szCs w:val="16"/>
          <w:color w:val="111111"/>
        </w:rPr>
        <w:t xml:space="preserve"> </w:t>
      </w:r>
      <w:r>
        <w:rPr>
          <w:rFonts w:ascii="Arial" w:cs="Arial" w:eastAsia="Arial" w:hAnsi="Arial"/>
          <w:sz w:val="16"/>
          <w:szCs w:val="16"/>
          <w:color w:val="1A1A1A"/>
        </w:rPr>
        <w:t>the</w:t>
      </w:r>
      <w:r>
        <w:rPr>
          <w:rFonts w:ascii="Arial" w:cs="Arial" w:eastAsia="Arial" w:hAnsi="Arial"/>
          <w:sz w:val="16"/>
          <w:szCs w:val="16"/>
          <w:color w:val="111111"/>
        </w:rPr>
        <w:t xml:space="preserve"> </w:t>
      </w:r>
      <w:r>
        <w:rPr>
          <w:rFonts w:ascii="Arial" w:cs="Arial" w:eastAsia="Arial" w:hAnsi="Arial"/>
          <w:sz w:val="16"/>
          <w:szCs w:val="16"/>
          <w:color w:val="131313"/>
        </w:rPr>
        <w:t>parties</w:t>
      </w:r>
      <w:r>
        <w:rPr>
          <w:rFonts w:ascii="Arial" w:cs="Arial" w:eastAsia="Arial" w:hAnsi="Arial"/>
          <w:sz w:val="16"/>
          <w:szCs w:val="16"/>
          <w:color w:val="111111"/>
        </w:rPr>
        <w:t xml:space="preserve"> </w:t>
      </w:r>
      <w:r>
        <w:rPr>
          <w:rFonts w:ascii="Arial" w:cs="Arial" w:eastAsia="Arial" w:hAnsi="Arial"/>
          <w:sz w:val="16"/>
          <w:szCs w:val="16"/>
          <w:color w:val="0F0F0F"/>
        </w:rPr>
        <w:t>agree</w:t>
      </w:r>
      <w:r>
        <w:rPr>
          <w:rFonts w:ascii="Arial" w:cs="Arial" w:eastAsia="Arial" w:hAnsi="Arial"/>
          <w:sz w:val="16"/>
          <w:szCs w:val="16"/>
          <w:color w:val="111111"/>
        </w:rPr>
        <w:t xml:space="preserve"> </w:t>
      </w:r>
      <w:r>
        <w:rPr>
          <w:rFonts w:ascii="Arial" w:cs="Arial" w:eastAsia="Arial" w:hAnsi="Arial"/>
          <w:sz w:val="16"/>
          <w:szCs w:val="16"/>
          <w:color w:val="151515"/>
        </w:rPr>
        <w:t>to</w:t>
      </w:r>
      <w:r>
        <w:rPr>
          <w:rFonts w:ascii="Arial" w:cs="Arial" w:eastAsia="Arial" w:hAnsi="Arial"/>
          <w:sz w:val="16"/>
          <w:szCs w:val="16"/>
          <w:color w:val="111111"/>
        </w:rPr>
        <w:t xml:space="preserve"> </w:t>
      </w:r>
      <w:r>
        <w:rPr>
          <w:rFonts w:ascii="Arial" w:cs="Arial" w:eastAsia="Arial" w:hAnsi="Arial"/>
          <w:sz w:val="16"/>
          <w:szCs w:val="16"/>
          <w:color w:val="131313"/>
        </w:rPr>
        <w:t>make</w:t>
      </w:r>
      <w:r>
        <w:rPr>
          <w:rFonts w:ascii="Arial" w:cs="Arial" w:eastAsia="Arial" w:hAnsi="Arial"/>
          <w:sz w:val="16"/>
          <w:szCs w:val="16"/>
          <w:color w:val="111111"/>
        </w:rPr>
        <w:t xml:space="preserve"> to </w:t>
      </w:r>
      <w:r>
        <w:rPr>
          <w:rFonts w:ascii="Arial" w:cs="Arial" w:eastAsia="Arial" w:hAnsi="Arial"/>
          <w:sz w:val="16"/>
          <w:szCs w:val="16"/>
          <w:color w:val="1A1A1A"/>
        </w:rPr>
        <w:t>this</w:t>
      </w:r>
      <w:r>
        <w:rPr>
          <w:rFonts w:ascii="Arial" w:cs="Arial" w:eastAsia="Arial" w:hAnsi="Arial"/>
          <w:sz w:val="16"/>
          <w:szCs w:val="16"/>
          <w:color w:val="111111"/>
        </w:rPr>
        <w:t xml:space="preserve"> Agreement </w:t>
      </w:r>
      <w:r>
        <w:rPr>
          <w:rFonts w:ascii="Arial" w:cs="Arial" w:eastAsia="Arial" w:hAnsi="Arial"/>
          <w:sz w:val="16"/>
          <w:szCs w:val="16"/>
          <w:color w:val="0F0F0F"/>
        </w:rPr>
        <w:t>after</w:t>
      </w:r>
      <w:r>
        <w:rPr>
          <w:rFonts w:ascii="Arial" w:cs="Arial" w:eastAsia="Arial" w:hAnsi="Arial"/>
          <w:sz w:val="16"/>
          <w:szCs w:val="16"/>
          <w:color w:val="111111"/>
        </w:rPr>
        <w:t xml:space="preserve"> </w:t>
      </w:r>
      <w:r>
        <w:rPr>
          <w:rFonts w:ascii="Arial" w:cs="Arial" w:eastAsia="Arial" w:hAnsi="Arial"/>
          <w:sz w:val="16"/>
          <w:szCs w:val="16"/>
          <w:color w:val="161616"/>
        </w:rPr>
        <w:t>it</w:t>
      </w:r>
      <w:r>
        <w:rPr>
          <w:rFonts w:ascii="Arial" w:cs="Arial" w:eastAsia="Arial" w:hAnsi="Arial"/>
          <w:sz w:val="16"/>
          <w:szCs w:val="16"/>
          <w:color w:val="111111"/>
        </w:rPr>
        <w:t xml:space="preserve"> has </w:t>
      </w:r>
      <w:r>
        <w:rPr>
          <w:rFonts w:ascii="Arial" w:cs="Arial" w:eastAsia="Arial" w:hAnsi="Arial"/>
          <w:sz w:val="16"/>
          <w:szCs w:val="16"/>
          <w:color w:val="161616"/>
        </w:rPr>
        <w:t>been</w:t>
      </w:r>
      <w:r>
        <w:rPr>
          <w:rFonts w:ascii="Arial" w:cs="Arial" w:eastAsia="Arial" w:hAnsi="Arial"/>
          <w:sz w:val="16"/>
          <w:szCs w:val="16"/>
          <w:color w:val="111111"/>
        </w:rPr>
        <w:t xml:space="preserve"> </w:t>
      </w:r>
      <w:r>
        <w:rPr>
          <w:rFonts w:ascii="Arial" w:cs="Arial" w:eastAsia="Arial" w:hAnsi="Arial"/>
          <w:sz w:val="16"/>
          <w:szCs w:val="16"/>
          <w:color w:val="1A1A1A"/>
        </w:rPr>
        <w:t>presented</w:t>
      </w:r>
      <w:r>
        <w:rPr>
          <w:rFonts w:ascii="Arial" w:cs="Arial" w:eastAsia="Arial" w:hAnsi="Arial"/>
          <w:sz w:val="16"/>
          <w:szCs w:val="16"/>
          <w:color w:val="111111"/>
        </w:rPr>
        <w:t xml:space="preserve"> </w:t>
      </w:r>
      <w:r>
        <w:rPr>
          <w:rFonts w:ascii="Arial" w:cs="Arial" w:eastAsia="Arial" w:hAnsi="Arial"/>
          <w:sz w:val="16"/>
          <w:szCs w:val="16"/>
          <w:color w:val="181818"/>
        </w:rPr>
        <w:t>to</w:t>
      </w:r>
      <w:r>
        <w:rPr>
          <w:rFonts w:ascii="Arial" w:cs="Arial" w:eastAsia="Arial" w:hAnsi="Arial"/>
          <w:sz w:val="16"/>
          <w:szCs w:val="16"/>
          <w:color w:val="111111"/>
        </w:rPr>
        <w:t xml:space="preserve"> </w:t>
      </w:r>
      <w:r>
        <w:rPr>
          <w:rFonts w:ascii="Arial" w:cs="Arial" w:eastAsia="Arial" w:hAnsi="Arial"/>
          <w:sz w:val="16"/>
          <w:szCs w:val="16"/>
          <w:color w:val="212121"/>
        </w:rPr>
        <w:t>him,</w:t>
      </w:r>
      <w:r>
        <w:rPr>
          <w:rFonts w:ascii="Arial" w:cs="Arial" w:eastAsia="Arial" w:hAnsi="Arial"/>
          <w:sz w:val="16"/>
          <w:szCs w:val="16"/>
          <w:color w:val="111111"/>
        </w:rPr>
        <w:t xml:space="preserve"> </w:t>
      </w:r>
      <w:r>
        <w:rPr>
          <w:rFonts w:ascii="Arial" w:cs="Arial" w:eastAsia="Arial" w:hAnsi="Arial"/>
          <w:sz w:val="16"/>
          <w:szCs w:val="16"/>
          <w:color w:val="000000"/>
        </w:rPr>
        <w:t xml:space="preserve">whether </w:t>
      </w:r>
      <w:r>
        <w:rPr>
          <w:rFonts w:ascii="Arial" w:cs="Arial" w:eastAsia="Arial" w:hAnsi="Arial"/>
          <w:sz w:val="16"/>
          <w:szCs w:val="16"/>
          <w:color w:val="0C0C0C"/>
        </w:rPr>
        <w:t>such</w:t>
      </w:r>
      <w:r>
        <w:rPr>
          <w:rFonts w:ascii="Arial" w:cs="Arial" w:eastAsia="Arial" w:hAnsi="Arial"/>
          <w:sz w:val="16"/>
          <w:szCs w:val="16"/>
          <w:color w:val="000000"/>
        </w:rPr>
        <w:t xml:space="preserve"> </w:t>
      </w:r>
      <w:r>
        <w:rPr>
          <w:rFonts w:ascii="Arial" w:cs="Arial" w:eastAsia="Arial" w:hAnsi="Arial"/>
          <w:sz w:val="16"/>
          <w:szCs w:val="16"/>
          <w:color w:val="0E0E0E"/>
        </w:rPr>
        <w:t>changes</w:t>
      </w:r>
      <w:r>
        <w:rPr>
          <w:rFonts w:ascii="Arial" w:cs="Arial" w:eastAsia="Arial" w:hAnsi="Arial"/>
          <w:sz w:val="16"/>
          <w:szCs w:val="16"/>
          <w:color w:val="000000"/>
        </w:rPr>
        <w:t xml:space="preserve"> </w:t>
      </w:r>
      <w:r>
        <w:rPr>
          <w:rFonts w:ascii="Arial" w:cs="Arial" w:eastAsia="Arial" w:hAnsi="Arial"/>
          <w:sz w:val="16"/>
          <w:szCs w:val="16"/>
          <w:color w:val="1C1C1C"/>
        </w:rPr>
        <w:t>are</w:t>
      </w:r>
      <w:r>
        <w:rPr>
          <w:rFonts w:ascii="Arial" w:cs="Arial" w:eastAsia="Arial" w:hAnsi="Arial"/>
          <w:sz w:val="16"/>
          <w:szCs w:val="16"/>
          <w:color w:val="000000"/>
        </w:rPr>
        <w:t xml:space="preserve"> </w:t>
      </w:r>
      <w:r>
        <w:rPr>
          <w:rFonts w:ascii="Arial" w:cs="Arial" w:eastAsia="Arial" w:hAnsi="Arial"/>
          <w:sz w:val="16"/>
          <w:szCs w:val="16"/>
          <w:color w:val="0F0F0F"/>
        </w:rPr>
        <w:t>material</w:t>
      </w:r>
      <w:r>
        <w:rPr>
          <w:rFonts w:ascii="Arial" w:cs="Arial" w:eastAsia="Arial" w:hAnsi="Arial"/>
          <w:sz w:val="16"/>
          <w:szCs w:val="16"/>
          <w:color w:val="000000"/>
        </w:rPr>
        <w:t xml:space="preserve"> </w:t>
      </w:r>
      <w:r>
        <w:rPr>
          <w:rFonts w:ascii="Arial" w:cs="Arial" w:eastAsia="Arial" w:hAnsi="Arial"/>
          <w:sz w:val="16"/>
          <w:szCs w:val="16"/>
          <w:color w:val="1A1A1A"/>
        </w:rPr>
        <w:t>or</w:t>
      </w:r>
      <w:r>
        <w:rPr>
          <w:rFonts w:ascii="Arial" w:cs="Arial" w:eastAsia="Arial" w:hAnsi="Arial"/>
          <w:sz w:val="16"/>
          <w:szCs w:val="16"/>
          <w:color w:val="000000"/>
        </w:rPr>
        <w:t xml:space="preserve"> </w:t>
      </w:r>
      <w:r>
        <w:rPr>
          <w:rFonts w:ascii="Arial" w:cs="Arial" w:eastAsia="Arial" w:hAnsi="Arial"/>
          <w:sz w:val="16"/>
          <w:szCs w:val="16"/>
          <w:color w:val="0C0C0C"/>
        </w:rPr>
        <w:t>non-material,</w:t>
      </w:r>
      <w:r>
        <w:rPr>
          <w:rFonts w:ascii="Arial" w:cs="Arial" w:eastAsia="Arial" w:hAnsi="Arial"/>
          <w:sz w:val="16"/>
          <w:szCs w:val="16"/>
          <w:color w:val="000000"/>
        </w:rPr>
        <w:t xml:space="preserve"> </w:t>
      </w:r>
      <w:r>
        <w:rPr>
          <w:rFonts w:ascii="Arial" w:cs="Arial" w:eastAsia="Arial" w:hAnsi="Arial"/>
          <w:sz w:val="16"/>
          <w:szCs w:val="16"/>
          <w:color w:val="212121"/>
        </w:rPr>
        <w:t>will</w:t>
      </w:r>
      <w:r>
        <w:rPr>
          <w:rFonts w:ascii="Arial" w:cs="Arial" w:eastAsia="Arial" w:hAnsi="Arial"/>
          <w:sz w:val="16"/>
          <w:szCs w:val="16"/>
          <w:color w:val="000000"/>
        </w:rPr>
        <w:t xml:space="preserve"> </w:t>
      </w:r>
      <w:r>
        <w:rPr>
          <w:rFonts w:ascii="Arial" w:cs="Arial" w:eastAsia="Arial" w:hAnsi="Arial"/>
          <w:sz w:val="16"/>
          <w:szCs w:val="16"/>
          <w:color w:val="161616"/>
        </w:rPr>
        <w:t>not</w:t>
      </w:r>
      <w:r>
        <w:rPr>
          <w:rFonts w:ascii="Arial" w:cs="Arial" w:eastAsia="Arial" w:hAnsi="Arial"/>
          <w:sz w:val="16"/>
          <w:szCs w:val="16"/>
          <w:color w:val="000000"/>
        </w:rPr>
        <w:t xml:space="preserve"> </w:t>
      </w:r>
      <w:r>
        <w:rPr>
          <w:rFonts w:ascii="Arial" w:cs="Arial" w:eastAsia="Arial" w:hAnsi="Arial"/>
          <w:sz w:val="16"/>
          <w:szCs w:val="16"/>
          <w:color w:val="111111"/>
        </w:rPr>
        <w:t>extend</w:t>
      </w:r>
      <w:r>
        <w:rPr>
          <w:rFonts w:ascii="Arial" w:cs="Arial" w:eastAsia="Arial" w:hAnsi="Arial"/>
          <w:sz w:val="16"/>
          <w:szCs w:val="16"/>
          <w:color w:val="000000"/>
        </w:rPr>
        <w:t xml:space="preserve"> </w:t>
      </w:r>
      <w:r>
        <w:rPr>
          <w:rFonts w:ascii="Arial" w:cs="Arial" w:eastAsia="Arial" w:hAnsi="Arial"/>
          <w:sz w:val="16"/>
          <w:szCs w:val="16"/>
          <w:color w:val="212121"/>
        </w:rPr>
        <w:t>the</w:t>
      </w:r>
      <w:r>
        <w:rPr>
          <w:rFonts w:ascii="Arial" w:cs="Arial" w:eastAsia="Arial" w:hAnsi="Arial"/>
          <w:sz w:val="16"/>
          <w:szCs w:val="16"/>
          <w:color w:val="000000"/>
        </w:rPr>
        <w:t xml:space="preserve"> </w:t>
      </w:r>
      <w:r>
        <w:rPr>
          <w:rFonts w:ascii="Arial" w:cs="Arial" w:eastAsia="Arial" w:hAnsi="Arial"/>
          <w:sz w:val="16"/>
          <w:szCs w:val="16"/>
          <w:color w:val="0F0F0F"/>
        </w:rPr>
        <w:t>amount</w:t>
      </w:r>
      <w:r>
        <w:rPr>
          <w:rFonts w:ascii="Arial" w:cs="Arial" w:eastAsia="Arial" w:hAnsi="Arial"/>
          <w:sz w:val="16"/>
          <w:szCs w:val="16"/>
          <w:color w:val="000000"/>
        </w:rPr>
        <w:t xml:space="preserve"> </w:t>
      </w:r>
      <w:r>
        <w:rPr>
          <w:rFonts w:ascii="Arial" w:cs="Arial" w:eastAsia="Arial" w:hAnsi="Arial"/>
          <w:sz w:val="16"/>
          <w:szCs w:val="16"/>
          <w:color w:val="282828"/>
        </w:rPr>
        <w:t>of</w:t>
      </w:r>
      <w:r>
        <w:rPr>
          <w:rFonts w:ascii="Arial" w:cs="Arial" w:eastAsia="Arial" w:hAnsi="Arial"/>
          <w:sz w:val="16"/>
          <w:szCs w:val="16"/>
          <w:color w:val="000000"/>
        </w:rPr>
        <w:t xml:space="preserve"> </w:t>
      </w:r>
      <w:r>
        <w:rPr>
          <w:rFonts w:ascii="Arial" w:cs="Arial" w:eastAsia="Arial" w:hAnsi="Arial"/>
          <w:sz w:val="16"/>
          <w:szCs w:val="16"/>
          <w:color w:val="0A0A0A"/>
        </w:rPr>
        <w:t>time</w:t>
      </w:r>
      <w:r>
        <w:rPr>
          <w:rFonts w:ascii="Arial" w:cs="Arial" w:eastAsia="Arial" w:hAnsi="Arial"/>
          <w:sz w:val="16"/>
          <w:szCs w:val="16"/>
          <w:color w:val="000000"/>
        </w:rPr>
        <w:t xml:space="preserve"> Executive </w:t>
      </w:r>
      <w:r>
        <w:rPr>
          <w:rFonts w:ascii="Arial" w:cs="Arial" w:eastAsia="Arial" w:hAnsi="Arial"/>
          <w:sz w:val="16"/>
          <w:szCs w:val="16"/>
          <w:color w:val="1A1A1A"/>
        </w:rPr>
        <w:t>has</w:t>
      </w:r>
      <w:r>
        <w:rPr>
          <w:rFonts w:ascii="Arial" w:cs="Arial" w:eastAsia="Arial" w:hAnsi="Arial"/>
          <w:sz w:val="16"/>
          <w:szCs w:val="16"/>
          <w:color w:val="000000"/>
        </w:rPr>
        <w:t xml:space="preserve"> </w:t>
      </w:r>
      <w:r>
        <w:rPr>
          <w:rFonts w:ascii="Arial" w:cs="Arial" w:eastAsia="Arial" w:hAnsi="Arial"/>
          <w:sz w:val="16"/>
          <w:szCs w:val="16"/>
          <w:color w:val="212121"/>
        </w:rPr>
        <w:t>to</w:t>
      </w:r>
      <w:r>
        <w:rPr>
          <w:rFonts w:ascii="Arial" w:cs="Arial" w:eastAsia="Arial" w:hAnsi="Arial"/>
          <w:sz w:val="16"/>
          <w:szCs w:val="16"/>
          <w:color w:val="000000"/>
        </w:rPr>
        <w:t xml:space="preserve"> </w:t>
      </w:r>
      <w:r>
        <w:rPr>
          <w:rFonts w:ascii="Arial" w:cs="Arial" w:eastAsia="Arial" w:hAnsi="Arial"/>
          <w:sz w:val="16"/>
          <w:szCs w:val="16"/>
          <w:color w:val="111111"/>
        </w:rPr>
        <w:t>consider</w:t>
      </w:r>
      <w:r>
        <w:rPr>
          <w:rFonts w:ascii="Arial" w:cs="Arial" w:eastAsia="Arial" w:hAnsi="Arial"/>
          <w:sz w:val="16"/>
          <w:szCs w:val="16"/>
          <w:color w:val="000000"/>
        </w:rPr>
        <w:t xml:space="preserve"> </w:t>
      </w:r>
      <w:r>
        <w:rPr>
          <w:rFonts w:ascii="Arial" w:cs="Arial" w:eastAsia="Arial" w:hAnsi="Arial"/>
          <w:sz w:val="16"/>
          <w:szCs w:val="16"/>
          <w:color w:val="161616"/>
        </w:rPr>
        <w:t>the</w:t>
      </w:r>
      <w:r>
        <w:rPr>
          <w:rFonts w:ascii="Arial" w:cs="Arial" w:eastAsia="Arial" w:hAnsi="Arial"/>
          <w:sz w:val="16"/>
          <w:szCs w:val="16"/>
          <w:color w:val="000000"/>
        </w:rPr>
        <w:t xml:space="preserve"> </w:t>
      </w:r>
      <w:r>
        <w:rPr>
          <w:rFonts w:ascii="Arial" w:cs="Arial" w:eastAsia="Arial" w:hAnsi="Arial"/>
          <w:sz w:val="16"/>
          <w:szCs w:val="16"/>
          <w:color w:val="111111"/>
        </w:rPr>
        <w:t>agreement.</w:t>
      </w:r>
      <w:r>
        <w:rPr>
          <w:rFonts w:ascii="Arial" w:cs="Arial" w:eastAsia="Arial" w:hAnsi="Arial"/>
          <w:sz w:val="16"/>
          <w:szCs w:val="16"/>
          <w:color w:val="000000"/>
        </w:rPr>
        <w:t xml:space="preserve"> </w:t>
      </w:r>
      <w:r>
        <w:rPr>
          <w:rFonts w:ascii="Arial" w:cs="Arial" w:eastAsia="Arial" w:hAnsi="Arial"/>
          <w:sz w:val="16"/>
          <w:szCs w:val="16"/>
          <w:color w:val="1C1C1C"/>
        </w:rPr>
        <w:t>In</w:t>
      </w:r>
      <w:r>
        <w:rPr>
          <w:rFonts w:ascii="Arial" w:cs="Arial" w:eastAsia="Arial" w:hAnsi="Arial"/>
          <w:sz w:val="16"/>
          <w:szCs w:val="16"/>
          <w:color w:val="000000"/>
        </w:rPr>
        <w:t xml:space="preserve"> </w:t>
      </w:r>
      <w:r>
        <w:rPr>
          <w:rFonts w:ascii="Arial" w:cs="Arial" w:eastAsia="Arial" w:hAnsi="Arial"/>
          <w:sz w:val="16"/>
          <w:szCs w:val="16"/>
          <w:color w:val="1F1F1F"/>
        </w:rPr>
        <w:t>addition,</w:t>
      </w:r>
      <w:r>
        <w:rPr>
          <w:rFonts w:ascii="Arial" w:cs="Arial" w:eastAsia="Arial" w:hAnsi="Arial"/>
          <w:sz w:val="16"/>
          <w:szCs w:val="16"/>
          <w:color w:val="000000"/>
        </w:rPr>
        <w:t xml:space="preserve"> </w:t>
      </w:r>
      <w:r>
        <w:rPr>
          <w:rFonts w:ascii="Arial" w:cs="Arial" w:eastAsia="Arial" w:hAnsi="Arial"/>
          <w:sz w:val="16"/>
          <w:szCs w:val="16"/>
          <w:color w:val="131313"/>
        </w:rPr>
        <w:t xml:space="preserve">Executive </w:t>
      </w:r>
      <w:r>
        <w:rPr>
          <w:rFonts w:ascii="Arial" w:cs="Arial" w:eastAsia="Arial" w:hAnsi="Arial"/>
          <w:sz w:val="16"/>
          <w:szCs w:val="16"/>
          <w:color w:val="2A2A2A"/>
        </w:rPr>
        <w:t>has</w:t>
      </w:r>
      <w:r>
        <w:rPr>
          <w:rFonts w:ascii="Arial" w:cs="Arial" w:eastAsia="Arial" w:hAnsi="Arial"/>
          <w:sz w:val="16"/>
          <w:szCs w:val="16"/>
          <w:color w:val="131313"/>
        </w:rPr>
        <w:t xml:space="preserve"> </w:t>
      </w:r>
      <w:r>
        <w:rPr>
          <w:rFonts w:ascii="Arial" w:cs="Arial" w:eastAsia="Arial" w:hAnsi="Arial"/>
          <w:sz w:val="16"/>
          <w:szCs w:val="16"/>
          <w:color w:val="181818"/>
        </w:rPr>
        <w:t>a</w:t>
      </w:r>
      <w:r>
        <w:rPr>
          <w:rFonts w:ascii="Arial" w:cs="Arial" w:eastAsia="Arial" w:hAnsi="Arial"/>
          <w:sz w:val="16"/>
          <w:szCs w:val="16"/>
          <w:color w:val="131313"/>
        </w:rPr>
        <w:t xml:space="preserve"> </w:t>
      </w:r>
      <w:r>
        <w:rPr>
          <w:rFonts w:ascii="Arial" w:cs="Arial" w:eastAsia="Arial" w:hAnsi="Arial"/>
          <w:sz w:val="16"/>
          <w:szCs w:val="16"/>
          <w:color w:val="111111"/>
        </w:rPr>
        <w:t>period</w:t>
      </w:r>
      <w:r>
        <w:rPr>
          <w:rFonts w:ascii="Arial" w:cs="Arial" w:eastAsia="Arial" w:hAnsi="Arial"/>
          <w:sz w:val="16"/>
          <w:szCs w:val="16"/>
          <w:color w:val="131313"/>
        </w:rPr>
        <w:t xml:space="preserve"> </w:t>
      </w:r>
      <w:r>
        <w:rPr>
          <w:rFonts w:ascii="Arial" w:cs="Arial" w:eastAsia="Arial" w:hAnsi="Arial"/>
          <w:sz w:val="16"/>
          <w:szCs w:val="16"/>
          <w:color w:val="181818"/>
        </w:rPr>
        <w:t>of</w:t>
      </w:r>
      <w:r>
        <w:rPr>
          <w:rFonts w:ascii="Arial" w:cs="Arial" w:eastAsia="Arial" w:hAnsi="Arial"/>
          <w:sz w:val="16"/>
          <w:szCs w:val="16"/>
          <w:color w:val="131313"/>
        </w:rPr>
        <w:t xml:space="preserve"> </w:t>
      </w:r>
      <w:r>
        <w:rPr>
          <w:rFonts w:ascii="Arial" w:cs="Arial" w:eastAsia="Arial" w:hAnsi="Arial"/>
          <w:sz w:val="16"/>
          <w:szCs w:val="16"/>
          <w:color w:val="0F0F0F"/>
        </w:rPr>
        <w:t>seven</w:t>
      </w:r>
      <w:r>
        <w:rPr>
          <w:rFonts w:ascii="Arial" w:cs="Arial" w:eastAsia="Arial" w:hAnsi="Arial"/>
          <w:sz w:val="16"/>
          <w:szCs w:val="16"/>
          <w:color w:val="131313"/>
        </w:rPr>
        <w:t xml:space="preserve"> </w:t>
      </w:r>
      <w:r>
        <w:rPr>
          <w:rFonts w:ascii="Arial" w:cs="Arial" w:eastAsia="Arial" w:hAnsi="Arial"/>
          <w:sz w:val="16"/>
          <w:szCs w:val="16"/>
          <w:color w:val="111111"/>
        </w:rPr>
        <w:t>days</w:t>
      </w:r>
      <w:r>
        <w:rPr>
          <w:rFonts w:ascii="Arial" w:cs="Arial" w:eastAsia="Arial" w:hAnsi="Arial"/>
          <w:sz w:val="16"/>
          <w:szCs w:val="16"/>
          <w:color w:val="131313"/>
        </w:rPr>
        <w:t xml:space="preserve"> within </w:t>
      </w:r>
      <w:r>
        <w:rPr>
          <w:rFonts w:ascii="Arial" w:cs="Arial" w:eastAsia="Arial" w:hAnsi="Arial"/>
          <w:sz w:val="16"/>
          <w:szCs w:val="16"/>
          <w:color w:val="111111"/>
        </w:rPr>
        <w:t>which</w:t>
      </w:r>
      <w:r>
        <w:rPr>
          <w:rFonts w:ascii="Arial" w:cs="Arial" w:eastAsia="Arial" w:hAnsi="Arial"/>
          <w:sz w:val="16"/>
          <w:szCs w:val="16"/>
          <w:color w:val="131313"/>
        </w:rPr>
        <w:t xml:space="preserve"> </w:t>
      </w:r>
      <w:r>
        <w:rPr>
          <w:rFonts w:ascii="Arial" w:cs="Arial" w:eastAsia="Arial" w:hAnsi="Arial"/>
          <w:sz w:val="16"/>
          <w:szCs w:val="16"/>
          <w:color w:val="181818"/>
        </w:rPr>
        <w:t>to</w:t>
      </w:r>
      <w:r>
        <w:rPr>
          <w:rFonts w:ascii="Arial" w:cs="Arial" w:eastAsia="Arial" w:hAnsi="Arial"/>
          <w:sz w:val="16"/>
          <w:szCs w:val="16"/>
          <w:color w:val="131313"/>
        </w:rPr>
        <w:t xml:space="preserve"> </w:t>
      </w:r>
      <w:r>
        <w:rPr>
          <w:rFonts w:ascii="Arial" w:cs="Arial" w:eastAsia="Arial" w:hAnsi="Arial"/>
          <w:sz w:val="16"/>
          <w:szCs w:val="16"/>
          <w:color w:val="0F0F0F"/>
        </w:rPr>
        <w:t>revoke</w:t>
      </w:r>
      <w:r>
        <w:rPr>
          <w:rFonts w:ascii="Arial" w:cs="Arial" w:eastAsia="Arial" w:hAnsi="Arial"/>
          <w:sz w:val="16"/>
          <w:szCs w:val="16"/>
          <w:color w:val="131313"/>
        </w:rPr>
        <w:t xml:space="preserve"> </w:t>
      </w:r>
      <w:r>
        <w:rPr>
          <w:rFonts w:ascii="Arial" w:cs="Arial" w:eastAsia="Arial" w:hAnsi="Arial"/>
          <w:sz w:val="16"/>
          <w:szCs w:val="16"/>
          <w:color w:val="1C1C1C"/>
        </w:rPr>
        <w:t>this</w:t>
      </w:r>
      <w:r>
        <w:rPr>
          <w:rFonts w:ascii="Arial" w:cs="Arial" w:eastAsia="Arial" w:hAnsi="Arial"/>
          <w:sz w:val="16"/>
          <w:szCs w:val="16"/>
          <w:color w:val="131313"/>
        </w:rPr>
        <w:t xml:space="preserve"> </w:t>
      </w:r>
      <w:r>
        <w:rPr>
          <w:rFonts w:ascii="Arial" w:cs="Arial" w:eastAsia="Arial" w:hAnsi="Arial"/>
          <w:sz w:val="16"/>
          <w:szCs w:val="16"/>
          <w:color w:val="181818"/>
        </w:rPr>
        <w:t>Agreement after</w:t>
      </w:r>
      <w:r>
        <w:rPr>
          <w:rFonts w:ascii="Arial" w:cs="Arial" w:eastAsia="Arial" w:hAnsi="Arial"/>
          <w:sz w:val="16"/>
          <w:szCs w:val="16"/>
          <w:color w:val="131313"/>
        </w:rPr>
        <w:t xml:space="preserve"> signing </w:t>
      </w:r>
      <w:r>
        <w:rPr>
          <w:rFonts w:ascii="Arial" w:cs="Arial" w:eastAsia="Arial" w:hAnsi="Arial"/>
          <w:sz w:val="16"/>
          <w:szCs w:val="16"/>
          <w:color w:val="232323"/>
        </w:rPr>
        <w:t>it.</w:t>
      </w:r>
      <w:r>
        <w:rPr>
          <w:rFonts w:ascii="Arial" w:cs="Arial" w:eastAsia="Arial" w:hAnsi="Arial"/>
          <w:sz w:val="16"/>
          <w:szCs w:val="16"/>
          <w:color w:val="131313"/>
        </w:rPr>
        <w:t xml:space="preserve"> </w:t>
      </w:r>
      <w:r>
        <w:rPr>
          <w:rFonts w:ascii="Arial" w:cs="Arial" w:eastAsia="Arial" w:hAnsi="Arial"/>
          <w:sz w:val="16"/>
          <w:szCs w:val="16"/>
          <w:color w:val="1A1A1A"/>
        </w:rPr>
        <w:t>To</w:t>
      </w:r>
      <w:r>
        <w:rPr>
          <w:rFonts w:ascii="Arial" w:cs="Arial" w:eastAsia="Arial" w:hAnsi="Arial"/>
          <w:sz w:val="16"/>
          <w:szCs w:val="16"/>
          <w:color w:val="131313"/>
        </w:rPr>
        <w:t xml:space="preserve"> </w:t>
      </w:r>
      <w:r>
        <w:rPr>
          <w:rFonts w:ascii="Arial" w:cs="Arial" w:eastAsia="Arial" w:hAnsi="Arial"/>
          <w:sz w:val="16"/>
          <w:szCs w:val="16"/>
          <w:color w:val="151515"/>
        </w:rPr>
        <w:t>revoke</w:t>
      </w:r>
      <w:r>
        <w:rPr>
          <w:rFonts w:ascii="Arial" w:cs="Arial" w:eastAsia="Arial" w:hAnsi="Arial"/>
          <w:sz w:val="16"/>
          <w:szCs w:val="16"/>
          <w:color w:val="131313"/>
        </w:rPr>
        <w:t xml:space="preserve"> this Agreement</w:t>
      </w:r>
      <w:r>
        <w:rPr>
          <w:rFonts w:ascii="Arial" w:cs="Arial" w:eastAsia="Arial" w:hAnsi="Arial"/>
          <w:sz w:val="16"/>
          <w:szCs w:val="16"/>
          <w:color w:val="161616"/>
        </w:rPr>
        <w:t>,</w:t>
      </w:r>
      <w:r>
        <w:rPr>
          <w:rFonts w:ascii="Arial" w:cs="Arial" w:eastAsia="Arial" w:hAnsi="Arial"/>
          <w:sz w:val="16"/>
          <w:szCs w:val="16"/>
          <w:color w:val="131313"/>
        </w:rPr>
        <w:t xml:space="preserve"> </w:t>
      </w:r>
      <w:r>
        <w:rPr>
          <w:rFonts w:ascii="Arial" w:cs="Arial" w:eastAsia="Arial" w:hAnsi="Arial"/>
          <w:sz w:val="16"/>
          <w:szCs w:val="16"/>
          <w:color w:val="000000"/>
        </w:rPr>
        <w:t>Executive</w:t>
      </w:r>
      <w:r>
        <w:rPr>
          <w:rFonts w:ascii="Arial" w:cs="Arial" w:eastAsia="Arial" w:hAnsi="Arial"/>
          <w:sz w:val="16"/>
          <w:szCs w:val="16"/>
          <w:color w:val="131313"/>
        </w:rPr>
        <w:t xml:space="preserve"> must </w:t>
      </w:r>
      <w:r>
        <w:rPr>
          <w:rFonts w:ascii="Arial" w:cs="Arial" w:eastAsia="Arial" w:hAnsi="Arial"/>
          <w:sz w:val="16"/>
          <w:szCs w:val="16"/>
          <w:color w:val="0E0E0E"/>
        </w:rPr>
        <w:t>notify</w:t>
      </w:r>
      <w:r>
        <w:rPr>
          <w:rFonts w:ascii="Arial" w:cs="Arial" w:eastAsia="Arial" w:hAnsi="Arial"/>
          <w:sz w:val="16"/>
          <w:szCs w:val="16"/>
          <w:color w:val="131313"/>
        </w:rPr>
        <w:t xml:space="preserve"> the Company’s Chief Legal Officer </w:t>
      </w:r>
      <w:r>
        <w:rPr>
          <w:rFonts w:ascii="Arial" w:cs="Arial" w:eastAsia="Arial" w:hAnsi="Arial"/>
          <w:sz w:val="16"/>
          <w:szCs w:val="16"/>
          <w:color w:val="1F1F1F"/>
        </w:rPr>
        <w:t>of</w:t>
      </w:r>
      <w:r>
        <w:rPr>
          <w:rFonts w:ascii="Arial" w:cs="Arial" w:eastAsia="Arial" w:hAnsi="Arial"/>
          <w:sz w:val="16"/>
          <w:szCs w:val="16"/>
          <w:color w:val="131313"/>
        </w:rPr>
        <w:t xml:space="preserve"> </w:t>
      </w:r>
      <w:r>
        <w:rPr>
          <w:rFonts w:ascii="Arial" w:cs="Arial" w:eastAsia="Arial" w:hAnsi="Arial"/>
          <w:sz w:val="16"/>
          <w:szCs w:val="16"/>
          <w:color w:val="080808"/>
        </w:rPr>
        <w:t>revocation</w:t>
      </w:r>
      <w:r>
        <w:rPr>
          <w:rFonts w:ascii="Arial" w:cs="Arial" w:eastAsia="Arial" w:hAnsi="Arial"/>
          <w:sz w:val="16"/>
          <w:szCs w:val="16"/>
          <w:color w:val="131313"/>
        </w:rPr>
        <w:t xml:space="preserve"> in </w:t>
      </w:r>
      <w:r>
        <w:rPr>
          <w:rFonts w:ascii="Arial" w:cs="Arial" w:eastAsia="Arial" w:hAnsi="Arial"/>
          <w:sz w:val="16"/>
          <w:szCs w:val="16"/>
          <w:color w:val="0A0A0A"/>
        </w:rPr>
        <w:t>writing</w:t>
      </w:r>
      <w:r>
        <w:rPr>
          <w:rFonts w:ascii="Arial" w:cs="Arial" w:eastAsia="Arial" w:hAnsi="Arial"/>
          <w:sz w:val="16"/>
          <w:szCs w:val="16"/>
          <w:color w:val="131313"/>
        </w:rPr>
        <w:t xml:space="preserve"> </w:t>
      </w:r>
      <w:r>
        <w:rPr>
          <w:rFonts w:ascii="Arial" w:cs="Arial" w:eastAsia="Arial" w:hAnsi="Arial"/>
          <w:sz w:val="16"/>
          <w:szCs w:val="16"/>
          <w:color w:val="1A1A1A"/>
        </w:rPr>
        <w:t>within</w:t>
      </w:r>
      <w:r>
        <w:rPr>
          <w:rFonts w:ascii="Arial" w:cs="Arial" w:eastAsia="Arial" w:hAnsi="Arial"/>
          <w:sz w:val="16"/>
          <w:szCs w:val="16"/>
          <w:color w:val="131313"/>
        </w:rPr>
        <w:t xml:space="preserve"> </w:t>
      </w:r>
      <w:r>
        <w:rPr>
          <w:rFonts w:ascii="Arial" w:cs="Arial" w:eastAsia="Arial" w:hAnsi="Arial"/>
          <w:sz w:val="16"/>
          <w:szCs w:val="16"/>
          <w:color w:val="080808"/>
        </w:rPr>
        <w:t>seven</w:t>
      </w:r>
      <w:r>
        <w:rPr>
          <w:rFonts w:ascii="Arial" w:cs="Arial" w:eastAsia="Arial" w:hAnsi="Arial"/>
          <w:sz w:val="16"/>
          <w:szCs w:val="16"/>
          <w:color w:val="131313"/>
        </w:rPr>
        <w:t xml:space="preserve"> </w:t>
      </w:r>
      <w:r>
        <w:rPr>
          <w:rFonts w:ascii="Arial" w:cs="Arial" w:eastAsia="Arial" w:hAnsi="Arial"/>
          <w:sz w:val="16"/>
          <w:szCs w:val="16"/>
          <w:color w:val="111111"/>
        </w:rPr>
        <w:t>days</w:t>
      </w:r>
      <w:r>
        <w:rPr>
          <w:rFonts w:ascii="Arial" w:cs="Arial" w:eastAsia="Arial" w:hAnsi="Arial"/>
          <w:sz w:val="16"/>
          <w:szCs w:val="16"/>
          <w:color w:val="131313"/>
        </w:rPr>
        <w:t xml:space="preserve"> from </w:t>
      </w:r>
      <w:r>
        <w:rPr>
          <w:rFonts w:ascii="Arial" w:cs="Arial" w:eastAsia="Arial" w:hAnsi="Arial"/>
          <w:sz w:val="16"/>
          <w:szCs w:val="16"/>
          <w:color w:val="161616"/>
        </w:rPr>
        <w:t>the</w:t>
      </w:r>
      <w:r>
        <w:rPr>
          <w:rFonts w:ascii="Arial" w:cs="Arial" w:eastAsia="Arial" w:hAnsi="Arial"/>
          <w:sz w:val="16"/>
          <w:szCs w:val="16"/>
          <w:color w:val="131313"/>
        </w:rPr>
        <w:t xml:space="preserve"> date </w:t>
      </w:r>
      <w:r>
        <w:rPr>
          <w:rFonts w:ascii="Arial" w:cs="Arial" w:eastAsia="Arial" w:hAnsi="Arial"/>
          <w:sz w:val="16"/>
          <w:szCs w:val="16"/>
          <w:color w:val="181818"/>
        </w:rPr>
        <w:t>Executive</w:t>
      </w:r>
      <w:r>
        <w:rPr>
          <w:rFonts w:ascii="Arial" w:cs="Arial" w:eastAsia="Arial" w:hAnsi="Arial"/>
          <w:sz w:val="16"/>
          <w:szCs w:val="16"/>
          <w:color w:val="131313"/>
        </w:rPr>
        <w:t xml:space="preserve"> </w:t>
      </w:r>
      <w:r>
        <w:rPr>
          <w:rFonts w:ascii="Arial" w:cs="Arial" w:eastAsia="Arial" w:hAnsi="Arial"/>
          <w:sz w:val="16"/>
          <w:szCs w:val="16"/>
          <w:color w:val="1D1D1D"/>
        </w:rPr>
        <w:t>signed</w:t>
      </w:r>
      <w:r>
        <w:rPr>
          <w:rFonts w:ascii="Arial" w:cs="Arial" w:eastAsia="Arial" w:hAnsi="Arial"/>
          <w:sz w:val="16"/>
          <w:szCs w:val="16"/>
          <w:color w:val="131313"/>
        </w:rPr>
        <w:t xml:space="preserve"> </w:t>
      </w:r>
      <w:r>
        <w:rPr>
          <w:rFonts w:ascii="Arial" w:cs="Arial" w:eastAsia="Arial" w:hAnsi="Arial"/>
          <w:sz w:val="16"/>
          <w:szCs w:val="16"/>
          <w:color w:val="1C1C1C"/>
        </w:rPr>
        <w:t>this Agreement.</w:t>
      </w:r>
    </w:p>
    <w:p>
      <w:pPr>
        <w:spacing w:after="0" w:line="126"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1D1D1D"/>
        </w:rPr>
        <w:t xml:space="preserve">In </w:t>
      </w:r>
      <w:r>
        <w:rPr>
          <w:rFonts w:ascii="Arial" w:cs="Arial" w:eastAsia="Arial" w:hAnsi="Arial"/>
          <w:sz w:val="17"/>
          <w:szCs w:val="17"/>
          <w:color w:val="0C0C0C"/>
        </w:rPr>
        <w:t>order</w:t>
      </w:r>
      <w:r>
        <w:rPr>
          <w:rFonts w:ascii="Arial" w:cs="Arial" w:eastAsia="Arial" w:hAnsi="Arial"/>
          <w:sz w:val="17"/>
          <w:szCs w:val="17"/>
          <w:color w:val="1D1D1D"/>
        </w:rPr>
        <w:t xml:space="preserve"> </w:t>
      </w:r>
      <w:r>
        <w:rPr>
          <w:rFonts w:ascii="Arial" w:cs="Arial" w:eastAsia="Arial" w:hAnsi="Arial"/>
          <w:sz w:val="17"/>
          <w:szCs w:val="17"/>
          <w:color w:val="232323"/>
        </w:rPr>
        <w:t>for</w:t>
      </w:r>
      <w:r>
        <w:rPr>
          <w:rFonts w:ascii="Arial" w:cs="Arial" w:eastAsia="Arial" w:hAnsi="Arial"/>
          <w:sz w:val="17"/>
          <w:szCs w:val="17"/>
          <w:color w:val="1D1D1D"/>
        </w:rPr>
        <w:t xml:space="preserve"> </w:t>
      </w:r>
      <w:r>
        <w:rPr>
          <w:rFonts w:ascii="Arial" w:cs="Arial" w:eastAsia="Arial" w:hAnsi="Arial"/>
          <w:sz w:val="17"/>
          <w:szCs w:val="17"/>
          <w:color w:val="000000"/>
        </w:rPr>
        <w:t>this</w:t>
      </w:r>
      <w:r>
        <w:rPr>
          <w:rFonts w:ascii="Arial" w:cs="Arial" w:eastAsia="Arial" w:hAnsi="Arial"/>
          <w:sz w:val="17"/>
          <w:szCs w:val="17"/>
          <w:color w:val="1D1D1D"/>
        </w:rPr>
        <w:t xml:space="preserve"> </w:t>
      </w:r>
      <w:r>
        <w:rPr>
          <w:rFonts w:ascii="Arial" w:cs="Arial" w:eastAsia="Arial" w:hAnsi="Arial"/>
          <w:sz w:val="17"/>
          <w:szCs w:val="17"/>
          <w:color w:val="0A0A0A"/>
        </w:rPr>
        <w:t>Agreement</w:t>
      </w:r>
      <w:r>
        <w:rPr>
          <w:rFonts w:ascii="Arial" w:cs="Arial" w:eastAsia="Arial" w:hAnsi="Arial"/>
          <w:sz w:val="17"/>
          <w:szCs w:val="17"/>
          <w:color w:val="1D1D1D"/>
        </w:rPr>
        <w:t xml:space="preserve"> </w:t>
      </w:r>
      <w:r>
        <w:rPr>
          <w:rFonts w:ascii="Arial" w:cs="Arial" w:eastAsia="Arial" w:hAnsi="Arial"/>
          <w:sz w:val="17"/>
          <w:szCs w:val="17"/>
          <w:color w:val="1A1A1A"/>
        </w:rPr>
        <w:t>to</w:t>
      </w:r>
      <w:r>
        <w:rPr>
          <w:rFonts w:ascii="Arial" w:cs="Arial" w:eastAsia="Arial" w:hAnsi="Arial"/>
          <w:sz w:val="17"/>
          <w:szCs w:val="17"/>
          <w:color w:val="1D1D1D"/>
        </w:rPr>
        <w:t xml:space="preserve"> </w:t>
      </w:r>
      <w:r>
        <w:rPr>
          <w:rFonts w:ascii="Arial" w:cs="Arial" w:eastAsia="Arial" w:hAnsi="Arial"/>
          <w:sz w:val="17"/>
          <w:szCs w:val="17"/>
          <w:color w:val="0F0F0F"/>
        </w:rPr>
        <w:t>become</w:t>
      </w:r>
      <w:r>
        <w:rPr>
          <w:rFonts w:ascii="Arial" w:cs="Arial" w:eastAsia="Arial" w:hAnsi="Arial"/>
          <w:sz w:val="17"/>
          <w:szCs w:val="17"/>
          <w:color w:val="1D1D1D"/>
        </w:rPr>
        <w:t xml:space="preserve"> </w:t>
      </w:r>
      <w:r>
        <w:rPr>
          <w:rFonts w:ascii="Arial" w:cs="Arial" w:eastAsia="Arial" w:hAnsi="Arial"/>
          <w:sz w:val="17"/>
          <w:szCs w:val="17"/>
          <w:color w:val="131313"/>
        </w:rPr>
        <w:t>effective, Executive</w:t>
      </w:r>
      <w:r>
        <w:rPr>
          <w:rFonts w:ascii="Arial" w:cs="Arial" w:eastAsia="Arial" w:hAnsi="Arial"/>
          <w:sz w:val="17"/>
          <w:szCs w:val="17"/>
          <w:color w:val="1D1D1D"/>
        </w:rPr>
        <w:t xml:space="preserve"> </w:t>
      </w:r>
      <w:r>
        <w:rPr>
          <w:rFonts w:ascii="Arial" w:cs="Arial" w:eastAsia="Arial" w:hAnsi="Arial"/>
          <w:sz w:val="17"/>
          <w:szCs w:val="17"/>
          <w:color w:val="1C1C1C"/>
        </w:rPr>
        <w:t>must</w:t>
      </w:r>
      <w:r>
        <w:rPr>
          <w:rFonts w:ascii="Arial" w:cs="Arial" w:eastAsia="Arial" w:hAnsi="Arial"/>
          <w:sz w:val="17"/>
          <w:szCs w:val="17"/>
          <w:color w:val="1D1D1D"/>
        </w:rPr>
        <w:t xml:space="preserve"> </w:t>
      </w:r>
      <w:r>
        <w:rPr>
          <w:rFonts w:ascii="Arial" w:cs="Arial" w:eastAsia="Arial" w:hAnsi="Arial"/>
          <w:sz w:val="17"/>
          <w:szCs w:val="17"/>
          <w:color w:val="0C0C0C"/>
        </w:rPr>
        <w:t>sign</w:t>
      </w:r>
      <w:r>
        <w:rPr>
          <w:rFonts w:ascii="Arial" w:cs="Arial" w:eastAsia="Arial" w:hAnsi="Arial"/>
          <w:sz w:val="17"/>
          <w:szCs w:val="17"/>
          <w:color w:val="1D1D1D"/>
        </w:rPr>
        <w:t xml:space="preserve"> </w:t>
      </w:r>
      <w:r>
        <w:rPr>
          <w:rFonts w:ascii="Arial" w:cs="Arial" w:eastAsia="Arial" w:hAnsi="Arial"/>
          <w:sz w:val="17"/>
          <w:szCs w:val="17"/>
          <w:color w:val="1F1F1F"/>
        </w:rPr>
        <w:t>this</w:t>
      </w:r>
      <w:r>
        <w:rPr>
          <w:rFonts w:ascii="Arial" w:cs="Arial" w:eastAsia="Arial" w:hAnsi="Arial"/>
          <w:sz w:val="17"/>
          <w:szCs w:val="17"/>
          <w:color w:val="1D1D1D"/>
        </w:rPr>
        <w:t xml:space="preserve"> </w:t>
      </w:r>
      <w:r>
        <w:rPr>
          <w:rFonts w:ascii="Arial" w:cs="Arial" w:eastAsia="Arial" w:hAnsi="Arial"/>
          <w:sz w:val="17"/>
          <w:szCs w:val="17"/>
          <w:color w:val="131313"/>
        </w:rPr>
        <w:t>Agreement in</w:t>
      </w:r>
      <w:r>
        <w:rPr>
          <w:rFonts w:ascii="Arial" w:cs="Arial" w:eastAsia="Arial" w:hAnsi="Arial"/>
          <w:sz w:val="17"/>
          <w:szCs w:val="17"/>
          <w:color w:val="1D1D1D"/>
        </w:rPr>
        <w:t xml:space="preserve"> </w:t>
      </w:r>
      <w:r>
        <w:rPr>
          <w:rFonts w:ascii="Arial" w:cs="Arial" w:eastAsia="Arial" w:hAnsi="Arial"/>
          <w:sz w:val="17"/>
          <w:szCs w:val="17"/>
          <w:color w:val="161616"/>
        </w:rPr>
        <w:t>the</w:t>
      </w:r>
      <w:r>
        <w:rPr>
          <w:rFonts w:ascii="Arial" w:cs="Arial" w:eastAsia="Arial" w:hAnsi="Arial"/>
          <w:sz w:val="17"/>
          <w:szCs w:val="17"/>
          <w:color w:val="1D1D1D"/>
        </w:rPr>
        <w:t xml:space="preserve"> </w:t>
      </w:r>
      <w:r>
        <w:rPr>
          <w:rFonts w:ascii="Arial" w:cs="Arial" w:eastAsia="Arial" w:hAnsi="Arial"/>
          <w:sz w:val="17"/>
          <w:szCs w:val="17"/>
          <w:color w:val="0C0C0C"/>
        </w:rPr>
        <w:t>space</w:t>
      </w:r>
      <w:r>
        <w:rPr>
          <w:rFonts w:ascii="Arial" w:cs="Arial" w:eastAsia="Arial" w:hAnsi="Arial"/>
          <w:sz w:val="17"/>
          <w:szCs w:val="17"/>
          <w:color w:val="1D1D1D"/>
        </w:rPr>
        <w:t xml:space="preserve"> </w:t>
      </w:r>
      <w:r>
        <w:rPr>
          <w:rFonts w:ascii="Arial" w:cs="Arial" w:eastAsia="Arial" w:hAnsi="Arial"/>
          <w:sz w:val="17"/>
          <w:szCs w:val="17"/>
          <w:color w:val="131313"/>
        </w:rPr>
        <w:t>provided</w:t>
      </w:r>
      <w:r>
        <w:rPr>
          <w:rFonts w:ascii="Arial" w:cs="Arial" w:eastAsia="Arial" w:hAnsi="Arial"/>
          <w:sz w:val="17"/>
          <w:szCs w:val="17"/>
          <w:color w:val="1D1D1D"/>
        </w:rPr>
        <w:t xml:space="preserve"> </w:t>
      </w:r>
      <w:r>
        <w:rPr>
          <w:rFonts w:ascii="Arial" w:cs="Arial" w:eastAsia="Arial" w:hAnsi="Arial"/>
          <w:sz w:val="17"/>
          <w:szCs w:val="17"/>
          <w:color w:val="000000"/>
        </w:rPr>
        <w:t>below</w:t>
      </w:r>
      <w:r>
        <w:rPr>
          <w:rFonts w:ascii="Arial" w:cs="Arial" w:eastAsia="Arial" w:hAnsi="Arial"/>
          <w:sz w:val="17"/>
          <w:szCs w:val="17"/>
          <w:color w:val="1D1D1D"/>
        </w:rPr>
        <w:t xml:space="preserve"> </w:t>
      </w:r>
      <w:r>
        <w:rPr>
          <w:rFonts w:ascii="Arial" w:cs="Arial" w:eastAsia="Arial" w:hAnsi="Arial"/>
          <w:sz w:val="17"/>
          <w:szCs w:val="17"/>
          <w:color w:val="0E0E0E"/>
        </w:rPr>
        <w:t>and</w:t>
      </w:r>
      <w:r>
        <w:rPr>
          <w:rFonts w:ascii="Arial" w:cs="Arial" w:eastAsia="Arial" w:hAnsi="Arial"/>
          <w:sz w:val="17"/>
          <w:szCs w:val="17"/>
          <w:color w:val="1D1D1D"/>
        </w:rPr>
        <w:t xml:space="preserve"> </w:t>
      </w:r>
      <w:r>
        <w:rPr>
          <w:rFonts w:ascii="Arial" w:cs="Arial" w:eastAsia="Arial" w:hAnsi="Arial"/>
          <w:sz w:val="17"/>
          <w:szCs w:val="17"/>
          <w:color w:val="111111"/>
        </w:rPr>
        <w:t>return</w:t>
      </w:r>
      <w:r>
        <w:rPr>
          <w:rFonts w:ascii="Arial" w:cs="Arial" w:eastAsia="Arial" w:hAnsi="Arial"/>
          <w:sz w:val="17"/>
          <w:szCs w:val="17"/>
          <w:color w:val="1D1D1D"/>
        </w:rPr>
        <w:t xml:space="preserve"> </w:t>
      </w:r>
      <w:r>
        <w:rPr>
          <w:rFonts w:ascii="Arial" w:cs="Arial" w:eastAsia="Arial" w:hAnsi="Arial"/>
          <w:sz w:val="17"/>
          <w:szCs w:val="17"/>
          <w:color w:val="1A1A1A"/>
        </w:rPr>
        <w:t>it to</w:t>
      </w:r>
      <w:r>
        <w:rPr>
          <w:rFonts w:ascii="Arial" w:cs="Arial" w:eastAsia="Arial" w:hAnsi="Arial"/>
          <w:sz w:val="17"/>
          <w:szCs w:val="17"/>
          <w:color w:val="1D1D1D"/>
        </w:rPr>
        <w:t xml:space="preserve"> </w:t>
      </w:r>
      <w:r>
        <w:rPr>
          <w:rFonts w:ascii="Arial" w:cs="Arial" w:eastAsia="Arial" w:hAnsi="Arial"/>
          <w:sz w:val="17"/>
          <w:szCs w:val="17"/>
          <w:color w:val="181818"/>
        </w:rPr>
        <w:t>the</w:t>
      </w:r>
      <w:r>
        <w:rPr>
          <w:rFonts w:ascii="Arial" w:cs="Arial" w:eastAsia="Arial" w:hAnsi="Arial"/>
          <w:sz w:val="17"/>
          <w:szCs w:val="17"/>
          <w:color w:val="1D1D1D"/>
        </w:rPr>
        <w:t xml:space="preserve"> </w:t>
      </w:r>
      <w:r>
        <w:rPr>
          <w:rFonts w:ascii="Arial" w:cs="Arial" w:eastAsia="Arial" w:hAnsi="Arial"/>
          <w:sz w:val="17"/>
          <w:szCs w:val="17"/>
          <w:color w:val="0F0F0F"/>
        </w:rPr>
        <w:t>Company’s Chief</w:t>
      </w:r>
      <w:r>
        <w:rPr>
          <w:rFonts w:ascii="Arial" w:cs="Arial" w:eastAsia="Arial" w:hAnsi="Arial"/>
          <w:sz w:val="17"/>
          <w:szCs w:val="17"/>
          <w:color w:val="1D1D1D"/>
        </w:rPr>
        <w:t xml:space="preserve"> </w:t>
      </w:r>
      <w:r>
        <w:rPr>
          <w:rFonts w:ascii="Arial" w:cs="Arial" w:eastAsia="Arial" w:hAnsi="Arial"/>
          <w:sz w:val="17"/>
          <w:szCs w:val="17"/>
          <w:color w:val="0F0F0F"/>
        </w:rPr>
        <w:t xml:space="preserve">Legal Officer </w:t>
      </w:r>
      <w:r>
        <w:rPr>
          <w:rFonts w:ascii="Arial" w:cs="Arial" w:eastAsia="Arial" w:hAnsi="Arial"/>
          <w:sz w:val="17"/>
          <w:szCs w:val="17"/>
          <w:color w:val="111111"/>
        </w:rPr>
        <w:t>on</w:t>
      </w:r>
      <w:r>
        <w:rPr>
          <w:rFonts w:ascii="Arial" w:cs="Arial" w:eastAsia="Arial" w:hAnsi="Arial"/>
          <w:sz w:val="17"/>
          <w:szCs w:val="17"/>
          <w:color w:val="0F0F0F"/>
        </w:rPr>
        <w:t xml:space="preserve"> </w:t>
      </w:r>
      <w:r>
        <w:rPr>
          <w:rFonts w:ascii="Arial" w:cs="Arial" w:eastAsia="Arial" w:hAnsi="Arial"/>
          <w:sz w:val="17"/>
          <w:szCs w:val="17"/>
          <w:color w:val="181818"/>
        </w:rPr>
        <w:t>or</w:t>
      </w:r>
      <w:r>
        <w:rPr>
          <w:rFonts w:ascii="Arial" w:cs="Arial" w:eastAsia="Arial" w:hAnsi="Arial"/>
          <w:sz w:val="17"/>
          <w:szCs w:val="17"/>
          <w:color w:val="0F0F0F"/>
        </w:rPr>
        <w:t xml:space="preserve"> before </w:t>
      </w:r>
      <w:r>
        <w:rPr>
          <w:rFonts w:ascii="Arial" w:cs="Arial" w:eastAsia="Arial" w:hAnsi="Arial"/>
          <w:sz w:val="17"/>
          <w:szCs w:val="17"/>
          <w:color w:val="1C1C1C"/>
        </w:rPr>
        <w:t>the</w:t>
      </w:r>
      <w:r>
        <w:rPr>
          <w:rFonts w:ascii="Arial" w:cs="Arial" w:eastAsia="Arial" w:hAnsi="Arial"/>
          <w:sz w:val="17"/>
          <w:szCs w:val="17"/>
          <w:color w:val="0F0F0F"/>
        </w:rPr>
        <w:t xml:space="preserve"> </w:t>
      </w:r>
      <w:r>
        <w:rPr>
          <w:rFonts w:ascii="Arial" w:cs="Arial" w:eastAsia="Arial" w:hAnsi="Arial"/>
          <w:sz w:val="17"/>
          <w:szCs w:val="17"/>
          <w:color w:val="161616"/>
        </w:rPr>
        <w:t>close of</w:t>
      </w:r>
      <w:r>
        <w:rPr>
          <w:rFonts w:ascii="Arial" w:cs="Arial" w:eastAsia="Arial" w:hAnsi="Arial"/>
          <w:sz w:val="17"/>
          <w:szCs w:val="17"/>
          <w:color w:val="0F0F0F"/>
        </w:rPr>
        <w:t xml:space="preserve"> </w:t>
      </w:r>
      <w:r>
        <w:rPr>
          <w:rFonts w:ascii="Arial" w:cs="Arial" w:eastAsia="Arial" w:hAnsi="Arial"/>
          <w:sz w:val="17"/>
          <w:szCs w:val="17"/>
          <w:color w:val="0C0C0C"/>
        </w:rPr>
        <w:t>business</w:t>
      </w:r>
      <w:r>
        <w:rPr>
          <w:rFonts w:ascii="Arial" w:cs="Arial" w:eastAsia="Arial" w:hAnsi="Arial"/>
          <w:sz w:val="17"/>
          <w:szCs w:val="17"/>
          <w:color w:val="0F0F0F"/>
        </w:rPr>
        <w:t xml:space="preserve"> </w:t>
      </w:r>
      <w:r>
        <w:rPr>
          <w:rFonts w:ascii="Arial" w:cs="Arial" w:eastAsia="Arial" w:hAnsi="Arial"/>
          <w:sz w:val="17"/>
          <w:szCs w:val="17"/>
          <w:color w:val="131313"/>
        </w:rPr>
        <w:t>on March 16,</w:t>
      </w:r>
      <w:r>
        <w:rPr>
          <w:rFonts w:ascii="Arial" w:cs="Arial" w:eastAsia="Arial" w:hAnsi="Arial"/>
          <w:sz w:val="17"/>
          <w:szCs w:val="17"/>
          <w:color w:val="0F0F0F"/>
        </w:rPr>
        <w:t xml:space="preserve"> </w:t>
      </w:r>
      <w:r>
        <w:rPr>
          <w:rFonts w:ascii="Arial" w:cs="Arial" w:eastAsia="Arial" w:hAnsi="Arial"/>
          <w:sz w:val="17"/>
          <w:szCs w:val="17"/>
          <w:color w:val="151515"/>
        </w:rPr>
        <w:t>2020.</w:t>
      </w:r>
      <w:r>
        <w:rPr>
          <w:rFonts w:ascii="Arial" w:cs="Arial" w:eastAsia="Arial" w:hAnsi="Arial"/>
          <w:sz w:val="17"/>
          <w:szCs w:val="17"/>
          <w:color w:val="0F0F0F"/>
        </w:rPr>
        <w:t xml:space="preserve"> </w:t>
      </w:r>
      <w:r>
        <w:rPr>
          <w:rFonts w:ascii="Arial" w:cs="Arial" w:eastAsia="Arial" w:hAnsi="Arial"/>
          <w:sz w:val="17"/>
          <w:szCs w:val="17"/>
          <w:color w:val="1C1C1C"/>
        </w:rPr>
        <w:t>If</w:t>
      </w:r>
      <w:r>
        <w:rPr>
          <w:rFonts w:ascii="Arial" w:cs="Arial" w:eastAsia="Arial" w:hAnsi="Arial"/>
          <w:sz w:val="17"/>
          <w:szCs w:val="17"/>
          <w:color w:val="0F0F0F"/>
        </w:rPr>
        <w:t xml:space="preserve"> </w:t>
      </w:r>
      <w:r>
        <w:rPr>
          <w:rFonts w:ascii="Arial" w:cs="Arial" w:eastAsia="Arial" w:hAnsi="Arial"/>
          <w:sz w:val="17"/>
          <w:szCs w:val="17"/>
          <w:color w:val="232323"/>
        </w:rPr>
        <w:t>the</w:t>
      </w:r>
      <w:r>
        <w:rPr>
          <w:rFonts w:ascii="Arial" w:cs="Arial" w:eastAsia="Arial" w:hAnsi="Arial"/>
          <w:sz w:val="17"/>
          <w:szCs w:val="17"/>
          <w:color w:val="0F0F0F"/>
        </w:rPr>
        <w:t xml:space="preserve"> </w:t>
      </w:r>
      <w:r>
        <w:rPr>
          <w:rFonts w:ascii="Arial" w:cs="Arial" w:eastAsia="Arial" w:hAnsi="Arial"/>
          <w:sz w:val="17"/>
          <w:szCs w:val="17"/>
          <w:color w:val="1A1A1A"/>
        </w:rPr>
        <w:t>Company</w:t>
      </w:r>
      <w:r>
        <w:rPr>
          <w:rFonts w:ascii="Arial" w:cs="Arial" w:eastAsia="Arial" w:hAnsi="Arial"/>
          <w:sz w:val="17"/>
          <w:szCs w:val="17"/>
          <w:color w:val="0F0F0F"/>
        </w:rPr>
        <w:t xml:space="preserve"> </w:t>
      </w:r>
      <w:r>
        <w:rPr>
          <w:rFonts w:ascii="Arial" w:cs="Arial" w:eastAsia="Arial" w:hAnsi="Arial"/>
          <w:sz w:val="17"/>
          <w:szCs w:val="17"/>
          <w:color w:val="232323"/>
        </w:rPr>
        <w:t>has</w:t>
      </w:r>
      <w:r>
        <w:rPr>
          <w:rFonts w:ascii="Arial" w:cs="Arial" w:eastAsia="Arial" w:hAnsi="Arial"/>
          <w:sz w:val="17"/>
          <w:szCs w:val="17"/>
          <w:color w:val="0F0F0F"/>
        </w:rPr>
        <w:t xml:space="preserve"> </w:t>
      </w:r>
      <w:r>
        <w:rPr>
          <w:rFonts w:ascii="Arial" w:cs="Arial" w:eastAsia="Arial" w:hAnsi="Arial"/>
          <w:sz w:val="17"/>
          <w:szCs w:val="17"/>
          <w:color w:val="111111"/>
        </w:rPr>
        <w:t>not</w:t>
      </w:r>
      <w:r>
        <w:rPr>
          <w:rFonts w:ascii="Arial" w:cs="Arial" w:eastAsia="Arial" w:hAnsi="Arial"/>
          <w:sz w:val="17"/>
          <w:szCs w:val="17"/>
          <w:color w:val="0F0F0F"/>
        </w:rPr>
        <w:t xml:space="preserve"> </w:t>
      </w:r>
      <w:r>
        <w:rPr>
          <w:rFonts w:ascii="Arial" w:cs="Arial" w:eastAsia="Arial" w:hAnsi="Arial"/>
          <w:sz w:val="17"/>
          <w:szCs w:val="17"/>
          <w:color w:val="161616"/>
        </w:rPr>
        <w:t>received</w:t>
      </w:r>
      <w:r>
        <w:rPr>
          <w:rFonts w:ascii="Arial" w:cs="Arial" w:eastAsia="Arial" w:hAnsi="Arial"/>
          <w:sz w:val="17"/>
          <w:szCs w:val="17"/>
          <w:color w:val="0F0F0F"/>
        </w:rPr>
        <w:t xml:space="preserve"> </w:t>
      </w:r>
      <w:r>
        <w:rPr>
          <w:rFonts w:ascii="Arial" w:cs="Arial" w:eastAsia="Arial" w:hAnsi="Arial"/>
          <w:sz w:val="17"/>
          <w:szCs w:val="17"/>
          <w:color w:val="1F1F1F"/>
        </w:rPr>
        <w:t>a</w:t>
      </w:r>
      <w:r>
        <w:rPr>
          <w:rFonts w:ascii="Arial" w:cs="Arial" w:eastAsia="Arial" w:hAnsi="Arial"/>
          <w:sz w:val="17"/>
          <w:szCs w:val="17"/>
          <w:color w:val="0F0F0F"/>
        </w:rPr>
        <w:t xml:space="preserve"> </w:t>
      </w:r>
      <w:r>
        <w:rPr>
          <w:rFonts w:ascii="Arial" w:cs="Arial" w:eastAsia="Arial" w:hAnsi="Arial"/>
          <w:sz w:val="17"/>
          <w:szCs w:val="17"/>
          <w:color w:val="181818"/>
        </w:rPr>
        <w:t>signed</w:t>
      </w:r>
      <w:r>
        <w:rPr>
          <w:rFonts w:ascii="Arial" w:cs="Arial" w:eastAsia="Arial" w:hAnsi="Arial"/>
          <w:sz w:val="17"/>
          <w:szCs w:val="17"/>
          <w:color w:val="0F0F0F"/>
        </w:rPr>
        <w:t xml:space="preserve"> </w:t>
      </w:r>
      <w:r>
        <w:rPr>
          <w:rFonts w:ascii="Arial" w:cs="Arial" w:eastAsia="Arial" w:hAnsi="Arial"/>
          <w:sz w:val="17"/>
          <w:szCs w:val="17"/>
          <w:color w:val="111111"/>
        </w:rPr>
        <w:t>copy</w:t>
      </w:r>
      <w:r>
        <w:rPr>
          <w:rFonts w:ascii="Arial" w:cs="Arial" w:eastAsia="Arial" w:hAnsi="Arial"/>
          <w:sz w:val="17"/>
          <w:szCs w:val="17"/>
          <w:color w:val="0F0F0F"/>
        </w:rPr>
        <w:t xml:space="preserve"> </w:t>
      </w:r>
      <w:r>
        <w:rPr>
          <w:rFonts w:ascii="Arial" w:cs="Arial" w:eastAsia="Arial" w:hAnsi="Arial"/>
          <w:sz w:val="17"/>
          <w:szCs w:val="17"/>
          <w:color w:val="212121"/>
        </w:rPr>
        <w:t>of</w:t>
      </w:r>
      <w:r>
        <w:rPr>
          <w:rFonts w:ascii="Arial" w:cs="Arial" w:eastAsia="Arial" w:hAnsi="Arial"/>
          <w:sz w:val="17"/>
          <w:szCs w:val="17"/>
          <w:color w:val="0F0F0F"/>
        </w:rPr>
        <w:t xml:space="preserve"> </w:t>
      </w:r>
      <w:r>
        <w:rPr>
          <w:rFonts w:ascii="Arial" w:cs="Arial" w:eastAsia="Arial" w:hAnsi="Arial"/>
          <w:sz w:val="17"/>
          <w:szCs w:val="17"/>
          <w:color w:val="181818"/>
        </w:rPr>
        <w:t>this</w:t>
      </w:r>
      <w:r>
        <w:rPr>
          <w:rFonts w:ascii="Arial" w:cs="Arial" w:eastAsia="Arial" w:hAnsi="Arial"/>
          <w:sz w:val="17"/>
          <w:szCs w:val="17"/>
          <w:color w:val="0F0F0F"/>
        </w:rPr>
        <w:t xml:space="preserve"> </w:t>
      </w:r>
      <w:r>
        <w:rPr>
          <w:rFonts w:ascii="Arial" w:cs="Arial" w:eastAsia="Arial" w:hAnsi="Arial"/>
          <w:sz w:val="17"/>
          <w:szCs w:val="17"/>
          <w:color w:val="000000"/>
        </w:rPr>
        <w:t>Agreement by that</w:t>
      </w:r>
      <w:r>
        <w:rPr>
          <w:rFonts w:ascii="Arial" w:cs="Arial" w:eastAsia="Arial" w:hAnsi="Arial"/>
          <w:sz w:val="17"/>
          <w:szCs w:val="17"/>
          <w:color w:val="0F0F0F"/>
        </w:rPr>
        <w:t xml:space="preserve"> </w:t>
      </w:r>
      <w:r>
        <w:rPr>
          <w:rFonts w:ascii="Arial" w:cs="Arial" w:eastAsia="Arial" w:hAnsi="Arial"/>
          <w:sz w:val="17"/>
          <w:szCs w:val="17"/>
          <w:color w:val="111111"/>
        </w:rPr>
        <w:t>time,</w:t>
      </w:r>
      <w:r>
        <w:rPr>
          <w:rFonts w:ascii="Arial" w:cs="Arial" w:eastAsia="Arial" w:hAnsi="Arial"/>
          <w:sz w:val="17"/>
          <w:szCs w:val="17"/>
          <w:color w:val="0F0F0F"/>
        </w:rPr>
        <w:t xml:space="preserve"> </w:t>
      </w:r>
      <w:r>
        <w:rPr>
          <w:rFonts w:ascii="Arial" w:cs="Arial" w:eastAsia="Arial" w:hAnsi="Arial"/>
          <w:sz w:val="17"/>
          <w:szCs w:val="17"/>
          <w:color w:val="1D1D1D"/>
        </w:rPr>
        <w:t>the</w:t>
      </w:r>
      <w:r>
        <w:rPr>
          <w:rFonts w:ascii="Arial" w:cs="Arial" w:eastAsia="Arial" w:hAnsi="Arial"/>
          <w:sz w:val="17"/>
          <w:szCs w:val="17"/>
          <w:color w:val="0F0F0F"/>
        </w:rPr>
        <w:t xml:space="preserve"> </w:t>
      </w:r>
      <w:r>
        <w:rPr>
          <w:rFonts w:ascii="Arial" w:cs="Arial" w:eastAsia="Arial" w:hAnsi="Arial"/>
          <w:sz w:val="17"/>
          <w:szCs w:val="17"/>
          <w:color w:val="000000"/>
        </w:rPr>
        <w:t xml:space="preserve">offer reflected </w:t>
      </w:r>
      <w:r>
        <w:rPr>
          <w:rFonts w:ascii="Arial" w:cs="Arial" w:eastAsia="Arial" w:hAnsi="Arial"/>
          <w:sz w:val="17"/>
          <w:szCs w:val="17"/>
          <w:color w:val="131313"/>
        </w:rPr>
        <w:t>in</w:t>
      </w:r>
      <w:r>
        <w:rPr>
          <w:rFonts w:ascii="Arial" w:cs="Arial" w:eastAsia="Arial" w:hAnsi="Arial"/>
          <w:sz w:val="17"/>
          <w:szCs w:val="17"/>
          <w:color w:val="000000"/>
        </w:rPr>
        <w:t xml:space="preserve"> </w:t>
      </w:r>
      <w:r>
        <w:rPr>
          <w:rFonts w:ascii="Arial" w:cs="Arial" w:eastAsia="Arial" w:hAnsi="Arial"/>
          <w:sz w:val="17"/>
          <w:szCs w:val="17"/>
          <w:color w:val="161616"/>
        </w:rPr>
        <w:t>this Agreement will automatically</w:t>
      </w:r>
      <w:r>
        <w:rPr>
          <w:rFonts w:ascii="Arial" w:cs="Arial" w:eastAsia="Arial" w:hAnsi="Arial"/>
          <w:sz w:val="17"/>
          <w:szCs w:val="17"/>
          <w:color w:val="000000"/>
        </w:rPr>
        <w:t xml:space="preserve"> </w:t>
      </w:r>
      <w:r>
        <w:rPr>
          <w:rFonts w:ascii="Arial" w:cs="Arial" w:eastAsia="Arial" w:hAnsi="Arial"/>
          <w:sz w:val="17"/>
          <w:szCs w:val="17"/>
          <w:color w:val="0E0E0E"/>
        </w:rPr>
        <w:t>terminate</w:t>
      </w:r>
      <w:r>
        <w:rPr>
          <w:rFonts w:ascii="Arial" w:cs="Arial" w:eastAsia="Arial" w:hAnsi="Arial"/>
          <w:sz w:val="17"/>
          <w:szCs w:val="17"/>
          <w:color w:val="000000"/>
        </w:rPr>
        <w:t xml:space="preserve"> </w:t>
      </w:r>
      <w:r>
        <w:rPr>
          <w:rFonts w:ascii="Arial" w:cs="Arial" w:eastAsia="Arial" w:hAnsi="Arial"/>
          <w:sz w:val="17"/>
          <w:szCs w:val="17"/>
          <w:color w:val="212121"/>
        </w:rPr>
        <w:t>and</w:t>
      </w:r>
      <w:r>
        <w:rPr>
          <w:rFonts w:ascii="Arial" w:cs="Arial" w:eastAsia="Arial" w:hAnsi="Arial"/>
          <w:sz w:val="17"/>
          <w:szCs w:val="17"/>
          <w:color w:val="000000"/>
        </w:rPr>
        <w:t xml:space="preserve"> </w:t>
      </w:r>
      <w:r>
        <w:rPr>
          <w:rFonts w:ascii="Arial" w:cs="Arial" w:eastAsia="Arial" w:hAnsi="Arial"/>
          <w:sz w:val="17"/>
          <w:szCs w:val="17"/>
          <w:color w:val="0A0A0A"/>
        </w:rPr>
        <w:t>expire</w:t>
      </w:r>
      <w:r>
        <w:rPr>
          <w:rFonts w:ascii="Arial" w:cs="Arial" w:eastAsia="Arial" w:hAnsi="Arial"/>
          <w:sz w:val="17"/>
          <w:szCs w:val="17"/>
          <w:color w:val="000000"/>
        </w:rPr>
        <w:t xml:space="preserve"> </w:t>
      </w:r>
      <w:r>
        <w:rPr>
          <w:rFonts w:ascii="Arial" w:cs="Arial" w:eastAsia="Arial" w:hAnsi="Arial"/>
          <w:sz w:val="17"/>
          <w:szCs w:val="17"/>
          <w:color w:val="0C0C0C"/>
        </w:rPr>
        <w:t>without</w:t>
      </w:r>
      <w:r>
        <w:rPr>
          <w:rFonts w:ascii="Arial" w:cs="Arial" w:eastAsia="Arial" w:hAnsi="Arial"/>
          <w:sz w:val="17"/>
          <w:szCs w:val="17"/>
          <w:color w:val="000000"/>
        </w:rPr>
        <w:t xml:space="preserve"> </w:t>
      </w:r>
      <w:r>
        <w:rPr>
          <w:rFonts w:ascii="Arial" w:cs="Arial" w:eastAsia="Arial" w:hAnsi="Arial"/>
          <w:sz w:val="17"/>
          <w:szCs w:val="17"/>
          <w:color w:val="0E0E0E"/>
        </w:rPr>
        <w:t>further</w:t>
      </w:r>
      <w:r>
        <w:rPr>
          <w:rFonts w:ascii="Arial" w:cs="Arial" w:eastAsia="Arial" w:hAnsi="Arial"/>
          <w:sz w:val="17"/>
          <w:szCs w:val="17"/>
          <w:color w:val="000000"/>
        </w:rPr>
        <w:t xml:space="preserve"> </w:t>
      </w:r>
      <w:r>
        <w:rPr>
          <w:rFonts w:ascii="Arial" w:cs="Arial" w:eastAsia="Arial" w:hAnsi="Arial"/>
          <w:sz w:val="17"/>
          <w:szCs w:val="17"/>
          <w:color w:val="0A0A0A"/>
        </w:rPr>
        <w:t>notice</w:t>
      </w:r>
      <w:r>
        <w:rPr>
          <w:rFonts w:ascii="Arial" w:cs="Arial" w:eastAsia="Arial" w:hAnsi="Arial"/>
          <w:sz w:val="17"/>
          <w:szCs w:val="17"/>
          <w:color w:val="000000"/>
        </w:rPr>
        <w:t xml:space="preserve"> </w:t>
      </w:r>
      <w:r>
        <w:rPr>
          <w:rFonts w:ascii="Arial" w:cs="Arial" w:eastAsia="Arial" w:hAnsi="Arial"/>
          <w:sz w:val="17"/>
          <w:szCs w:val="17"/>
          <w:color w:val="0F0F0F"/>
        </w:rPr>
        <w:t>from</w:t>
      </w:r>
      <w:r>
        <w:rPr>
          <w:rFonts w:ascii="Arial" w:cs="Arial" w:eastAsia="Arial" w:hAnsi="Arial"/>
          <w:sz w:val="17"/>
          <w:szCs w:val="17"/>
          <w:color w:val="000000"/>
        </w:rPr>
        <w:t xml:space="preserve"> </w:t>
      </w:r>
      <w:r>
        <w:rPr>
          <w:rFonts w:ascii="Arial" w:cs="Arial" w:eastAsia="Arial" w:hAnsi="Arial"/>
          <w:sz w:val="17"/>
          <w:szCs w:val="17"/>
          <w:color w:val="1A1A1A"/>
        </w:rPr>
        <w:t>the</w:t>
      </w:r>
      <w:r>
        <w:rPr>
          <w:rFonts w:ascii="Arial" w:cs="Arial" w:eastAsia="Arial" w:hAnsi="Arial"/>
          <w:sz w:val="17"/>
          <w:szCs w:val="17"/>
          <w:color w:val="000000"/>
        </w:rPr>
        <w:t xml:space="preserve"> </w:t>
      </w:r>
      <w:r>
        <w:rPr>
          <w:rFonts w:ascii="Arial" w:cs="Arial" w:eastAsia="Arial" w:hAnsi="Arial"/>
          <w:sz w:val="17"/>
          <w:szCs w:val="17"/>
          <w:color w:val="1C1C1C"/>
        </w:rPr>
        <w:t>Company.</w:t>
      </w:r>
    </w:p>
    <w:p>
      <w:pPr>
        <w:sectPr>
          <w:pgSz w:w="11900" w:h="16838" w:orient="portrait"/>
          <w:cols w:equalWidth="0" w:num="1">
            <w:col w:w="11240"/>
          </w:cols>
          <w:pgMar w:left="320" w:top="557"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Date: 2/24/2020</w:t>
            </w:r>
          </w:p>
        </w:tc>
        <w:tc>
          <w:tcPr>
            <w:tcW w:w="3600" w:type="dxa"/>
            <w:vAlign w:val="bottom"/>
          </w:tcPr>
          <w:p>
            <w:pPr>
              <w:ind w:left="40"/>
              <w:spacing w:after="0"/>
              <w:rPr>
                <w:sz w:val="20"/>
                <w:szCs w:val="20"/>
                <w:color w:val="auto"/>
              </w:rPr>
            </w:pPr>
            <w:r>
              <w:rPr>
                <w:rFonts w:ascii="Arial" w:cs="Arial" w:eastAsia="Arial" w:hAnsi="Arial"/>
                <w:sz w:val="18"/>
                <w:szCs w:val="18"/>
                <w:color w:val="auto"/>
              </w:rPr>
              <w:t>/s/ Stuart I. Grimshaw</w:t>
            </w:r>
          </w:p>
        </w:tc>
      </w:tr>
      <w:tr>
        <w:trPr>
          <w:trHeight w:val="27"/>
        </w:trPr>
        <w:tc>
          <w:tcPr>
            <w:tcW w:w="738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7380" w:type="dxa"/>
            <w:vAlign w:val="bottom"/>
          </w:tcPr>
          <w:p>
            <w:pPr>
              <w:spacing w:after="0"/>
              <w:rPr>
                <w:sz w:val="20"/>
                <w:szCs w:val="20"/>
                <w:color w:val="auto"/>
              </w:rPr>
            </w:pPr>
          </w:p>
        </w:tc>
        <w:tc>
          <w:tcPr>
            <w:tcW w:w="3600" w:type="dxa"/>
            <w:vAlign w:val="bottom"/>
          </w:tcPr>
          <w:p>
            <w:pPr>
              <w:ind w:left="40"/>
              <w:spacing w:after="0"/>
              <w:rPr>
                <w:sz w:val="20"/>
                <w:szCs w:val="20"/>
                <w:color w:val="auto"/>
              </w:rPr>
            </w:pPr>
            <w:r>
              <w:rPr>
                <w:rFonts w:ascii="Arial" w:cs="Arial" w:eastAsia="Arial" w:hAnsi="Arial"/>
                <w:sz w:val="18"/>
                <w:szCs w:val="18"/>
                <w:color w:val="auto"/>
              </w:rPr>
              <w:t>Stuart I. Grimshaw</w:t>
            </w:r>
          </w:p>
        </w:tc>
      </w:tr>
      <w:tr>
        <w:trPr>
          <w:trHeight w:val="270"/>
        </w:trPr>
        <w:tc>
          <w:tcPr>
            <w:tcW w:w="7380" w:type="dxa"/>
            <w:vAlign w:val="bottom"/>
          </w:tcPr>
          <w:p>
            <w:pPr>
              <w:spacing w:after="0"/>
              <w:rPr>
                <w:sz w:val="23"/>
                <w:szCs w:val="23"/>
                <w:color w:val="auto"/>
              </w:rPr>
            </w:pPr>
          </w:p>
        </w:tc>
        <w:tc>
          <w:tcPr>
            <w:tcW w:w="360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594"/>
        </w:trPr>
        <w:tc>
          <w:tcPr>
            <w:tcW w:w="7380" w:type="dxa"/>
            <w:vAlign w:val="bottom"/>
          </w:tcPr>
          <w:p>
            <w:pPr>
              <w:spacing w:after="0"/>
              <w:rPr>
                <w:sz w:val="20"/>
                <w:szCs w:val="20"/>
                <w:color w:val="auto"/>
              </w:rPr>
            </w:pPr>
            <w:r>
              <w:rPr>
                <w:rFonts w:ascii="Arial" w:cs="Arial" w:eastAsia="Arial" w:hAnsi="Arial"/>
                <w:sz w:val="18"/>
                <w:szCs w:val="18"/>
                <w:color w:val="auto"/>
              </w:rPr>
              <w:t>Date: 3/25/2020</w:t>
            </w:r>
          </w:p>
        </w:tc>
        <w:tc>
          <w:tcPr>
            <w:tcW w:w="3600" w:type="dxa"/>
            <w:vAlign w:val="bottom"/>
          </w:tcPr>
          <w:p>
            <w:pPr>
              <w:ind w:left="40"/>
              <w:spacing w:after="0"/>
              <w:rPr>
                <w:sz w:val="20"/>
                <w:szCs w:val="20"/>
                <w:color w:val="auto"/>
              </w:rPr>
            </w:pPr>
            <w:r>
              <w:rPr>
                <w:rFonts w:ascii="Arial" w:cs="Arial" w:eastAsia="Arial" w:hAnsi="Arial"/>
                <w:sz w:val="18"/>
                <w:szCs w:val="18"/>
                <w:color w:val="auto"/>
              </w:rPr>
              <w:t>/s/ Daniel M. Chism</w:t>
            </w:r>
          </w:p>
        </w:tc>
      </w:tr>
      <w:tr>
        <w:trPr>
          <w:trHeight w:val="27"/>
        </w:trPr>
        <w:tc>
          <w:tcPr>
            <w:tcW w:w="738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7380" w:type="dxa"/>
            <w:vAlign w:val="bottom"/>
          </w:tcPr>
          <w:p>
            <w:pPr>
              <w:spacing w:after="0"/>
              <w:rPr>
                <w:sz w:val="20"/>
                <w:szCs w:val="20"/>
                <w:color w:val="auto"/>
              </w:rPr>
            </w:pPr>
          </w:p>
        </w:tc>
        <w:tc>
          <w:tcPr>
            <w:tcW w:w="3600" w:type="dxa"/>
            <w:vAlign w:val="bottom"/>
          </w:tcPr>
          <w:p>
            <w:pPr>
              <w:ind w:left="40"/>
              <w:spacing w:after="0"/>
              <w:rPr>
                <w:sz w:val="20"/>
                <w:szCs w:val="20"/>
                <w:color w:val="auto"/>
              </w:rPr>
            </w:pPr>
            <w:r>
              <w:rPr>
                <w:rFonts w:ascii="Arial" w:cs="Arial" w:eastAsia="Arial" w:hAnsi="Arial"/>
                <w:sz w:val="18"/>
                <w:szCs w:val="18"/>
                <w:color w:val="auto"/>
              </w:rPr>
              <w:t>Daniel M. Chism</w:t>
            </w:r>
          </w:p>
        </w:tc>
      </w:tr>
    </w:tbl>
    <w:p>
      <w:pPr>
        <w:sectPr>
          <w:pgSz w:w="11900" w:h="16838" w:orient="portrait"/>
          <w:cols w:equalWidth="0" w:num="1">
            <w:col w:w="10980"/>
          </w:cols>
          <w:pgMar w:left="580" w:top="719"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340" w:right="2000"/>
        <w:spacing w:after="0" w:line="266" w:lineRule="auto"/>
        <w:rPr>
          <w:sz w:val="20"/>
          <w:szCs w:val="20"/>
          <w:color w:val="auto"/>
        </w:rPr>
      </w:pPr>
      <w:r>
        <w:rPr>
          <w:rFonts w:ascii="Arial" w:cs="Arial" w:eastAsia="Arial" w:hAnsi="Arial"/>
          <w:sz w:val="18"/>
          <w:szCs w:val="18"/>
          <w:b w:val="1"/>
          <w:bCs w:val="1"/>
          <w:color w:val="auto"/>
        </w:rPr>
        <w:t>Certification of Stuart I. Grimshaw, Chief Executive Officer, pursuant to Rule 13a-14(a) under the Securities Exchange Act of 1934, as 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I, Stuart I. Grimshaw, certify that:</w:t>
      </w:r>
    </w:p>
    <w:p>
      <w:pPr>
        <w:spacing w:after="0" w:line="171"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171"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ind w:left="1960" w:right="80" w:hanging="656"/>
        <w:spacing w:after="0" w:line="286" w:lineRule="auto"/>
        <w:tabs>
          <w:tab w:leader="none" w:pos="19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hanging="656"/>
        <w:spacing w:after="0" w:line="263" w:lineRule="auto"/>
        <w:tabs>
          <w:tab w:leader="none" w:pos="1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1960" w:right="360" w:hanging="656"/>
        <w:spacing w:after="0" w:line="311" w:lineRule="auto"/>
        <w:tabs>
          <w:tab w:leader="none" w:pos="19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6"/>
          <w:szCs w:val="16"/>
          <w:color w:val="auto"/>
        </w:rPr>
      </w:pPr>
    </w:p>
    <w:p>
      <w:pPr>
        <w:ind w:left="1300" w:right="180" w:hanging="644"/>
        <w:spacing w:after="0" w:line="263"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ind w:left="1960" w:right="60" w:hanging="656"/>
        <w:spacing w:after="0" w:line="263" w:lineRule="auto"/>
        <w:tabs>
          <w:tab w:leader="none" w:pos="1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right="100" w:hanging="656"/>
        <w:spacing w:after="0" w:line="277" w:lineRule="auto"/>
        <w:tabs>
          <w:tab w:leader="none" w:pos="1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11, 2020</w:t>
      </w:r>
    </w:p>
    <w:p>
      <w:pPr>
        <w:spacing w:after="0" w:line="19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31750</wp:posOffset>
            </wp:positionV>
            <wp:extent cx="28460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Stuart I. Grimshaw</w:t>
      </w:r>
    </w:p>
    <w:p>
      <w:pPr>
        <w:spacing w:after="0" w:line="22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553"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340" w:right="2000"/>
        <w:spacing w:after="0" w:line="266" w:lineRule="auto"/>
        <w:rPr>
          <w:sz w:val="20"/>
          <w:szCs w:val="20"/>
          <w:color w:val="auto"/>
        </w:rPr>
      </w:pPr>
      <w:r>
        <w:rPr>
          <w:rFonts w:ascii="Arial" w:cs="Arial" w:eastAsia="Arial" w:hAnsi="Arial"/>
          <w:sz w:val="18"/>
          <w:szCs w:val="18"/>
          <w:b w:val="1"/>
          <w:bCs w:val="1"/>
          <w:color w:val="auto"/>
        </w:rPr>
        <w:t>Certification of Jason A. Kulas, Chief Financial Officer, pursuant to Rule 13a-14(a) under the Securities Exchange Act of 1934, as 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I, Jason A. Kulas, certify that:</w:t>
      </w:r>
    </w:p>
    <w:p>
      <w:pPr>
        <w:spacing w:after="0" w:line="171"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171"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ind w:left="1960" w:right="80" w:hanging="656"/>
        <w:spacing w:after="0" w:line="286" w:lineRule="auto"/>
        <w:tabs>
          <w:tab w:leader="none" w:pos="19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hanging="656"/>
        <w:spacing w:after="0" w:line="263" w:lineRule="auto"/>
        <w:tabs>
          <w:tab w:leader="none" w:pos="1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1960" w:right="360" w:hanging="656"/>
        <w:spacing w:after="0" w:line="311" w:lineRule="auto"/>
        <w:tabs>
          <w:tab w:leader="none" w:pos="19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6"/>
          <w:szCs w:val="16"/>
          <w:color w:val="auto"/>
        </w:rPr>
      </w:pPr>
    </w:p>
    <w:p>
      <w:pPr>
        <w:ind w:left="1300" w:right="180" w:hanging="644"/>
        <w:spacing w:after="0" w:line="263"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ind w:left="1960" w:right="60" w:hanging="656"/>
        <w:spacing w:after="0" w:line="263" w:lineRule="auto"/>
        <w:tabs>
          <w:tab w:leader="none" w:pos="1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right="100" w:hanging="656"/>
        <w:spacing w:after="0" w:line="277" w:lineRule="auto"/>
        <w:tabs>
          <w:tab w:leader="none" w:pos="1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11, 2020</w:t>
      </w:r>
    </w:p>
    <w:p>
      <w:pPr>
        <w:spacing w:after="0" w:line="19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Jason A. Kulas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31750</wp:posOffset>
            </wp:positionV>
            <wp:extent cx="28371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Jason A. Kulas</w:t>
      </w:r>
    </w:p>
    <w:p>
      <w:pPr>
        <w:spacing w:after="0" w:line="22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Financial Officer</w:t>
      </w:r>
    </w:p>
    <w:p>
      <w:pPr>
        <w:sectPr>
          <w:pgSz w:w="11900" w:h="16838" w:orient="portrait"/>
          <w:cols w:equalWidth="0" w:num="1">
            <w:col w:w="11240"/>
          </w:cols>
          <w:pgMar w:left="320" w:top="553"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Certifications of Stuart I. Grimshaw, Chief Executive Officer, and Jason A. Kulas, Chief Financial Officer, pursuant to 18 U.S.C. Section 1350, as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906 of the Sarbanes-Oxley Act of 2002</w:t>
      </w:r>
    </w:p>
    <w:p>
      <w:pPr>
        <w:spacing w:after="0" w:line="157"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undersigned officers of EZCORP, Inc. hereby certify that (a) EZCORP's Quarterly Report on Form 10-Q for the quarter ended March 31, 2020,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200" w:lineRule="exact"/>
        <w:rPr>
          <w:sz w:val="20"/>
          <w:szCs w:val="20"/>
          <w:color w:val="auto"/>
        </w:rPr>
      </w:pPr>
    </w:p>
    <w:p>
      <w:pPr>
        <w:spacing w:after="0" w:line="381"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Date: 5/11/2020</w:t>
            </w:r>
          </w:p>
        </w:tc>
        <w:tc>
          <w:tcPr>
            <w:tcW w:w="3600" w:type="dxa"/>
            <w:vAlign w:val="bottom"/>
          </w:tcPr>
          <w:p>
            <w:pPr>
              <w:ind w:left="40"/>
              <w:spacing w:after="0"/>
              <w:rPr>
                <w:sz w:val="20"/>
                <w:szCs w:val="20"/>
                <w:color w:val="auto"/>
              </w:rPr>
            </w:pPr>
            <w:r>
              <w:rPr>
                <w:rFonts w:ascii="Arial" w:cs="Arial" w:eastAsia="Arial" w:hAnsi="Arial"/>
                <w:sz w:val="18"/>
                <w:szCs w:val="18"/>
                <w:color w:val="auto"/>
              </w:rPr>
              <w:t>/s/ Stuart I. Grimshaw</w:t>
            </w:r>
          </w:p>
        </w:tc>
      </w:tr>
      <w:tr>
        <w:trPr>
          <w:trHeight w:val="27"/>
        </w:trPr>
        <w:tc>
          <w:tcPr>
            <w:tcW w:w="738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7380" w:type="dxa"/>
            <w:vAlign w:val="bottom"/>
          </w:tcPr>
          <w:p>
            <w:pPr>
              <w:spacing w:after="0"/>
              <w:rPr>
                <w:sz w:val="20"/>
                <w:szCs w:val="20"/>
                <w:color w:val="auto"/>
              </w:rPr>
            </w:pPr>
          </w:p>
        </w:tc>
        <w:tc>
          <w:tcPr>
            <w:tcW w:w="3600" w:type="dxa"/>
            <w:vAlign w:val="bottom"/>
          </w:tcPr>
          <w:p>
            <w:pPr>
              <w:ind w:left="40"/>
              <w:spacing w:after="0"/>
              <w:rPr>
                <w:sz w:val="20"/>
                <w:szCs w:val="20"/>
                <w:color w:val="auto"/>
              </w:rPr>
            </w:pPr>
            <w:r>
              <w:rPr>
                <w:rFonts w:ascii="Arial" w:cs="Arial" w:eastAsia="Arial" w:hAnsi="Arial"/>
                <w:sz w:val="18"/>
                <w:szCs w:val="18"/>
                <w:color w:val="auto"/>
              </w:rPr>
              <w:t>Stuart I. Grimshaw</w:t>
            </w:r>
          </w:p>
        </w:tc>
      </w:tr>
      <w:tr>
        <w:trPr>
          <w:trHeight w:val="270"/>
        </w:trPr>
        <w:tc>
          <w:tcPr>
            <w:tcW w:w="7380" w:type="dxa"/>
            <w:vAlign w:val="bottom"/>
          </w:tcPr>
          <w:p>
            <w:pPr>
              <w:spacing w:after="0"/>
              <w:rPr>
                <w:sz w:val="23"/>
                <w:szCs w:val="23"/>
                <w:color w:val="auto"/>
              </w:rPr>
            </w:pPr>
          </w:p>
        </w:tc>
        <w:tc>
          <w:tcPr>
            <w:tcW w:w="360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594"/>
        </w:trPr>
        <w:tc>
          <w:tcPr>
            <w:tcW w:w="7380" w:type="dxa"/>
            <w:vAlign w:val="bottom"/>
          </w:tcPr>
          <w:p>
            <w:pPr>
              <w:spacing w:after="0"/>
              <w:rPr>
                <w:sz w:val="20"/>
                <w:szCs w:val="20"/>
                <w:color w:val="auto"/>
              </w:rPr>
            </w:pPr>
            <w:r>
              <w:rPr>
                <w:rFonts w:ascii="Arial" w:cs="Arial" w:eastAsia="Arial" w:hAnsi="Arial"/>
                <w:sz w:val="18"/>
                <w:szCs w:val="18"/>
                <w:color w:val="auto"/>
              </w:rPr>
              <w:t>Date: 5/11/2020</w:t>
            </w:r>
          </w:p>
        </w:tc>
        <w:tc>
          <w:tcPr>
            <w:tcW w:w="3600" w:type="dxa"/>
            <w:vAlign w:val="bottom"/>
          </w:tcPr>
          <w:p>
            <w:pPr>
              <w:ind w:left="40"/>
              <w:spacing w:after="0"/>
              <w:rPr>
                <w:sz w:val="20"/>
                <w:szCs w:val="20"/>
                <w:color w:val="auto"/>
              </w:rPr>
            </w:pPr>
            <w:r>
              <w:rPr>
                <w:rFonts w:ascii="Arial" w:cs="Arial" w:eastAsia="Arial" w:hAnsi="Arial"/>
                <w:sz w:val="18"/>
                <w:szCs w:val="18"/>
                <w:color w:val="auto"/>
              </w:rPr>
              <w:t>/s/ Jason A. Kulas</w:t>
            </w:r>
          </w:p>
        </w:tc>
      </w:tr>
      <w:tr>
        <w:trPr>
          <w:trHeight w:val="27"/>
        </w:trPr>
        <w:tc>
          <w:tcPr>
            <w:tcW w:w="738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7380" w:type="dxa"/>
            <w:vAlign w:val="bottom"/>
          </w:tcPr>
          <w:p>
            <w:pPr>
              <w:spacing w:after="0"/>
              <w:rPr>
                <w:sz w:val="20"/>
                <w:szCs w:val="20"/>
                <w:color w:val="auto"/>
              </w:rPr>
            </w:pPr>
          </w:p>
        </w:tc>
        <w:tc>
          <w:tcPr>
            <w:tcW w:w="3600" w:type="dxa"/>
            <w:vAlign w:val="bottom"/>
          </w:tcPr>
          <w:p>
            <w:pPr>
              <w:ind w:left="40"/>
              <w:spacing w:after="0"/>
              <w:rPr>
                <w:sz w:val="20"/>
                <w:szCs w:val="20"/>
                <w:color w:val="auto"/>
              </w:rPr>
            </w:pPr>
            <w:r>
              <w:rPr>
                <w:rFonts w:ascii="Arial" w:cs="Arial" w:eastAsia="Arial" w:hAnsi="Arial"/>
                <w:sz w:val="18"/>
                <w:szCs w:val="18"/>
                <w:color w:val="auto"/>
              </w:rPr>
              <w:t>Jason A. Kulas</w:t>
            </w:r>
          </w:p>
        </w:tc>
      </w:tr>
      <w:tr>
        <w:trPr>
          <w:trHeight w:val="432"/>
        </w:trPr>
        <w:tc>
          <w:tcPr>
            <w:tcW w:w="7380" w:type="dxa"/>
            <w:vAlign w:val="bottom"/>
          </w:tcPr>
          <w:p>
            <w:pPr>
              <w:spacing w:after="0"/>
              <w:rPr>
                <w:sz w:val="24"/>
                <w:szCs w:val="24"/>
                <w:color w:val="auto"/>
              </w:rPr>
            </w:pPr>
          </w:p>
        </w:tc>
        <w:tc>
          <w:tcPr>
            <w:tcW w:w="3600" w:type="dxa"/>
            <w:vAlign w:val="bottom"/>
          </w:tcPr>
          <w:p>
            <w:pPr>
              <w:ind w:left="40"/>
              <w:spacing w:after="0"/>
              <w:rPr>
                <w:sz w:val="20"/>
                <w:szCs w:val="20"/>
                <w:color w:val="auto"/>
              </w:rPr>
            </w:pPr>
            <w:r>
              <w:rPr>
                <w:rFonts w:ascii="Arial" w:cs="Arial" w:eastAsia="Arial" w:hAnsi="Arial"/>
                <w:sz w:val="18"/>
                <w:szCs w:val="18"/>
                <w:color w:val="auto"/>
              </w:rPr>
              <w:t>President and Chief Financial Officer</w:t>
            </w:r>
          </w:p>
        </w:tc>
      </w:tr>
    </w:tbl>
    <w:p>
      <w:pPr>
        <w:spacing w:after="0" w:line="1" w:lineRule="exact"/>
        <w:rPr>
          <w:sz w:val="20"/>
          <w:szCs w:val="20"/>
          <w:color w:val="auto"/>
        </w:rPr>
      </w:pP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1)"/>
      <w:numFmt w:val="lowerLetter"/>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lowerLetter"/>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1)"/>
      <w:numFmt w:val="lowerLetter"/>
      <w:start w:val="1"/>
    </w:lvl>
  </w:abstractNum>
  <w:abstractNum w:abstractNumId="16">
    <w:nsid w:val="79838CB2"/>
    <w:multiLevelType w:val="hybridMultilevel"/>
    <w:lvl w:ilvl="0">
      <w:lvlJc w:val="left"/>
      <w:lvlText w:val="(%1)"/>
      <w:numFmt w:val="lowerLetter"/>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decimal"/>
      <w:start w:val="1"/>
    </w:lvl>
    <w:lvl w:ilvl="1">
      <w:lvlJc w:val="left"/>
      <w:lvlText w:val="(%2)"/>
      <w:numFmt w:val="lowerLetter"/>
      <w:start w:val="1"/>
    </w:lvl>
  </w:abstractNum>
  <w:abstractNum w:abstractNumId="27">
    <w:nsid w:val="1E7FF521"/>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28">
    <w:nsid w:val="7C3DBD3D"/>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9">
    <w:nsid w:val="737B8DDC"/>
    <w:multiLevelType w:val="hybridMultilevel"/>
    <w:lvl w:ilvl="0">
      <w:lvlJc w:val="left"/>
      <w:lvlText w:val="%1."/>
      <w:numFmt w:val="decimal"/>
      <w:start w:val="6"/>
    </w:lvl>
  </w:abstractNum>
  <w:abstractNum w:abstractNumId="30">
    <w:nsid w:val="6CEAF087"/>
    <w:multiLevelType w:val="hybridMultilevel"/>
    <w:lvl w:ilvl="0">
      <w:lvlJc w:val="left"/>
      <w:lvlText w:val="%1."/>
      <w:numFmt w:val="decimal"/>
      <w:start w:val="10"/>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13" Type="http://schemas.openxmlformats.org/officeDocument/2006/relationships/hyperlink" Target="http://www.sec.gov/Archives/edgar/data/876523/000087652319000069/a2019-q410xk.htm" TargetMode="External"/><Relationship Id="rId14" Type="http://schemas.openxmlformats.org/officeDocument/2006/relationships/hyperlink" Target="http://www.sec.gov/Archives/edgar/data/876523/000087652319000069/a2019-q410xk.htm#sF82713BE3B2754AEA45B1DE76BAFAD79" TargetMode="External"/><Relationship Id="rId17" Type="http://schemas.openxmlformats.org/officeDocument/2006/relationships/hyperlink" Target="http://www.sec.gov/Archives/edgar/data/876523/000087652319000069/a2019-q410xk.htm#s9492C285CD745D458CD01A8FC47EB87C" TargetMode="External"/><Relationship Id="rId21" Type="http://schemas.openxmlformats.org/officeDocument/2006/relationships/hyperlink" Target="http://www.sec.gov/Archives/edgar/data/876523/000087652319000069/a2019-q410xk.htm#sAF4F0A2FB4F8575E9A3FCEAC28AA36D0" TargetMode="External"/><Relationship Id="rId22" Type="http://schemas.openxmlformats.org/officeDocument/2006/relationships/hyperlink" Target="http://www.sec.gov/Archives/edgar/data/876523/000087652319000069/a2019-q410xk.htm#sDA01EB4371AE5EB78634064C9B2C16CB"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2020-05-11T16:28:31Z</dcterms:created>
  <dcterms:modified xsi:type="dcterms:W3CDTF">2020-05-11T16:28:31Z</dcterms:modified>
</cp:coreProperties>
</file>