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5"/>
              <w:spacing w:after="0" w:line="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2"/>
              <w:spacing w:after="0" w:line="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5603240</wp:posOffset>
            </wp:positionH>
            <wp:positionV relativeFrom="paragraph">
              <wp:posOffset>-751205</wp:posOffset>
            </wp:positionV>
            <wp:extent cx="1305560" cy="9055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5560" cy="905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33655</wp:posOffset>
            </wp:positionV>
            <wp:extent cx="6946900" cy="20294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2029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3100" w:type="dxa"/>
            <w:vAlign w:val="bottom"/>
            <w:vMerge w:val="restart"/>
          </w:tcPr>
          <w:p>
            <w:pPr>
              <w:ind w:left="40"/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u w:val="single" w:color="auto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u w:val="single" w:color="auto"/>
                  <w:color w:val="0000EE"/>
                </w:rPr>
                <w:t>VANROEKEL LISA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31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3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01/04/2021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EZCORP INC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EZPW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2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2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2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2500 BEE CAVE ROAD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BUILDING 1, SUITE 200</w:t>
            </w:r>
          </w:p>
        </w:tc>
      </w:tr>
      <w:tr>
        <w:trPr>
          <w:trHeight w:val="17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03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2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ROLLINGWOOD TX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78746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42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ind w:left="183"/>
        <w:spacing w:after="0"/>
        <w:tabs>
          <w:tab w:leader="none" w:pos="502" w:val="left"/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color w:val="0000FF"/>
          <w:vertAlign w:val="subscript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88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Chief HR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70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57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55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2" w:lineRule="auto"/>
        <w:tabs>
          <w:tab w:leader="none" w:pos="451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23" w:lineRule="exact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</w:p>
    <w:p>
      <w:pPr>
        <w:ind w:left="451" w:right="320"/>
        <w:spacing w:after="0" w:line="270" w:lineRule="auto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92710</wp:posOffset>
            </wp:positionV>
            <wp:extent cx="6946900" cy="10198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1019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12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No securities beneficially held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8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4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-1388110</wp:posOffset>
            </wp:positionV>
            <wp:extent cx="6946900" cy="14293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1429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40" w:right="700" w:firstLine="5"/>
        <w:spacing w:after="0" w:line="259" w:lineRule="auto"/>
        <w:tabs>
          <w:tab w:leader="none" w:pos="19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 purpose of this filing is to report the election of the Reporting Person as an officer. At the time of this filing, the Reporting Person does not hold Non-Derivative or Derivative Securities of EZCORP, Inc.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Remarks: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Carrie Putnam,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01/08/2021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Attorney-in-Fact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5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625558EC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%1."/>
      <w:numFmt w:val="decimal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0" Type="http://schemas.openxmlformats.org/officeDocument/2006/relationships/hyperlink" Target="http://www.sec.gov/cgi-bin/browse-edgar?action=getcompany&amp;CIK=0001670562" TargetMode="External"/><Relationship Id="rId11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2021-01-08T06:56:06Z</dcterms:created>
  <dcterms:modified xsi:type="dcterms:W3CDTF">2021-01-08T06:56:06Z</dcterms:modified>
</cp:coreProperties>
</file>