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January 23, 2007</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358"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4820" w:type="dxa"/>
            <w:vAlign w:val="bottom"/>
          </w:tcPr>
          <w:p>
            <w:pPr>
              <w:jc w:val="center"/>
              <w:ind w:right="290"/>
              <w:spacing w:after="0"/>
              <w:rPr>
                <w:sz w:val="20"/>
                <w:szCs w:val="20"/>
                <w:color w:val="auto"/>
              </w:rPr>
            </w:pPr>
            <w:r>
              <w:rPr>
                <w:rFonts w:ascii="Arial" w:cs="Arial" w:eastAsia="Arial" w:hAnsi="Arial"/>
                <w:sz w:val="18"/>
                <w:szCs w:val="18"/>
                <w:color w:val="auto"/>
                <w:w w:val="90"/>
              </w:rPr>
              <w:t>(Exact name of registrant as specified in its charter)</w:t>
            </w:r>
          </w:p>
        </w:tc>
        <w:tc>
          <w:tcPr>
            <w:tcW w:w="2060" w:type="dxa"/>
            <w:vAlign w:val="bottom"/>
          </w:tcPr>
          <w:p>
            <w:pPr>
              <w:spacing w:after="0"/>
              <w:rPr>
                <w:sz w:val="20"/>
                <w:szCs w:val="20"/>
                <w:color w:val="auto"/>
              </w:rPr>
            </w:pPr>
          </w:p>
        </w:tc>
      </w:tr>
      <w:tr>
        <w:trPr>
          <w:trHeight w:val="418"/>
        </w:trPr>
        <w:tc>
          <w:tcPr>
            <w:tcW w:w="3200" w:type="dxa"/>
            <w:vAlign w:val="bottom"/>
          </w:tcPr>
          <w:p>
            <w:pPr>
              <w:jc w:val="center"/>
              <w:ind w:right="250"/>
              <w:spacing w:after="0"/>
              <w:rPr>
                <w:sz w:val="20"/>
                <w:szCs w:val="20"/>
                <w:color w:val="auto"/>
              </w:rPr>
            </w:pPr>
            <w:r>
              <w:rPr>
                <w:rFonts w:ascii="Arial" w:cs="Arial" w:eastAsia="Arial" w:hAnsi="Arial"/>
                <w:sz w:val="18"/>
                <w:szCs w:val="18"/>
                <w:b w:val="1"/>
                <w:bCs w:val="1"/>
                <w:color w:val="auto"/>
                <w:w w:val="98"/>
              </w:rPr>
              <w:t>DELAWARE</w:t>
            </w:r>
          </w:p>
        </w:tc>
        <w:tc>
          <w:tcPr>
            <w:tcW w:w="48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0-19424</w:t>
            </w:r>
          </w:p>
        </w:tc>
        <w:tc>
          <w:tcPr>
            <w:tcW w:w="2060" w:type="dxa"/>
            <w:vAlign w:val="bottom"/>
          </w:tcPr>
          <w:p>
            <w:pPr>
              <w:jc w:val="right"/>
              <w:ind w:right="150"/>
              <w:spacing w:after="0"/>
              <w:rPr>
                <w:sz w:val="20"/>
                <w:szCs w:val="20"/>
                <w:color w:val="auto"/>
              </w:rPr>
            </w:pPr>
            <w:r>
              <w:rPr>
                <w:rFonts w:ascii="Arial" w:cs="Arial" w:eastAsia="Arial" w:hAnsi="Arial"/>
                <w:sz w:val="18"/>
                <w:szCs w:val="18"/>
                <w:b w:val="1"/>
                <w:bCs w:val="1"/>
                <w:color w:val="auto"/>
              </w:rPr>
              <w:t>74-2540145</w:t>
            </w:r>
          </w:p>
        </w:tc>
      </w:tr>
      <w:tr>
        <w:trPr>
          <w:trHeight w:val="216"/>
        </w:trPr>
        <w:tc>
          <w:tcPr>
            <w:tcW w:w="3200" w:type="dxa"/>
            <w:vAlign w:val="bottom"/>
          </w:tcPr>
          <w:p>
            <w:pPr>
              <w:jc w:val="center"/>
              <w:ind w:right="270"/>
              <w:spacing w:after="0"/>
              <w:rPr>
                <w:sz w:val="20"/>
                <w:szCs w:val="20"/>
                <w:color w:val="auto"/>
              </w:rPr>
            </w:pPr>
            <w:r>
              <w:rPr>
                <w:rFonts w:ascii="Arial" w:cs="Arial" w:eastAsia="Arial" w:hAnsi="Arial"/>
                <w:sz w:val="18"/>
                <w:szCs w:val="18"/>
                <w:color w:val="auto"/>
                <w:w w:val="92"/>
              </w:rPr>
              <w:t>(State or other jurisdiction of</w:t>
            </w:r>
          </w:p>
        </w:tc>
        <w:tc>
          <w:tcPr>
            <w:tcW w:w="4820" w:type="dxa"/>
            <w:vAlign w:val="bottom"/>
          </w:tcPr>
          <w:p>
            <w:pPr>
              <w:jc w:val="center"/>
              <w:ind w:right="270"/>
              <w:spacing w:after="0"/>
              <w:rPr>
                <w:sz w:val="20"/>
                <w:szCs w:val="20"/>
                <w:color w:val="auto"/>
              </w:rPr>
            </w:pPr>
            <w:r>
              <w:rPr>
                <w:rFonts w:ascii="Arial" w:cs="Arial" w:eastAsia="Arial" w:hAnsi="Arial"/>
                <w:sz w:val="18"/>
                <w:szCs w:val="18"/>
                <w:color w:val="auto"/>
                <w:w w:val="93"/>
              </w:rPr>
              <w:t>(Commission File</w:t>
            </w:r>
          </w:p>
        </w:tc>
        <w:tc>
          <w:tcPr>
            <w:tcW w:w="2060" w:type="dxa"/>
            <w:vAlign w:val="bottom"/>
          </w:tcPr>
          <w:p>
            <w:pPr>
              <w:jc w:val="center"/>
              <w:ind w:left="630"/>
              <w:spacing w:after="0"/>
              <w:rPr>
                <w:sz w:val="20"/>
                <w:szCs w:val="20"/>
                <w:color w:val="auto"/>
              </w:rPr>
            </w:pPr>
            <w:r>
              <w:rPr>
                <w:rFonts w:ascii="Arial" w:cs="Arial" w:eastAsia="Arial" w:hAnsi="Arial"/>
                <w:sz w:val="18"/>
                <w:szCs w:val="18"/>
                <w:color w:val="auto"/>
                <w:w w:val="92"/>
              </w:rPr>
              <w:t>(I.R.S. Employer</w:t>
            </w:r>
          </w:p>
        </w:tc>
      </w:tr>
      <w:tr>
        <w:trPr>
          <w:trHeight w:val="230"/>
        </w:trPr>
        <w:tc>
          <w:tcPr>
            <w:tcW w:w="3200" w:type="dxa"/>
            <w:vAlign w:val="bottom"/>
          </w:tcPr>
          <w:p>
            <w:pPr>
              <w:jc w:val="center"/>
              <w:ind w:right="270"/>
              <w:spacing w:after="0"/>
              <w:rPr>
                <w:sz w:val="20"/>
                <w:szCs w:val="20"/>
                <w:color w:val="auto"/>
              </w:rPr>
            </w:pPr>
            <w:r>
              <w:rPr>
                <w:rFonts w:ascii="Arial" w:cs="Arial" w:eastAsia="Arial" w:hAnsi="Arial"/>
                <w:sz w:val="18"/>
                <w:szCs w:val="18"/>
                <w:color w:val="auto"/>
                <w:w w:val="94"/>
              </w:rPr>
              <w:t>incorporation)</w:t>
            </w:r>
          </w:p>
        </w:tc>
        <w:tc>
          <w:tcPr>
            <w:tcW w:w="4820" w:type="dxa"/>
            <w:vAlign w:val="bottom"/>
          </w:tcPr>
          <w:p>
            <w:pPr>
              <w:jc w:val="center"/>
              <w:ind w:right="270"/>
              <w:spacing w:after="0"/>
              <w:rPr>
                <w:sz w:val="20"/>
                <w:szCs w:val="20"/>
                <w:color w:val="auto"/>
              </w:rPr>
            </w:pPr>
            <w:r>
              <w:rPr>
                <w:rFonts w:ascii="Arial" w:cs="Arial" w:eastAsia="Arial" w:hAnsi="Arial"/>
                <w:sz w:val="18"/>
                <w:szCs w:val="18"/>
                <w:color w:val="auto"/>
                <w:w w:val="94"/>
              </w:rPr>
              <w:t>Number)</w:t>
            </w:r>
          </w:p>
        </w:tc>
        <w:tc>
          <w:tcPr>
            <w:tcW w:w="2060" w:type="dxa"/>
            <w:vAlign w:val="bottom"/>
          </w:tcPr>
          <w:p>
            <w:pPr>
              <w:jc w:val="center"/>
              <w:ind w:left="6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200" w:type="dxa"/>
            <w:vAlign w:val="bottom"/>
          </w:tcPr>
          <w:p>
            <w:pPr>
              <w:jc w:val="center"/>
              <w:ind w:right="270"/>
              <w:spacing w:after="0"/>
              <w:rPr>
                <w:sz w:val="20"/>
                <w:szCs w:val="20"/>
                <w:color w:val="auto"/>
              </w:rPr>
            </w:pPr>
            <w:r>
              <w:rPr>
                <w:rFonts w:ascii="Arial" w:cs="Arial" w:eastAsia="Arial" w:hAnsi="Arial"/>
                <w:sz w:val="18"/>
                <w:szCs w:val="18"/>
                <w:b w:val="1"/>
                <w:bCs w:val="1"/>
                <w:color w:val="auto"/>
                <w:w w:val="97"/>
              </w:rPr>
              <w:t>1901 CAPITAL PARKWAY</w:t>
            </w:r>
          </w:p>
        </w:tc>
        <w:tc>
          <w:tcPr>
            <w:tcW w:w="4820" w:type="dxa"/>
            <w:vAlign w:val="bottom"/>
          </w:tcPr>
          <w:p>
            <w:pPr>
              <w:spacing w:after="0"/>
              <w:rPr>
                <w:sz w:val="24"/>
                <w:szCs w:val="24"/>
                <w:color w:val="auto"/>
              </w:rPr>
            </w:pPr>
          </w:p>
        </w:tc>
        <w:tc>
          <w:tcPr>
            <w:tcW w:w="2060" w:type="dxa"/>
            <w:vAlign w:val="bottom"/>
          </w:tcPr>
          <w:p>
            <w:pPr>
              <w:jc w:val="right"/>
              <w:ind w:right="350"/>
              <w:spacing w:after="0"/>
              <w:rPr>
                <w:sz w:val="20"/>
                <w:szCs w:val="20"/>
                <w:color w:val="auto"/>
              </w:rPr>
            </w:pPr>
            <w:r>
              <w:rPr>
                <w:rFonts w:ascii="Arial" w:cs="Arial" w:eastAsia="Arial" w:hAnsi="Arial"/>
                <w:sz w:val="18"/>
                <w:szCs w:val="18"/>
                <w:b w:val="1"/>
                <w:bCs w:val="1"/>
                <w:color w:val="auto"/>
              </w:rPr>
              <w:t>78746</w:t>
            </w:r>
          </w:p>
        </w:tc>
      </w:tr>
      <w:tr>
        <w:trPr>
          <w:trHeight w:val="220"/>
        </w:trPr>
        <w:tc>
          <w:tcPr>
            <w:tcW w:w="320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AUSTIN, TEXAS</w:t>
            </w:r>
          </w:p>
        </w:tc>
        <w:tc>
          <w:tcPr>
            <w:tcW w:w="4820" w:type="dxa"/>
            <w:vAlign w:val="bottom"/>
          </w:tcPr>
          <w:p>
            <w:pPr>
              <w:spacing w:after="0"/>
              <w:rPr>
                <w:sz w:val="19"/>
                <w:szCs w:val="19"/>
                <w:color w:val="auto"/>
              </w:rPr>
            </w:pPr>
          </w:p>
        </w:tc>
        <w:tc>
          <w:tcPr>
            <w:tcW w:w="2060" w:type="dxa"/>
            <w:vAlign w:val="bottom"/>
          </w:tcPr>
          <w:p>
            <w:pPr>
              <w:jc w:val="center"/>
              <w:ind w:left="630"/>
              <w:spacing w:after="0"/>
              <w:rPr>
                <w:sz w:val="20"/>
                <w:szCs w:val="20"/>
                <w:color w:val="auto"/>
              </w:rPr>
            </w:pPr>
            <w:r>
              <w:rPr>
                <w:rFonts w:ascii="Arial" w:cs="Arial" w:eastAsia="Arial" w:hAnsi="Arial"/>
                <w:sz w:val="18"/>
                <w:szCs w:val="18"/>
                <w:color w:val="auto"/>
                <w:w w:val="91"/>
              </w:rPr>
              <w:t>(Zip Code)</w:t>
            </w:r>
          </w:p>
        </w:tc>
      </w:tr>
      <w:tr>
        <w:trPr>
          <w:trHeight w:val="230"/>
        </w:trPr>
        <w:tc>
          <w:tcPr>
            <w:tcW w:w="3200" w:type="dxa"/>
            <w:vAlign w:val="bottom"/>
          </w:tcPr>
          <w:p>
            <w:pPr>
              <w:jc w:val="center"/>
              <w:ind w:right="250"/>
              <w:spacing w:after="0"/>
              <w:rPr>
                <w:sz w:val="20"/>
                <w:szCs w:val="20"/>
                <w:color w:val="auto"/>
              </w:rPr>
            </w:pPr>
            <w:r>
              <w:rPr>
                <w:rFonts w:ascii="Arial" w:cs="Arial" w:eastAsia="Arial" w:hAnsi="Arial"/>
                <w:sz w:val="18"/>
                <w:szCs w:val="18"/>
                <w:color w:val="auto"/>
                <w:w w:val="92"/>
              </w:rPr>
              <w:t>(Address of principal executive offices)</w:t>
            </w:r>
          </w:p>
        </w:tc>
        <w:tc>
          <w:tcPr>
            <w:tcW w:w="48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40"/>
        </w:trPr>
        <w:tc>
          <w:tcPr>
            <w:tcW w:w="3200" w:type="dxa"/>
            <w:vAlign w:val="bottom"/>
          </w:tcPr>
          <w:p>
            <w:pPr>
              <w:spacing w:after="0"/>
              <w:rPr>
                <w:sz w:val="24"/>
                <w:szCs w:val="24"/>
                <w:color w:val="auto"/>
              </w:rPr>
            </w:pPr>
          </w:p>
        </w:tc>
        <w:tc>
          <w:tcPr>
            <w:tcW w:w="4820" w:type="dxa"/>
            <w:vAlign w:val="bottom"/>
          </w:tcPr>
          <w:p>
            <w:pPr>
              <w:jc w:val="center"/>
              <w:ind w:right="310"/>
              <w:spacing w:after="0"/>
              <w:rPr>
                <w:sz w:val="20"/>
                <w:szCs w:val="20"/>
                <w:color w:val="auto"/>
              </w:rPr>
            </w:pPr>
            <w:r>
              <w:rPr>
                <w:rFonts w:ascii="Arial" w:cs="Arial" w:eastAsia="Arial" w:hAnsi="Arial"/>
                <w:sz w:val="18"/>
                <w:szCs w:val="18"/>
                <w:color w:val="auto"/>
                <w:w w:val="89"/>
              </w:rPr>
              <w:t>Registrant’s telephone number, including area code:</w:t>
            </w:r>
          </w:p>
        </w:tc>
        <w:tc>
          <w:tcPr>
            <w:tcW w:w="2060" w:type="dxa"/>
            <w:vAlign w:val="bottom"/>
          </w:tcPr>
          <w:p>
            <w:pPr>
              <w:spacing w:after="0"/>
              <w:rPr>
                <w:sz w:val="24"/>
                <w:szCs w:val="24"/>
                <w:color w:val="auto"/>
              </w:rPr>
            </w:pPr>
          </w:p>
        </w:tc>
      </w:tr>
    </w:tbl>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(512) 314-3400</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information set forth under “Item 2.02. Results Of Operations And Financial Condition,” including the Exhibit attached hereto, shall not be deemed “filed” for purposes of Section 18 of the Securities and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January 23, 2007, EZCORP, Inc. issued a press release announcing its results of operations and financial condition for the quarter ended December 31, 2006. A copy of the press release is attached hereto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January 23, 2007, issued by EZCORP,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1"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380" w:val="left"/>
          <w:tab w:leader="none" w:pos="5940" w:val="left"/>
        </w:tabs>
        <w:rPr>
          <w:sz w:val="20"/>
          <w:szCs w:val="20"/>
          <w:color w:val="auto"/>
        </w:rPr>
      </w:pPr>
      <w:r>
        <w:rPr>
          <w:rFonts w:ascii="Arial" w:cs="Arial" w:eastAsia="Arial" w:hAnsi="Arial"/>
          <w:sz w:val="18"/>
          <w:szCs w:val="18"/>
          <w:i w:val="1"/>
          <w:iCs w:val="1"/>
          <w:color w:val="auto"/>
        </w:rPr>
        <w:t>Date: January 23, 2007</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/s/ Daniel N. Tonissen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14605</wp:posOffset>
            </wp:positionV>
            <wp:extent cx="2015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(Signature)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Financial</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1" w:right="439" w:bottom="1440" w:gutter="0" w:footer="0" w:header="0"/>
        </w:sectPr>
      </w:pPr>
    </w:p>
    <w:bookmarkStart w:id="4" w:name="page5"/>
    <w:bookmarkEnd w:id="4"/>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23, 2007, issued by EZCORP, Inc.</w:t>
      </w:r>
    </w:p>
    <w:p>
      <w:pPr>
        <w:sectPr>
          <w:pgSz w:w="11900" w:h="16838" w:orient="portrait"/>
          <w:cols w:equalWidth="0" w:num="1">
            <w:col w:w="10219"/>
          </w:cols>
          <w:pgMar w:left="240" w:top="958"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EZCORP ANNOUNCES FISCAL 2007 FIRST QUARTER RESULTS</w:t>
      </w:r>
    </w:p>
    <w:p>
      <w:pPr>
        <w:spacing w:after="0" w:line="107" w:lineRule="exact"/>
        <w:rPr>
          <w:sz w:val="20"/>
          <w:szCs w:val="20"/>
          <w:color w:val="auto"/>
        </w:rPr>
      </w:pPr>
    </w:p>
    <w:p>
      <w:pPr>
        <w:jc w:val="both"/>
        <w:ind w:right="160"/>
        <w:spacing w:after="0" w:line="282" w:lineRule="auto"/>
        <w:rPr>
          <w:sz w:val="20"/>
          <w:szCs w:val="20"/>
          <w:color w:val="auto"/>
        </w:rPr>
      </w:pPr>
      <w:r>
        <w:rPr>
          <w:rFonts w:ascii="Arial" w:cs="Arial" w:eastAsia="Arial" w:hAnsi="Arial"/>
          <w:sz w:val="18"/>
          <w:szCs w:val="18"/>
          <w:b w:val="1"/>
          <w:bCs w:val="1"/>
          <w:color w:val="auto"/>
        </w:rPr>
        <w:t xml:space="preserve">AUSTIN, Texas (January 23, 2007) </w:t>
      </w:r>
      <w:r>
        <w:rPr>
          <w:rFonts w:ascii="Arial" w:cs="Arial" w:eastAsia="Arial" w:hAnsi="Arial"/>
          <w:sz w:val="18"/>
          <w:szCs w:val="18"/>
          <w:color w:val="auto"/>
        </w:rPr>
        <w:t>— EZCORP, Inc. (Nasdaq/NM: EZPW) announced today results for its fiscal first quarter, which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2006.</w:t>
      </w:r>
    </w:p>
    <w:p>
      <w:pPr>
        <w:spacing w:after="0" w:line="5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For the quarter ended December 31, 2006, EZCORP’s net income increased 44% to $9,761,000 ($0.23 per share) compared to $6,756,000 ($0.17 per share) for the fiscal 2006 first quarter. Total revenues for the quarter increased 21% over the prior year period to $91,687,000 with signature loan revenues (payday loan and credit service fees) up 47%, total sales (merchandise and jewelry scrapping) up 16% and pawn service charges up 9%.</w:t>
      </w:r>
    </w:p>
    <w:p>
      <w:pPr>
        <w:spacing w:after="0" w:line="5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Operating income for the quarter improved 42% to $14,623,000 (24% of net revenue) compared to $10,315,000 (21% of net revenue) for the prior year quarter. Operating income margin improvement resulted from leveraging our store operating expense, primarily in our pawn operation, and administrative expense.</w:t>
      </w:r>
    </w:p>
    <w:p>
      <w:pPr>
        <w:spacing w:after="0" w:line="73"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Commenting on these results, President and Chief Executive Officer, Joe Rotunda, stated, “The demand for our loan products continues to be strong as consumers seek lower cost alternatives to the fee-based services offered by traditional financial institutions. Our customer, who is well educated and informed, is choosing our short term loan products because they are a lower cost alternative and they enable them to maintain control over their finances. Satisfying this customer’s needs and demonstrating that our loan products are their best alternative continues to drive our business.”</w:t>
      </w:r>
    </w:p>
    <w:p>
      <w:pPr>
        <w:spacing w:after="0" w:line="4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Rotunda continued, “Both the pawn and signature loan products contributed to our earnings growth. Our pawn net revenues increased 12% or $3.9 million to approximately $37.5 million. Our signature loan contribution, signature loan fees less bad debt, increased 51% or $6.2 million to approximately</w:t>
      </w:r>
    </w:p>
    <w:p>
      <w:pPr>
        <w:ind w:right="360"/>
        <w:spacing w:after="0" w:line="261" w:lineRule="auto"/>
        <w:rPr>
          <w:sz w:val="20"/>
          <w:szCs w:val="20"/>
          <w:color w:val="auto"/>
        </w:rPr>
      </w:pPr>
      <w:r>
        <w:rPr>
          <w:rFonts w:ascii="Arial" w:cs="Arial" w:eastAsia="Arial" w:hAnsi="Arial"/>
          <w:sz w:val="18"/>
          <w:szCs w:val="18"/>
          <w:color w:val="auto"/>
        </w:rPr>
        <w:t>$18.4 million. Our signature loan bad debt continues to show incremental year over year improvement. Signature loan bad debt as a percent of related fee revenue improved to 24.7% for the quarter from 26.4% for the prior year quarter.”</w:t>
      </w:r>
    </w:p>
    <w:p>
      <w:pPr>
        <w:spacing w:after="0" w:line="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Rotunda concluded, “We expect our second fiscal 2007 quarter’s earnings to be approximately $0.23 per share compared to $0.19 for the fiscal 2006 second quarter. For our 2007 fiscal year, we are raising our guidance to approximately $0.85 per share compared to $0.69 per share for fiscal 2006. For the fiscal 2007 second quarter, we expect to open approximately 30 EZMONEY and one to two Mexico EZPAWN locations. For the fiscal year, we expect to open approximately 100 EZMONEY and four Mexico EZPAWN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spacing w:after="0" w:line="257" w:lineRule="auto"/>
        <w:rPr>
          <w:sz w:val="20"/>
          <w:szCs w:val="20"/>
          <w:color w:val="auto"/>
        </w:rPr>
      </w:pPr>
      <w:r>
        <w:rPr>
          <w:rFonts w:ascii="Arial" w:cs="Arial" w:eastAsia="Arial" w:hAnsi="Arial"/>
          <w:sz w:val="18"/>
          <w:szCs w:val="18"/>
          <w:color w:val="auto"/>
        </w:rPr>
        <w:t>EZCORP is primarily a lender or provider of credit services to individuals who do not have cash resources or access to credit to meet their short-term cash needs. In 280 U.S. and one Mexico EZPAWN locations, the Company offers non-recourse loans collateralized by tangible personal property, commonly known as pawn loans. At these locations, the Company also sells merchandise, primarily collateral forfeited from its pawn lending operations, to consumers looking for good value. In 340 EZMONEY locations and 82 EZPAWN locations, the Company offers short-term non-collateralized loans, often referred to as payday loans, or fee based credit services to customers seeking loans.</w:t>
      </w:r>
    </w:p>
    <w:p>
      <w:pPr>
        <w:spacing w:after="0" w:line="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announcement contains certain forward-looking statements regarding the Company’s expected performance for future periods including, but not limited to, expected future earnings and new store expansion. Actual results for these periods may materially differ from these statements. Such forward-looking statements involve risks and uncertainties such as changing market conditions in the overall economy and the industry, consumer demand for the Company’s services and merchandise, changes in the regulatory environment, and other factors periodically discussed in the Company’s annual, quarterly and other reports filed with the Securities and Exchange Commission.</w:t>
      </w:r>
    </w:p>
    <w:p>
      <w:pPr>
        <w:spacing w:after="0" w:line="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You are invited to listen to a conference call discussing these results on January 23, 2007 at 3:30pm Central Standard Time. The conference call can be accessed over the Internet or replayed at your convenience at the following address.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http://www.videonewswire.com/event.asp?id=37311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 Dan Tonissen at (512) 314-2289.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Highlights of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300" w:type="dxa"/>
            <w:vAlign w:val="bottom"/>
            <w:gridSpan w:val="7"/>
          </w:tcPr>
          <w:p>
            <w:pPr>
              <w:spacing w:after="0"/>
              <w:rPr>
                <w:sz w:val="20"/>
                <w:szCs w:val="20"/>
                <w:color w:val="auto"/>
              </w:rPr>
            </w:pPr>
            <w:r>
              <w:rPr>
                <w:rFonts w:ascii="Arial" w:cs="Arial" w:eastAsia="Arial" w:hAnsi="Arial"/>
                <w:sz w:val="14"/>
                <w:szCs w:val="14"/>
                <w:b w:val="1"/>
                <w:bCs w:val="1"/>
                <w:color w:val="auto"/>
                <w:w w:val="97"/>
              </w:rPr>
              <w:t>Three Months Ended December 31,</w:t>
            </w: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Merchandise sales</w:t>
            </w:r>
          </w:p>
        </w:tc>
        <w:tc>
          <w:tcPr>
            <w:tcW w:w="3000" w:type="dxa"/>
            <w:vAlign w:val="bottom"/>
            <w:gridSpan w:val="2"/>
          </w:tcPr>
          <w:p>
            <w:pPr>
              <w:ind w:left="28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37,879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35,656</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Jewelry scrapping sales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11,101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6,697</w:t>
            </w: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Pawn service charges</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17,962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16,514</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 service fees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22,027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15,422</w:t>
            </w: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Payday loan fees</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2,368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1,152</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23"/>
        </w:trPr>
        <w:tc>
          <w:tcPr>
            <w:tcW w:w="2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8"/>
                <w:szCs w:val="18"/>
                <w:color w:val="auto"/>
              </w:rPr>
              <w:t>Total revenues</w:t>
            </w:r>
          </w:p>
        </w:tc>
        <w:tc>
          <w:tcPr>
            <w:tcW w:w="2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91,687</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Cost of merchandise sales</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22,582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20,772</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jewelry scrapping sales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7,241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4,889</w:t>
            </w:r>
          </w:p>
        </w:tc>
      </w:tr>
      <w:tr>
        <w:trPr>
          <w:trHeight w:val="230"/>
        </w:trPr>
        <w:tc>
          <w:tcPr>
            <w:tcW w:w="20" w:type="dxa"/>
            <w:vAlign w:val="bottom"/>
          </w:tcPr>
          <w:p>
            <w:pPr>
              <w:spacing w:after="0"/>
              <w:rPr>
                <w:sz w:val="20"/>
                <w:szCs w:val="20"/>
                <w:color w:val="auto"/>
              </w:rPr>
            </w:pPr>
          </w:p>
        </w:tc>
        <w:tc>
          <w:tcPr>
            <w:tcW w:w="6260" w:type="dxa"/>
            <w:vAlign w:val="bottom"/>
          </w:tcPr>
          <w:p>
            <w:pPr>
              <w:ind w:left="400"/>
              <w:spacing w:after="0"/>
              <w:rPr>
                <w:sz w:val="20"/>
                <w:szCs w:val="20"/>
                <w:color w:val="auto"/>
              </w:rPr>
            </w:pPr>
            <w:r>
              <w:rPr>
                <w:rFonts w:ascii="Arial" w:cs="Arial" w:eastAsia="Arial" w:hAnsi="Arial"/>
                <w:sz w:val="18"/>
                <w:szCs w:val="18"/>
                <w:color w:val="auto"/>
              </w:rPr>
              <w:t>Total cost of goods sold</w:t>
            </w:r>
          </w:p>
        </w:tc>
        <w:tc>
          <w:tcPr>
            <w:tcW w:w="28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29,823</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25,661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61,864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50,109</w:t>
            </w:r>
          </w:p>
        </w:tc>
      </w:tr>
      <w:tr>
        <w:trPr>
          <w:trHeight w:val="432"/>
        </w:trPr>
        <w:tc>
          <w:tcPr>
            <w:tcW w:w="6280" w:type="dxa"/>
            <w:vAlign w:val="bottom"/>
            <w:gridSpan w:val="2"/>
          </w:tcPr>
          <w:p>
            <w:pPr>
              <w:spacing w:after="0"/>
              <w:rPr>
                <w:sz w:val="20"/>
                <w:szCs w:val="20"/>
                <w:color w:val="auto"/>
              </w:rPr>
            </w:pPr>
            <w:r>
              <w:rPr>
                <w:rFonts w:ascii="Arial" w:cs="Arial" w:eastAsia="Arial" w:hAnsi="Arial"/>
                <w:sz w:val="18"/>
                <w:szCs w:val="18"/>
                <w:color w:val="auto"/>
              </w:rPr>
              <w:t>Operations expense</w:t>
            </w:r>
          </w:p>
        </w:tc>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31,388</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26,475</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Credit service bad debt</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3,770</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Payday loan bad debt</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824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7,527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6,822</w:t>
            </w: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14,623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10,315</w:t>
            </w:r>
          </w:p>
        </w:tc>
      </w:tr>
      <w:tr>
        <w:trPr>
          <w:trHeight w:val="432"/>
        </w:trPr>
        <w:tc>
          <w:tcPr>
            <w:tcW w:w="62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(314)</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(645)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sale/disposal of assets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5,733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3,867</w:t>
            </w: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diluted</w:t>
            </w:r>
          </w:p>
        </w:tc>
        <w:tc>
          <w:tcPr>
            <w:tcW w:w="2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r>
      <w:tr>
        <w:trPr>
          <w:trHeight w:val="20"/>
        </w:trPr>
        <w:tc>
          <w:tcPr>
            <w:tcW w:w="62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6280" w:type="dxa"/>
            <w:vAlign w:val="bottom"/>
            <w:gridSpan w:val="2"/>
          </w:tcPr>
          <w:p>
            <w:pPr>
              <w:spacing w:after="0"/>
              <w:rPr>
                <w:sz w:val="20"/>
                <w:szCs w:val="20"/>
                <w:color w:val="auto"/>
              </w:rPr>
            </w:pPr>
            <w:r>
              <w:rPr>
                <w:rFonts w:ascii="Arial" w:cs="Arial" w:eastAsia="Arial" w:hAnsi="Arial"/>
                <w:sz w:val="18"/>
                <w:szCs w:val="18"/>
                <w:color w:val="auto"/>
              </w:rPr>
              <w:t>Weighted average shares, diluted</w:t>
            </w:r>
          </w:p>
        </w:tc>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43,306</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40,613</w:t>
            </w:r>
          </w:p>
        </w:tc>
      </w:tr>
      <w:tr>
        <w:trPr>
          <w:trHeight w:val="632"/>
        </w:trPr>
        <w:tc>
          <w:tcPr>
            <w:tcW w:w="20" w:type="dxa"/>
            <w:vAlign w:val="bottom"/>
            <w:tcBorders>
              <w:bottom w:val="single" w:sz="8" w:color="808080"/>
            </w:tcBorders>
          </w:tcPr>
          <w:p>
            <w:pPr>
              <w:spacing w:after="0"/>
              <w:rPr>
                <w:sz w:val="24"/>
                <w:szCs w:val="24"/>
                <w:color w:val="auto"/>
              </w:rPr>
            </w:pPr>
          </w:p>
        </w:tc>
        <w:tc>
          <w:tcPr>
            <w:tcW w:w="626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Highlights of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 and store 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39,964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Pawn loans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47,793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Payday loans,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3,273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Pawn service charges receivable, net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8,434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Credit service fees receivable,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Payday loan fees receivable, net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591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35,235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Deferred tax asset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7,150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5,786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152,776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114,638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unconsolidated affiliate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20,317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29,881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 non-current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Other assets, net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210,671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166,360</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Accounts payable and other 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19,689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Customer layaway deposits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Federal income taxes payable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26,097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Deferred gains and other long-term liabilities</w:t>
            </w: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3,158</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181,416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140,777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210,671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166,360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Pawn loan balance per ending pawn store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Inventory per ending pawn store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125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Tangible book value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4.40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EZPAWN store count — end of period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EZMoney signature loan store count — end of period</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340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 end of period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40,580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38,625</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2020-02-03T09:06:24Z</dcterms:created>
  <dcterms:modified xsi:type="dcterms:W3CDTF">2020-02-03T09:06:24Z</dcterms:modified>
</cp:coreProperties>
</file>