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2, 2017 (February 2, 2017)</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On February 2, 2017, EZCORP, Inc. will issue a press release announcing its results of operations and financial condition for the quarter ended December 31, 2016. A copy of that press release is attached as Exhibit 99.1.</w:t>
      </w:r>
    </w:p>
    <w:p>
      <w:pPr>
        <w:spacing w:after="0" w:line="116"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In addition to the financial information prepared in conformity with generally accepted accounting principles in the United States of America ("GAAP"), we provide certain other non-GAAP financial information such as constant currency results ("constant currency"). Management believes that presentation of non-GAAP financial information is meaningful and useful in understanding the activities and business metrics of our Mexico Pawn operations, which are denominated in Mexican pesos. Management believes that these non-GAAP financial measures reflect an additional way of viewing aspects of our business that, when viewed with our GAAP results, provides a more complete understanding of factors and trends affecting our business. Management provides non-GAAP financial information for informational purposes and to enhance understanding of our GAAP</w:t>
      </w:r>
    </w:p>
    <w:p>
      <w:pPr>
        <w:sectPr>
          <w:pgSz w:w="11900" w:h="16838" w:orient="portrait"/>
          <w:cols w:equalWidth="0" w:num="1">
            <w:col w:w="11400"/>
          </w:cols>
          <w:pgMar w:left="240" w:top="733" w:right="259" w:bottom="1440" w:gutter="0" w:footer="0" w:header="0"/>
        </w:sectPr>
      </w:pPr>
    </w:p>
    <w:bookmarkStart w:id="1" w:name="page2"/>
    <w:bookmarkEnd w:id="1"/>
    <w:p>
      <w:pPr>
        <w:jc w:val="both"/>
        <w:ind w:right="40"/>
        <w:spacing w:after="0" w:line="312" w:lineRule="auto"/>
        <w:rPr>
          <w:sz w:val="20"/>
          <w:szCs w:val="20"/>
          <w:color w:val="auto"/>
        </w:rPr>
      </w:pPr>
      <w:r>
        <w:rPr>
          <w:rFonts w:ascii="Arial" w:cs="Arial" w:eastAsia="Arial" w:hAnsi="Arial"/>
          <w:sz w:val="16"/>
          <w:szCs w:val="16"/>
          <w:color w:val="auto"/>
        </w:rPr>
        <w:t>consolidated financial statements. We use this non-GAAP financial information to evaluate and compare operating results across accounting periods.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first quarter 2017 earnings conference call (to be held on February 3, 2017)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1120" w:right="660" w:hanging="562"/>
        <w:spacing w:after="0" w:line="277" w:lineRule="auto"/>
        <w:tabs>
          <w:tab w:leader="none" w:pos="1100" w:val="left"/>
        </w:tabs>
        <w:rPr>
          <w:sz w:val="20"/>
          <w:szCs w:val="20"/>
          <w:color w:val="auto"/>
        </w:rPr>
      </w:pPr>
      <w:r>
        <w:rPr>
          <w:rFonts w:ascii="Arial" w:cs="Arial" w:eastAsia="Arial" w:hAnsi="Arial"/>
          <w:sz w:val="18"/>
          <w:szCs w:val="18"/>
          <w:color w:val="auto"/>
        </w:rPr>
        <w:t>99.1</w:t>
        <w:tab/>
        <w:t>Press Release, dated February 2, 2017, announcing EZCORP, Inc.’s results of operations and financial condition for the quarter ended December 31, 2016.</w:t>
      </w:r>
    </w:p>
    <w:p>
      <w:pPr>
        <w:sectPr>
          <w:pgSz w:w="11900" w:h="16838" w:orient="portrait"/>
          <w:cols w:equalWidth="0" w:num="1">
            <w:col w:w="11400"/>
          </w:cols>
          <w:pgMar w:left="240" w:top="746" w:right="2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February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McGuire</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Deputy Chief Financial Officer and Chief Accounting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4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Press Release, dated February 2, 2017, announcing EZCORP, Inc.’s results of operations and financial condition for the quarter ended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December 31,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Announces First Quarter Fiscal 2017 Results</w:t>
      </w:r>
    </w:p>
    <w:p>
      <w:pPr>
        <w:spacing w:after="0" w:line="24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up $5.1 million to $192.6 million (up $9.8 million to $197.4 million on a constant currency basis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Profit before tax more than doubled to $13.0 million ($13.9 million on a constant currency basis); four consecutive quarters of YOY profit growth.</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per share from continuing operations increased to $0.15 from $0.06.</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 amounts in this release are from EZCORP continuing operations and in conformity with U.S. generally accepted accounting principles ("GAAP") unless otherwise noted.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Comparisons shown in this release are to the same period in the prior year unless otherwise noted.</w:t>
      </w:r>
    </w:p>
    <w:p>
      <w:pPr>
        <w:spacing w:after="0" w:line="253"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 xml:space="preserve">Austin, Texas (February 2, 2017) — </w:t>
      </w:r>
      <w:r>
        <w:rPr>
          <w:rFonts w:ascii="Arial" w:cs="Arial" w:eastAsia="Arial" w:hAnsi="Arial"/>
          <w:sz w:val="18"/>
          <w:szCs w:val="18"/>
          <w:color w:val="auto"/>
        </w:rPr>
        <w:t>EZCORP, Inc. (NASDAQ: EZPW), a leading provider of pawn loans in the United States and Mexico,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results for its first quarter ended December 31, 2016.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FIRST QUARTER FISCAL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Improvements to earning assets generated revenue and profit growth:</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Positive PLO growth in U.S. and Mexico:</w:t>
      </w:r>
    </w:p>
    <w:p>
      <w:pPr>
        <w:spacing w:after="0" w:line="171"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Market leading growth in same store pawn loans outstanding (PLO) up 3% in U.S. and down 4% in Mexico (up 14% on a constant currency basis).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Leading the U.S. market with average PLO of $287,000 per store.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Delivering profitable growth:</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Growth in revenue and profit before tax, four consecutive quarters of YOY profit growth.</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Corporate expense savings of 30%; on track for $50 million in FY18.</w:t>
      </w:r>
    </w:p>
    <w:p>
      <w:pPr>
        <w:spacing w:after="0" w:line="171" w:lineRule="exact"/>
        <w:rPr>
          <w:rFonts w:ascii="Arial" w:cs="Arial" w:eastAsia="Arial" w:hAnsi="Arial"/>
          <w:sz w:val="18"/>
          <w:szCs w:val="18"/>
          <w:color w:val="auto"/>
        </w:rPr>
      </w:pPr>
    </w:p>
    <w:p>
      <w:pPr>
        <w:ind w:left="1300" w:right="140" w:hanging="320"/>
        <w:spacing w:after="0" w:line="286"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Significant investment in field leadership and customer-facing team members in U.S. Pawn, adding 224 store Team Members, nine field human resources managers, six District Managers and two Divisional Vice Presidents to improve customer experience, particularly during peak sales season; offset impacts of staff turnover; and better coach &amp; mentor store managers.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Strong liquidity position to support growth:</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$63.7 million cash balance at quarter-end plus $50 million undrawn on our credit facility.</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Collected $7.8 million in principal on notes receivable from the Grupo Finmart sale during the current quarter, and anticipate collection of an additional $37.4 million in principal during the remainder of fiscal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Stuart Grimshaw, EZCORP's Chief Executive Officer, said: "Our first quarter results reflect the continued intense focus on market leadership in meeting our customers' desire for cash whenever they want it, combined with consistent execution in pawn fundamentals. We delivered strong operating results in our pawn businesses in the U.S. and Mexico with continued growth in same store pawn loans outstanding (PLO), the most influential driver of revenue and profitability.</w:t>
      </w:r>
    </w:p>
    <w:p>
      <w:pPr>
        <w:spacing w:after="0" w:line="187"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"We continue to drive corporate expense savings as we move to a leaner business model and remain on track to reduce corporate expense to $50 million in FY18 from $68 million in FY16. We are reinvesting a portion of the savings into initiatives to better serve our customers, including product and customer data analytics and feedback; upgrading our technology; and training, coaching and mentoring programs for our field team. We have also made significant investments in field leadership and customer-facing Team Members. We plan to open about ten new stores in Mexico in FY17.</w:t>
      </w:r>
    </w:p>
    <w:p>
      <w:pPr>
        <w:spacing w:after="0" w:line="203" w:lineRule="exact"/>
        <w:rPr>
          <w:sz w:val="20"/>
          <w:szCs w:val="20"/>
          <w:color w:val="auto"/>
        </w:rPr>
      </w:pPr>
    </w:p>
    <w:p>
      <w:pPr>
        <w:ind w:right="100"/>
        <w:spacing w:after="0" w:line="234"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In addition to the financial information prepared in conformity with U.S. generally accepted accounting principles (“GAAP”), we provide certain financial information on a “constant currency” basis, which excludes the impact of foreign currency exchange rate fluctuations. For additional information about the constant currency calculations, as well as a reconciliation of the constant currency financial measures to the comparable GAAP financial measures, see “Non-GAAP Financial Information” at the end of this release.</w:t>
      </w:r>
    </w:p>
    <w:p>
      <w:pPr>
        <w:sectPr>
          <w:pgSz w:w="11900" w:h="16838" w:orient="portrait"/>
          <w:cols w:equalWidth="0" w:num="1">
            <w:col w:w="11400"/>
          </w:cols>
          <w:pgMar w:left="240" w:top="1440"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"We are confident that all these initiatives will continue to improve our pawn operating performance and provide a platform for profitable growth."</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75" w:lineRule="exact"/>
        <w:rPr>
          <w:sz w:val="20"/>
          <w:szCs w:val="20"/>
          <w:color w:val="auto"/>
        </w:rPr>
      </w:pPr>
    </w:p>
    <w:p>
      <w:pPr>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revenue up $5.1 million to $192.6 million, and income from continuing operations net of tax increased $4.8 million to $8.3 million. (On a constant currency basis, total revenue was up $9.8 million to $197.4 million and income from continuing operations net of tax was up $5.6 million to $9.1 million.) These results were driven by continued intense focus on market leadership in meeting our customers' desire for cash.</w:t>
      </w:r>
    </w:p>
    <w:p>
      <w:pPr>
        <w:spacing w:after="0" w:line="111" w:lineRule="exact"/>
        <w:rPr>
          <w:rFonts w:ascii="Arial" w:cs="Arial" w:eastAsia="Arial" w:hAnsi="Arial"/>
          <w:sz w:val="17"/>
          <w:szCs w:val="17"/>
          <w:color w:val="auto"/>
        </w:rPr>
      </w:pPr>
    </w:p>
    <w:p>
      <w:pPr>
        <w:ind w:left="660" w:right="5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operating expenses decreased $7.4 million, or 7% (5% on a constant currency basis). This included a corporate expense decrease of $6.1 million to $13.9 million, or 30% lower, driven by a leaner business model.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 Segment</w:t>
      </w:r>
    </w:p>
    <w:p>
      <w:pPr>
        <w:spacing w:after="0" w:line="17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color w:val="auto"/>
        </w:rPr>
        <w:t>Continued focus on meeting customers' desire for cash resulted in an increase in total PLO of 4% to $148.6 million, up 3% on a same store basis.</w:t>
      </w:r>
    </w:p>
    <w:p>
      <w:pPr>
        <w:spacing w:after="0" w:line="194" w:lineRule="exact"/>
        <w:rPr>
          <w:rFonts w:ascii="Arial" w:cs="Arial" w:eastAsia="Arial" w:hAnsi="Arial"/>
          <w:sz w:val="16"/>
          <w:szCs w:val="16"/>
          <w:b w:val="1"/>
          <w:bCs w:val="1"/>
          <w:i w:val="1"/>
          <w:iCs w:val="1"/>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Pawn Service Charges (PSC) increased 4% to $61.0 million, up 3% on a same store basis.</w:t>
      </w:r>
    </w:p>
    <w:p>
      <w:pPr>
        <w:spacing w:after="0" w:line="171"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Merchandise sales increased 3%, both in total and on a same store basis. The merchandise sales gross margin of 36% remained within our target range of 35-38%, although it was 400bps lower than the prior-year quarter.</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0A0A0A"/>
        </w:rPr>
        <w:t>Slight increase in aged inventory to 9% from 8% of total inventory at the end of the previous quarter, although improved to 9% from 11% at the end of the prior-year quarter.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Operations expense increased $3.8 million, or up 6%, primarily due to:</w:t>
      </w:r>
    </w:p>
    <w:p>
      <w:pPr>
        <w:spacing w:after="0" w:line="171" w:lineRule="exact"/>
        <w:rPr>
          <w:rFonts w:ascii="Arial" w:cs="Arial" w:eastAsia="Arial" w:hAnsi="Arial"/>
          <w:sz w:val="18"/>
          <w:szCs w:val="18"/>
          <w:color w:val="auto"/>
        </w:rPr>
      </w:pPr>
    </w:p>
    <w:p>
      <w:pPr>
        <w:ind w:left="1300" w:right="220" w:hanging="320"/>
        <w:spacing w:after="0" w:line="277" w:lineRule="auto"/>
        <w:tabs>
          <w:tab w:leader="none" w:pos="1300" w:val="left"/>
        </w:tabs>
        <w:numPr>
          <w:ilvl w:val="2"/>
          <w:numId w:val="7"/>
        </w:numPr>
        <w:rPr>
          <w:rFonts w:ascii="Arial" w:cs="Arial" w:eastAsia="Arial" w:hAnsi="Arial"/>
          <w:sz w:val="18"/>
          <w:szCs w:val="18"/>
          <w:color w:val="auto"/>
        </w:rPr>
      </w:pPr>
      <w:r>
        <w:rPr>
          <w:rFonts w:ascii="Arial" w:cs="Arial" w:eastAsia="Arial" w:hAnsi="Arial"/>
          <w:sz w:val="18"/>
          <w:szCs w:val="18"/>
          <w:color w:val="auto"/>
        </w:rPr>
        <w:t>224 customer-facing store Team Members, and field leadership positions including two Divisional Vice Presidents, six District Managers and nine field Human Resources Managers; and</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2"/>
          <w:numId w:val="7"/>
        </w:numPr>
        <w:rPr>
          <w:rFonts w:ascii="Arial" w:cs="Arial" w:eastAsia="Arial" w:hAnsi="Arial"/>
          <w:sz w:val="18"/>
          <w:szCs w:val="18"/>
          <w:color w:val="auto"/>
        </w:rPr>
      </w:pPr>
      <w:r>
        <w:rPr>
          <w:rFonts w:ascii="Arial" w:cs="Arial" w:eastAsia="Arial" w:hAnsi="Arial"/>
          <w:sz w:val="18"/>
          <w:szCs w:val="18"/>
          <w:color w:val="auto"/>
        </w:rPr>
        <w:t>Commenced store preventative maintenance program.</w:t>
      </w:r>
    </w:p>
    <w:p>
      <w:pPr>
        <w:spacing w:after="0" w:line="171" w:lineRule="exact"/>
        <w:rPr>
          <w:rFonts w:ascii="Arial" w:cs="Arial" w:eastAsia="Arial" w:hAnsi="Arial"/>
          <w:sz w:val="18"/>
          <w:szCs w:val="18"/>
          <w:color w:val="auto"/>
        </w:rPr>
      </w:pPr>
    </w:p>
    <w:p>
      <w:pPr>
        <w:ind w:left="740" w:hanging="327"/>
        <w:spacing w:after="0"/>
        <w:tabs>
          <w:tab w:leader="none" w:pos="740" w:val="left"/>
        </w:tabs>
        <w:numPr>
          <w:ilvl w:val="1"/>
          <w:numId w:val="7"/>
        </w:numPr>
        <w:rPr>
          <w:rFonts w:ascii="Arial" w:cs="Arial" w:eastAsia="Arial" w:hAnsi="Arial"/>
          <w:sz w:val="16"/>
          <w:szCs w:val="16"/>
          <w:color w:val="auto"/>
        </w:rPr>
      </w:pPr>
      <w:r>
        <w:rPr>
          <w:rFonts w:ascii="Arial" w:cs="Arial" w:eastAsia="Arial" w:hAnsi="Arial"/>
          <w:sz w:val="16"/>
          <w:szCs w:val="16"/>
          <w:color w:val="auto"/>
        </w:rPr>
        <w:t>Segment profit before tax decreased $1.7 million, or 6%, to $27.1 million as a result of increased investments in store operations (as shown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Pawn Segment</w:t>
      </w:r>
    </w:p>
    <w:p>
      <w:pPr>
        <w:spacing w:after="0" w:line="175"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PLO decreased 3% to $14.1 million, compared to an increase of 13% in the prior-year quarter (up 16% to $16.8 million on a constant currency basis. PSC remained flat at $8.0 million, but was up 18% to $9.4 million on a constant currency basis.</w:t>
      </w:r>
    </w:p>
    <w:p>
      <w:pPr>
        <w:spacing w:after="0" w:line="116" w:lineRule="exact"/>
        <w:rPr>
          <w:rFonts w:ascii="Arial" w:cs="Arial" w:eastAsia="Arial" w:hAnsi="Arial"/>
          <w:sz w:val="18"/>
          <w:szCs w:val="18"/>
          <w:b w:val="1"/>
          <w:bCs w:val="1"/>
          <w:i w:val="1"/>
          <w:iCs w:val="1"/>
          <w:color w:val="auto"/>
        </w:rPr>
      </w:pPr>
    </w:p>
    <w:p>
      <w:pPr>
        <w:ind w:left="660" w:right="1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Merchandise sales were flat, both in total and on a same store basis (up 19% in constant currency). Merchandise margin of 31%, 400bps lower than the prior-year quarter</w:t>
      </w:r>
      <w:r>
        <w:rPr>
          <w:rFonts w:ascii="Arial" w:cs="Arial" w:eastAsia="Arial" w:hAnsi="Arial"/>
          <w:sz w:val="18"/>
          <w:szCs w:val="18"/>
          <w:color w:val="FF0000"/>
        </w:rPr>
        <w: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profit before tax increased 194%, or $2.8 million, to $4.2 million (up 249%, or $3.6 million on a constant currency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Maintained aged inventory levels at 5% of gross inventory, although slight increase from 3% at the end of the </w:t>
      </w:r>
      <w:r>
        <w:rPr>
          <w:rFonts w:ascii="Arial" w:cs="Arial" w:eastAsia="Arial" w:hAnsi="Arial"/>
          <w:sz w:val="18"/>
          <w:szCs w:val="18"/>
          <w:color w:val="0A0A0A"/>
        </w:rPr>
        <w:t>previous quarter</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EZCORP will host a conference call on Friday, February 3, 2017, at 7:30am Central Time to discuss first quarter results. Analysts and institutional investors may participate on the conference call by dialing (877) 201-0168, Conference ID: 62600120, international dialing (647) 788-4901. The conference call will be webcast simultaneously to the public through this link: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0000FF"/>
        </w:rPr>
        <w:t xml:space="preserve"> </w:t>
      </w:r>
      <w:r>
        <w:rPr>
          <w:rFonts w:ascii="Arial" w:cs="Arial" w:eastAsia="Arial" w:hAnsi="Arial"/>
          <w:sz w:val="18"/>
          <w:szCs w:val="18"/>
          <w:color w:val="000000"/>
        </w:rPr>
        <w:t>shortly after the call.</w:t>
      </w:r>
    </w:p>
    <w:p>
      <w:pPr>
        <w:sectPr>
          <w:pgSz w:w="11900" w:h="16838" w:orient="portrait"/>
          <w:cols w:equalWidth="0" w:num="1">
            <w:col w:w="11400"/>
          </w:cols>
          <w:pgMar w:left="240" w:top="80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EZCORP is a leading provider of pawn loans in the United States and Mexico. At our pawn stores, we also sell merchandise, primarily collateral forfeited from pawn lending operations and used merchandise purchased from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p>
      <w:pPr>
        <w:sectPr>
          <w:pgSz w:w="11900" w:h="16838" w:orient="portrait"/>
          <w:cols w:equalWidth="0" w:num="1">
            <w:col w:w="11400"/>
          </w:cols>
          <w:pgMar w:left="240" w:top="85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Three Months Ended December 31,</w:t>
            </w:r>
          </w:p>
        </w:tc>
      </w:tr>
      <w:tr>
        <w:trPr>
          <w:trHeight w:val="264"/>
        </w:trPr>
        <w:tc>
          <w:tcPr>
            <w:tcW w:w="8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r>
      <w:tr>
        <w:trPr>
          <w:trHeight w:val="379"/>
        </w:trPr>
        <w:tc>
          <w:tcPr>
            <w:tcW w:w="8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97"/>
              </w:rPr>
              <w:t>(Unaudited)</w:t>
            </w:r>
          </w:p>
        </w:tc>
        <w:tc>
          <w:tcPr>
            <w:tcW w:w="1100" w:type="dxa"/>
            <w:vAlign w:val="bottom"/>
          </w:tcPr>
          <w:p>
            <w:pPr>
              <w:spacing w:after="0"/>
              <w:rPr>
                <w:sz w:val="24"/>
                <w:szCs w:val="24"/>
                <w:color w:val="auto"/>
              </w:rPr>
            </w:pPr>
          </w:p>
        </w:tc>
      </w:tr>
      <w:tr>
        <w:trPr>
          <w:trHeight w:val="209"/>
        </w:trPr>
        <w:tc>
          <w:tcPr>
            <w:tcW w:w="8120" w:type="dxa"/>
            <w:vAlign w:val="bottom"/>
          </w:tcPr>
          <w:p>
            <w:pPr>
              <w:spacing w:after="0"/>
              <w:rPr>
                <w:sz w:val="18"/>
                <w:szCs w:val="18"/>
                <w:color w:val="auto"/>
              </w:rPr>
            </w:pPr>
          </w:p>
        </w:tc>
        <w:tc>
          <w:tcPr>
            <w:tcW w:w="3300" w:type="dxa"/>
            <w:vAlign w:val="bottom"/>
            <w:gridSpan w:val="5"/>
          </w:tcPr>
          <w:p>
            <w:pPr>
              <w:jc w:val="center"/>
              <w:spacing w:after="0"/>
              <w:rPr>
                <w:sz w:val="20"/>
                <w:szCs w:val="20"/>
                <w:color w:val="auto"/>
              </w:rPr>
            </w:pPr>
            <w:r>
              <w:rPr>
                <w:rFonts w:ascii="Arial" w:cs="Arial" w:eastAsia="Arial" w:hAnsi="Arial"/>
                <w:sz w:val="14"/>
                <w:szCs w:val="14"/>
                <w:i w:val="1"/>
                <w:iCs w:val="1"/>
                <w:color w:val="auto"/>
                <w:w w:val="91"/>
              </w:rPr>
              <w:t>(in thousands, except per share amounts)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111,513</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108,584</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69,013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66,594</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2,758</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192,624</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187,557</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66,259</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8,344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8,076</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111,965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112,610</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77,646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76,018</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19,983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6,373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7,542</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loss on sale or disposal of assets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9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1,692</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97,869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105,268</w:t>
            </w: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color w:val="auto"/>
              </w:rPr>
              <w:t>Operating income</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14,096</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7,342</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of unconsolidated affiliate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13,048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4,782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1,758</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8,266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3,419</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(11,685)</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(8,266)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EZCORP, Inc.</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(7,474)</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8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Basic earnings per share attributable to EZCORP, Inc.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 xml:space="preserve">Diluted earnings per share attributable to EZCORP, Inc.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1"/>
                <w:szCs w:val="21"/>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0.06</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54,158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54,895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54,214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54,909</w:t>
            </w:r>
          </w:p>
        </w:tc>
      </w:tr>
      <w:tr>
        <w:trPr>
          <w:trHeight w:val="33"/>
        </w:trPr>
        <w:tc>
          <w:tcPr>
            <w:tcW w:w="8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99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100" w:type="dxa"/>
            <w:vAlign w:val="bottom"/>
          </w:tcPr>
          <w:p>
            <w:pPr>
              <w:jc w:val="right"/>
              <w:ind w:right="120"/>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385"/>
        </w:trPr>
        <w:tc>
          <w:tcPr>
            <w:tcW w:w="8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63,707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65,737</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Pawn loans</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162,696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167,329</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service charges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31,062</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Inventory, net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143,440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140,224</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41,946</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2,533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33,312</w:t>
            </w:r>
          </w:p>
        </w:tc>
      </w:tr>
      <w:tr>
        <w:trPr>
          <w:trHeight w:val="217"/>
        </w:trPr>
        <w:tc>
          <w:tcPr>
            <w:tcW w:w="880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473,232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482,143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37,128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54,881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58,455</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253,585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253,976</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31,708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30,681</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Non-current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39,365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41,119</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tax asset, net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34,667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35,303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 net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44,439</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964,500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983,244</w:t>
            </w:r>
          </w:p>
        </w:tc>
      </w:tr>
      <w:tr>
        <w:trPr>
          <w:trHeight w:val="217"/>
        </w:trPr>
        <w:tc>
          <w:tcPr>
            <w:tcW w:w="8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Liabilities and equity:</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Accounts payable, accrued expenses and other current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68,694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84,285</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Customer layaway deposits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10,693</w:t>
            </w:r>
          </w:p>
        </w:tc>
      </w:tr>
      <w:tr>
        <w:trPr>
          <w:trHeight w:val="217"/>
        </w:trPr>
        <w:tc>
          <w:tcPr>
            <w:tcW w:w="880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78,423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94,978</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278,936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283,611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long-term liabilities</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8,259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10,450</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365,618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389,039</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0"/>
        </w:trPr>
        <w:tc>
          <w:tcPr>
            <w:tcW w:w="8800" w:type="dxa"/>
            <w:vAlign w:val="bottom"/>
          </w:tcPr>
          <w:p>
            <w:pPr>
              <w:ind w:left="500"/>
              <w:spacing w:after="0"/>
              <w:rPr>
                <w:sz w:val="20"/>
                <w:szCs w:val="20"/>
                <w:color w:val="auto"/>
              </w:rPr>
            </w:pPr>
            <w:r>
              <w:rPr>
                <w:rFonts w:ascii="Arial" w:cs="Arial" w:eastAsia="Arial" w:hAnsi="Arial"/>
                <w:sz w:val="16"/>
                <w:szCs w:val="16"/>
                <w:color w:val="auto"/>
                <w:w w:val="95"/>
              </w:rPr>
              <w:t>Class A Non-voting Common Stock, par value $.01 per share; shares authorized: 100 million as of December 31, 2016 and</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8800" w:type="dxa"/>
            <w:vAlign w:val="bottom"/>
          </w:tcPr>
          <w:p>
            <w:pPr>
              <w:ind w:left="500"/>
              <w:spacing w:after="0"/>
              <w:rPr>
                <w:sz w:val="20"/>
                <w:szCs w:val="20"/>
                <w:color w:val="auto"/>
              </w:rPr>
            </w:pPr>
            <w:r>
              <w:rPr>
                <w:rFonts w:ascii="Arial" w:cs="Arial" w:eastAsia="Arial" w:hAnsi="Arial"/>
                <w:sz w:val="16"/>
                <w:szCs w:val="16"/>
                <w:color w:val="auto"/>
                <w:w w:val="92"/>
              </w:rPr>
              <w:t>September 30, 2016; issued and outstanding: 51,306,608 as of December 31, 2016 and 51,129,144 as of September 30, 2016</w:t>
            </w:r>
          </w:p>
        </w:tc>
        <w:tc>
          <w:tcPr>
            <w:tcW w:w="1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511</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880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5"/>
              </w:rPr>
              <w:t>Class B Voting Common Stock, convertible, par value $.01 per share; 3 million shares authorized; issued and outstanding:</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2,970,171</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319,825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318,723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326,973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319,808</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(47,577)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(44,089)</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EZCORP, Inc. stockholders’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599,764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594,983</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(778)</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598,882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594,205</w:t>
            </w:r>
          </w:p>
        </w:tc>
      </w:tr>
      <w:tr>
        <w:trPr>
          <w:trHeight w:val="244"/>
        </w:trPr>
        <w:tc>
          <w:tcPr>
            <w:tcW w:w="8800" w:type="dxa"/>
            <w:vAlign w:val="bottom"/>
          </w:tcPr>
          <w:p>
            <w:pPr>
              <w:ind w:left="4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964,500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983,244</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119"/>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379"/>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center"/>
              <w:ind w:left="620"/>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24"/>
                <w:szCs w:val="24"/>
                <w:color w:val="auto"/>
              </w:rPr>
            </w:pPr>
          </w:p>
        </w:tc>
      </w:tr>
      <w:tr>
        <w:trPr>
          <w:trHeight w:val="209"/>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center"/>
              <w:ind w:left="620"/>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8"/>
                <w:szCs w:val="18"/>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7,038</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(8,266)</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income (loss) to net 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6,373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8,090</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discount and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3,195</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Amortization of prepaid commissions</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4,023</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Accretion of notes receivable discount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Consumer loan loss provision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9,691</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(4,744)</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Other adjustments</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(1,966)</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loss on sale or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Stock compensation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833</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from investment in unconsolidated affiliate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(2,055)</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Service charges and fees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6,381</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(2,107)</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(5,592)</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Accounts payable and other, deferred gains and other long-term liabilities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(21,948)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(10,776)</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Customer layaway deposits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Income taxes receivable and payable, current, net of excess tax benefit from stock compensation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5,004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4,045</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(4,943)</w:t>
            </w: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(5,290)</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(4,468)</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Loans made</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(156,457)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(173,162)</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repaid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91,283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106,372</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64,430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58,566</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Principal collections on notes receivable</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7,831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4,761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Payout of deferred consideration</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(8,915)</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settlement of forward currency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3,557</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Change in restricted cash</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(1,261)</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borrowings, net of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14,302</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Payments on borrowings</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(29,358)</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(21,675)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(837)</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(36,343)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65,737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59,124</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63,707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22,781</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93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SEGMENT RESULTS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5"/>
              </w:rPr>
              <w:t>Three Months Ended 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94,861</w:t>
            </w:r>
          </w:p>
        </w:tc>
        <w:tc>
          <w:tcPr>
            <w:tcW w:w="1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16,652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111,513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111,513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9,798</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61,045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7,968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69,013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69,013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164,802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25,704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192,624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192,624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71,732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7,550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8,344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8,344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97,004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111,965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111,965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67,350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8,640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77,646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77,646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13,927</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3,298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27,113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4,215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32,636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13,048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SEGMENT RESULTS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December 31, 2015</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Mexico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Total Segments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jc w:val="center"/>
              <w:spacing w:after="0"/>
              <w:rPr>
                <w:sz w:val="20"/>
                <w:szCs w:val="20"/>
                <w:color w:val="auto"/>
              </w:rPr>
            </w:pPr>
            <w:r>
              <w:rPr>
                <w:rFonts w:ascii="Arial" w:cs="Arial" w:eastAsia="Arial" w:hAnsi="Arial"/>
                <w:sz w:val="14"/>
                <w:szCs w:val="14"/>
                <w:i w:val="1"/>
                <w:iCs w:val="1"/>
                <w:color w:val="auto"/>
                <w:w w:val="94"/>
              </w:rPr>
              <w:t>(in thousands)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91,994</w:t>
            </w: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16,586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108,584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108,584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9,621</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58,621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7,973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66,594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66,594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160,408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24,750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187,557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187,557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66,259</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8,076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96,887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112,610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112,610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and corporate expenses (income):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63,545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11,193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76,018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76,018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19,983</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Equity in net income of unconsolidated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affiliate</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32,529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40"/>
              <w:spacing w:after="0"/>
              <w:rPr>
                <w:sz w:val="20"/>
                <w:szCs w:val="20"/>
                <w:color w:val="auto"/>
              </w:rPr>
            </w:pPr>
            <w:r>
              <w:rPr>
                <w:rFonts w:ascii="Arial" w:cs="Arial" w:eastAsia="Arial" w:hAnsi="Arial"/>
                <w:sz w:val="18"/>
                <w:szCs w:val="18"/>
                <w:color w:val="auto"/>
              </w:rPr>
              <w:t>Income from continuing operations before</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32,529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center"/>
              <w:ind w:left="18"/>
              <w:spacing w:after="0"/>
              <w:rPr>
                <w:sz w:val="20"/>
                <w:szCs w:val="20"/>
                <w:color w:val="auto"/>
              </w:rPr>
            </w:pPr>
            <w:r>
              <w:rPr>
                <w:rFonts w:ascii="Arial" w:cs="Arial" w:eastAsia="Arial" w:hAnsi="Arial"/>
                <w:sz w:val="14"/>
                <w:szCs w:val="14"/>
                <w:b w:val="1"/>
                <w:bCs w:val="1"/>
                <w:color w:val="auto"/>
                <w:w w:val="93"/>
              </w:rPr>
              <w:t>Three Months Ended December 31, 2016</w:t>
            </w:r>
          </w:p>
        </w:tc>
        <w:tc>
          <w:tcPr>
            <w:tcW w:w="1240" w:type="dxa"/>
            <w:vAlign w:val="bottom"/>
            <w:tcBorders>
              <w:bottom w:val="single" w:sz="8" w:color="auto"/>
            </w:tcBorders>
          </w:tcPr>
          <w:p>
            <w:pPr>
              <w:spacing w:after="0"/>
              <w:rPr>
                <w:sz w:val="16"/>
                <w:szCs w:val="16"/>
                <w:color w:val="auto"/>
              </w:rPr>
            </w:pPr>
          </w:p>
        </w:tc>
      </w:tr>
      <w:tr>
        <w:trPr>
          <w:trHeight w:val="196"/>
        </w:trPr>
        <w:tc>
          <w:tcPr>
            <w:tcW w:w="60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center"/>
              <w:ind w:left="18"/>
              <w:spacing w:after="0"/>
              <w:rPr>
                <w:sz w:val="20"/>
                <w:szCs w:val="20"/>
                <w:color w:val="auto"/>
              </w:rPr>
            </w:pPr>
            <w:r>
              <w:rPr>
                <w:rFonts w:ascii="Arial" w:cs="Arial" w:eastAsia="Arial" w:hAnsi="Arial"/>
                <w:sz w:val="14"/>
                <w:szCs w:val="14"/>
                <w:b w:val="1"/>
                <w:bCs w:val="1"/>
                <w:color w:val="auto"/>
                <w:w w:val="91"/>
              </w:rPr>
              <w:t>Company-owned Stores</w:t>
            </w:r>
          </w:p>
        </w:tc>
        <w:tc>
          <w:tcPr>
            <w:tcW w:w="124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40" w:type="dxa"/>
            <w:vAlign w:val="bottom"/>
          </w:tcPr>
          <w:p>
            <w:pPr>
              <w:jc w:val="right"/>
              <w:ind w:right="134"/>
              <w:spacing w:after="0"/>
              <w:rPr>
                <w:sz w:val="20"/>
                <w:szCs w:val="20"/>
                <w:color w:val="auto"/>
              </w:rPr>
            </w:pPr>
            <w:r>
              <w:rPr>
                <w:rFonts w:ascii="Arial" w:cs="Arial" w:eastAsia="Arial" w:hAnsi="Arial"/>
                <w:sz w:val="14"/>
                <w:szCs w:val="14"/>
                <w:b w:val="1"/>
                <w:bCs w:val="1"/>
                <w:color w:val="auto"/>
              </w:rPr>
              <w:t>Consolidated</w:t>
            </w:r>
          </w:p>
        </w:tc>
      </w:tr>
      <w:tr>
        <w:trPr>
          <w:trHeight w:val="121"/>
        </w:trPr>
        <w:tc>
          <w:tcPr>
            <w:tcW w:w="60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2016</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As of December 31, 2016</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783</w:t>
            </w:r>
          </w:p>
        </w:tc>
      </w:tr>
      <w:tr>
        <w:trPr>
          <w:trHeight w:val="27"/>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rPr>
              <w:t>Three Months Ended December 31, 2015</w:t>
            </w:r>
          </w:p>
        </w:tc>
        <w:tc>
          <w:tcPr>
            <w:tcW w:w="10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49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Mexico Pawn</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49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2015</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As of December 31, 2015</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and ongoing segment contribution results to evaluate results of our Mexico Pawn operations, which are denominated in Mexican pesos and believe that presentation of constant currency results are meaningful and useful in understanding the activities and business metrics of our Mexico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exchange rate as of December 31, 2016 and 2015 was 20.7 to 1</w:t>
      </w:r>
    </w:p>
    <w:p>
      <w:pPr>
        <w:spacing w:after="0" w:line="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and 17.3 to 1, respectively. The approximate average exchange rate for the three months ended December 31, 2016 and 2015 was 19.8 to 1 and 16.8 to 1, respectively, however our statement of operations constant currency results reflect the impact of monthly effects of exchange rates and so are not directly calculable from the above rates. Constant currency results, where presented, also exclude the foreign currency gain or loss and the related foreign currency derivative gain or loss impact.</w:t>
      </w:r>
    </w:p>
    <w:p>
      <w:pPr>
        <w:spacing w:after="0" w:line="13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following information provides reconciliations of certain non-GAAP financial measures presented in this press release to the most directly comparable financial measures calculated and presented in accordance with GAAP as of and for the three months ended December 31, 2016.</w:t>
      </w:r>
    </w:p>
    <w:p>
      <w:pPr>
        <w:sectPr>
          <w:pgSz w:w="11900" w:h="16838" w:orient="portrait"/>
          <w:cols w:equalWidth="0" w:num="1">
            <w:col w:w="11420"/>
          </w:cols>
          <w:pgMar w:left="240" w:top="58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U.S. Dollar Amount</w:t>
            </w:r>
          </w:p>
        </w:tc>
        <w:tc>
          <w:tcPr>
            <w:tcW w:w="100" w:type="dxa"/>
            <w:vAlign w:val="bottom"/>
            <w:vMerge w:val="restart"/>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6"/>
              </w:rPr>
              <w:t>Percentage Change</w:t>
            </w:r>
          </w:p>
        </w:tc>
        <w:tc>
          <w:tcPr>
            <w:tcW w:w="0" w:type="dxa"/>
            <w:vAlign w:val="bottom"/>
          </w:tcPr>
          <w:p>
            <w:pPr>
              <w:spacing w:after="0"/>
              <w:rPr>
                <w:sz w:val="1"/>
                <w:szCs w:val="1"/>
                <w:color w:val="auto"/>
              </w:rPr>
            </w:pPr>
          </w:p>
        </w:tc>
      </w:tr>
      <w:tr>
        <w:trPr>
          <w:trHeight w:val="192"/>
        </w:trPr>
        <w:tc>
          <w:tcPr>
            <w:tcW w:w="862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85"/>
        </w:trPr>
        <w:tc>
          <w:tcPr>
            <w:tcW w:w="8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8"/>
              </w:rPr>
              <w:t>(in millions)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197.4</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84"/>
        </w:trPr>
        <w:tc>
          <w:tcPr>
            <w:tcW w:w="8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income from continuing operations before income taxes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income from continuing operations before income taxes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284"/>
        </w:trPr>
        <w:tc>
          <w:tcPr>
            <w:tcW w:w="8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same store loans outstanding</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same store loans outstanding</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84"/>
        </w:trPr>
        <w:tc>
          <w:tcPr>
            <w:tcW w:w="8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income from continuing operations, net of tax</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142 %</w:t>
            </w: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income from continuing operations, net of tax</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0" w:type="dxa"/>
            <w:vAlign w:val="bottom"/>
          </w:tcPr>
          <w:p>
            <w:pPr>
              <w:spacing w:after="0"/>
              <w:rPr>
                <w:sz w:val="1"/>
                <w:szCs w:val="1"/>
                <w:color w:val="auto"/>
              </w:rPr>
            </w:pPr>
          </w:p>
        </w:tc>
      </w:tr>
      <w:tr>
        <w:trPr>
          <w:trHeight w:val="284"/>
        </w:trPr>
        <w:tc>
          <w:tcPr>
            <w:tcW w:w="8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operating expenses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operating expenses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loans outstanding</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loans outstanding</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84"/>
        </w:trPr>
        <w:tc>
          <w:tcPr>
            <w:tcW w:w="8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service charges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service charges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84"/>
        </w:trPr>
        <w:tc>
          <w:tcPr>
            <w:tcW w:w="8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merchandise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merchandise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84"/>
        </w:trPr>
        <w:tc>
          <w:tcPr>
            <w:tcW w:w="8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same store merchandise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same store merchandise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84"/>
        </w:trPr>
        <w:tc>
          <w:tcPr>
            <w:tcW w:w="8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segment profit before tax</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segment profit before tax</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249 %</w:t>
            </w:r>
          </w:p>
        </w:tc>
        <w:tc>
          <w:tcPr>
            <w:tcW w:w="0" w:type="dxa"/>
            <w:vAlign w:val="bottom"/>
          </w:tcPr>
          <w:p>
            <w:pPr>
              <w:spacing w:after="0"/>
              <w:rPr>
                <w:sz w:val="1"/>
                <w:szCs w:val="1"/>
                <w:color w:val="auto"/>
              </w:rPr>
            </w:pPr>
          </w:p>
        </w:tc>
      </w:tr>
      <w:tr>
        <w:trPr>
          <w:trHeight w:val="33"/>
        </w:trPr>
        <w:tc>
          <w:tcPr>
            <w:tcW w:w="8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2020-01-16T04:00:44Z</dcterms:created>
  <dcterms:modified xsi:type="dcterms:W3CDTF">2020-01-16T04:00:44Z</dcterms:modified>
</cp:coreProperties>
</file>