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5965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9658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Swies Nicole</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2500 BEE CAVE RD, BLDG. 1,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11/16/2022</w:t>
      </w:r>
    </w:p>
    <w:p>
      <w:pPr>
        <w:spacing w:after="0" w:line="20" w:lineRule="exact"/>
        <w:rPr>
          <w:sz w:val="24"/>
          <w:szCs w:val="24"/>
          <w:color w:val="auto"/>
        </w:rPr>
      </w:pPr>
      <w:r>
        <w:rPr>
          <w:sz w:val="24"/>
          <w:szCs w:val="24"/>
          <w:color w:val="auto"/>
        </w:rPr>
        <w:br w:type="column"/>
      </w: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204"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24"/>
        <w:spacing w:after="0"/>
        <w:rPr>
          <w:sz w:val="20"/>
          <w:szCs w:val="20"/>
          <w:color w:val="auto"/>
        </w:rPr>
      </w:pPr>
      <w:r>
        <w:rPr>
          <w:rFonts w:ascii="Times New Roman" w:cs="Times New Roman" w:eastAsia="Times New Roman" w:hAnsi="Times New Roman"/>
          <w:sz w:val="17"/>
          <w:szCs w:val="17"/>
          <w:color w:val="0000FF"/>
        </w:rPr>
        <w:t>Chief Revenue Officer</w:t>
      </w:r>
    </w:p>
    <w:p>
      <w:pPr>
        <w:spacing w:after="0" w:line="302"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6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78746</w:t>
            </w:r>
          </w:p>
        </w:tc>
      </w:tr>
      <w:tr>
        <w:trPr>
          <w:trHeight w:val="147"/>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6" w:lineRule="auto"/>
        <w:tabs>
          <w:tab w:leader="none" w:pos="43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2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39"/>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11/16/2022</w:t>
            </w: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19,349</w:t>
            </w:r>
            <w:r>
              <w:rPr>
                <w:rFonts w:ascii="Times New Roman" w:cs="Times New Roman" w:eastAsia="Times New Roman" w:hAnsi="Times New Roman"/>
                <w:sz w:val="21"/>
                <w:szCs w:val="21"/>
                <w:color w:val="008000"/>
                <w:vertAlign w:val="superscript"/>
              </w:rPr>
              <w:t>(1)</w:t>
            </w:r>
          </w:p>
        </w:tc>
        <w:tc>
          <w:tcPr>
            <w:tcW w:w="5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9.85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42,418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11/16/2022</w:t>
            </w: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4,711</w:t>
            </w:r>
            <w:r>
              <w:rPr>
                <w:rFonts w:ascii="Times New Roman" w:cs="Times New Roman" w:eastAsia="Times New Roman" w:hAnsi="Times New Roman"/>
                <w:sz w:val="21"/>
                <w:szCs w:val="21"/>
                <w:color w:val="008000"/>
                <w:vertAlign w:val="superscript"/>
              </w:rPr>
              <w:t>(2)</w:t>
            </w: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9.85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37,707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59"/>
              <w:spacing w:after="0"/>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19,349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11/16/2022</w:t>
            </w:r>
          </w:p>
        </w:tc>
        <w:tc>
          <w:tcPr>
            <w:tcW w:w="1100" w:type="dxa"/>
            <w:vAlign w:val="bottom"/>
          </w:tcPr>
          <w:p>
            <w:pPr>
              <w:spacing w:after="0"/>
              <w:rPr>
                <w:sz w:val="12"/>
                <w:szCs w:val="12"/>
                <w:color w:val="auto"/>
              </w:rPr>
            </w:pPr>
          </w:p>
        </w:tc>
        <w:tc>
          <w:tcPr>
            <w:tcW w:w="7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5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19,349</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157,718</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(5)</w:t>
            </w: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9,808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11/16/2022</w:t>
            </w:r>
          </w:p>
        </w:tc>
        <w:tc>
          <w:tcPr>
            <w:tcW w:w="110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9,808</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167,526</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(6)</w:t>
            </w: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7,490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11/16/2022</w:t>
            </w:r>
          </w:p>
        </w:tc>
        <w:tc>
          <w:tcPr>
            <w:tcW w:w="110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7,490</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175,016</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-3059430</wp:posOffset>
            </wp:positionV>
            <wp:extent cx="29210" cy="3064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645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tax liability associated with the vesting of restricted stock units.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vested on November 16, 2022 after specified performance goals were attained.</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2021 Restricted Stock Unit award. These units were earned with achievement of the specified performance goal for fiscal 2022 and vest on September 30, 2023, subject to continued employment.</w:t>
      </w:r>
    </w:p>
    <w:p>
      <w:pPr>
        <w:spacing w:after="0" w:line="19"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2022 Restricted Stock Unit award. These units were earned with achievement of the specified performance goal for fiscal 2022 and vest on September 30, 2024, subject to continued employment.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Carrie Putnam, attorney-in-fact  11/17/2022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1870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0075" cy="8255"/>
                    </a:xfrm>
                    <a:prstGeom prst="rect">
                      <a:avLst/>
                    </a:prstGeom>
                    <a:noFill/>
                  </pic:spPr>
                </pic:pic>
              </a:graphicData>
            </a:graphic>
          </wp:anchor>
        </w:drawing>
      </w:r>
    </w:p>
    <w:p>
      <w:pPr>
        <w:spacing w:after="0" w:line="4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24292"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2022-11-17T12:31:05Z</dcterms:created>
  <dcterms:modified xsi:type="dcterms:W3CDTF">2022-11-17T12:31:05Z</dcterms:modified>
</cp:coreProperties>
</file>