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3, 2017 (May 3, 2017)</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On May 3, 2017, EZCORP, Inc. issued a press release announcing its results of operations and financial condition for the quarter ended March 31, 2017. A copy of that press release is attached as Exhibit 99.1.</w:t>
      </w:r>
    </w:p>
    <w:p>
      <w:pPr>
        <w:spacing w:after="0" w:line="116"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In addition to the financial information prepared in conformity with generally accepted accounting principles in the United States of America ("GAAP"), we provide certain other non-GAAP financial information such as constant currency results ("constant currency"). Management believes that presentation of non-GAAP financial information is meaningful and useful in understanding the activities and business metrics of our Mexico Pawn operations, which are denominated in Mexican pesos. Management believes that these non-GAAP financial measures reflect an additional way of viewing aspects of our business that, when viewed with our GAAP results, provides a more complete understanding of factors and trends affecting our business. Management provides non-GAAP financial information for informational purposes and to enhance understanding of our GAAP</w:t>
      </w:r>
    </w:p>
    <w:p>
      <w:pPr>
        <w:sectPr>
          <w:pgSz w:w="11900" w:h="16838" w:orient="portrait"/>
          <w:cols w:equalWidth="0" w:num="1">
            <w:col w:w="11400"/>
          </w:cols>
          <w:pgMar w:left="240" w:top="733" w:right="259" w:bottom="1440" w:gutter="0" w:footer="0" w:header="0"/>
        </w:sectPr>
      </w:pPr>
    </w:p>
    <w:bookmarkStart w:id="1" w:name="page2"/>
    <w:bookmarkEnd w:id="1"/>
    <w:p>
      <w:pPr>
        <w:jc w:val="both"/>
        <w:spacing w:after="0" w:line="312" w:lineRule="auto"/>
        <w:rPr>
          <w:sz w:val="20"/>
          <w:szCs w:val="20"/>
          <w:color w:val="auto"/>
        </w:rPr>
      </w:pPr>
      <w:r>
        <w:rPr>
          <w:rFonts w:ascii="Arial" w:cs="Arial" w:eastAsia="Arial" w:hAnsi="Arial"/>
          <w:sz w:val="16"/>
          <w:szCs w:val="16"/>
          <w:color w:val="auto"/>
        </w:rPr>
        <w:t>consolidated financial statements. We use this non-GAAP financial information to evaluate and compare operating results across accounting periods.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second quarter 2017 earnings conference call (to be held on May 4, 2017) has been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May 3, 2017, announcing EZCORP, Inc.’s results of operations and financial condition for the quarter ended March</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31, 2017.</w:t>
      </w:r>
    </w:p>
    <w:p>
      <w:pPr>
        <w:sectPr>
          <w:pgSz w:w="11900" w:h="16838" w:orient="portrait"/>
          <w:cols w:equalWidth="0" w:num="1">
            <w:col w:w="11360"/>
          </w:cols>
          <w:pgMar w:left="240" w:top="746" w:right="29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May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McGuire</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4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0"/>
              </w:rPr>
              <w:t>Press Release, dated May 3, 2017, announcing EZCORP, Inc.’s results of operations and financial condition for the quarter ended March</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31, 2017.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Announces Second Quarter Fiscal 2017 Results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Earnings per share from continuing operations up 200% year-over-year to $0.15</w:t>
      </w:r>
    </w:p>
    <w:p>
      <w:pPr>
        <w:spacing w:after="0" w:line="26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Austin, Texas (May 3, 2017) — </w:t>
      </w:r>
      <w:r>
        <w:rPr>
          <w:rFonts w:ascii="Arial" w:cs="Arial" w:eastAsia="Arial" w:hAnsi="Arial"/>
          <w:sz w:val="18"/>
          <w:szCs w:val="18"/>
          <w:color w:val="auto"/>
        </w:rPr>
        <w:t>EZCORP, Inc. (NASDAQ: EZPW), a leading provider of pawn loans in the United States and Mexico,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its second quarter ended March 31, 2017.</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 amounts in this release are from EZCORP continuing operations and in conformity with U.S. generally accepted accounting principles ("GAAP") unless otherwise noted.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Comparisons shown in this release are to the same period in the prior year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SECOND QUARTER FISCAL 2017</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achieved its fifth consecutive quarter of year-over-year (YOY) earnings and profit increase with earnings per share up 200% to $0.15 and net income from continuing operations up 219% to $8.4 million.</w:t>
      </w:r>
    </w:p>
    <w:p>
      <w:pPr>
        <w:spacing w:after="0" w:line="11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The company continued to grow its pawn loans outstanding (PLO), the most influential driver to revenue and profitability, with PLO up 2% in the U.S. and 3% in Mexico. The PLO increase in Mexico was a strong 12% when calculated on a constant currency basis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3"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 exited the quarter with a much stronger balance sheet and liquidity position, with a cash balance at the end of the quarter up 68% YOY to $120.1 million. In addition, the company continues to have access to a further $50 million undrawn availability on its credit facility.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Stuart Grimshaw, EZCORP's Chief Executive Officer, said: "It is pleasing to see the continuing trend of strong profit growth after the strategic changes that were implemented over a year ago. We have devoted a lot of management attention and effort in focusing on the needs and experience of our customers. Our continued focus on and investment in satisfying our customers' need for cash whenever they want it drove the acceleration in earnings and sustained growth in pawn loans outstanding.</w:t>
      </w:r>
    </w:p>
    <w:p>
      <w:pPr>
        <w:spacing w:after="0" w:line="13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have improved our balance sheet and liquidity position, which provides strategic flexibility to continue our investment in the customer experience and expansion of the pawn loan portfolio to drive increased profit. We continue to invest in the core fabric of the pawn business, including commencement of our upgraded point of sale system rollout, which we expect to be completed in both the U.S. and Mexico this calendar year. We opened two new stores in Mexico this quarter and anticipate opening an additional eight in Mexico during the remainder of this fiscal year.</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are confident that these initiatives, combined with further investments in product development and customer analytics, in sustained training, coaching and mentoring of our field team, and in disciplined acquisitions and de novo openings, will continue to provide a robust platform for further profitable growth."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Same store pawn loans outstanding (PLO): up 2% in U.S. and up 3% in Mexico (up 12% in Mexico on a constant currency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up 1% to $189.6 million. On a constant currency basis, total revenue was up 2% to $192.6 million.</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revenue up 1% to $109.9 million, as a 5% increase in pawn service charge (PSC) revenue was offset by softer merchandise sales due to tax refund delays in the U.S, which adversely impacted consumers’ disposable income and our sales volume.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merchandise sales gross margin was 200bps lower at 36%, within our target range of 35-38%.</w:t>
      </w:r>
    </w:p>
    <w:p>
      <w:pPr>
        <w:spacing w:after="0" w:line="257" w:lineRule="exact"/>
        <w:rPr>
          <w:sz w:val="20"/>
          <w:szCs w:val="20"/>
          <w:color w:val="auto"/>
        </w:rPr>
      </w:pPr>
    </w:p>
    <w:p>
      <w:pPr>
        <w:ind w:right="120"/>
        <w:spacing w:after="0" w:line="234"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 addition to the financial information prepared in conformity with U.S. generally accepted accounting principles (“GAAP”), we provide certain financial information on a “constant currency” basis, which excludes the impact of foreign currency exchange rate fluctuations. For additional information about the constant currency calculations, as well as a reconciliation of the constant currency financial measures to the comparable GAAP financial measures, see “Non-GAAP Financial Information” at the end of this release.</w:t>
      </w:r>
    </w:p>
    <w:p>
      <w:pPr>
        <w:sectPr>
          <w:pgSz w:w="11900" w:h="16838" w:orient="portrait"/>
          <w:cols w:equalWidth="0" w:num="1">
            <w:col w:w="11420"/>
          </w:cols>
          <w:pgMar w:left="240" w:top="1440" w:right="239" w:bottom="1440" w:gutter="0" w:footer="0" w:header="0"/>
        </w:sectPr>
      </w:pPr>
    </w:p>
    <w:bookmarkStart w:id="5" w:name="page6"/>
    <w:bookmarkEnd w:id="5"/>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expenses increased 3% to $74.5 million (up 5% to $75.6 million on a constant currency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Corporate expenses decreased 15% to $13.3 million. The company remains on track to reduce corporate expenses to $50 million in FY18.</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Fifth consecutive quarter of YOY earnings per share increase, with earnings per share from continuing operations up 200% to $0.15.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March 31, 2017</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up 2% to $382.3 million. On a constant currency basis, total revenue was up 4% to $390.0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was consistent at $221.9 million, as a 4% increase in PSC revenue was offset by lower merchandise margin.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merchandise sales gross margin was 200bps lower at 36%, within our target range of 35-38%.</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Operations expenses increased 3% to $152.1 million (up 4% to $154.9 million on a constant currency basis). The company expects operations expenses in the second half of FY17 to be similar to the second half of FY16.</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expenses decreased 24% to $27.2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from continuing operations up 182% to $0.31.</w:t>
      </w:r>
    </w:p>
    <w:p>
      <w:pPr>
        <w:spacing w:after="0" w:line="171" w:lineRule="exact"/>
        <w:rPr>
          <w:rFonts w:ascii="Arial" w:cs="Arial" w:eastAsia="Arial" w:hAnsi="Arial"/>
          <w:sz w:val="18"/>
          <w:szCs w:val="18"/>
          <w:color w:val="auto"/>
        </w:rPr>
      </w:pPr>
    </w:p>
    <w:p>
      <w:pPr>
        <w:ind w:left="660" w:right="10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continues to receive regular payments on the promissory notes it received in connection with the sale of Grupo Finmart in September 2016. It has collected $15.1 million in principal on those notes during the first half of this fiscal year, and expects to collect an additional $30.8 million in the second half (for a total of $45.9 million in FY17), $26.1 million in FY18 and $18.2 million in FY19. Since the end of the second quarter, the company has received $5.2 million, which is part of the $30.8 million to be collected in the second half of this fiscal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color w:val="auto"/>
        </w:rPr>
        <w:t>Six consecutive quarters of YOY positive same store PLO increase, with this quarter up 2%. Total PLO was up 2% to $125.4 million.</w:t>
      </w:r>
    </w:p>
    <w:p>
      <w:pPr>
        <w:spacing w:after="0" w:line="17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Pawn service charges (PSC) increased 5% to $59.7 million, up 5% on a same store basis.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Merchandise sales increased 1% in total and on a same store basis. The delay in tax refunds adversely impacted sales volume. The merchandise sales gross margin of 37% is within our target range of 35-38%.</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0A0A0A"/>
        </w:rPr>
        <w:t>Slight increase in aged i</w:t>
      </w:r>
      <w:r>
        <w:rPr>
          <w:rFonts w:ascii="Arial" w:cs="Arial" w:eastAsia="Arial" w:hAnsi="Arial"/>
          <w:sz w:val="18"/>
          <w:szCs w:val="18"/>
          <w:color w:val="000000"/>
        </w:rPr>
        <w:t>nventory to 12% from 10% of</w:t>
      </w:r>
      <w:r>
        <w:rPr>
          <w:rFonts w:ascii="Arial" w:cs="Arial" w:eastAsia="Arial" w:hAnsi="Arial"/>
          <w:sz w:val="18"/>
          <w:szCs w:val="18"/>
          <w:color w:val="0A0A0A"/>
        </w:rPr>
        <w:t xml:space="preserve"> total inventory from this time last year due to the previously mentioned delay in consumers’ tax refunds, which adversely impacted sales volume.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Operations expenses increased 4% to $63.6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profit was $29.7 million, similar to last year.</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Initiatives are underway to improve net revenue and profitability in the long-term, including investments in upgrading our point of sale system and enhancing product and customer data analytics.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March 31, 2017</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PSC increased 5% to $120.7 million, up 4% on a same store basis.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sales increased 2% in total and 2% on a same store basis. The merchandise sales gross margin of 37% is within our target range of 35-38%.</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Operations expenses increased 5% to $130.9 million. The company expects operations expenses in the second half of FY17 to be similar to the second half of FY16.</w:t>
      </w:r>
    </w:p>
    <w:p>
      <w:pPr>
        <w:sectPr>
          <w:pgSz w:w="11900" w:h="16838" w:orient="portrait"/>
          <w:cols w:equalWidth="0" w:num="1">
            <w:col w:w="11380"/>
          </w:cols>
          <w:pgMar w:left="240" w:top="746" w:right="279" w:bottom="1440" w:gutter="0" w:footer="0" w:header="0"/>
        </w:sectPr>
      </w:pPr>
    </w:p>
    <w:bookmarkStart w:id="6" w:name="page7"/>
    <w:bookmarkEnd w:id="6"/>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profit was 3% lower to $56.8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Pawn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color w:val="auto"/>
        </w:rPr>
        <w:t>PLO increased 3% to $17.8 million (up 12% to $19.4 million on a constant currency basis).</w:t>
      </w:r>
    </w:p>
    <w:p>
      <w:pPr>
        <w:spacing w:after="0" w:line="17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PSC decreased 1% to $7.4 million, up 11% to $8.4 million on a constant currency basis.</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Merchandise sales increased 1% in total and were flat on a same store basis (up 14% in total and 13% in same stores on a constant currency basis). Merchandise margin was 32%, 100bps higher than the prior-year quarter.</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Looting of twelve stores in January impacted not only through increased expenses, but by reducing revenue through stolen pawn loan collateral and inventory affecting PSC and sales.</w:t>
      </w:r>
    </w:p>
    <w:p>
      <w:pPr>
        <w:spacing w:after="0" w:line="116"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revenue was up 3% and operations expenses were 1% lower, yielding a 56% increase in segment profit (segment profit up 71% to $3.5 million on a constant currency basis). These results included $0.6 million in incremental expenses attributable to looting of twelve stores during January.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March 31, 2017</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PSC decreased 1% to $15.4 million (up 15% to $17.8 million on a constant currency basis).</w:t>
      </w:r>
    </w:p>
    <w:p>
      <w:pPr>
        <w:spacing w:after="0" w:line="171" w:lineRule="exact"/>
        <w:rPr>
          <w:rFonts w:ascii="Arial" w:cs="Arial" w:eastAsia="Arial" w:hAnsi="Arial"/>
          <w:sz w:val="18"/>
          <w:szCs w:val="18"/>
          <w:b w:val="1"/>
          <w:bCs w:val="1"/>
          <w:i w:val="1"/>
          <w:iCs w:val="1"/>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Merchandise sales were flat in total and on a same store basis (up 17% in total and 16% in same stores on a constant currency basis). Merchandise margin was 31%, 200bps lower than the prior-year six-months.</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revenue was 1% lower and operations expenses were 13% lower, yielding a 112% increase in segment profit to $7.5 million (up 144% to $8.6 million on a constant currency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EZCORP will host a conference call on Thursday, May 4, 2017, at 7:30am Central Time to discuss second quarter results. Analysts and institutional investors may participate on the conference call by dialing (877) 201-0168, Conference ID: 15658600, international dialing (647) 788-4901. The conference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0000FF"/>
        </w:rPr>
        <w:t xml:space="preserve"> </w:t>
      </w:r>
      <w:r>
        <w:rPr>
          <w:rFonts w:ascii="Arial" w:cs="Arial" w:eastAsia="Arial" w:hAnsi="Arial"/>
          <w:sz w:val="18"/>
          <w:szCs w:val="18"/>
          <w:color w:val="000000"/>
        </w:rPr>
        <w:t>shortly after the call.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EZCORP is a leading provider of pawn loans in the United States and Mexico. At our pawn stores, we also sell merchandise, primarily collateral forfeited from pawn lending operations and used merchandise purchased from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p>
      <w:pPr>
        <w:sectPr>
          <w:pgSz w:w="11900" w:h="16838" w:orient="portrait"/>
          <w:cols w:equalWidth="0" w:num="1">
            <w:col w:w="11400"/>
          </w:cols>
          <w:pgMar w:left="240" w:top="746"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24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w w:val="96"/>
              </w:rPr>
              <w:t>Six Months Ended March 31,</w:t>
            </w:r>
          </w:p>
        </w:tc>
      </w:tr>
      <w:tr>
        <w:trPr>
          <w:trHeight w:val="264"/>
        </w:trPr>
        <w:tc>
          <w:tcPr>
            <w:tcW w:w="60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379"/>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10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110,238</w:t>
            </w:r>
          </w:p>
        </w:tc>
        <w:tc>
          <w:tcPr>
            <w:tcW w:w="1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109,343</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221,751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217,927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22,401</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67,092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64,130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136,105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130,724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4,717</w:t>
            </w: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189,628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188,212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382,252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375,769</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134,591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8,841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17,185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19,161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w:t>
            </w: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109,897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108,364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221,862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220,974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74,460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72,256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152,106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148,274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35,604</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12,403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14,148</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(gain)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1,910</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191,713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200,618</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16,053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13,014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30,149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20,356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of unconsolidated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expense (income)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315</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15,911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5,449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10,185</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(78,250)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(89,935)</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(84,209)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(5,923)</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EZCORP,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(78,286)</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0.11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54,291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54,843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54,224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54,869</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54,943</w:t>
            </w:r>
          </w:p>
        </w:tc>
      </w:tr>
      <w:tr>
        <w:trPr>
          <w:trHeight w:val="270"/>
        </w:trPr>
        <w:tc>
          <w:tcPr>
            <w:tcW w:w="6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from continuing operations attributable to EZCORP, Inc.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 loss from discontinued operations attributable to EZCORP, Inc.</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(73,442)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(84,335)</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 attributable to EZCORP,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(78,286)</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99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March 31,</w:t>
            </w:r>
          </w:p>
        </w:tc>
        <w:tc>
          <w:tcPr>
            <w:tcW w:w="140" w:type="dxa"/>
            <w:vAlign w:val="bottom"/>
          </w:tcPr>
          <w:p>
            <w:pPr>
              <w:spacing w:after="0"/>
              <w:rPr>
                <w:sz w:val="13"/>
                <w:szCs w:val="13"/>
                <w:color w:val="auto"/>
              </w:rPr>
            </w:pPr>
          </w:p>
        </w:tc>
        <w:tc>
          <w:tcPr>
            <w:tcW w:w="980" w:type="dxa"/>
            <w:vAlign w:val="bottom"/>
          </w:tcPr>
          <w:p>
            <w:pPr>
              <w:jc w:val="right"/>
              <w:ind w:right="120"/>
              <w:spacing w:after="0"/>
              <w:rPr>
                <w:sz w:val="20"/>
                <w:szCs w:val="20"/>
                <w:color w:val="auto"/>
              </w:rPr>
            </w:pPr>
            <w:r>
              <w:rPr>
                <w:rFonts w:ascii="Arial" w:cs="Arial" w:eastAsia="Arial" w:hAnsi="Arial"/>
                <w:sz w:val="13"/>
                <w:szCs w:val="13"/>
                <w:b w:val="1"/>
                <w:bCs w:val="1"/>
                <w:color w:val="auto"/>
                <w:w w:val="85"/>
              </w:rPr>
              <w:t>September 30,</w:t>
            </w:r>
          </w:p>
        </w:tc>
      </w:tr>
      <w:tr>
        <w:trPr>
          <w:trHeight w:val="174"/>
        </w:trPr>
        <w:tc>
          <w:tcPr>
            <w:tcW w:w="9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2016</w:t>
            </w:r>
          </w:p>
        </w:tc>
      </w:tr>
      <w:tr>
        <w:trPr>
          <w:trHeight w:val="384"/>
        </w:trPr>
        <w:tc>
          <w:tcPr>
            <w:tcW w:w="9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(Unaudited)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8"/>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120,099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65,737</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Pawn loans</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143,267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167,329</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service charges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27,028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31,062</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Inventory, net</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137,008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140,224</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29,978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41,946</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31,011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35,845</w:t>
            </w: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488,391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482,143</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38,334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37,128</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53,630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58,455</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254,217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253,976</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31,768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30,681</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Non-current notes receivable, net</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40,319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41,119</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 asset,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35,303</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Other assets, net</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18,174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44,439</w:t>
            </w: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961,967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983,244</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09"/>
        </w:trPr>
        <w:tc>
          <w:tcPr>
            <w:tcW w:w="9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and 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62,339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84,285</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10,992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10,693</w:t>
            </w: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73,331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94,978</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266,724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283,611</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8,448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10,450</w:t>
            </w:r>
          </w:p>
        </w:tc>
      </w:tr>
      <w:tr>
        <w:trPr>
          <w:trHeight w:val="217"/>
        </w:trPr>
        <w:tc>
          <w:tcPr>
            <w:tcW w:w="902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348,503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389,039</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902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2"/>
              </w:rPr>
              <w:t>Class A Non-voting Common Stock, par value $.01 per share; shares authorized: 100 million as of March 31, 2017 and September</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30, 2016; issued and outstanding: 51,321,915 as of March 31, 2017 and 51,129,144 as of September 30, 2016</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w:t>
            </w:r>
          </w:p>
        </w:tc>
      </w:tr>
      <w:tr>
        <w:trPr>
          <w:trHeight w:val="220"/>
        </w:trPr>
        <w:tc>
          <w:tcPr>
            <w:tcW w:w="9020" w:type="dxa"/>
            <w:vAlign w:val="bottom"/>
          </w:tcPr>
          <w:p>
            <w:pPr>
              <w:ind w:left="500"/>
              <w:spacing w:after="0"/>
              <w:rPr>
                <w:sz w:val="20"/>
                <w:szCs w:val="20"/>
                <w:color w:val="auto"/>
              </w:rPr>
            </w:pPr>
            <w:r>
              <w:rPr>
                <w:rFonts w:ascii="Arial" w:cs="Arial" w:eastAsia="Arial" w:hAnsi="Arial"/>
                <w:sz w:val="16"/>
                <w:szCs w:val="16"/>
                <w:color w:val="auto"/>
                <w:w w:val="98"/>
              </w:rPr>
              <w:t>Class B Voting Common Stock, convertible, par value $.01 per share; 3 million shares authorized; issued and outstanding: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9020" w:type="dxa"/>
            <w:vAlign w:val="bottom"/>
          </w:tcPr>
          <w:p>
            <w:pPr>
              <w:ind w:left="500"/>
              <w:spacing w:after="0"/>
              <w:rPr>
                <w:sz w:val="20"/>
                <w:szCs w:val="20"/>
                <w:color w:val="auto"/>
              </w:rPr>
            </w:pPr>
            <w:r>
              <w:rPr>
                <w:rFonts w:ascii="Arial" w:cs="Arial" w:eastAsia="Arial" w:hAnsi="Arial"/>
                <w:sz w:val="16"/>
                <w:szCs w:val="16"/>
                <w:color w:val="auto"/>
              </w:rPr>
              <w:t>2,970,171</w:t>
            </w:r>
          </w:p>
        </w:tc>
        <w:tc>
          <w:tcPr>
            <w:tcW w:w="200" w:type="dxa"/>
            <w:vAlign w:val="bottom"/>
          </w:tcPr>
          <w:p>
            <w:pPr>
              <w:spacing w:after="0"/>
              <w:rPr>
                <w:sz w:val="17"/>
                <w:szCs w:val="17"/>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321,531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318,723</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334,996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319,808</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(42,544)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(44,089)</w:t>
            </w:r>
          </w:p>
        </w:tc>
      </w:tr>
      <w:tr>
        <w:trPr>
          <w:trHeight w:val="217"/>
        </w:trPr>
        <w:tc>
          <w:tcPr>
            <w:tcW w:w="9020" w:type="dxa"/>
            <w:vAlign w:val="bottom"/>
          </w:tcPr>
          <w:p>
            <w:pPr>
              <w:ind w:left="720"/>
              <w:spacing w:after="0"/>
              <w:rPr>
                <w:sz w:val="20"/>
                <w:szCs w:val="20"/>
                <w:color w:val="auto"/>
              </w:rPr>
            </w:pPr>
            <w:r>
              <w:rPr>
                <w:rFonts w:ascii="Arial" w:cs="Arial" w:eastAsia="Arial" w:hAnsi="Arial"/>
                <w:sz w:val="16"/>
                <w:szCs w:val="16"/>
                <w:color w:val="auto"/>
              </w:rPr>
              <w:t>EZCORP, Inc. stockholders’ equity</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614,526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594,983</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w:t>
            </w:r>
          </w:p>
        </w:tc>
      </w:tr>
      <w:tr>
        <w:trPr>
          <w:trHeight w:val="217"/>
        </w:trPr>
        <w:tc>
          <w:tcPr>
            <w:tcW w:w="9020" w:type="dxa"/>
            <w:vAlign w:val="bottom"/>
          </w:tcPr>
          <w:p>
            <w:pPr>
              <w:ind w:left="720"/>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613,464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594,205</w:t>
            </w: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961,967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983,244</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168"/>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88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379"/>
        </w:trPr>
        <w:tc>
          <w:tcPr>
            <w:tcW w:w="8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tcPr>
          <w:p>
            <w:pPr>
              <w:spacing w:after="0"/>
              <w:rPr>
                <w:sz w:val="24"/>
                <w:szCs w:val="24"/>
                <w:color w:val="auto"/>
              </w:rPr>
            </w:pPr>
          </w:p>
        </w:tc>
      </w:tr>
      <w:tr>
        <w:trPr>
          <w:trHeight w:val="209"/>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center"/>
              <w:ind w:left="508"/>
              <w:spacing w:after="0"/>
              <w:rPr>
                <w:sz w:val="20"/>
                <w:szCs w:val="20"/>
                <w:color w:val="auto"/>
              </w:rPr>
            </w:pPr>
            <w:r>
              <w:rPr>
                <w:rFonts w:ascii="Arial" w:cs="Arial" w:eastAsia="Arial" w:hAnsi="Arial"/>
                <w:sz w:val="14"/>
                <w:szCs w:val="14"/>
                <w:i w:val="1"/>
                <w:iCs w:val="1"/>
                <w:color w:val="auto"/>
                <w:w w:val="94"/>
              </w:rPr>
              <w:t>(in thousands)</w:t>
            </w:r>
          </w:p>
        </w:tc>
        <w:tc>
          <w:tcPr>
            <w:tcW w:w="820" w:type="dxa"/>
            <w:vAlign w:val="bottom"/>
          </w:tcPr>
          <w:p>
            <w:pPr>
              <w:spacing w:after="0"/>
              <w:rPr>
                <w:sz w:val="18"/>
                <w:szCs w:val="18"/>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14,894</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(84,209)</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(loss) to net cash flows from operating activities: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12,403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15,141</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debt discount and deferred financing costs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5,932</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Amortization of prepaid commissions</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7,754</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Accretion of notes receivable discount</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Consumer loan loss provision</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18,662</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(12,635)</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Impairment of goodwill</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73,244</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adjustments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(Gain) loss on sale or disposal of assets</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682</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Stock compensation</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2,149</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Income from investment in unconsolidated affiliate</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(2,721)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(3,932)</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Service charges and fees receivable</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4,151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10,140</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Inventory</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Prepaid expenses, other current assets and other assets</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3,171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(10,795)</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accrued expenses and other liabilities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(8,702)</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Customer layaway deposits</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851</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Income taxes receivable and payable, current, net of excess tax benefit from stock compensation</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51,300</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Payments of restructuring charges</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(6,701)</w:t>
            </w:r>
          </w:p>
        </w:tc>
      </w:tr>
      <w:tr>
        <w:trPr>
          <w:trHeight w:val="256"/>
        </w:trPr>
        <w:tc>
          <w:tcPr>
            <w:tcW w:w="880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17,965</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55,739</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made</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(300,604)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(323,980)</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Loans repaid</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199,080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225,138</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128,238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121,830</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Additions to property and equipment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(5,293)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(2,950)</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Acquisitions, net of cash acquired</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r>
      <w:tr>
        <w:trPr>
          <w:trHeight w:val="264"/>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Principal collections on notes receivable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15,051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8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Net cash provided by investing activities</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36,472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14,038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paid related to net share settlement of equity awards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Payout of deferred consideration</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(14,875)</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redeemable common stock issued due to acquisitions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(11,750)</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Proceeds from settlement of forward currency contracts</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3,557</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restricted cash</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6,519</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Proceeds from borrowings, net of issuance costs</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14,302</w:t>
            </w: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on borrowings</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(47,698)</w:t>
            </w:r>
          </w:p>
        </w:tc>
      </w:tr>
      <w:tr>
        <w:trPr>
          <w:trHeight w:val="250"/>
        </w:trPr>
        <w:tc>
          <w:tcPr>
            <w:tcW w:w="8800" w:type="dxa"/>
            <w:vAlign w:val="bottom"/>
          </w:tcPr>
          <w:p>
            <w:pPr>
              <w:ind w:left="82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(49,945)</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(3,620)</w:t>
            </w:r>
          </w:p>
        </w:tc>
      </w:tr>
      <w:tr>
        <w:trPr>
          <w:trHeight w:val="250"/>
        </w:trPr>
        <w:tc>
          <w:tcPr>
            <w:tcW w:w="880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54,362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16,212</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65,737</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59,124</w:t>
            </w:r>
          </w:p>
        </w:tc>
      </w:tr>
      <w:tr>
        <w:trPr>
          <w:trHeight w:val="283"/>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120,099</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75,336</w:t>
            </w:r>
          </w:p>
        </w:tc>
      </w:tr>
      <w:tr>
        <w:trPr>
          <w:trHeight w:val="251"/>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Pawn loans forfeited and transferred to inventory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125,165</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122,709</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 reinvestment acquisition of additional ownership in unconsolidated affiliate</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ectPr>
          <w:pgSz w:w="11900" w:h="16838" w:orient="portrait"/>
          <w:cols w:equalWidth="0" w:num="1">
            <w:col w:w="11420"/>
          </w:cols>
          <w:pgMar w:left="240" w:top="936" w:right="239" w:bottom="1076"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Mexico Pawn</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95,550</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14,688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110,238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110,238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10,219</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59,661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67,092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67,092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37"/>
        </w:trPr>
        <w:tc>
          <w:tcPr>
            <w:tcW w:w="42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164,323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189,628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189,628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60,499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70,493</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7,890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8,841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7"/>
        </w:trPr>
        <w:tc>
          <w:tcPr>
            <w:tcW w:w="4200" w:type="dxa"/>
            <w:vAlign w:val="bottom"/>
          </w:tcPr>
          <w:p>
            <w:pPr>
              <w:ind w:left="48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95,934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109,897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109,897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8,901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74,460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74,460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(gain)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Equity in net income of unconsolidated affiliate</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97"/>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contribution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29,725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3,236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33,589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13,680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585"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Six Months Ended March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190,411</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31,340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221,751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221,751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20,017</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120,706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15,399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136,105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136,105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329,125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49,133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382,252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382,252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142,225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142,225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15,440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17,185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17,185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192,938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221,862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221,862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130,906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17,541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152,106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152,106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27,210</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5,277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6,668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12,403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56,838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7,451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66,225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SEGMENT RESULTS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94,740</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14,603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109,343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109,343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56,614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7,516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64,130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64,130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163,002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188,212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188,212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68,332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11,085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94,633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108,364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108,364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72,256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72,256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15,621</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29,675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Pr>
          <w:p>
            <w:pPr>
              <w:ind w:left="40"/>
              <w:spacing w:after="0"/>
              <w:rPr>
                <w:sz w:val="20"/>
                <w:szCs w:val="20"/>
                <w:color w:val="auto"/>
              </w:rPr>
            </w:pPr>
            <w:r>
              <w:rPr>
                <w:rFonts w:ascii="Arial" w:cs="Arial" w:eastAsia="Arial" w:hAnsi="Arial"/>
                <w:sz w:val="18"/>
                <w:szCs w:val="18"/>
                <w:color w:val="auto"/>
                <w:w w:val="94"/>
              </w:rPr>
              <w:t>Income from continuing operations before income taxes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33,166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10,734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Six Months Ended March 31, 2016</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U.S. Pawn</w:t>
            </w:r>
          </w:p>
        </w:tc>
        <w:tc>
          <w:tcPr>
            <w:tcW w:w="100" w:type="dxa"/>
            <w:vAlign w:val="bottom"/>
            <w:vMerge w:val="restart"/>
          </w:tcPr>
          <w:p>
            <w:pPr>
              <w:spacing w:after="0"/>
              <w:rPr>
                <w:sz w:val="13"/>
                <w:szCs w:val="13"/>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Mexico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186,734</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31,189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217,927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217,927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22,401</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115,235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15,489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130,724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130,724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37"/>
        </w:trPr>
        <w:tc>
          <w:tcPr>
            <w:tcW w:w="37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323,410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4,426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375,769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375,769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134,591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19,161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19,161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7"/>
        </w:trPr>
        <w:tc>
          <w:tcPr>
            <w:tcW w:w="37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191,520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220,974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220,974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124,785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20,217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148,274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148,274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35,604</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8,078</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Equity in net income of unconsolidated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58,474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65,695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w w:val="94"/>
              </w:rPr>
              <w:t>Income from continuing operations before income</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restart"/>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65,695</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(49,784)</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15,911</w:t>
            </w:r>
          </w:p>
        </w:tc>
        <w:tc>
          <w:tcPr>
            <w:tcW w:w="0" w:type="dxa"/>
            <w:vAlign w:val="bottom"/>
          </w:tcPr>
          <w:p>
            <w:pPr>
              <w:spacing w:after="0"/>
              <w:rPr>
                <w:sz w:val="1"/>
                <w:szCs w:val="1"/>
                <w:color w:val="auto"/>
              </w:rPr>
            </w:pPr>
          </w:p>
        </w:tc>
      </w:tr>
      <w:tr>
        <w:trPr>
          <w:trHeight w:val="242"/>
        </w:trPr>
        <w:tc>
          <w:tcPr>
            <w:tcW w:w="3780" w:type="dxa"/>
            <w:vAlign w:val="bottom"/>
          </w:tcPr>
          <w:p>
            <w:pPr>
              <w:ind w:left="4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 (UNAUDITED)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center"/>
              <w:ind w:left="18"/>
              <w:spacing w:after="0"/>
              <w:rPr>
                <w:sz w:val="20"/>
                <w:szCs w:val="20"/>
                <w:color w:val="auto"/>
              </w:rPr>
            </w:pPr>
            <w:r>
              <w:rPr>
                <w:rFonts w:ascii="Arial" w:cs="Arial" w:eastAsia="Arial" w:hAnsi="Arial"/>
                <w:sz w:val="14"/>
                <w:szCs w:val="14"/>
                <w:b w:val="1"/>
                <w:bCs w:val="1"/>
                <w:color w:val="auto"/>
                <w:w w:val="94"/>
              </w:rPr>
              <w:t>Three Months Ended March 31, 2017</w:t>
            </w:r>
          </w:p>
        </w:tc>
        <w:tc>
          <w:tcPr>
            <w:tcW w:w="1240" w:type="dxa"/>
            <w:vAlign w:val="bottom"/>
            <w:tcBorders>
              <w:bottom w:val="single" w:sz="8" w:color="auto"/>
            </w:tcBorders>
          </w:tcPr>
          <w:p>
            <w:pPr>
              <w:spacing w:after="0"/>
              <w:rPr>
                <w:sz w:val="16"/>
                <w:szCs w:val="16"/>
                <w:color w:val="auto"/>
              </w:rPr>
            </w:pPr>
          </w:p>
        </w:tc>
      </w:tr>
      <w:tr>
        <w:trPr>
          <w:trHeight w:val="196"/>
        </w:trPr>
        <w:tc>
          <w:tcPr>
            <w:tcW w:w="6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center"/>
              <w:ind w:left="18"/>
              <w:spacing w:after="0"/>
              <w:rPr>
                <w:sz w:val="20"/>
                <w:szCs w:val="20"/>
                <w:color w:val="auto"/>
              </w:rPr>
            </w:pPr>
            <w:r>
              <w:rPr>
                <w:rFonts w:ascii="Arial" w:cs="Arial" w:eastAsia="Arial" w:hAnsi="Arial"/>
                <w:sz w:val="14"/>
                <w:szCs w:val="14"/>
                <w:b w:val="1"/>
                <w:bCs w:val="1"/>
                <w:color w:val="auto"/>
                <w:w w:val="92"/>
              </w:rPr>
              <w:t>Company-owned Stores</w:t>
            </w:r>
          </w:p>
        </w:tc>
        <w:tc>
          <w:tcPr>
            <w:tcW w:w="1240" w:type="dxa"/>
            <w:vAlign w:val="bottom"/>
            <w:tcBorders>
              <w:bottom w:val="single" w:sz="8" w:color="auto"/>
            </w:tcBorders>
          </w:tcPr>
          <w:p>
            <w:pPr>
              <w:spacing w:after="0"/>
              <w:rPr>
                <w:sz w:val="17"/>
                <w:szCs w:val="17"/>
                <w:color w:val="auto"/>
              </w:rPr>
            </w:pPr>
          </w:p>
        </w:tc>
      </w:tr>
      <w:tr>
        <w:trPr>
          <w:trHeight w:val="264"/>
        </w:trPr>
        <w:tc>
          <w:tcPr>
            <w:tcW w:w="60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tcPr>
          <w:p>
            <w:pPr>
              <w:jc w:val="right"/>
              <w:ind w:right="134"/>
              <w:spacing w:after="0"/>
              <w:rPr>
                <w:sz w:val="20"/>
                <w:szCs w:val="20"/>
                <w:color w:val="auto"/>
              </w:rPr>
            </w:pPr>
            <w:r>
              <w:rPr>
                <w:rFonts w:ascii="Arial" w:cs="Arial" w:eastAsia="Arial" w:hAnsi="Arial"/>
                <w:sz w:val="14"/>
                <w:szCs w:val="14"/>
                <w:b w:val="1"/>
                <w:bCs w:val="1"/>
                <w:color w:val="auto"/>
              </w:rPr>
              <w:t>Consolidated</w:t>
            </w:r>
          </w:p>
        </w:tc>
      </w:tr>
      <w:tr>
        <w:trPr>
          <w:trHeight w:val="121"/>
        </w:trPr>
        <w:tc>
          <w:tcPr>
            <w:tcW w:w="60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2016</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783</w:t>
            </w:r>
          </w:p>
        </w:tc>
      </w:tr>
      <w:tr>
        <w:trPr>
          <w:trHeight w:val="243"/>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w:t>
            </w: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As of March 31, 2017</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784</w:t>
            </w: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rPr>
              <w:t>Three Months Ended March 31, 2016</w:t>
            </w:r>
          </w:p>
        </w:tc>
        <w:tc>
          <w:tcPr>
            <w:tcW w:w="10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9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49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As of March 31, 2016</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left="38"/>
              <w:spacing w:after="0"/>
              <w:rPr>
                <w:sz w:val="20"/>
                <w:szCs w:val="20"/>
                <w:color w:val="auto"/>
              </w:rPr>
            </w:pPr>
            <w:r>
              <w:rPr>
                <w:rFonts w:ascii="Arial" w:cs="Arial" w:eastAsia="Arial" w:hAnsi="Arial"/>
                <w:sz w:val="14"/>
                <w:szCs w:val="14"/>
                <w:b w:val="1"/>
                <w:bCs w:val="1"/>
                <w:color w:val="auto"/>
                <w:w w:val="94"/>
              </w:rPr>
              <w:t>Six Months Ended March 31, 2017</w:t>
            </w:r>
          </w:p>
        </w:tc>
        <w:tc>
          <w:tcPr>
            <w:tcW w:w="1240" w:type="dxa"/>
            <w:vAlign w:val="bottom"/>
            <w:tcBorders>
              <w:bottom w:val="single" w:sz="8" w:color="auto"/>
            </w:tcBorders>
          </w:tcPr>
          <w:p>
            <w:pPr>
              <w:spacing w:after="0"/>
              <w:rPr>
                <w:sz w:val="16"/>
                <w:szCs w:val="16"/>
                <w:color w:val="auto"/>
              </w:rPr>
            </w:pPr>
          </w:p>
        </w:tc>
      </w:tr>
      <w:tr>
        <w:trPr>
          <w:trHeight w:val="196"/>
        </w:trPr>
        <w:tc>
          <w:tcPr>
            <w:tcW w:w="60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center"/>
              <w:ind w:left="18"/>
              <w:spacing w:after="0"/>
              <w:rPr>
                <w:sz w:val="20"/>
                <w:szCs w:val="20"/>
                <w:color w:val="auto"/>
              </w:rPr>
            </w:pPr>
            <w:r>
              <w:rPr>
                <w:rFonts w:ascii="Arial" w:cs="Arial" w:eastAsia="Arial" w:hAnsi="Arial"/>
                <w:sz w:val="14"/>
                <w:szCs w:val="14"/>
                <w:b w:val="1"/>
                <w:bCs w:val="1"/>
                <w:color w:val="auto"/>
                <w:w w:val="91"/>
              </w:rPr>
              <w:t>Company-owned Stores</w:t>
            </w:r>
          </w:p>
        </w:tc>
        <w:tc>
          <w:tcPr>
            <w:tcW w:w="124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tcPr>
          <w:p>
            <w:pPr>
              <w:jc w:val="right"/>
              <w:ind w:right="134"/>
              <w:spacing w:after="0"/>
              <w:rPr>
                <w:sz w:val="20"/>
                <w:szCs w:val="20"/>
                <w:color w:val="auto"/>
              </w:rPr>
            </w:pPr>
            <w:r>
              <w:rPr>
                <w:rFonts w:ascii="Arial" w:cs="Arial" w:eastAsia="Arial" w:hAnsi="Arial"/>
                <w:sz w:val="14"/>
                <w:szCs w:val="14"/>
                <w:b w:val="1"/>
                <w:bCs w:val="1"/>
                <w:color w:val="auto"/>
              </w:rPr>
              <w:t>Consolidated</w:t>
            </w:r>
          </w:p>
        </w:tc>
      </w:tr>
      <w:tr>
        <w:trPr>
          <w:trHeight w:val="121"/>
        </w:trPr>
        <w:tc>
          <w:tcPr>
            <w:tcW w:w="60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2016</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As of March 31, 2017</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784</w:t>
            </w:r>
          </w:p>
        </w:tc>
      </w:tr>
      <w:tr>
        <w:trPr>
          <w:trHeight w:val="27"/>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w w:val="94"/>
              </w:rPr>
              <w:t>Six Months Ended March 31, 2016</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9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178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49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As of March 31, 2016</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and ongoing segment contribution results to evaluate results of our Mexico Pawn operations, which are denominated in Mexican pesos, and believe that presentation of constant currency results are meaningful and useful in understanding the activities and business metrics of our Mexico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ectPr>
          <w:pgSz w:w="11900" w:h="16838" w:orient="portrait"/>
          <w:cols w:equalWidth="0" w:num="1">
            <w:col w:w="11420"/>
          </w:cols>
          <w:pgMar w:left="240" w:top="585" w:right="23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exchange rate as of March 31, 2017 and 2016 was 18.7 to 1</w:t>
      </w:r>
    </w:p>
    <w:p>
      <w:pPr>
        <w:spacing w:after="0" w:line="2"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and 17.3 to 1, respectively. The approximate average exchange rate for the three months ended March 31, 2017 and 2016 was 20.4 to 1 and 18.0 to 1. The approximate average exchange rate for the six months ended March 31, 2017 and 2016 was 20.1 to 1 and 17.4 to 1, respectively, however our statement of operations constant currency results reflect the impact of monthly effects of exchange rates and so are not directly calculable from the above rates. Constant currency results, where presented, also exclude the foreign currency gain or loss and the related foreign currency derivative gain or loss impact.</w:t>
      </w:r>
    </w:p>
    <w:p>
      <w:pPr>
        <w:spacing w:after="0" w:line="10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information provides reconciliations of certain non-GAAP financial measures presented in this press release to the most directly comparable financial measures calculated and presented in accordance with GAAP as of and for the three and six months ended March 31, 2017.</w:t>
      </w:r>
    </w:p>
    <w:p>
      <w:pPr>
        <w:sectPr>
          <w:pgSz w:w="11900" w:h="16838" w:orient="portrait"/>
          <w:cols w:equalWidth="0" w:num="1">
            <w:col w:w="11400"/>
          </w:cols>
          <w:pgMar w:left="240" w:top="746"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U.S. Dollar Amount</w:t>
            </w:r>
          </w:p>
        </w:tc>
        <w:tc>
          <w:tcPr>
            <w:tcW w:w="100" w:type="dxa"/>
            <w:vAlign w:val="bottom"/>
            <w:vMerge w:val="restart"/>
          </w:tcPr>
          <w:p>
            <w:pPr>
              <w:spacing w:after="0"/>
              <w:rPr>
                <w:sz w:val="14"/>
                <w:szCs w:val="1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Percentage Change</w:t>
            </w:r>
          </w:p>
        </w:tc>
        <w:tc>
          <w:tcPr>
            <w:tcW w:w="0" w:type="dxa"/>
            <w:vAlign w:val="bottom"/>
          </w:tcPr>
          <w:p>
            <w:pPr>
              <w:spacing w:after="0"/>
              <w:rPr>
                <w:sz w:val="1"/>
                <w:szCs w:val="1"/>
                <w:color w:val="auto"/>
              </w:rPr>
            </w:pPr>
          </w:p>
        </w:tc>
      </w:tr>
      <w:tr>
        <w:trPr>
          <w:trHeight w:val="192"/>
        </w:trPr>
        <w:tc>
          <w:tcPr>
            <w:tcW w:w="86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85"/>
        </w:trPr>
        <w:tc>
          <w:tcPr>
            <w:tcW w:w="8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revenue (three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March 31,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revenue (three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revenue (six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382.3</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(six months ended March 31,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revenue (six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operations expenses (three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March 31,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operations expenses (three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operations expenses (six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152.1</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(six months ended March 31,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consolidated operations expenses (six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154.9</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loans outstanding</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loans outstanding</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service charges (three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March 31,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service charges (three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service charges (six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(six months ended March 31,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service charges (six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merchandise revenue (three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March 31,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merchandise revenue (three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merchandise revenue (six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(six months ended March 31,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merchandise revenue (six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same store merchandise revenue (three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March 31,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same store merchandise revenue (three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same store merchandise revenue (six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(six months ended March 31,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same store merchandise revenue (six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segment profit before tax (three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(three months ended March 31,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segment profit before tax (three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122"/>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 Pawn segment profit before tax (six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112 %</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exchange rate fluctuations (six months ended March 31, 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Constant currency Mexico Pawn segment profit before tax (six months ended March 31, 2017)</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2020-01-17T05:46:44Z</dcterms:created>
  <dcterms:modified xsi:type="dcterms:W3CDTF">2020-01-17T05:46:44Z</dcterms:modified>
</cp:coreProperties>
</file>