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rFonts w:ascii="inherit" w:hAnsi="inherit"/>
          <w:sz w:val="17"/>
        </w:rPr>
      </w:pPr>
      <w:r>
        <w:rPr>
          <w:rFonts w:ascii="inherit" w:hAnsi="inherit"/>
          <w:sz w:val="17"/>
        </w:rPr>
      </w:r>
      <w:bookmarkStart w:id="0" w:name="s1F0914214160880E0F2814C8FF5BD012"/>
      <w:bookmarkStart w:id="1" w:name="a8-kbyalappointment.htm"/>
      <w:bookmarkStart w:id="2" w:name="ksa8kbyalappointment"/>
      <w:bookmarkStart w:id="3" w:name="s1F0914214160880E0F2814C8FF5BD012"/>
      <w:bookmarkStart w:id="4" w:name="a8-kbyalappointment.htm"/>
      <w:bookmarkStart w:id="5" w:name="ksa8kbyalappointment"/>
      <w:bookmarkEnd w:id="3"/>
      <w:bookmarkEnd w:id="4"/>
      <w:bookmarkEnd w:id="5"/>
    </w:p>
    <w:p>
      <w:pPr>
        <w:pStyle w:val="TextBody"/>
        <w:spacing w:before="0" w:after="0"/>
        <w:rPr/>
      </w:pPr>
      <w:r>
        <w:rPr/>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b/>
          <w:sz w:val="30"/>
        </w:rPr>
      </w:pPr>
      <w:r>
        <w:rPr>
          <w:rFonts w:ascii="inherit" w:hAnsi="inherit"/>
          <w:b/>
          <w:sz w:val="30"/>
        </w:rPr>
        <w:t>FORM 8-K</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23"/>
        </w:rPr>
      </w:pPr>
      <w:r>
        <w:rPr>
          <w:rFonts w:ascii="inherit" w:hAnsi="inherit"/>
          <w:b/>
          <w:sz w:val="23"/>
        </w:rPr>
        <w:t>CURRENT REPORT</w:t>
      </w:r>
    </w:p>
    <w:p>
      <w:pPr>
        <w:pStyle w:val="TextBody"/>
        <w:spacing w:lineRule="auto" w:line="288" w:before="0" w:after="0"/>
        <w:jc w:val="center"/>
        <w:rPr>
          <w:rFonts w:ascii="inherit" w:hAnsi="inherit"/>
          <w:b/>
          <w:sz w:val="20"/>
        </w:rPr>
      </w:pPr>
      <w:r>
        <w:rPr>
          <w:rFonts w:ascii="inherit" w:hAnsi="inherit"/>
          <w:b/>
          <w:sz w:val="20"/>
        </w:rPr>
        <w:t>PURSUANT TO SECTION 13 OR 15(d) OF THE</w:t>
      </w:r>
    </w:p>
    <w:p>
      <w:pPr>
        <w:pStyle w:val="TextBody"/>
        <w:spacing w:lineRule="auto" w:line="288" w:before="0" w:after="0"/>
        <w:jc w:val="center"/>
        <w:rPr>
          <w:rFonts w:ascii="inherit" w:hAnsi="inherit"/>
          <w:b/>
          <w:sz w:val="20"/>
        </w:rPr>
      </w:pPr>
      <w:r>
        <w:rPr>
          <w:rFonts w:ascii="inherit" w:hAnsi="inherit"/>
          <w:b/>
          <w:sz w:val="20"/>
        </w:rPr>
        <w:t>SECURITIES EXCHANGE ACT OF 1934</w:t>
      </w:r>
    </w:p>
    <w:p>
      <w:pPr>
        <w:pStyle w:val="TextBody"/>
        <w:spacing w:lineRule="auto" w:line="288" w:before="0" w:after="0"/>
        <w:jc w:val="center"/>
        <w:rPr>
          <w:rFonts w:ascii="inherit" w:hAnsi="inherit"/>
          <w:b/>
          <w:sz w:val="20"/>
        </w:rPr>
      </w:pPr>
      <w:r>
        <w:rPr>
          <w:rFonts w:ascii="inherit" w:hAnsi="inherit"/>
          <w:b/>
          <w:sz w:val="20"/>
        </w:rPr>
        <w:t xml:space="preserve">Date of Report (Date of earliest event reported): June 19, 2012 </w:t>
      </w:r>
    </w:p>
    <w:p>
      <w:pPr>
        <w:pStyle w:val="TextBody"/>
        <w:spacing w:lineRule="auto" w:line="288" w:before="0" w:after="0"/>
        <w:jc w:val="center"/>
        <w:rPr/>
      </w:pPr>
      <w:r>
        <w:rPr/>
        <w:t> </w:t>
      </w:r>
      <w:r>
        <w:rPr>
          <w:rFonts w:ascii="inherit" w:hAnsi="inherit"/>
          <w:sz w:val="17"/>
        </w:rPr>
        <w:t>_______________________________________________ </w:t>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p>
      <w:pPr>
        <w:pStyle w:val="TextBody"/>
        <w:spacing w:lineRule="auto" w:line="288" w:before="0" w:after="0"/>
        <w:jc w:val="center"/>
        <w:rPr/>
      </w:pPr>
      <w:r>
        <w:rPr/>
        <w:t> </w:t>
      </w:r>
      <w:r>
        <w:rPr>
          <w:rFonts w:ascii="inherit" w:hAnsi="inherit"/>
          <w:sz w:val="17"/>
        </w:rPr>
        <w:t>_______________________________________________________ </w:t>
      </w:r>
    </w:p>
    <w:tbl>
      <w:tblPr>
        <w:tblW w:w="9057" w:type="dxa"/>
        <w:jc w:val="center"/>
        <w:tblInd w:w="0" w:type="dxa"/>
        <w:tblCellMar>
          <w:top w:w="0" w:type="dxa"/>
          <w:left w:w="0" w:type="dxa"/>
          <w:bottom w:w="0" w:type="dxa"/>
          <w:right w:w="0" w:type="dxa"/>
        </w:tblCellMar>
      </w:tblPr>
      <w:tblGrid>
        <w:gridCol w:w="2899"/>
        <w:gridCol w:w="90"/>
        <w:gridCol w:w="2989"/>
        <w:gridCol w:w="90"/>
        <w:gridCol w:w="2989"/>
      </w:tblGrid>
      <w:tr>
        <w:trPr/>
        <w:tc>
          <w:tcPr>
            <w:tcW w:w="9057" w:type="dxa"/>
            <w:gridSpan w:val="5"/>
            <w:tcBorders/>
            <w:shd w:fill="auto" w:val="clear"/>
            <w:vAlign w:val="center"/>
          </w:tcPr>
          <w:p>
            <w:pPr>
              <w:pStyle w:val="TableContents"/>
              <w:spacing w:before="0" w:after="283"/>
              <w:rPr>
                <w:sz w:val="4"/>
                <w:szCs w:val="4"/>
              </w:rPr>
            </w:pPr>
            <w:r>
              <w:rPr>
                <w:sz w:val="4"/>
                <w:szCs w:val="4"/>
              </w:rPr>
            </w:r>
          </w:p>
        </w:tc>
      </w:tr>
      <w:tr>
        <w:trPr/>
        <w:tc>
          <w:tcPr>
            <w:tcW w:w="28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0-19424</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w:t>
            </w:r>
          </w:p>
          <w:p>
            <w:pPr>
              <w:pStyle w:val="TableContents"/>
              <w:spacing w:before="0" w:after="0"/>
              <w:ind w:left="0" w:right="0" w:firstLine="30"/>
              <w:jc w:val="center"/>
              <w:rPr>
                <w:rFonts w:ascii="inherit" w:hAnsi="inherit"/>
                <w:b/>
                <w:sz w:val="13"/>
              </w:rPr>
            </w:pPr>
            <w:r>
              <w:rPr>
                <w:rFonts w:ascii="inherit" w:hAnsi="inherit"/>
                <w:b/>
                <w:sz w:val="13"/>
              </w:rPr>
              <w:t>of incorporation)</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(Commission</w:t>
            </w:r>
          </w:p>
          <w:p>
            <w:pPr>
              <w:pStyle w:val="TableContents"/>
              <w:spacing w:before="0" w:after="0"/>
              <w:ind w:left="0" w:right="0" w:firstLine="30"/>
              <w:jc w:val="center"/>
              <w:rPr>
                <w:rFonts w:ascii="inherit" w:hAnsi="inherit"/>
                <w:b/>
                <w:sz w:val="13"/>
              </w:rPr>
            </w:pPr>
            <w:r>
              <w:rPr>
                <w:rFonts w:ascii="inherit" w:hAnsi="inherit"/>
                <w:b/>
                <w:sz w:val="13"/>
              </w:rPr>
              <w:t>File Number)</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No.)</w:t>
            </w:r>
          </w:p>
        </w:tc>
      </w:tr>
    </w:tbl>
    <w:p>
      <w:pPr>
        <w:pStyle w:val="TextBody"/>
        <w:spacing w:lineRule="auto" w:line="288" w:before="0" w:after="0"/>
        <w:jc w:val="center"/>
        <w:rPr>
          <w:rFonts w:ascii="inherit" w:hAnsi="inherit"/>
          <w:b/>
          <w:sz w:val="17"/>
        </w:rPr>
      </w:pPr>
      <w:r>
        <w:rPr>
          <w:rFonts w:ascii="inherit" w:hAnsi="inherit"/>
          <w:b/>
          <w:sz w:val="17"/>
        </w:rPr>
        <w:t>1901 Capital Parkway, Austin, Texas 78746</w:t>
      </w:r>
    </w:p>
    <w:p>
      <w:pPr>
        <w:pStyle w:val="TextBody"/>
        <w:spacing w:lineRule="auto" w:line="288" w:before="0" w:after="0"/>
        <w:jc w:val="center"/>
        <w:rPr>
          <w:rFonts w:ascii="inherit" w:hAnsi="inherit"/>
          <w:b/>
          <w:sz w:val="13"/>
        </w:rPr>
      </w:pPr>
      <w:r>
        <w:rPr>
          <w:rFonts w:ascii="inherit" w:hAnsi="inherit"/>
          <w:b/>
          <w:sz w:val="13"/>
        </w:rPr>
        <w:t>(Address of principal executive offices) (zip code)</w:t>
      </w:r>
    </w:p>
    <w:p>
      <w:pPr>
        <w:pStyle w:val="TextBody"/>
        <w:spacing w:lineRule="auto" w:line="288" w:before="0" w:after="0"/>
        <w:jc w:val="center"/>
        <w:rPr>
          <w:rFonts w:ascii="inherit" w:hAnsi="inherit"/>
          <w:b/>
          <w:sz w:val="17"/>
        </w:rPr>
      </w:pPr>
      <w:r>
        <w:rPr>
          <w:rFonts w:ascii="inherit" w:hAnsi="inherit"/>
          <w:b/>
          <w:sz w:val="17"/>
        </w:rPr>
        <w:t>Registrant’s telephone number, including area code: (512) 314-3400</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pPr>
      <w:r>
        <w:rPr/>
        <w:t> </w:t>
      </w:r>
    </w:p>
    <w:p>
      <w:pPr>
        <w:pStyle w:val="TextBody"/>
        <w:spacing w:lineRule="auto" w:line="288" w:before="0" w:after="0"/>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tbl>
      <w:tblPr>
        <w:tblW w:w="10205" w:type="dxa"/>
        <w:jc w:val="center"/>
        <w:tblInd w:w="0" w:type="dxa"/>
        <w:tblCellMar>
          <w:top w:w="0" w:type="dxa"/>
          <w:left w:w="0" w:type="dxa"/>
          <w:bottom w:w="0" w:type="dxa"/>
          <w:right w:w="0" w:type="dxa"/>
        </w:tblCellMar>
      </w:tblPr>
      <w:tblGrid>
        <w:gridCol w:w="512"/>
        <w:gridCol w:w="8980"/>
        <w:gridCol w:w="71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vAlign w:val="center"/>
          </w:tcPr>
          <w:p>
            <w:pPr>
              <w:pStyle w:val="TableContents"/>
              <w:spacing w:before="0" w:after="283"/>
              <w:rPr>
                <w:sz w:val="4"/>
                <w:szCs w:val="4"/>
              </w:rPr>
            </w:pPr>
            <w:r>
              <w:rPr>
                <w:sz w:val="4"/>
                <w:szCs w:val="4"/>
              </w:rPr>
            </w:r>
          </w:p>
        </w:tc>
        <w:tc>
          <w:tcPr>
            <w:tcW w:w="898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Written communications pursuant to Rule 425 under the Securities Act (17 CFR 230.425)</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Soliciting material pursuant to Rule 14a-12 under the Exchange Act (17 CFR 240.14a-12)</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14d-2(b) under the Exchange Act (17 CFR 240.14d-2(b))</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13e-4(c) under the Exchange Act (17 CFR 240.13e-4(c))</w:t>
            </w:r>
          </w:p>
        </w:tc>
        <w:tc>
          <w:tcPr>
            <w:tcW w:w="713" w:type="dxa"/>
            <w:tcBorders/>
            <w:shd w:fill="auto" w:val="clear"/>
            <w:vAlign w:val="center"/>
          </w:tcPr>
          <w:p>
            <w:pPr>
              <w:pStyle w:val="TableContents"/>
              <w:spacing w:before="0" w:after="0"/>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6" w:name="s42FA47A79DE9E4F39FFB111BA514198B"/>
      <w:bookmarkStart w:id="7" w:name="s42FA47A79DE9E4F39FFB111BA514198B"/>
      <w:bookmarkEnd w:id="7"/>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5.02 - Departure of Directors or Certain Officers; Election of Directors; Appointment of Certain Officers; Compensatory Arrangements of Certain Officers</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vAlign w:val="center"/>
          </w:tcPr>
          <w:p>
            <w:pPr>
              <w:pStyle w:val="TableContents"/>
              <w:spacing w:before="0" w:after="283"/>
              <w:rPr>
                <w:sz w:val="4"/>
                <w:szCs w:val="4"/>
              </w:rPr>
            </w:pPr>
            <w:r>
              <w:rPr>
                <w:sz w:val="4"/>
                <w:szCs w:val="4"/>
              </w:rPr>
            </w:r>
          </w:p>
        </w:tc>
        <w:tc>
          <w:tcPr>
            <w:tcW w:w="9975"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(c)</w:t>
            </w:r>
          </w:p>
        </w:tc>
        <w:tc>
          <w:tcPr>
            <w:tcW w:w="99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EZCORP, Inc. has appointed Jeffrey S. Byal as Vice President, Controller and Chief Accounting Officer (principal accounting officer), effective June 19, 2012. </w:t>
            </w:r>
          </w:p>
        </w:tc>
      </w:tr>
    </w:tbl>
    <w:p>
      <w:pPr>
        <w:pStyle w:val="TextBody"/>
        <w:spacing w:lineRule="auto" w:line="288" w:before="0" w:after="0"/>
        <w:ind w:left="0" w:right="0" w:hanging="72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 xml:space="preserve">Mr. Byal, age 47, has 25 years of experience in accounting, treasury, finance, financial planning and analysis, as well as information technology, employee services and operations leadership. Mr. Byal is a Certified Public Accountant. Since October 2011, Mr. Byal has served as a consultant to Change Capital, Inc., EZCORP's investment arm, focusing on due diligence and strategic and financial analysis related to international acquisitions. He previously spent three years at MSI Systems Integrators, Inc., a leading provider of information technology solutions, products and services, where he served as Executive Vice President and Chief Financial Officer. Prior to his time at MSI, Mr. Byal spent approximately two years as Senior Vice President and Chief Financial Officer at Pamida, a privately-held company that owns and operates more than 200 general merchandise and pharmacy stores, primarily in the Midwest. Before joining Pamida, Mr. Byal held the chief financial officer positions at Giftcertificates.com, Gordmans, Inc., Appriss, Inc., and Priceweber Marketing Communications Inc. </w:t>
      </w:r>
    </w:p>
    <w:p>
      <w:pPr>
        <w:pStyle w:val="TextBody"/>
        <w:spacing w:lineRule="auto" w:line="288" w:before="0" w:after="0"/>
        <w:ind w:left="0" w:right="0" w:firstLine="72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Under the terms of his employment, Mr. Byal will receive an annual salary of $325,000 and a target bonus of 50% of base salary. Mr. Byal will also be eligible for benefits typically provided to the company's vice presidents, including a severance plan that provides for salary continuation for a period of six months if the company terminates his employment without cause.</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6480"/>
        <w:jc w:val="left"/>
        <w:rPr>
          <w:rFonts w:ascii="inherit" w:hAnsi="inherit"/>
          <w:sz w:val="17"/>
        </w:rPr>
      </w:pPr>
      <w:r>
        <w:rPr>
          <w:rFonts w:ascii="inherit" w:hAnsi="inherit"/>
          <w:sz w:val="17"/>
        </w:rPr>
        <w:t>EZCORP, INC.</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Date: June 25, 2012                            By:    </w:t>
      </w:r>
      <w:r>
        <w:rPr>
          <w:rFonts w:ascii="inherit" w:hAnsi="inherit"/>
          <w:sz w:val="17"/>
          <w:u w:val="single"/>
        </w:rPr>
        <w:t>/s/ Thomas H. Welch, Jr.</w:t>
      </w:r>
      <w:r>
        <w:rPr>
          <w:sz w:val="17"/>
        </w:rPr>
        <w:t>    </w:t>
      </w:r>
    </w:p>
    <w:p>
      <w:pPr>
        <w:pStyle w:val="TextBody"/>
        <w:spacing w:lineRule="auto" w:line="288" w:before="0" w:after="0"/>
        <w:ind w:left="0" w:right="0" w:firstLine="7200"/>
        <w:jc w:val="left"/>
        <w:rPr>
          <w:rFonts w:ascii="inherit" w:hAnsi="inherit"/>
          <w:sz w:val="17"/>
        </w:rPr>
      </w:pPr>
      <w:r>
        <w:rPr>
          <w:rFonts w:ascii="inherit" w:hAnsi="inherit"/>
          <w:sz w:val="17"/>
        </w:rPr>
        <w:t>Thomas H. Welch, Jr.</w:t>
      </w:r>
    </w:p>
    <w:p>
      <w:pPr>
        <w:pStyle w:val="TextBody"/>
        <w:spacing w:lineRule="auto" w:line="288" w:before="0" w:after="0"/>
        <w:ind w:left="0" w:right="0" w:firstLine="7200"/>
        <w:jc w:val="left"/>
        <w:rPr>
          <w:rFonts w:ascii="inherit" w:hAnsi="inherit"/>
          <w:sz w:val="17"/>
        </w:rPr>
      </w:pPr>
      <w:r>
        <w:rPr>
          <w:rFonts w:ascii="inherit" w:hAnsi="inherit"/>
          <w:sz w:val="17"/>
        </w:rPr>
        <w:t>Senior Vice President,</w:t>
      </w:r>
    </w:p>
    <w:p>
      <w:pPr>
        <w:pStyle w:val="TextBody"/>
        <w:spacing w:lineRule="auto" w:line="288" w:before="0" w:after="0"/>
        <w:ind w:left="0" w:right="0" w:firstLine="7200"/>
        <w:jc w:val="left"/>
        <w:rPr>
          <w:rFonts w:ascii="inherit" w:hAnsi="inherit"/>
          <w:sz w:val="17"/>
        </w:rPr>
      </w:pPr>
      <w:r>
        <w:rPr>
          <w:rFonts w:ascii="inherit" w:hAnsi="inherit"/>
          <w:sz w:val="17"/>
        </w:rPr>
        <w:t>General Counsel and Secretary</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491</Words>
  <CharactersWithSpaces>3561</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