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77" w:type="dxa"/>
        <w:jc w:val="center"/>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March 31, 2026 or </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bookmarkStart w:id="0" w:name="i-1"/>
      <w:bookmarkEnd w:id="0"/>
    </w:p>
    <w:p>
      <w:pPr>
        <w:pStyle w:val="TextBody"/>
        <w:bidi w:val="0"/>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bidi w:val="0"/>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Layout w:type="fixed"/>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As of April 30, 2026, 58,565,807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596" w:type="dxa"/>
        <w:jc w:val="left"/>
        <w:tblInd w:w="0" w:type="dxa"/>
        <w:tblLayout w:type="fixed"/>
        <w:tblCellMar>
          <w:top w:w="28" w:type="dxa"/>
          <w:left w:w="28" w:type="dxa"/>
          <w:bottom w:w="28" w:type="dxa"/>
          <w:right w:w="28" w:type="dxa"/>
        </w:tblCellMar>
      </w:tblPr>
      <w:tblGrid>
        <w:gridCol w:w="3342"/>
        <w:gridCol w:w="2935"/>
        <w:gridCol w:w="2947"/>
        <w:gridCol w:w="109"/>
        <w:gridCol w:w="109"/>
        <w:gridCol w:w="154"/>
      </w:tblGrid>
      <w:tr>
        <w:trPr/>
        <w:tc>
          <w:tcPr>
            <w:tcW w:w="3342"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0">
              <w:r>
                <w:rPr>
                  <w:rStyle w:val="InternetLink"/>
                  <w:rFonts w:ascii="Arial Narrow;sans-serif" w:hAnsi="Arial Narrow;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3">
              <w:r>
                <w:rPr>
                  <w:rStyle w:val="InternetLink"/>
                  <w:rFonts w:ascii="Arial Narrow;sans-serif" w:hAnsi="Arial Narrow;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6">
              <w:r>
                <w:rPr>
                  <w:rStyle w:val="InternetLink"/>
                  <w:rFonts w:ascii="Arial Narrow;sans-serif" w:hAnsi="Arial Narrow;sans-serif"/>
                  <w:b w:val="false"/>
                  <w:color w:val="000080"/>
                  <w:sz w:val="20"/>
                  <w:u w:val="single"/>
                </w:rPr>
                <w:t xml:space="preserve">Condensed Consolidated Balance Sheets as of </w:t>
              </w:r>
            </w:hyperlink>
            <w:hyperlink w:anchor="i8c4814e513284b7e8142dceba7a0bacf_16">
              <w:r>
                <w:rPr>
                  <w:rStyle w:val="InternetLink"/>
                  <w:rFonts w:ascii="Arial Narrow;sans-serif" w:hAnsi="Arial Narrow;sans-serif"/>
                  <w:b w:val="false"/>
                  <w:color w:val="000080"/>
                  <w:sz w:val="20"/>
                  <w:u w:val="single"/>
                </w:rPr>
                <w:t>March</w:t>
              </w:r>
            </w:hyperlink>
            <w:hyperlink w:anchor="i8c4814e513284b7e8142dceba7a0bacf_16">
              <w:r>
                <w:rPr>
                  <w:rStyle w:val="InternetLink"/>
                  <w:rFonts w:ascii="Arial Narrow;sans-serif" w:hAnsi="Arial Narrow;sans-serif"/>
                  <w:b w:val="false"/>
                  <w:color w:val="000080"/>
                  <w:sz w:val="20"/>
                  <w:u w:val="single"/>
                </w:rPr>
                <w:t xml:space="preserve"> 31, 202</w:t>
              </w:r>
            </w:hyperlink>
            <w:hyperlink w:anchor="i8c4814e513284b7e8142dceba7a0bacf_16">
              <w:r>
                <w:rPr>
                  <w:rStyle w:val="InternetLink"/>
                  <w:rFonts w:ascii="Arial Narrow;sans-serif" w:hAnsi="Arial Narrow;sans-serif"/>
                  <w:b w:val="false"/>
                  <w:color w:val="000080"/>
                  <w:sz w:val="20"/>
                  <w:u w:val="single"/>
                </w:rPr>
                <w:t>6</w:t>
              </w:r>
            </w:hyperlink>
            <w:hyperlink w:anchor="i8c4814e513284b7e8142dceba7a0bacf_16">
              <w:r>
                <w:rPr>
                  <w:rStyle w:val="InternetLink"/>
                  <w:rFonts w:ascii="Arial Narrow;sans-serif" w:hAnsi="Arial Narrow;sans-serif"/>
                  <w:b w:val="false"/>
                  <w:color w:val="000080"/>
                  <w:sz w:val="20"/>
                  <w:u w:val="single"/>
                </w:rPr>
                <w:t xml:space="preserve"> and 202</w:t>
              </w:r>
            </w:hyperlink>
            <w:hyperlink w:anchor="i8c4814e513284b7e8142dceba7a0bacf_16">
              <w:r>
                <w:rPr>
                  <w:rStyle w:val="InternetLink"/>
                  <w:rFonts w:ascii="Arial Narrow;sans-serif" w:hAnsi="Arial Narrow;sans-serif"/>
                  <w:b w:val="false"/>
                  <w:color w:val="000080"/>
                  <w:sz w:val="20"/>
                  <w:u w:val="single"/>
                </w:rPr>
                <w:t>5</w:t>
              </w:r>
            </w:hyperlink>
            <w:hyperlink w:anchor="i8c4814e513284b7e8142dceba7a0bacf_16">
              <w:r>
                <w:rPr>
                  <w:rStyle w:val="InternetLink"/>
                  <w:rFonts w:ascii="Arial Narrow;sans-serif" w:hAnsi="Arial Narrow;sans-serif"/>
                  <w:b w:val="false"/>
                  <w:color w:val="000080"/>
                  <w:sz w:val="20"/>
                  <w:u w:val="single"/>
                </w:rPr>
                <w:t xml:space="preserve"> and September 30,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6">
              <w:r>
                <w:rPr>
                  <w:rStyle w:val="InternetLink"/>
                  <w:rFonts w:ascii="Arial Narrow;sans-serif" w:hAnsi="Arial Narrow;sans-serif"/>
                  <w:b w:val="false"/>
                  <w:color w:val="0000FF"/>
                  <w:sz w:val="20"/>
                  <w:u w:val="single"/>
                </w:rPr>
                <w:t>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9">
              <w:r>
                <w:rPr>
                  <w:rStyle w:val="InternetLink"/>
                  <w:rFonts w:ascii="Arial Narrow;sans-serif" w:hAnsi="Arial Narrow;sans-serif"/>
                  <w:b w:val="false"/>
                  <w:color w:val="000080"/>
                  <w:sz w:val="20"/>
                  <w:u w:val="single"/>
                </w:rPr>
                <w:t xml:space="preserve">Condensed Consolidated Statements of Operations for the Three </w:t>
              </w:r>
            </w:hyperlink>
            <w:hyperlink w:anchor="i8c4814e513284b7e8142dceba7a0bacf_19">
              <w:r>
                <w:rPr>
                  <w:rStyle w:val="InternetLink"/>
                  <w:rFonts w:ascii="Arial Narrow;sans-serif" w:hAnsi="Arial Narrow;sans-serif"/>
                  <w:b w:val="false"/>
                  <w:color w:val="000080"/>
                  <w:sz w:val="20"/>
                  <w:u w:val="single"/>
                </w:rPr>
                <w:t>an</w:t>
              </w:r>
            </w:hyperlink>
            <w:hyperlink w:anchor="i8c4814e513284b7e8142dceba7a0bacf_19">
              <w:r>
                <w:rPr>
                  <w:rStyle w:val="InternetLink"/>
                  <w:rFonts w:ascii="Arial Narrow;sans-serif" w:hAnsi="Arial Narrow;sans-serif"/>
                  <w:b w:val="false"/>
                  <w:color w:val="000080"/>
                  <w:sz w:val="20"/>
                  <w:u w:val="single"/>
                </w:rPr>
                <w:t xml:space="preserve">d Six </w:t>
              </w:r>
            </w:hyperlink>
            <w:hyperlink w:anchor="i8c4814e513284b7e8142dceba7a0bacf_19">
              <w:r>
                <w:rPr>
                  <w:rStyle w:val="InternetLink"/>
                  <w:rFonts w:ascii="Arial Narrow;sans-serif" w:hAnsi="Arial Narrow;sans-serif"/>
                  <w:b w:val="false"/>
                  <w:color w:val="000080"/>
                  <w:sz w:val="20"/>
                  <w:u w:val="single"/>
                </w:rPr>
                <w:t xml:space="preserve">Months Ended </w:t>
              </w:r>
            </w:hyperlink>
            <w:hyperlink w:anchor="i8c4814e513284b7e8142dceba7a0bacf_19">
              <w:r>
                <w:rPr>
                  <w:rStyle w:val="InternetLink"/>
                  <w:rFonts w:ascii="Arial Narrow;sans-serif" w:hAnsi="Arial Narrow;sans-serif"/>
                  <w:b w:val="false"/>
                  <w:color w:val="000080"/>
                  <w:sz w:val="20"/>
                  <w:u w:val="single"/>
                </w:rPr>
                <w:t>March</w:t>
              </w:r>
            </w:hyperlink>
            <w:hyperlink w:anchor="i8c4814e513284b7e8142dceba7a0bacf_19">
              <w:r>
                <w:rPr>
                  <w:rStyle w:val="InternetLink"/>
                  <w:rFonts w:ascii="Arial Narrow;sans-serif" w:hAnsi="Arial Narrow;sans-serif"/>
                  <w:b w:val="false"/>
                  <w:color w:val="000080"/>
                  <w:sz w:val="20"/>
                  <w:u w:val="single"/>
                </w:rPr>
                <w:t xml:space="preserve"> 31, 202</w:t>
              </w:r>
            </w:hyperlink>
            <w:hyperlink w:anchor="i8c4814e513284b7e8142dceba7a0bacf_19">
              <w:r>
                <w:rPr>
                  <w:rStyle w:val="InternetLink"/>
                  <w:rFonts w:ascii="Arial Narrow;sans-serif" w:hAnsi="Arial Narrow;sans-serif"/>
                  <w:b w:val="false"/>
                  <w:color w:val="000080"/>
                  <w:sz w:val="20"/>
                  <w:u w:val="single"/>
                </w:rPr>
                <w:t>6</w:t>
              </w:r>
            </w:hyperlink>
            <w:hyperlink w:anchor="i8c4814e513284b7e8142dceba7a0bacf_19">
              <w:r>
                <w:rPr>
                  <w:rStyle w:val="InternetLink"/>
                  <w:rFonts w:ascii="Arial Narrow;sans-serif" w:hAnsi="Arial Narrow;sans-serif"/>
                  <w:b w:val="false"/>
                  <w:color w:val="000080"/>
                  <w:sz w:val="20"/>
                  <w:u w:val="single"/>
                </w:rPr>
                <w:t xml:space="preserve"> and 202</w:t>
              </w:r>
            </w:hyperlink>
            <w:hyperlink w:anchor="i8c4814e513284b7e8142dceba7a0bacf_19">
              <w:r>
                <w:rPr>
                  <w:rStyle w:val="InternetLink"/>
                  <w:rFonts w:ascii="Arial Narrow;sans-serif" w:hAnsi="Arial Narrow;sans-serif"/>
                  <w:b w:val="false"/>
                  <w:color w:val="00008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9">
              <w:r>
                <w:rPr>
                  <w:rStyle w:val="InternetLink"/>
                  <w:rFonts w:ascii="Arial Narrow;sans-serif" w:hAnsi="Arial Narrow;sans-serif"/>
                  <w:b w:val="false"/>
                  <w:color w:val="0000FF"/>
                  <w:sz w:val="20"/>
                  <w:u w:val="single"/>
                </w:rPr>
                <w:t>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22">
              <w:r>
                <w:rPr>
                  <w:rStyle w:val="InternetLink"/>
                  <w:rFonts w:ascii="Arial Narrow;sans-serif" w:hAnsi="Arial Narrow;sans-serif"/>
                  <w:b w:val="false"/>
                  <w:color w:val="000080"/>
                  <w:sz w:val="20"/>
                  <w:u w:val="single"/>
                </w:rPr>
                <w:t xml:space="preserve">Condensed Consolidated Statements of Comprehensive Income for the Three </w:t>
              </w:r>
            </w:hyperlink>
            <w:hyperlink w:anchor="i8c4814e513284b7e8142dceba7a0bacf_22">
              <w:r>
                <w:rPr>
                  <w:rStyle w:val="InternetLink"/>
                  <w:rFonts w:ascii="Arial Narrow;sans-serif" w:hAnsi="Arial Narrow;sans-serif"/>
                  <w:b w:val="false"/>
                  <w:color w:val="000080"/>
                  <w:sz w:val="20"/>
                  <w:u w:val="single"/>
                </w:rPr>
                <w:t xml:space="preserve">and Six </w:t>
              </w:r>
            </w:hyperlink>
            <w:hyperlink w:anchor="i8c4814e513284b7e8142dceba7a0bacf_22">
              <w:r>
                <w:rPr>
                  <w:rStyle w:val="InternetLink"/>
                  <w:rFonts w:ascii="Arial Narrow;sans-serif" w:hAnsi="Arial Narrow;sans-serif"/>
                  <w:b w:val="false"/>
                  <w:color w:val="000080"/>
                  <w:sz w:val="20"/>
                  <w:u w:val="single"/>
                </w:rPr>
                <w:t xml:space="preserve">Months Ended </w:t>
              </w:r>
            </w:hyperlink>
            <w:hyperlink w:anchor="i8c4814e513284b7e8142dceba7a0bacf_22">
              <w:r>
                <w:rPr>
                  <w:rStyle w:val="InternetLink"/>
                  <w:rFonts w:ascii="Arial Narrow;sans-serif" w:hAnsi="Arial Narrow;sans-serif"/>
                  <w:b w:val="false"/>
                  <w:color w:val="000080"/>
                  <w:sz w:val="20"/>
                  <w:u w:val="single"/>
                </w:rPr>
                <w:t>March</w:t>
              </w:r>
            </w:hyperlink>
            <w:hyperlink w:anchor="i8c4814e513284b7e8142dceba7a0bacf_22">
              <w:r>
                <w:rPr>
                  <w:rStyle w:val="InternetLink"/>
                  <w:rFonts w:ascii="Arial Narrow;sans-serif" w:hAnsi="Arial Narrow;sans-serif"/>
                  <w:b w:val="false"/>
                  <w:color w:val="000080"/>
                  <w:sz w:val="20"/>
                  <w:u w:val="single"/>
                </w:rPr>
                <w:t xml:space="preserve"> 31, 202</w:t>
              </w:r>
            </w:hyperlink>
            <w:hyperlink w:anchor="i8c4814e513284b7e8142dceba7a0bacf_22">
              <w:r>
                <w:rPr>
                  <w:rStyle w:val="InternetLink"/>
                  <w:rFonts w:ascii="Arial Narrow;sans-serif" w:hAnsi="Arial Narrow;sans-serif"/>
                  <w:b w:val="false"/>
                  <w:color w:val="000080"/>
                  <w:sz w:val="20"/>
                  <w:u w:val="single"/>
                </w:rPr>
                <w:t>6</w:t>
              </w:r>
            </w:hyperlink>
            <w:hyperlink w:anchor="i8c4814e513284b7e8142dceba7a0bacf_22">
              <w:r>
                <w:rPr>
                  <w:rStyle w:val="InternetLink"/>
                  <w:rFonts w:ascii="Arial Narrow;sans-serif" w:hAnsi="Arial Narrow;sans-serif"/>
                  <w:b w:val="false"/>
                  <w:color w:val="000080"/>
                  <w:sz w:val="20"/>
                  <w:u w:val="single"/>
                </w:rPr>
                <w:t xml:space="preserve"> and 202</w:t>
              </w:r>
            </w:hyperlink>
            <w:hyperlink w:anchor="i8c4814e513284b7e8142dceba7a0bacf_22">
              <w:r>
                <w:rPr>
                  <w:rStyle w:val="InternetLink"/>
                  <w:rFonts w:ascii="Arial Narrow;sans-serif" w:hAnsi="Arial Narrow;sans-serif"/>
                  <w:b w:val="false"/>
                  <w:color w:val="00008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22">
              <w:r>
                <w:rPr>
                  <w:rStyle w:val="InternetLink"/>
                  <w:rFonts w:ascii="Arial Narrow;sans-serif" w:hAnsi="Arial Narrow;sans-serif"/>
                  <w:b w:val="false"/>
                  <w:color w:val="0000FF"/>
                  <w:sz w:val="20"/>
                  <w:u w:val="single"/>
                </w:rPr>
                <w:t>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25">
              <w:r>
                <w:rPr>
                  <w:rStyle w:val="InternetLink"/>
                  <w:rFonts w:ascii="Arial Narrow;sans-serif" w:hAnsi="Arial Narrow;sans-serif"/>
                  <w:b w:val="false"/>
                  <w:color w:val="000080"/>
                  <w:sz w:val="20"/>
                  <w:u w:val="single"/>
                </w:rPr>
                <w:t xml:space="preserve">Condensed Consolidated Statements of Stockholders’ Equity for the Periods Ended </w:t>
              </w:r>
            </w:hyperlink>
            <w:hyperlink w:anchor="i8c4814e513284b7e8142dceba7a0bacf_25">
              <w:r>
                <w:rPr>
                  <w:rStyle w:val="InternetLink"/>
                  <w:rFonts w:ascii="Arial Narrow;sans-serif" w:hAnsi="Arial Narrow;sans-serif"/>
                  <w:b w:val="false"/>
                  <w:color w:val="000080"/>
                  <w:sz w:val="20"/>
                  <w:u w:val="single"/>
                </w:rPr>
                <w:t>M</w:t>
              </w:r>
            </w:hyperlink>
            <w:hyperlink w:anchor="i8c4814e513284b7e8142dceba7a0bacf_25">
              <w:r>
                <w:rPr>
                  <w:rStyle w:val="InternetLink"/>
                  <w:rFonts w:ascii="Arial Narrow;sans-serif" w:hAnsi="Arial Narrow;sans-serif"/>
                  <w:b w:val="false"/>
                  <w:color w:val="000080"/>
                  <w:sz w:val="20"/>
                  <w:u w:val="single"/>
                </w:rPr>
                <w:t>arch</w:t>
              </w:r>
            </w:hyperlink>
            <w:hyperlink w:anchor="i8c4814e513284b7e8142dceba7a0bacf_25">
              <w:r>
                <w:rPr>
                  <w:rStyle w:val="InternetLink"/>
                  <w:rFonts w:ascii="Arial Narrow;sans-serif" w:hAnsi="Arial Narrow;sans-serif"/>
                  <w:b w:val="false"/>
                  <w:color w:val="000080"/>
                  <w:sz w:val="20"/>
                  <w:u w:val="single"/>
                </w:rPr>
                <w:t xml:space="preserve"> 31, 202</w:t>
              </w:r>
            </w:hyperlink>
            <w:hyperlink w:anchor="i8c4814e513284b7e8142dceba7a0bacf_25">
              <w:r>
                <w:rPr>
                  <w:rStyle w:val="InternetLink"/>
                  <w:rFonts w:ascii="Arial Narrow;sans-serif" w:hAnsi="Arial Narrow;sans-serif"/>
                  <w:b w:val="false"/>
                  <w:color w:val="000080"/>
                  <w:sz w:val="20"/>
                  <w:u w:val="single"/>
                </w:rPr>
                <w:t>6</w:t>
              </w:r>
            </w:hyperlink>
            <w:hyperlink w:anchor="i8c4814e513284b7e8142dceba7a0bacf_25">
              <w:r>
                <w:rPr>
                  <w:rStyle w:val="InternetLink"/>
                  <w:rFonts w:ascii="Arial Narrow;sans-serif" w:hAnsi="Arial Narrow;sans-serif"/>
                  <w:b w:val="false"/>
                  <w:color w:val="000080"/>
                  <w:sz w:val="20"/>
                  <w:u w:val="single"/>
                </w:rPr>
                <w:t xml:space="preserve"> and 202</w:t>
              </w:r>
            </w:hyperlink>
            <w:hyperlink w:anchor="i8c4814e513284b7e8142dceba7a0bacf_25">
              <w:r>
                <w:rPr>
                  <w:rStyle w:val="InternetLink"/>
                  <w:rFonts w:ascii="Arial Narrow;sans-serif" w:hAnsi="Arial Narrow;sans-serif"/>
                  <w:b w:val="false"/>
                  <w:color w:val="00008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25">
              <w:r>
                <w:rPr>
                  <w:rStyle w:val="InternetLink"/>
                  <w:rFonts w:ascii="Arial Narrow;sans-serif" w:hAnsi="Arial Narrow;sans-serif"/>
                  <w:b w:val="false"/>
                  <w:color w:val="0000FF"/>
                  <w:sz w:val="20"/>
                  <w:u w:val="single"/>
                </w:rPr>
                <w:t>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28">
              <w:r>
                <w:rPr>
                  <w:rStyle w:val="InternetLink"/>
                  <w:rFonts w:ascii="Arial Narrow;sans-serif" w:hAnsi="Arial Narrow;sans-serif"/>
                  <w:b w:val="false"/>
                  <w:color w:val="000080"/>
                  <w:sz w:val="20"/>
                  <w:u w:val="single"/>
                </w:rPr>
                <w:t xml:space="preserve">Condensed Consolidated Statements of Cash Flows for the </w:t>
              </w:r>
            </w:hyperlink>
            <w:hyperlink w:anchor="i8c4814e513284b7e8142dceba7a0bacf_28">
              <w:r>
                <w:rPr>
                  <w:rStyle w:val="InternetLink"/>
                  <w:rFonts w:ascii="Arial Narrow;sans-serif" w:hAnsi="Arial Narrow;sans-serif"/>
                  <w:b w:val="false"/>
                  <w:color w:val="000080"/>
                  <w:sz w:val="20"/>
                  <w:u w:val="single"/>
                </w:rPr>
                <w:t>Six</w:t>
              </w:r>
            </w:hyperlink>
            <w:hyperlink w:anchor="i8c4814e513284b7e8142dceba7a0bacf_28">
              <w:r>
                <w:rPr>
                  <w:rStyle w:val="InternetLink"/>
                  <w:rFonts w:ascii="Arial Narrow;sans-serif" w:hAnsi="Arial Narrow;sans-serif"/>
                  <w:b w:val="false"/>
                  <w:color w:val="000080"/>
                  <w:sz w:val="20"/>
                  <w:u w:val="single"/>
                </w:rPr>
                <w:t xml:space="preserve"> Months Ended </w:t>
              </w:r>
            </w:hyperlink>
            <w:hyperlink w:anchor="i8c4814e513284b7e8142dceba7a0bacf_28">
              <w:r>
                <w:rPr>
                  <w:rStyle w:val="InternetLink"/>
                  <w:rFonts w:ascii="Arial Narrow;sans-serif" w:hAnsi="Arial Narrow;sans-serif"/>
                  <w:b w:val="false"/>
                  <w:color w:val="000080"/>
                  <w:sz w:val="20"/>
                  <w:u w:val="single"/>
                </w:rPr>
                <w:t>March</w:t>
              </w:r>
            </w:hyperlink>
            <w:hyperlink w:anchor="i8c4814e513284b7e8142dceba7a0bacf_28">
              <w:r>
                <w:rPr>
                  <w:rStyle w:val="InternetLink"/>
                  <w:rFonts w:ascii="Arial Narrow;sans-serif" w:hAnsi="Arial Narrow;sans-serif"/>
                  <w:b w:val="false"/>
                  <w:color w:val="000080"/>
                  <w:sz w:val="20"/>
                  <w:u w:val="single"/>
                </w:rPr>
                <w:t xml:space="preserve"> 31, 202</w:t>
              </w:r>
            </w:hyperlink>
            <w:hyperlink w:anchor="i8c4814e513284b7e8142dceba7a0bacf_28">
              <w:r>
                <w:rPr>
                  <w:rStyle w:val="InternetLink"/>
                  <w:rFonts w:ascii="Arial Narrow;sans-serif" w:hAnsi="Arial Narrow;sans-serif"/>
                  <w:b w:val="false"/>
                  <w:color w:val="000080"/>
                  <w:sz w:val="20"/>
                  <w:u w:val="single"/>
                </w:rPr>
                <w:t>6</w:t>
              </w:r>
            </w:hyperlink>
            <w:hyperlink w:anchor="i8c4814e513284b7e8142dceba7a0bacf_28">
              <w:r>
                <w:rPr>
                  <w:rStyle w:val="InternetLink"/>
                  <w:rFonts w:ascii="Arial Narrow;sans-serif" w:hAnsi="Arial Narrow;sans-serif"/>
                  <w:b w:val="false"/>
                  <w:color w:val="000080"/>
                  <w:sz w:val="20"/>
                  <w:u w:val="single"/>
                </w:rPr>
                <w:t xml:space="preserve"> and 202</w:t>
              </w:r>
            </w:hyperlink>
            <w:hyperlink w:anchor="i8c4814e513284b7e8142dceba7a0bacf_28">
              <w:r>
                <w:rPr>
                  <w:rStyle w:val="InternetLink"/>
                  <w:rFonts w:ascii="Arial Narrow;sans-serif" w:hAnsi="Arial Narrow;sans-serif"/>
                  <w:b w:val="false"/>
                  <w:color w:val="00008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28">
              <w:r>
                <w:rPr>
                  <w:rStyle w:val="InternetLink"/>
                  <w:rFonts w:ascii="Arial Narrow;sans-serif" w:hAnsi="Arial Narrow;sans-serif"/>
                  <w:b w:val="false"/>
                  <w:color w:val="0000FF"/>
                  <w:sz w:val="20"/>
                  <w:u w:val="single"/>
                </w:rPr>
                <w:t>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31">
              <w:r>
                <w:rPr>
                  <w:rStyle w:val="InternetLink"/>
                  <w:rFonts w:ascii="Arial Narrow;sans-serif" w:hAnsi="Arial Narrow;sans-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31">
              <w:r>
                <w:rPr>
                  <w:rStyle w:val="InternetLink"/>
                  <w:rFonts w:ascii="Arial Narrow;sans-serif" w:hAnsi="Arial Narrow;sans-serif"/>
                  <w:b w:val="false"/>
                  <w:color w:val="0000FF"/>
                  <w:sz w:val="20"/>
                  <w:u w:val="single"/>
                </w:rPr>
                <w:t>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34">
              <w:r>
                <w:rPr>
                  <w:rStyle w:val="InternetLink"/>
                  <w:rFonts w:ascii="Arial Narrow;sans-serif" w:hAnsi="Arial Narrow;sans-serif"/>
                  <w:b w:val="false"/>
                  <w:color w:val="0000FF"/>
                  <w:sz w:val="20"/>
                  <w:u w:val="single"/>
                </w:rPr>
                <w:t>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37">
              <w:r>
                <w:rPr>
                  <w:rStyle w:val="InternetLink"/>
                  <w:rFonts w:ascii="Arial Narrow;sans-serif" w:hAnsi="Arial Narrow;sans-serif"/>
                  <w:b w:val="false"/>
                  <w:color w:val="0000FF"/>
                  <w:sz w:val="20"/>
                  <w:u w:val="single"/>
                </w:rPr>
                <w:t>Note 2: Acquisitions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37">
              <w:r>
                <w:rPr>
                  <w:rStyle w:val="InternetLink"/>
                  <w:rFonts w:ascii="Arial Narrow;sans-serif" w:hAnsi="Arial Narrow;sans-serif"/>
                  <w:b w:val="false"/>
                  <w:color w:val="0000FF"/>
                  <w:sz w:val="20"/>
                  <w:u w:val="single"/>
                </w:rPr>
                <w:t>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40">
              <w:r>
                <w:rPr>
                  <w:rStyle w:val="InternetLink"/>
                  <w:rFonts w:ascii="Arial Narrow;sans-serif" w:hAnsi="Arial Narrow;sans-serif"/>
                  <w:b w:val="false"/>
                  <w:color w:val="0000FF"/>
                  <w:sz w:val="20"/>
                  <w:u w:val="single"/>
                </w:rPr>
                <w:t>Note 3: 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40">
              <w:r>
                <w:rPr>
                  <w:rStyle w:val="InternetLink"/>
                  <w:rFonts w:ascii="Arial Narrow;sans-serif" w:hAnsi="Arial Narrow;sans-serif"/>
                  <w:b w:val="false"/>
                  <w:color w:val="0000FF"/>
                  <w:sz w:val="20"/>
                  <w:u w:val="single"/>
                </w:rPr>
                <w:t>11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43">
              <w:r>
                <w:rPr>
                  <w:rStyle w:val="InternetLink"/>
                  <w:rFonts w:ascii="Arial Narrow;sans-serif" w:hAnsi="Arial Narrow;sans-serif"/>
                  <w:b w:val="false"/>
                  <w:color w:val="0000FF"/>
                  <w:sz w:val="20"/>
                  <w:u w:val="single"/>
                </w:rPr>
                <w:t>Note 4: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43">
              <w:r>
                <w:rPr>
                  <w:rStyle w:val="InternetLink"/>
                  <w:rFonts w:ascii="Arial Narrow;sans-serif" w:hAnsi="Arial Narrow;sans-serif"/>
                  <w:b w:val="false"/>
                  <w:color w:val="0000FF"/>
                  <w:sz w:val="20"/>
                  <w:u w:val="single"/>
                </w:rPr>
                <w:t>12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46">
              <w:r>
                <w:rPr>
                  <w:rStyle w:val="InternetLink"/>
                  <w:rFonts w:ascii="Arial Narrow;sans-serif" w:hAnsi="Arial Narrow;sans-serif"/>
                  <w:b w:val="false"/>
                  <w:color w:val="0000FF"/>
                  <w:sz w:val="20"/>
                  <w:u w:val="single"/>
                </w:rPr>
                <w:t>Note 5: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46">
              <w:r>
                <w:rPr>
                  <w:rStyle w:val="InternetLink"/>
                  <w:rFonts w:ascii="Arial Narrow;sans-serif" w:hAnsi="Arial Narrow;sans-serif"/>
                  <w:b w:val="false"/>
                  <w:color w:val="0000FF"/>
                  <w:sz w:val="20"/>
                  <w:u w:val="singl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49">
              <w:r>
                <w:rPr>
                  <w:rStyle w:val="InternetLink"/>
                  <w:rFonts w:ascii="Arial Narrow;sans-serif" w:hAnsi="Arial Narrow;sans-serif"/>
                  <w:b w:val="false"/>
                  <w:color w:val="0000FF"/>
                  <w:sz w:val="20"/>
                  <w:u w:val="single"/>
                </w:rPr>
                <w:t>Note 6: Strategic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49">
              <w:r>
                <w:rPr>
                  <w:rStyle w:val="InternetLink"/>
                  <w:rFonts w:ascii="Arial Narrow;sans-serif" w:hAnsi="Arial Narrow;sans-serif"/>
                  <w:b w:val="false"/>
                  <w:color w:val="0000FF"/>
                  <w:sz w:val="20"/>
                  <w:u w:val="singl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52">
              <w:r>
                <w:rPr>
                  <w:rStyle w:val="InternetLink"/>
                  <w:rFonts w:ascii="Arial Narrow;sans-serif" w:hAnsi="Arial Narrow;sans-serif"/>
                  <w:b w:val="false"/>
                  <w:color w:val="0000FF"/>
                  <w:sz w:val="20"/>
                  <w:u w:val="single"/>
                </w:rPr>
                <w:t>Note 7: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52">
              <w:r>
                <w:rPr>
                  <w:rStyle w:val="InternetLink"/>
                  <w:rFonts w:ascii="Arial Narrow;sans-serif" w:hAnsi="Arial Narrow;sans-serif"/>
                  <w:b w:val="false"/>
                  <w:color w:val="0000FF"/>
                  <w:sz w:val="20"/>
                  <w:u w:val="single"/>
                </w:rPr>
                <w:t>15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55">
              <w:r>
                <w:rPr>
                  <w:rStyle w:val="InternetLink"/>
                  <w:rFonts w:ascii="Arial Narrow;sans-serif" w:hAnsi="Arial Narrow;sans-serif"/>
                  <w:b w:val="false"/>
                  <w:color w:val="0000FF"/>
                  <w:sz w:val="20"/>
                  <w:u w:val="single"/>
                </w:rPr>
                <w:t>Note 8: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55">
              <w:r>
                <w:rPr>
                  <w:rStyle w:val="InternetLink"/>
                  <w:rFonts w:ascii="Arial Narrow;sans-serif" w:hAnsi="Arial Narrow;sans-serif"/>
                  <w:b w:val="false"/>
                  <w:color w:val="0000FF"/>
                  <w:sz w:val="20"/>
                  <w:u w:val="single"/>
                </w:rPr>
                <w:t>16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58">
              <w:r>
                <w:rPr>
                  <w:rStyle w:val="InternetLink"/>
                  <w:rFonts w:ascii="Arial Narrow;sans-serif" w:hAnsi="Arial Narrow;sans-serif"/>
                  <w:b w:val="false"/>
                  <w:color w:val="0000FF"/>
                  <w:sz w:val="20"/>
                  <w:u w:val="single"/>
                </w:rPr>
                <w:t>Note 9: Common Stock and Stock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58">
              <w:r>
                <w:rPr>
                  <w:rStyle w:val="InternetLink"/>
                  <w:rFonts w:ascii="Arial Narrow;sans-serif" w:hAnsi="Arial Narrow;sans-serif"/>
                  <w:b w:val="false"/>
                  <w:color w:val="0000FF"/>
                  <w:sz w:val="20"/>
                  <w:u w:val="single"/>
                </w:rPr>
                <w:t>17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61">
              <w:r>
                <w:rPr>
                  <w:rStyle w:val="InternetLink"/>
                  <w:rFonts w:ascii="Arial Narrow;sans-serif" w:hAnsi="Arial Narrow;sans-serif"/>
                  <w:b w:val="false"/>
                  <w:color w:val="0000FF"/>
                  <w:sz w:val="20"/>
                  <w:u w:val="single"/>
                </w:rPr>
                <w:t>Note 10: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61">
              <w:r>
                <w:rPr>
                  <w:rStyle w:val="InternetLink"/>
                  <w:rFonts w:ascii="Arial Narrow;sans-serif" w:hAnsi="Arial Narrow;sans-serif"/>
                  <w:b w:val="false"/>
                  <w:color w:val="0000FF"/>
                  <w:sz w:val="20"/>
                  <w:u w:val="single"/>
                </w:rPr>
                <w:t>17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64">
              <w:r>
                <w:rPr>
                  <w:rStyle w:val="InternetLink"/>
                  <w:rFonts w:ascii="Arial Narrow;sans-serif" w:hAnsi="Arial Narrow;sans-serif"/>
                  <w:b w:val="false"/>
                  <w:color w:val="0000FF"/>
                  <w:sz w:val="20"/>
                  <w:u w:val="single"/>
                </w:rPr>
                <w:t>Note 11: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64">
              <w:r>
                <w:rPr>
                  <w:rStyle w:val="InternetLink"/>
                  <w:rFonts w:ascii="Arial Narrow;sans-serif" w:hAnsi="Arial Narrow;sans-serif"/>
                  <w:b w:val="false"/>
                  <w:color w:val="0000FF"/>
                  <w:sz w:val="20"/>
                  <w:u w:val="single"/>
                </w:rPr>
                <w:t>18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70">
              <w:r>
                <w:rPr>
                  <w:rStyle w:val="InternetLink"/>
                  <w:rFonts w:ascii="Arial Narrow;sans-serif" w:hAnsi="Arial Narrow;sans-serif"/>
                  <w:b w:val="false"/>
                  <w:color w:val="0000FF"/>
                  <w:sz w:val="20"/>
                  <w:u w:val="single"/>
                </w:rPr>
                <w:t>Note 12: Supplemental Consolidated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70">
              <w:r>
                <w:rPr>
                  <w:rStyle w:val="InternetLink"/>
                  <w:rFonts w:ascii="Arial Narrow;sans-serif" w:hAnsi="Arial Narrow;sans-serif"/>
                  <w:b w:val="false"/>
                  <w:color w:val="0000FF"/>
                  <w:sz w:val="20"/>
                  <w:u w:val="single"/>
                </w:rPr>
                <w:t>22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73">
              <w:r>
                <w:rPr>
                  <w:rStyle w:val="InternetLink"/>
                  <w:rFonts w:ascii="Arial Narrow;sans-serif" w:hAnsi="Arial Narrow;sans-serif"/>
                  <w:b w:val="false"/>
                  <w:color w:val="0000FF"/>
                  <w:sz w:val="20"/>
                  <w:u w:val="single"/>
                </w:rPr>
                <w:t>Note 13: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73">
              <w:r>
                <w:rPr>
                  <w:rStyle w:val="InternetLink"/>
                  <w:rFonts w:ascii="Arial Narrow;sans-serif" w:hAnsi="Arial Narrow;sans-serif"/>
                  <w:b w:val="false"/>
                  <w:color w:val="0000FF"/>
                  <w:sz w:val="20"/>
                  <w:u w:val="single"/>
                </w:rPr>
                <w:t>23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76">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76">
              <w:r>
                <w:rPr>
                  <w:rStyle w:val="InternetLink"/>
                  <w:rFonts w:ascii="Arial Narrow;sans-serif" w:hAnsi="Arial Narrow;sans-serif"/>
                  <w:b w:val="false"/>
                  <w:color w:val="0000FF"/>
                  <w:sz w:val="20"/>
                  <w:u w:val="single"/>
                </w:rPr>
                <w:t>24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15">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15">
              <w:r>
                <w:rPr>
                  <w:rStyle w:val="InternetLink"/>
                  <w:rFonts w:ascii="Arial Narrow;sans-serif" w:hAnsi="Arial Narrow;sans-serif"/>
                  <w:b w:val="false"/>
                  <w:color w:val="0000FF"/>
                  <w:sz w:val="20"/>
                  <w:u w:val="single"/>
                </w:rPr>
                <w:t>39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18">
              <w:r>
                <w:rPr>
                  <w:rStyle w:val="InternetLink"/>
                  <w:rFonts w:ascii="Arial Narrow;sans-serif" w:hAnsi="Arial Narrow;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18">
              <w:r>
                <w:rPr>
                  <w:rStyle w:val="InternetLink"/>
                  <w:rFonts w:ascii="Arial Narrow;sans-serif" w:hAnsi="Arial Narrow;sans-serif"/>
                  <w:b w:val="false"/>
                  <w:color w:val="0000FF"/>
                  <w:sz w:val="20"/>
                  <w:u w:val="single"/>
                </w:rPr>
                <w:t>39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21">
              <w:r>
                <w:rPr>
                  <w:rStyle w:val="InternetLink"/>
                  <w:rFonts w:ascii="Arial Narrow;sans-serif" w:hAnsi="Arial Narrow;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24">
              <w:r>
                <w:rPr>
                  <w:rStyle w:val="InternetLink"/>
                  <w:rFonts w:ascii="Arial Narrow;sans-serif" w:hAnsi="Arial Narrow;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24">
              <w:r>
                <w:rPr>
                  <w:rStyle w:val="InternetLink"/>
                  <w:rFonts w:ascii="Arial Narrow;sans-serif" w:hAnsi="Arial Narrow;sans-serif"/>
                  <w:b w:val="false"/>
                  <w:color w:val="0000FF"/>
                  <w:sz w:val="20"/>
                  <w:u w:val="single"/>
                </w:rPr>
                <w:t>40</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27">
              <w:r>
                <w:rPr>
                  <w:rStyle w:val="InternetLink"/>
                  <w:rFonts w:ascii="Arial Narrow;sans-serif" w:hAnsi="Arial Narrow;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27">
              <w:r>
                <w:rPr>
                  <w:rStyle w:val="InternetLink"/>
                  <w:rFonts w:ascii="Arial Narrow;sans-serif" w:hAnsi="Arial Narrow;sans-serif"/>
                  <w:b w:val="false"/>
                  <w:color w:val="0000FF"/>
                  <w:sz w:val="20"/>
                  <w:u w:val="single"/>
                </w:rPr>
                <w:t>40</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30">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30">
              <w:r>
                <w:rPr>
                  <w:rStyle w:val="InternetLink"/>
                  <w:rFonts w:ascii="Arial Narrow;sans-serif" w:hAnsi="Arial Narrow;sans-serif"/>
                  <w:b w:val="false"/>
                  <w:color w:val="0000FF"/>
                  <w:sz w:val="20"/>
                  <w:u w:val="single"/>
                </w:rPr>
                <w:t>41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33">
              <w:r>
                <w:rPr>
                  <w:rStyle w:val="InternetLink"/>
                  <w:rFonts w:ascii="Arial Narrow;sans-serif" w:hAnsi="Arial Narrow;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33">
              <w:r>
                <w:rPr>
                  <w:rStyle w:val="InternetLink"/>
                  <w:rFonts w:ascii="Arial Narrow;sans-serif" w:hAnsi="Arial Narrow;sans-serif"/>
                  <w:b w:val="false"/>
                  <w:color w:val="0000FF"/>
                  <w:sz w:val="20"/>
                  <w:u w:val="single"/>
                </w:rPr>
                <w:t>41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39">
              <w:r>
                <w:rPr>
                  <w:rStyle w:val="InternetLink"/>
                  <w:rFonts w:ascii="Arial Narrow;sans-serif" w:hAnsi="Arial Narrow;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39">
              <w:r>
                <w:rPr>
                  <w:rStyle w:val="InternetLink"/>
                  <w:rFonts w:ascii="Arial Narrow;sans-serif" w:hAnsi="Arial Narrow;sans-serif"/>
                  <w:b w:val="false"/>
                  <w:color w:val="0000FF"/>
                  <w:sz w:val="20"/>
                  <w:u w:val="single"/>
                </w:rPr>
                <w:t>42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4814e513284b7e8142dceba7a0bacf_142">
              <w:r>
                <w:rPr>
                  <w:rStyle w:val="InternetLink"/>
                  <w:rFonts w:ascii="Arial Narrow;sans-serif" w:hAnsi="Arial Narrow;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4814e513284b7e8142dceba7a0bacf_142">
              <w:r>
                <w:rPr>
                  <w:rStyle w:val="InternetLink"/>
                  <w:rFonts w:ascii="Arial Narrow;sans-serif" w:hAnsi="Arial Narrow;sans-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Layout w:type="fixed"/>
        <w:tblCellMar>
          <w:top w:w="28" w:type="dxa"/>
          <w:left w:w="28" w:type="dxa"/>
          <w:bottom w:w="28" w:type="dxa"/>
          <w:right w:w="28" w:type="dxa"/>
        </w:tblCellMar>
      </w:tblPr>
      <w:tblGrid>
        <w:gridCol w:w="2220"/>
        <w:gridCol w:w="1803"/>
        <w:gridCol w:w="1812"/>
        <w:gridCol w:w="109"/>
        <w:gridCol w:w="109"/>
        <w:gridCol w:w="109"/>
        <w:gridCol w:w="184"/>
        <w:gridCol w:w="779"/>
        <w:gridCol w:w="110"/>
        <w:gridCol w:w="109"/>
        <w:gridCol w:w="109"/>
        <w:gridCol w:w="109"/>
        <w:gridCol w:w="184"/>
        <w:gridCol w:w="779"/>
        <w:gridCol w:w="110"/>
        <w:gridCol w:w="109"/>
        <w:gridCol w:w="109"/>
        <w:gridCol w:w="109"/>
        <w:gridCol w:w="203"/>
        <w:gridCol w:w="861"/>
        <w:gridCol w:w="179"/>
      </w:tblGrid>
      <w:tr>
        <w:trPr/>
        <w:tc>
          <w:tcPr>
            <w:tcW w:w="222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354,175 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505,239 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349,368 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261,830 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275,963 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1,092,046 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1,066,957 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473,513 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305,239 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2,126,757 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39,522 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231,748 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264,039 </w:t>
            </w:r>
          </w:p>
        </w:tc>
        <w:tc>
          <w:tcPr>
            <w:tcW w:w="1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211,956 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984,832 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978,053 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100,000,000; issued and outstanding: 58,622,115 as of March 31, 2026; 52,043,599 as of March 31, 2025; 57,921,451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3,000,000; issued and outstanding: 2,970,171 as of March 31, 2026, March 31, 2025 and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451,471 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703,687 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EZCORP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1,120,009 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1,141,925 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2,126,757 </w:t>
            </w:r>
          </w:p>
        </w:tc>
        <w:tc>
          <w:tcPr>
            <w:tcW w:w="11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1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9207" w:type="dxa"/>
        <w:jc w:val="left"/>
        <w:tblInd w:w="0" w:type="dxa"/>
        <w:tblLayout w:type="fixed"/>
        <w:tblCellMar>
          <w:top w:w="28" w:type="dxa"/>
          <w:left w:w="28" w:type="dxa"/>
          <w:bottom w:w="28" w:type="dxa"/>
          <w:right w:w="28" w:type="dxa"/>
        </w:tblCellMar>
      </w:tblPr>
      <w:tblGrid>
        <w:gridCol w:w="1490"/>
        <w:gridCol w:w="1307"/>
        <w:gridCol w:w="1313"/>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w:t>
              <w:br/>
              <w:t xml:space="preserve">March 31, </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287,667 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93,407 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 attributable to EZCORP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 attributable to EZCORP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54"/>
        <w:gridCol w:w="1701"/>
        <w:gridCol w:w="1651"/>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205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5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5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(expense) for our investment in unconsolidated affiliate of $178 and $(305) for the three months ended March 31, 2026, and 2025, respectively and $97 and $(199) for the six months ended March 31,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 attributable to EZCORP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48,182 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96,345 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49,971 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1611" w:type="dxa"/>
        <w:jc w:val="left"/>
        <w:tblInd w:w="0" w:type="dxa"/>
        <w:tblLayout w:type="fixed"/>
        <w:tblCellMar>
          <w:top w:w="28" w:type="dxa"/>
          <w:left w:w="28" w:type="dxa"/>
          <w:bottom w:w="28" w:type="dxa"/>
          <w:right w:w="28" w:type="dxa"/>
        </w:tblCellMar>
      </w:tblPr>
      <w:tblGrid>
        <w:gridCol w:w="562"/>
        <w:gridCol w:w="244"/>
        <w:gridCol w:w="245"/>
        <w:gridCol w:w="109"/>
        <w:gridCol w:w="109"/>
        <w:gridCol w:w="109"/>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46"/>
        <w:gridCol w:w="776"/>
        <w:gridCol w:w="149"/>
        <w:gridCol w:w="109"/>
        <w:gridCol w:w="109"/>
        <w:gridCol w:w="109"/>
        <w:gridCol w:w="181"/>
        <w:gridCol w:w="766"/>
        <w:gridCol w:w="109"/>
        <w:gridCol w:w="109"/>
        <w:gridCol w:w="109"/>
        <w:gridCol w:w="109"/>
        <w:gridCol w:w="258"/>
        <w:gridCol w:w="816"/>
        <w:gridCol w:w="157"/>
        <w:gridCol w:w="109"/>
        <w:gridCol w:w="109"/>
        <w:gridCol w:w="109"/>
        <w:gridCol w:w="181"/>
        <w:gridCol w:w="76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EZCORP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in Founders net assets at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451,471 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703,687 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w:t>
            </w:r>
          </w:p>
        </w:tc>
        <w:tc>
          <w:tcPr>
            <w:tcW w:w="14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1,120,009 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21,916 </w:t>
            </w:r>
          </w:p>
        </w:tc>
        <w:tc>
          <w:tcPr>
            <w:tcW w:w="15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1,141,925 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6"/>
        <w:gridCol w:w="765"/>
        <w:gridCol w:w="768"/>
        <w:gridCol w:w="109"/>
        <w:gridCol w:w="109"/>
        <w:gridCol w:w="109"/>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86"/>
        <w:gridCol w:w="906"/>
        <w:gridCol w:w="173"/>
        <w:gridCol w:w="109"/>
        <w:gridCol w:w="109"/>
        <w:gridCol w:w="109"/>
        <w:gridCol w:w="181"/>
        <w:gridCol w:w="646"/>
        <w:gridCol w:w="157"/>
      </w:tblGrid>
      <w:tr>
        <w:trPr/>
        <w:tc>
          <w:tcPr>
            <w:tcW w:w="97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(58,866)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823,894 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895" w:type="dxa"/>
        <w:jc w:val="left"/>
        <w:tblInd w:w="0" w:type="dxa"/>
        <w:tblLayout w:type="fixed"/>
        <w:tblCellMar>
          <w:top w:w="28" w:type="dxa"/>
          <w:left w:w="28" w:type="dxa"/>
          <w:bottom w:w="28" w:type="dxa"/>
          <w:right w:w="28" w:type="dxa"/>
        </w:tblCellMar>
      </w:tblPr>
      <w:tblGrid>
        <w:gridCol w:w="1926"/>
        <w:gridCol w:w="1697"/>
        <w:gridCol w:w="1701"/>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from remeasurement of previously held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(114,651)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370,062 </w:t>
            </w:r>
          </w:p>
        </w:tc>
        <w:tc>
          <w:tcPr>
            <w:tcW w:w="109"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514,738 </w:t>
            </w:r>
          </w:p>
        </w:tc>
        <w:tc>
          <w:tcPr>
            <w:tcW w:w="154"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497F"/>
          <w:sz w:val="28"/>
        </w:rPr>
        <w:t xml:space="preserve">Notes to Condensed Consolidated Financial Statements </w:t>
        <w:br/>
      </w:r>
      <w:r>
        <w:rPr>
          <w:rFonts w:ascii="Arial Narrow;sans-serif" w:hAnsi="Arial Narrow;sans-serif"/>
          <w:b/>
          <w:color w:val="00497F"/>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 ORGANIZATION AND SUMMARY OF SIGNIFICANT ACCOUNTING POLICIES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Description of Business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Latin America and the Caribbean. Pawn loans are non-recourse loans collateralized by tangible property. We also sell merchandise, primarily collateral forfeited from pawn lending operations and pre-owned merchandise purchased from customers.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Basis of Presentation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These Condensed Consolidated Financial Statements should be read in conjunction with the audited consolidated financial statements and related notes contained in our Annual Report on Form 10-K for the year ended September 30, 2025, filed with the Securities and Exchange Commission (“SEC”) on November 13, 2025 (“2025 Annual Report”).</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opinion of management, the accompanying Condensed Consolidated Financial Statements include all adjustments, consisting of normal recurring adjustments, considered necessary for a fair presentation. Financial results for the periods presented are not necessarily indicative of results that may be expected for the fiscal year ending September 30, 2026 or any other period due, in part, to seasonal variations.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Beginning in the first quarter of fiscal 2026, following a review of segment expenses to better align direct operating expenses with the respective segments, we modified our methodology for allocating certain expenses used in evaluating financial and segment performance and resource allocation. Specifically, we no longer allocate certain administrative expenses to our Latin America Pawn and U.S. Pawn segments; these costs are now reported within the "General and administrative" line in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have recast the Condensed Consolidated Statements of Operations and segment contribution for prior periods to conform to this methodology. This resulted in a classification change of certain expenses totaling $5.5 million and $11.0 million from Store expenses to General and administrative for the three and six months ended March 31, 2025, respectively. Additionally, segment contribution no longer includes certain administrative allocations to segments; these costs are now included within Corporate. Refer to Note 11: Segment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was no impact to Total operating expenses, Operating income, or Consolidated net income on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a result of the acquisition of Founders One, LLC ("Founders") and its subsidiary Simple Management Group, Inc. ("SMG") effective January 2, 2026, the composition of our reportable segments changed beginning in the second quarter of fiscal 2026. SMG is now reported as a standalone reportable segment. Our equity interest in Cash Converters International Limited (“Cash Converters”) is now included within Corporate, and the Other Investments segment has been eliminated. Prior period segment information has been recast to conform to the current presentation. Refer to Note 11: Segment Information.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Summary of Significant Accounting Policies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There were no material changes to our significant accounting policies during the six months ended March 31, 2026 from the policies described in our 2025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pPr>
      <w:r>
        <w:rPr>
          <w:rFonts w:ascii="Arial Narrow;sans-serif" w:hAnsi="Arial Narrow;sans-serif"/>
          <w:b/>
          <w:color w:val="000000"/>
          <w:sz w:val="20"/>
        </w:rPr>
        <w:t>Use of Estimates and Assumptions</w:t>
      </w:r>
      <w:r>
        <w:rPr>
          <w:color w:val="000000"/>
        </w:rPr>
        <w:t xml:space="preserv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pStyle w:val="TextBody"/>
        <w:bidi w:val="0"/>
        <w:spacing w:lineRule="auto" w:line="288" w:before="180" w:after="180"/>
        <w:jc w:val="both"/>
        <w:rPr>
          <w:rFonts w:ascii="Arial Narrow;sans-serif" w:hAnsi="Arial Narrow;sans-serif"/>
          <w:b/>
          <w:color w:val="000000"/>
          <w:sz w:val="20"/>
        </w:rPr>
      </w:pPr>
      <w:r>
        <w:rPr>
          <w:rFonts w:ascii="Arial Narrow;sans-serif" w:hAnsi="Arial Narrow;sans-serif"/>
          <w:b/>
          <w:color w:val="000000"/>
          <w:sz w:val="20"/>
        </w:rPr>
        <w:t>Merchandise Sales Revenues Recognition</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Customer layaway deposits are recorded as liabilities when a customer provides a deposit for merchandise. Upon cancellation, customer layaway deposits are generally refundable, less a cancellation fee, via credit slip. Our customer layaway deposits balance as of March 31, 2026, 2025 and September 30, 2025 was $39.5 million, $31.0 million and $33.9 million, respectively, and are generally recognized as revenues within a one-year period.</w:t>
      </w:r>
    </w:p>
    <w:p>
      <w:pPr>
        <w:pStyle w:val="TextBody"/>
        <w:bidi w:val="0"/>
        <w:spacing w:lineRule="auto" w:line="288" w:before="180" w:after="180"/>
        <w:jc w:val="both"/>
        <w:rPr>
          <w:rFonts w:ascii="Arial Narrow;sans-serif" w:hAnsi="Arial Narrow;sans-serif"/>
          <w:b/>
          <w:color w:val="000000"/>
          <w:sz w:val="20"/>
        </w:rPr>
      </w:pPr>
      <w:r>
        <w:rPr>
          <w:rFonts w:ascii="Arial Narrow;sans-serif" w:hAnsi="Arial Narrow;sans-serif"/>
          <w:b/>
          <w:color w:val="000000"/>
          <w:sz w:val="20"/>
        </w:rPr>
        <w:t>Recently Issued Accounting Pronouncements</w:t>
      </w:r>
    </w:p>
    <w:p>
      <w:pPr>
        <w:pStyle w:val="TextBody"/>
        <w:bidi w:val="0"/>
        <w:spacing w:lineRule="auto" w:line="288" w:before="180" w:after="283"/>
        <w:jc w:val="both"/>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annual periods beginning after December 15, 2024. Early adoption is permitted, and the amendments should be applied on a prospective basis. Retrospective application is permitted. The adoption of this ASU is expected to only impact disclosures with respect to the Company’s consolidated financial statements.</w:t>
      </w:r>
    </w:p>
    <w:p>
      <w:pPr>
        <w:pStyle w:val="TextBody"/>
        <w:bidi w:val="0"/>
        <w:spacing w:lineRule="auto" w:line="288" w:before="180" w:after="283"/>
        <w:jc w:val="both"/>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(“ASU 2024-03”). Additionally, in January 2025, the FASB 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periods presented in the financial statements. We are currently evaluating the impact of this standard on our consolidated financial statements and related disclosures.</w:t>
      </w:r>
    </w:p>
    <w:p>
      <w:pPr>
        <w:pStyle w:val="TextBody"/>
        <w:bidi w:val="0"/>
        <w:spacing w:lineRule="auto" w:line="288" w:before="180" w:after="283"/>
        <w:jc w:val="both"/>
        <w:rPr/>
      </w:pPr>
      <w:r>
        <w:rPr>
          <w:rFonts w:ascii="Arial Narrow;sans-serif" w:hAnsi="Arial Narrow;sans-serif"/>
          <w:b w:val="false"/>
          <w:color w:val="000000"/>
          <w:sz w:val="20"/>
        </w:rPr>
        <w:t xml:space="preserve">In May 2025, the FASB issued ASU 2025-03, </w:t>
      </w:r>
      <w:r>
        <w:rPr>
          <w:rFonts w:ascii="Arial Narrow;sans-serif" w:hAnsi="Arial Narrow;sans-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Arial Narrow;sans-serif" w:hAnsi="Arial Narrow;sans-serif"/>
          <w:b w:val="false"/>
          <w:color w:val="000000"/>
          <w:sz w:val="20"/>
        </w:rPr>
        <w:t>(“ASU 2025-03”). ASU 2025-03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requirements of ASU 2025-03 are effective for the Company for fiscal years beginning after December 15, 2026, and interim periods within those periods. Early adoption is permitted as of the beginning of an interim or annual reporting period. We are currently evaluating the impact of this standard on our consolidated financial statements and related disclosures.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September 2025, the FASB issued ASU 2025-06,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We are currently evaluating the impact of this standard on our consolidated financial statements and related disclosures.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November 2025, the FASB issued ASU 2025-08, Financial Instruments - Credit Losses (Topic 326): Purchased Loans. ASU 2025-08 expands the use of the gross up method to certain acquired loans. Purchased season loans will be accounted for using the gross-up approach. The ASU is effective for fiscal years beginning after December 15, 2026, including interim periods within those fiscal years. We are currently evaluating the impact of this standard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December 2025, the FASB issued ASU 2025-11, Interim Reporting (Topic 270), which clarifies the scope of interim reporting requirements and introduces a principles-based framework for disclosure of material events occurring after the most recent annual period. The ASU also consolidates interim disclosure requirements from other Codification topics into ASC 270. The guidance is effective for interim periods beginning after December 15, 2027, with early adoption permitted. We are currently evaluating the impact of this standard on our interim reporting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ACQUISITIONS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Founders One Acquisition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January 2, 2026, we acquired a controlling interest in Founders by exchanging our existing $45.0 million preferred equity investment and $15.0 million demand promissory note into common equity and contributing an additional $4.4 million in cash. We now own 87.7% of Founders' outstanding common equity. At the time of acquisition, Founders, through its subsidiary SMG, operated 105 pawn stores in the United States and 11 additional countries, primarily under the names "La Familia Pawn and Jewelry" and "CashWiz." Founders holds 85.1% ownership interest in SMG. The acquisition advances our strategy to expand our global pawn operations by consolidating our interest in an established multi-country platform and existing operational infrastructure. Following the departure of the SMG CEO in April, we have assumed direct operational management of 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was accounted for as a business combination achieved in stages. Immediately prior to the acquisition date, we remeasured our previously held preferred equity investment to its acquisition-date fair value of $46.6 million, resulting in a pre-tax gain of $1.6 million recognized in Other (income) expense in our Condensed Consolidated Statements of Operations during the three months ended March 31, 2026. The acquisition-date fair value of the previously held preferred equity interest was determined using the income approach (discounted cash flow method) and the market approach (guideline public company method). The value attributable to the preferred equity class was determined using an option pricing model, with significant inputs including expected volatility, a risk-free rate, and an estimated time to liquidity.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previously held demand promissory note was remeasured to its acquisition-date fair value of $15.0 million, with no gain or loss recognized. In connection with the acquisition, a demand promissory note with a principal balance of $15.0 million and accrued interest of $3.9 million previously held by us at the Founders level was repaid through proceeds of a new debt facility entered into by SMG. This repayment represented the settlement of a pre-existing creditor relationship and was accounted for separately from the business combination. The settlement amount was determined based on the carrying value of the note, which approximated fair value due to its demand nature and market interest rate. No gain or loss resulted from the settlement, and no amount was recognized in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The acquisition included an organized workforce, established pawn operations, and the intellectual property and operational systems across 105 stores. The assets acquired and liabilities assumed are based upon the fair values at the date of acquisition. The excess of the aggregate of consideration transferred, the acquisition-date fair value of previously held interests, and the fair values of noncontrolling interests over the estimated fair value of net identifiable liabilities assumed has been recorded as goodwill.</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purchase price allocation is as follows (in thousands):</w:t>
      </w:r>
    </w:p>
    <w:tbl>
      <w:tblPr>
        <w:tblW w:w="5433" w:type="dxa"/>
        <w:jc w:val="left"/>
        <w:tblInd w:w="0" w:type="dxa"/>
        <w:tblLayout w:type="fixed"/>
        <w:tblCellMar>
          <w:top w:w="28" w:type="dxa"/>
          <w:left w:w="28" w:type="dxa"/>
          <w:bottom w:w="28" w:type="dxa"/>
          <w:right w:w="28" w:type="dxa"/>
        </w:tblCellMar>
      </w:tblPr>
      <w:tblGrid>
        <w:gridCol w:w="1504"/>
        <w:gridCol w:w="1319"/>
        <w:gridCol w:w="1332"/>
        <w:gridCol w:w="109"/>
        <w:gridCol w:w="109"/>
        <w:gridCol w:w="109"/>
        <w:gridCol w:w="181"/>
        <w:gridCol w:w="61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(36,055)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was calculated as follows (in thousands):</w:t>
      </w:r>
    </w:p>
    <w:tbl>
      <w:tblPr>
        <w:tblW w:w="4788" w:type="dxa"/>
        <w:jc w:val="left"/>
        <w:tblInd w:w="0" w:type="dxa"/>
        <w:tblLayout w:type="fixed"/>
        <w:tblCellMar>
          <w:top w:w="28" w:type="dxa"/>
          <w:left w:w="28" w:type="dxa"/>
          <w:bottom w:w="28" w:type="dxa"/>
          <w:right w:w="28" w:type="dxa"/>
        </w:tblCellMar>
      </w:tblPr>
      <w:tblGrid>
        <w:gridCol w:w="1253"/>
        <w:gridCol w:w="1104"/>
        <w:gridCol w:w="1108"/>
        <w:gridCol w:w="109"/>
        <w:gridCol w:w="109"/>
        <w:gridCol w:w="109"/>
        <w:gridCol w:w="181"/>
        <w:gridCol w:w="66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previously held preferred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previously held demand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noncontrolling interest in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noncontrolling interest in SMG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87,380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net identifiable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Goodwill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123,435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fair values of the noncontrolling interests in Founders and SMG were determined using a combination of the income approach (discounted cash flow method) and the market approach (guideline public company method), with significant inputs including projected cash flows, a discount rate, and market multiples.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connection with the acquisition, we entered into a three-year senior secured intercompany debt facility with SMG providing $156.4 million in funding at 13% per annum. SMG used the facility proceeds to retire its pre-existing third-party debt, which is reflected as assumed debt in the purchase price allocation above. The cash outflow is presented within “Payments of debt” on the Condensed Consolidated Statements of Cash Flows. This intercompany facility eliminates upon consolidation.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SMG segment, include the value of SMG's assembled workforce, established multi-country store network, and expected synergies with our existing U.S. and Latin America pawn operations. None of the goodwill resulting from this business combination is expected to be deductible for income tax purposes.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tradenames acquired have been assigned indefinite useful lives and will not be amortized. They will be tested for impairment at least annually in accordance with ASC 350.</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purchase price allocation presented above is preliminary. The fair values of tradenames, certain payroll related liabilities, and deferred taxes have not been finalized. All other amounts are also subject to adjustment during the measurement period as additional information is obtained about facts and circumstances that existed as of the acquisition date. No measurement period adjustments were recorded during the three months ended March 31, 2026.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results of this acquisition have been included in our Condensed Consolidated Financial Statements from January 2, 2026 and are reported in our SMG segment. The acquired business contributed revenues of $51.3 million and income before income tax of $8.8 million for the period from January 2, 2026 through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2026, we incurred total acquisition costs of approximately $0.6 million related to the Founders acquisition. Cumulative acquisition-related costs incurred through March 31, 2026 were approximately $1.5 million. The acquisition costs were primarily related to legal, accounting and consulting services, were expensed as incurred and are included in general and administrative expenses in the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Founders and SMG are variable interest entities, as neither entity has sufficient equity at risk to finance its activities without additional subordinated financial support. We are now the primary beneficiary of both entities and directly or indirectly hold a majority voting interest in each. We determined that we are the primary beneficiary based on our role as sole Manager of Founders, which controls SMG's board of directors, and our obligation to absorb losses or receive benefits through our 87.7% equity interest in Founders and related lending arrangements. Founders is a holding entity whose sole asset is its equity interest in SMG, which eliminates upon consolidation. SMG is the operating entity whose assets and liabilities are included in our Condensed Consolidated Financial Statements. As SMG meets the definition of a business, we indirectly hold a majority voting interest through Founders, which owns 85.1% of SMG's outstanding common stock, and SMG's assets can be used for purposes other than the settlement of its obligations, certain incremental VIE disclosures are not required in accordance with ASC 810-10-50-5B. The third-party member of Founders holds 12.3% of Founders' outstanding common equity. Third-party shareholders hold 14.9% of SMG's outstanding common stock. These noncontrolling interests are presented separately within Stockholders’ equity on our Condensed Consolidated Balance Sheets.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El Bufalo Pawn Acquisition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January 12, 2026, we acquired the business operations of 12 pawn stores in Texas, primarily in the Laredo area, operating under the name "El Bufalo Pawn," from LBP, L.P. and certain individual sellers. The total consideration was approximately $27.8 million in cash, of which approximately $1.4 million was retained for standard indemnification purposes and is expected to be paid within twelve months of the acquisition date. The retained payment is included in Accounts payable, accrued expenses and other current liabilities on our Condensed Consolidated Balance Sheets as of March 31,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Although the transaction includes tangible assets such as loans and inventory, the inclusion of operating infrastructure, licenses, and a functioning workforce supports the conclusion that a business, rather than a group of assets, was acquired.</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assets acquired and liabilities assumed are based upon the fair values at the date of acquisition. The excess purchase price over the estimated fair market value of the net assets acquired has been recorded as goodwill.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final purchase price allocation is as follows (in thousands):</w:t>
      </w:r>
    </w:p>
    <w:tbl>
      <w:tblPr>
        <w:tblW w:w="3273" w:type="dxa"/>
        <w:jc w:val="left"/>
        <w:tblInd w:w="0" w:type="dxa"/>
        <w:tblLayout w:type="fixed"/>
        <w:tblCellMar>
          <w:top w:w="28" w:type="dxa"/>
          <w:left w:w="28" w:type="dxa"/>
          <w:bottom w:w="28" w:type="dxa"/>
          <w:right w:w="28" w:type="dxa"/>
        </w:tblCellMar>
      </w:tblPr>
      <w:tblGrid>
        <w:gridCol w:w="793"/>
        <w:gridCol w:w="695"/>
        <w:gridCol w:w="702"/>
        <w:gridCol w:w="109"/>
        <w:gridCol w:w="109"/>
        <w:gridCol w:w="109"/>
        <w:gridCol w:w="185"/>
        <w:gridCol w:w="408"/>
        <w:gridCol w:w="163"/>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10,035 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26,444</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U.S. Pawn segment, were based on several strategic benefits we expect to realize from the acquisition, including expansion of our store base in the Laredo market and the ability to further leverage our pawn expertise. We expect all of the goodwill resulting from this business combination will be deductible for income tax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results of this acquisition have been included in our Condensed Consolidated Financial Statements from January 12, 2026 and are reported in our U.S. Pawn segment. The acquired business contributed revenues of $2.7 million and income before income tax of $0.6 million for the period from January 12, 2026 through March 31,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2026, total acquisition costs were immaterial. The acquisition costs were primarily related to legal, accounting and consulting services, were expensed as incurred and are included in general and administrative expenses in the Condensed Consolidated Statements of Operations.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Unaudited Supplementary Pro Forma Financial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unaudited pro forma summary presents consolidated information for us as if both business combinations described in this note had occurred on October 1, 2024.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acquisitions.</w:t>
      </w:r>
    </w:p>
    <w:tbl>
      <w:tblPr>
        <w:tblW w:w="6434" w:type="dxa"/>
        <w:jc w:val="left"/>
        <w:tblInd w:w="0" w:type="dxa"/>
        <w:tblLayout w:type="fixed"/>
        <w:tblCellMar>
          <w:top w:w="28" w:type="dxa"/>
          <w:left w:w="28" w:type="dxa"/>
          <w:bottom w:w="28" w:type="dxa"/>
          <w:right w:w="28" w:type="dxa"/>
        </w:tblCellMar>
      </w:tblPr>
      <w:tblGrid>
        <w:gridCol w:w="601"/>
        <w:gridCol w:w="530"/>
        <w:gridCol w:w="533"/>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883,357 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Pro forma net income for the three and six months ended March 31, 2026 was adjusted to exclude the $1.6 million gain on remeasurement of the previously held equity interest in Founders and approximately $0.7 million of acquisition-related costs directly attributable to the acquisitions. Pro forma net income for the three and six months ended March 31, 2025 was adjusted to include these amounts. These pro forma amounts have been calculated after applying the Company's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GOODWILL</w:t>
      </w:r>
    </w:p>
    <w:p>
      <w:pPr>
        <w:pStyle w:val="TextBody"/>
        <w:bidi w:val="0"/>
        <w:spacing w:lineRule="auto" w:line="288" w:before="180" w:after="180"/>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changes in the carrying amount of goodwill by segment and in total:</w:t>
      </w:r>
    </w:p>
    <w:tbl>
      <w:tblPr>
        <w:tblW w:w="8730"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181"/>
        <w:gridCol w:w="646"/>
        <w:gridCol w:w="109"/>
        <w:gridCol w:w="109"/>
        <w:gridCol w:w="109"/>
        <w:gridCol w:w="109"/>
        <w:gridCol w:w="315"/>
        <w:gridCol w:w="995"/>
        <w:gridCol w:w="190"/>
        <w:gridCol w:w="109"/>
        <w:gridCol w:w="109"/>
        <w:gridCol w:w="109"/>
        <w:gridCol w:w="181"/>
        <w:gridCol w:w="646"/>
        <w:gridCol w:w="109"/>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147,762 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290,701 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59,377 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123,435 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473,513 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both"/>
        <w:rPr/>
      </w:pPr>
      <w:r>
        <w:rPr>
          <w:rFonts w:ascii="Arial Narrow;sans-serif" w:hAnsi="Arial Narrow;sans-serif"/>
          <w:b w:val="false"/>
          <w:color w:val="000000"/>
          <w:sz w:val="16"/>
        </w:rPr>
        <w:t>(a)</w:t>
      </w:r>
      <w:r>
        <w:rPr>
          <w:color w:val="000000"/>
        </w:rPr>
        <w:t xml:space="preserve"> </w:t>
      </w:r>
      <w:r>
        <w:rPr>
          <w:rFonts w:ascii="Arial Narrow;sans-serif" w:hAnsi="Arial Narrow;sans-serif"/>
          <w:b w:val="false"/>
          <w:color w:val="000000"/>
          <w:sz w:val="16"/>
        </w:rPr>
        <w:t>Amount includes goodwill recognized in connection with acquisitions during the six months ended March 31, 2026 that were immaterial, individually and in the aggregate, and we have therefore omitted certain disclosures in this Form 10-Q.</w:t>
      </w:r>
    </w:p>
    <w:p>
      <w:pPr>
        <w:pStyle w:val="TextBody"/>
        <w:bidi w:val="0"/>
        <w:spacing w:before="60" w:after="60"/>
        <w:ind w:left="0" w:right="0" w:hanging="180"/>
        <w:jc w:val="both"/>
        <w:rPr/>
      </w:pPr>
      <w:r>
        <w:rPr/>
      </w:r>
    </w:p>
    <w:tbl>
      <w:tblPr>
        <w:tblW w:w="7467"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40,811 </w:t>
            </w:r>
          </w:p>
        </w:tc>
        <w:tc>
          <w:tcPr>
            <w:tcW w:w="190"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305,239 </w:t>
            </w:r>
          </w:p>
        </w:tc>
        <w:tc>
          <w:tcPr>
            <w:tcW w:w="16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EARNINGS PER SHARE</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reconciles the number of common shares used to compute basic and diluted </w:t>
      </w:r>
      <w:r>
        <w:rPr>
          <w:rFonts w:ascii="Arial Narrow;sans-serif" w:hAnsi="Arial Narrow;sans-serif"/>
          <w:b w:val="false"/>
          <w:color w:val="000000"/>
          <w:sz w:val="20"/>
          <w:shd w:fill="FFFFFF" w:val="clear"/>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Layout w:type="fixed"/>
        <w:tblCellMar>
          <w:top w:w="28" w:type="dxa"/>
          <w:left w:w="28" w:type="dxa"/>
          <w:bottom w:w="28" w:type="dxa"/>
          <w:right w:w="28" w:type="dxa"/>
        </w:tblCellMar>
      </w:tblPr>
      <w:tblGrid>
        <w:gridCol w:w="2097"/>
        <w:gridCol w:w="1814"/>
        <w:gridCol w:w="1822"/>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6"/>
      </w:tblGrid>
      <w:tr>
        <w:trPr/>
        <w:tc>
          <w:tcPr>
            <w:tcW w:w="2097"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5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basic</w:t>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w:t>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w:t>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 attributable to EZCORP</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basic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56,406 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Add: Convertible Notes interest expense, net of tax </w:t>
            </w:r>
            <w:r>
              <w:rPr>
                <w:rFonts w:ascii="Arial Narrow;sans-serif" w:hAnsi="Arial Narrow;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diluted</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97,135 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61,250 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54,895 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Equity-based compensation awards - effect of dilution </w:t>
            </w:r>
            <w:r>
              <w:rPr>
                <w:rFonts w:ascii="Arial Narrow;sans-serif" w:hAnsi="Arial Narrow;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Convertible Notes - effect of dilution </w:t>
            </w:r>
            <w:r>
              <w:rPr>
                <w:rFonts w:ascii="Arial Narrow;sans-serif" w:hAnsi="Arial Narrow;sans-serif"/>
                <w:b w:val="false"/>
                <w:color w:val="000000"/>
                <w:sz w:val="12"/>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83,410 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83,247 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 attributable to EZCORP</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0.74 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common share above: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Restricted stock </w:t>
            </w:r>
            <w:r>
              <w:rPr>
                <w:rFonts w:ascii="Arial Narrow;sans-serif" w:hAnsi="Arial Narrow;sans-serif"/>
                <w:b w:val="false"/>
                <w:color w:val="000000"/>
                <w:sz w:val="12"/>
              </w:rPr>
              <w:t>(d)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 xml:space="preserve">(a)    The Company’s convertible debt for the three and six months ended March 31, 2026 consists of the 3.750% Convertible Senior Notes Due 2029 (the “2029 Convertible Notes”) and, for the three and six months ended March 31, 2025, also includes the 2.375% Convertible Senior Notes Due 2025 (the “2025 Convertible Notes”).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(b)    Includes time-based share-based awards and performance-based awards for which targets for fiscal year tranches have been achieved and vesting is subject only to achievement of service conditions.</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 xml:space="preserve">(c)    Approximately 6.5 million of weighted average shares were included for the three and six months ended March 31, 2025 related to the 2025 Convertible Notes, which were settled in the third quarter of fiscal 2025 with a combination of cash and shares.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(d)    Includes antidilutive share-based awards as well as performance-based share-based awards that are contingently issuable, but for which the condition for issuance has not been met as of the end of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LEASES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five to ten years and finance leases for vehicles with lease terms ranging from two to five years.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table below presents balances of our lease assets and liabilities and their balance sheet locations for both operating and financing leases:</w:t>
      </w:r>
    </w:p>
    <w:tbl>
      <w:tblPr>
        <w:tblW w:w="10205" w:type="dxa"/>
        <w:jc w:val="left"/>
        <w:tblInd w:w="0" w:type="dxa"/>
        <w:tblLayout w:type="fixed"/>
        <w:tblCellMar>
          <w:top w:w="28" w:type="dxa"/>
          <w:left w:w="28" w:type="dxa"/>
          <w:bottom w:w="28" w:type="dxa"/>
          <w:right w:w="28" w:type="dxa"/>
        </w:tblCellMar>
      </w:tblPr>
      <w:tblGrid>
        <w:gridCol w:w="733"/>
        <w:gridCol w:w="627"/>
        <w:gridCol w:w="629"/>
        <w:gridCol w:w="109"/>
        <w:gridCol w:w="109"/>
        <w:gridCol w:w="109"/>
        <w:gridCol w:w="1155"/>
        <w:gridCol w:w="1118"/>
        <w:gridCol w:w="1122"/>
        <w:gridCol w:w="109"/>
        <w:gridCol w:w="109"/>
        <w:gridCol w:w="109"/>
        <w:gridCol w:w="206"/>
        <w:gridCol w:w="738"/>
        <w:gridCol w:w="124"/>
        <w:gridCol w:w="109"/>
        <w:gridCol w:w="109"/>
        <w:gridCol w:w="109"/>
        <w:gridCol w:w="206"/>
        <w:gridCol w:w="738"/>
        <w:gridCol w:w="124"/>
        <w:gridCol w:w="109"/>
        <w:gridCol w:w="109"/>
        <w:gridCol w:w="109"/>
        <w:gridCol w:w="252"/>
        <w:gridCol w:w="902"/>
        <w:gridCol w:w="223"/>
      </w:tblGrid>
      <w:tr>
        <w:trPr/>
        <w:tc>
          <w:tcPr>
            <w:tcW w:w="73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1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229,878 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270,844 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231,134 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237,537 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68,793 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59,444 </w:t>
            </w:r>
          </w:p>
        </w:tc>
        <w:tc>
          <w:tcPr>
            <w:tcW w:w="1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61,871 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211,956 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182,873 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212,437 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183,671 </w:t>
            </w:r>
          </w:p>
        </w:tc>
        <w:tc>
          <w:tcPr>
            <w:tcW w:w="12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185,309 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281,230 </w:t>
            </w:r>
          </w:p>
        </w:tc>
        <w:tc>
          <w:tcPr>
            <w:tcW w:w="124"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8"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243,115 </w:t>
            </w:r>
          </w:p>
        </w:tc>
        <w:tc>
          <w:tcPr>
            <w:tcW w:w="124"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247,180 </w:t>
            </w:r>
          </w:p>
        </w:tc>
        <w:tc>
          <w:tcPr>
            <w:tcW w:w="223"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table below provides major components of our lease costs:</w:t>
      </w:r>
    </w:p>
    <w:tbl>
      <w:tblPr>
        <w:tblW w:w="7317" w:type="dxa"/>
        <w:jc w:val="left"/>
        <w:tblInd w:w="0" w:type="dxa"/>
        <w:tblLayout w:type="fixed"/>
        <w:tblCellMar>
          <w:top w:w="28" w:type="dxa"/>
          <w:left w:w="28" w:type="dxa"/>
          <w:bottom w:w="28" w:type="dxa"/>
          <w:right w:w="28" w:type="dxa"/>
        </w:tblCellMar>
      </w:tblPr>
      <w:tblGrid>
        <w:gridCol w:w="911"/>
        <w:gridCol w:w="804"/>
        <w:gridCol w:w="805"/>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29,942 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47,265 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30,155 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24,187 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56,243 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47,632 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pPr>
      <w:r>
        <w:rPr>
          <w:rFonts w:ascii="Arial Narrow;sans-serif" w:hAnsi="Arial Narrow;sans-serif"/>
          <w:b w:val="false"/>
          <w:color w:val="000000"/>
          <w:sz w:val="20"/>
        </w:rPr>
        <w:br/>
      </w:r>
      <w:r>
        <w:rPr>
          <w:rFonts w:ascii="Arial Narrow;sans-serif" w:hAnsi="Arial Narrow;sans-serif"/>
          <w:b w:val="false"/>
          <w:color w:val="000000"/>
          <w:sz w:val="16"/>
        </w:rPr>
        <w:t>* Includes reductions for sublease rental income for the three and six-month periods ended March 31, 2026 and 2025 of $0.6 million and $0.6 million, and $1.4 million and $1.3 million, respectively.</w:t>
      </w:r>
    </w:p>
    <w:p>
      <w:pPr>
        <w:pStyle w:val="TextBody"/>
        <w:bidi w:val="0"/>
        <w:spacing w:lineRule="auto" w:line="288" w:before="240" w:after="283"/>
        <w:jc w:val="both"/>
        <w:rPr>
          <w:rFonts w:ascii="Arial Narrow;sans-serif" w:hAnsi="Arial Narrow;sans-serif"/>
          <w:b w:val="false"/>
          <w:color w:val="000000"/>
          <w:sz w:val="20"/>
        </w:rPr>
      </w:pPr>
      <w:r>
        <w:rPr>
          <w:rFonts w:ascii="Arial Narrow;sans-serif" w:hAnsi="Arial Narrow;sans-serif"/>
          <w:b w:val="false"/>
          <w:color w:val="000000"/>
          <w:sz w:val="20"/>
        </w:rPr>
        <w:t>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for the three and six-month periods ended March 31, 2026 and 2025, was $23.4 million and $20.0 million, and $44.7 million and $40.0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5380" w:type="dxa"/>
        <w:jc w:val="left"/>
        <w:tblInd w:w="0" w:type="dxa"/>
        <w:tblLayout w:type="fixed"/>
        <w:tblCellMar>
          <w:top w:w="28" w:type="dxa"/>
          <w:left w:w="28" w:type="dxa"/>
          <w:bottom w:w="28" w:type="dxa"/>
          <w:right w:w="28" w:type="dxa"/>
        </w:tblCellMar>
      </w:tblPr>
      <w:tblGrid>
        <w:gridCol w:w="1129"/>
        <w:gridCol w:w="994"/>
        <w:gridCol w:w="996"/>
        <w:gridCol w:w="109"/>
        <w:gridCol w:w="109"/>
        <w:gridCol w:w="109"/>
        <w:gridCol w:w="247"/>
        <w:gridCol w:w="249"/>
        <w:gridCol w:w="266"/>
        <w:gridCol w:w="120"/>
        <w:gridCol w:w="120"/>
        <w:gridCol w:w="120"/>
        <w:gridCol w:w="247"/>
        <w:gridCol w:w="249"/>
        <w:gridCol w:w="31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8.41 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12.08 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0" w:after="0"/>
        <w:jc w:val="both"/>
        <w:rPr/>
      </w:pPr>
      <w:r>
        <w:rPr>
          <w:rFonts w:ascii="Arial Narrow;sans-serif" w:hAnsi="Arial Narrow;sans-serif"/>
          <w:b w:val="false"/>
          <w:color w:val="000000"/>
          <w:sz w:val="16"/>
        </w:rPr>
        <w:br/>
      </w:r>
      <w:r>
        <w:rPr>
          <w:rFonts w:ascii="Arial Narrow;sans-serif" w:hAnsi="Arial Narrow;sans-serif"/>
          <w:b w:val="false"/>
          <w:color w:val="000000"/>
          <w:sz w:val="20"/>
        </w:rPr>
        <w:t>As of March 31, 2026, maturities of lease liabilities under ASC 842 by fiscal year were as follows:</w:t>
      </w:r>
    </w:p>
    <w:tbl>
      <w:tblPr>
        <w:tblW w:w="6097" w:type="dxa"/>
        <w:jc w:val="left"/>
        <w:tblInd w:w="0" w:type="dxa"/>
        <w:tblLayout w:type="fixed"/>
        <w:tblCellMar>
          <w:top w:w="28" w:type="dxa"/>
          <w:left w:w="28" w:type="dxa"/>
          <w:bottom w:w="28" w:type="dxa"/>
          <w:right w:w="28" w:type="dxa"/>
        </w:tblCellMar>
      </w:tblPr>
      <w:tblGrid>
        <w:gridCol w:w="1009"/>
        <w:gridCol w:w="888"/>
        <w:gridCol w:w="892"/>
        <w:gridCol w:w="109"/>
        <w:gridCol w:w="109"/>
        <w:gridCol w:w="109"/>
        <w:gridCol w:w="252"/>
        <w:gridCol w:w="901"/>
        <w:gridCol w:w="152"/>
        <w:gridCol w:w="109"/>
        <w:gridCol w:w="109"/>
        <w:gridCol w:w="109"/>
        <w:gridCol w:w="293"/>
        <w:gridCol w:w="804"/>
        <w:gridCol w:w="252"/>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44,872 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81,890 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64,339 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75,914 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349,756 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1,402 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279,997 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long-term net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211,956 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recorded $65.3 million and $34.0 million in non-cash additions to our operating right-of-use assets and lease liabilities for the six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STRATEGIC INVESTMENTS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As of March 31, 2026, we owned approximately 43.7% of Cash Converters. We acquired our original investment in November 2009 and have increased our ownership through the acquisition of additional shares periodically since that time. During the six months ended March 31, 2026, we acquired an additional 35,780,747 shares for $7.1 million bringing our total shares owned to 309,719,904 shares. This additional investment did not increase our ownership percentage in Cash Converters.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received cash dividends from Cash Converters of $1.8 million and $1.9 million during the six months ended March 31, 2026 and 2025, respectively.</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During the three and six-month periods ended March 31, 2026 and 2025, we recorded our share of income of $1.0 million and $1.9 million, and $2.9 million and $3.5 million, respectively, from Cash Converters, included in “Equity in net income of unconsolidated affiliates” in the Condensed Consolidated Statements of Operations.</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See Note 7: Fair Value Measurements for the fair value and carrying value of our investment in Cash Converters.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In fiscal 2022, we invested $15.0 million in exchange for a non-redeemable voting participating preferred equity interest in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On January 2, 2026 we acquired a controlling interest in Founders through a combination of the exchange of our preferred equity investment in Founders, conversion of a Demand Promissory Note, and cash on hand, see Note 2: Acquisitions. In prior periods, our preferred equity investment in Founders, a variable interest entity, was accounted for utilizing the measurement alternative within ASC 321, Investments — Equity Securities and presented in “Other investments” in our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FAIR VALUE MEASUREMENTS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9105"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220"/>
        <w:gridCol w:w="787"/>
        <w:gridCol w:w="132"/>
        <w:gridCol w:w="109"/>
        <w:gridCol w:w="109"/>
        <w:gridCol w:w="109"/>
        <w:gridCol w:w="214"/>
        <w:gridCol w:w="766"/>
        <w:gridCol w:w="129"/>
        <w:gridCol w:w="109"/>
        <w:gridCol w:w="109"/>
        <w:gridCol w:w="109"/>
        <w:gridCol w:w="181"/>
        <w:gridCol w:w="571"/>
        <w:gridCol w:w="109"/>
        <w:gridCol w:w="109"/>
        <w:gridCol w:w="109"/>
        <w:gridCol w:w="109"/>
        <w:gridCol w:w="181"/>
        <w:gridCol w:w="646"/>
        <w:gridCol w:w="109"/>
        <w:gridCol w:w="109"/>
        <w:gridCol w:w="109"/>
        <w:gridCol w:w="109"/>
        <w:gridCol w:w="181"/>
        <w:gridCol w:w="49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558,257 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313,420 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1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20"/>
        <w:gridCol w:w="787"/>
        <w:gridCol w:w="132"/>
        <w:gridCol w:w="109"/>
        <w:gridCol w:w="109"/>
        <w:gridCol w:w="109"/>
        <w:gridCol w:w="214"/>
        <w:gridCol w:w="766"/>
        <w:gridCol w:w="129"/>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224,723 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338,089 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292,465 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305,117 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We measured the fair value of the 2025 Convertible Notes, 2029 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DEBT</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2013" w:type="dxa"/>
        <w:jc w:val="left"/>
        <w:tblInd w:w="0" w:type="dxa"/>
        <w:tblLayout w:type="fixed"/>
        <w:tblCellMar>
          <w:top w:w="28" w:type="dxa"/>
          <w:left w:w="28" w:type="dxa"/>
          <w:bottom w:w="28" w:type="dxa"/>
          <w:right w:w="28" w:type="dxa"/>
        </w:tblCellMar>
      </w:tblPr>
      <w:tblGrid>
        <w:gridCol w:w="337"/>
        <w:gridCol w:w="244"/>
        <w:gridCol w:w="245"/>
        <w:gridCol w:w="109"/>
        <w:gridCol w:w="109"/>
        <w:gridCol w:w="109"/>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620,513 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(10,999)</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519,001 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(12,812)</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517,188 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(11,924)</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pPr>
      <w:r>
        <w:rPr>
          <w:rFonts w:ascii="Arial Narrow;sans-serif" w:hAnsi="Arial Narrow;sans-serif"/>
          <w:b w:val="false"/>
          <w:color w:val="000000"/>
          <w:sz w:val="20"/>
        </w:rPr>
        <w:t>The following table presents the Company’s interest expense related to its debt for the three and six</w:t>
      </w:r>
      <w:r>
        <w:rPr>
          <w:color w:val="000000"/>
        </w:rPr>
        <w:t xml:space="preserve"> </w:t>
      </w:r>
      <w:r>
        <w:rPr>
          <w:rFonts w:ascii="Arial Narrow;sans-serif" w:hAnsi="Arial Narrow;sans-serif"/>
          <w:b w:val="false"/>
          <w:color w:val="000000"/>
          <w:sz w:val="20"/>
        </w:rPr>
        <w:t>months ended March 31, 2026 and 2025:</w:t>
      </w:r>
    </w:p>
    <w:tbl>
      <w:tblPr>
        <w:tblW w:w="7196" w:type="dxa"/>
        <w:jc w:val="left"/>
        <w:tblInd w:w="0" w:type="dxa"/>
        <w:tblLayout w:type="fixed"/>
        <w:tblCellMar>
          <w:top w:w="28" w:type="dxa"/>
          <w:left w:w="28" w:type="dxa"/>
          <w:bottom w:w="28" w:type="dxa"/>
          <w:right w:w="28" w:type="dxa"/>
        </w:tblCellMar>
      </w:tblPr>
      <w:tblGrid>
        <w:gridCol w:w="950"/>
        <w:gridCol w:w="835"/>
        <w:gridCol w:w="839"/>
        <w:gridCol w:w="109"/>
        <w:gridCol w:w="109"/>
        <w:gridCol w:w="10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4,779 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 xml:space="preserve">As of March 31, 2026, the Company was in compliance with all covenants related to the 2032 Senior Notes.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reported sale price of our Class A Common Stock was greater than or equal to 130% of the applicable conversion price for the 2029 Convertible Notes for at least 20 trading days in the 30 consecutive trading days ended on March 31, 2026. As a result, the 2029 Convertible Notes are convertible at the option of the holders during the fiscal quarter ending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COMMON STOCK AND STOCK COMPENSATION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November 11, 2025, the Company’s Board of Directors (the “Board”) authorized the repurchase of up to $50 million of our Class A Non-Voting common shares over the next three years (the “2026 Common Stock Repurchase Program”). During the three months ended March 31, 2026, the Company repurchased and retired 155,838 of our Class A Common Stock for $4.0 million under the 2026 Common Stock Repurchase Program. During the three months ended December 31, 2025, the Company did not repurchase any shares under this program.</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Board previously authorized a repurchase program on May 3, 2022 (the “2022 Common Stock Repurchase Program”) which expired on May 3, 2025. The 2022 Common Stock Repurchase Program authorized the repurchase of up to $50 million of our Class A Common Stock over three years. During the three and six-month periods ended March 31, 2025, the Company repurchased and retired 82,136 shares for $1.0 million, and 332,599 shares for $4.0 million, respectively, under the 2022 Common Stock Repurchase Program.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amount and timing of purchases was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repurchase amount is allocated between “Additional paid-in capital” and “Retained earnings” in our condensed consolidated balance sheets. </w:t>
      </w:r>
    </w:p>
    <w:p>
      <w:pPr>
        <w:pStyle w:val="TextBody"/>
        <w:bidi w:val="0"/>
        <w:spacing w:lineRule="auto" w:line="288" w:before="180" w:after="283"/>
        <w:ind w:left="0" w:right="0" w:hanging="360"/>
        <w:jc w:val="both"/>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982" w:type="dxa"/>
        <w:jc w:val="left"/>
        <w:tblInd w:w="0" w:type="dxa"/>
        <w:tblLayout w:type="fixed"/>
        <w:tblCellMar>
          <w:top w:w="28" w:type="dxa"/>
          <w:left w:w="28" w:type="dxa"/>
          <w:bottom w:w="28" w:type="dxa"/>
          <w:right w:w="28" w:type="dxa"/>
        </w:tblCellMar>
      </w:tblPr>
      <w:tblGrid>
        <w:gridCol w:w="1042"/>
        <w:gridCol w:w="918"/>
        <w:gridCol w:w="920"/>
        <w:gridCol w:w="471"/>
        <w:gridCol w:w="474"/>
        <w:gridCol w:w="196"/>
        <w:gridCol w:w="109"/>
        <w:gridCol w:w="109"/>
        <w:gridCol w:w="109"/>
        <w:gridCol w:w="353"/>
        <w:gridCol w:w="1003"/>
        <w:gridCol w:w="278"/>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 Average</w:t>
              <w:br/>
              <w:t>Grant Date Fair Value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2025</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2,321,840 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868,426 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Released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(1,223,562)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March 31, 2026</w:t>
            </w:r>
          </w:p>
        </w:tc>
        <w:tc>
          <w:tcPr>
            <w:tcW w:w="945"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1,952,346 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11.61 </w:t>
            </w:r>
          </w:p>
        </w:tc>
        <w:tc>
          <w:tcPr>
            <w:tcW w:w="27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COMMITMENTS AND CONTINGENCIES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SEGMENT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Our chief operating decision maker (“CODM”) is our chief executive officer. The CODM uses key financial information such as revenue growth, pawn service charges, segment gross profit, and segment contribution by comparing to and monitoring against budget and prior year results to evaluate segment performance and allocate resources.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regularly monitor for changes in facts and circumstances that would necessitate changes in our determination of operating segments. As indicated in Note 1, our results below reflect our updated methodology used in allocating certain expenses beginning in the first quarter of fiscal 2026, and the results from the prior period presented have been recast to conform with the current presentation.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a result of the acquisition of Founders and SMG effective January 2, 2026, the composition of our reportable segments changed beginning in the second quarter of fiscal 2026. Refer to Note 2: Acquisitions for further details. SMG is now reported as a standalone reportable segment. Our equity interest in CCV is now included within Corporate as it is not a reportable segment. Prior period segment information has been recast to reclassify CCV equity income and interest income from notes receivable from Founders from the "Other Investments" segment to Corporate. Because SMG was not a consolidated subsidiary prior to January 2, 2026, no SMG segment results prior to January 2, 2026 exist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U.S. Pawn — all pawn activities in the United States, except for SMG;</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Latin America Pawn — all pawn activities in Mexico and other parts of Latin America, except for SMG; and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SMG — all pawn activities of Simple Management Group, Inc.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Corporate items include administrative expenses, depreciation and amortization, loss (gain) on sale or disposal of assets, interest income and expense, equity in net income of unconsolidated affiliates, and other (income) expense, and are not allocated between the segments. There are no inter-segment revenues presented below, and the amounts below were determined in accordance with the same accounting principles used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 for each reportable segment, disaggregated revenue within our reportable segments and Corporate, segment profits and segment contribution.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5"/>
        <w:gridCol w:w="654"/>
        <w:gridCol w:w="624"/>
        <w:gridCol w:w="109"/>
        <w:gridCol w:w="109"/>
        <w:gridCol w:w="109"/>
        <w:gridCol w:w="181"/>
        <w:gridCol w:w="646"/>
        <w:gridCol w:w="109"/>
        <w:gridCol w:w="109"/>
        <w:gridCol w:w="109"/>
        <w:gridCol w:w="109"/>
        <w:gridCol w:w="248"/>
        <w:gridCol w:w="785"/>
        <w:gridCol w:w="149"/>
        <w:gridCol w:w="109"/>
        <w:gridCol w:w="109"/>
        <w:gridCol w:w="109"/>
        <w:gridCol w:w="181"/>
        <w:gridCol w:w="571"/>
        <w:gridCol w:w="109"/>
        <w:gridCol w:w="109"/>
        <w:gridCol w:w="109"/>
        <w:gridCol w:w="109"/>
        <w:gridCol w:w="205"/>
        <w:gridCol w:w="732"/>
        <w:gridCol w:w="123"/>
        <w:gridCol w:w="109"/>
        <w:gridCol w:w="109"/>
        <w:gridCol w:w="109"/>
        <w:gridCol w:w="211"/>
        <w:gridCol w:w="699"/>
        <w:gridCol w:w="127"/>
        <w:gridCol w:w="109"/>
        <w:gridCol w:w="109"/>
        <w:gridCol w:w="109"/>
        <w:gridCol w:w="196"/>
        <w:gridCol w:w="701"/>
        <w:gridCol w:w="177"/>
      </w:tblGrid>
      <w:tr>
        <w:trPr/>
        <w:tc>
          <w:tcPr>
            <w:tcW w:w="81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March 31, 2026</w:t>
            </w:r>
          </w:p>
        </w:tc>
      </w:tr>
      <w:tr>
        <w:trPr/>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214,465 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214,465 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81,240 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151,128 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113,394 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446,881 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446,881 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136,788 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169,871 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64,030 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260,038 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260,038 </w:t>
            </w:r>
          </w:p>
        </w:tc>
        <w:tc>
          <w:tcPr>
            <w:tcW w:w="17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78,080 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19,117 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106,008 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106,008 </w:t>
            </w:r>
          </w:p>
        </w:tc>
        <w:tc>
          <w:tcPr>
            <w:tcW w:w="12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(40,522)</w:t>
            </w:r>
          </w:p>
        </w:tc>
        <w:tc>
          <w:tcPr>
            <w:tcW w:w="1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65,486 </w:t>
            </w:r>
          </w:p>
        </w:tc>
        <w:tc>
          <w:tcPr>
            <w:tcW w:w="1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21"/>
        <w:gridCol w:w="870"/>
        <w:gridCol w:w="856"/>
        <w:gridCol w:w="109"/>
        <w:gridCol w:w="109"/>
        <w:gridCol w:w="109"/>
        <w:gridCol w:w="181"/>
        <w:gridCol w:w="646"/>
        <w:gridCol w:w="109"/>
        <w:gridCol w:w="109"/>
        <w:gridCol w:w="109"/>
        <w:gridCol w:w="109"/>
        <w:gridCol w:w="282"/>
        <w:gridCol w:w="893"/>
        <w:gridCol w:w="170"/>
        <w:gridCol w:w="109"/>
        <w:gridCol w:w="109"/>
        <w:gridCol w:w="109"/>
        <w:gridCol w:w="109"/>
        <w:gridCol w:w="109"/>
        <w:gridCol w:w="217"/>
        <w:gridCol w:w="776"/>
        <w:gridCol w:w="131"/>
        <w:gridCol w:w="109"/>
        <w:gridCol w:w="109"/>
        <w:gridCol w:w="109"/>
        <w:gridCol w:w="227"/>
        <w:gridCol w:w="764"/>
        <w:gridCol w:w="137"/>
        <w:gridCol w:w="109"/>
        <w:gridCol w:w="109"/>
        <w:gridCol w:w="109"/>
        <w:gridCol w:w="196"/>
        <w:gridCol w:w="701"/>
        <w:gridCol w:w="175"/>
      </w:tblGrid>
      <w:tr>
        <w:trPr/>
        <w:tc>
          <w:tcPr>
            <w:tcW w:w="10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March 31, 2025</w:t>
            </w:r>
          </w:p>
        </w:tc>
        <w:tc>
          <w:tcPr>
            <w:tcW w:w="1399" w:type="dxa"/>
            <w:gridSpan w:val="6"/>
            <w:tcBorders/>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52,552 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169,467 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20,938 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115,871 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221,385 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84,931 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306,316 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111,555 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16,309 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133,378 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178,452 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111,067 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13,873 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62,830 </w:t>
            </w:r>
          </w:p>
        </w:tc>
        <w:tc>
          <w:tcPr>
            <w:tcW w:w="13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(28,418)</w:t>
            </w:r>
          </w:p>
        </w:tc>
        <w:tc>
          <w:tcPr>
            <w:tcW w:w="13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7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$0.6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$1.9 million of equity income from CCV, which has been recast from the "Other Investments" segment to Corporate to conform to the current period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821"/>
        <w:gridCol w:w="655"/>
        <w:gridCol w:w="622"/>
        <w:gridCol w:w="109"/>
        <w:gridCol w:w="109"/>
        <w:gridCol w:w="109"/>
        <w:gridCol w:w="181"/>
        <w:gridCol w:w="646"/>
        <w:gridCol w:w="109"/>
        <w:gridCol w:w="109"/>
        <w:gridCol w:w="109"/>
        <w:gridCol w:w="109"/>
        <w:gridCol w:w="232"/>
        <w:gridCol w:w="828"/>
        <w:gridCol w:w="139"/>
        <w:gridCol w:w="109"/>
        <w:gridCol w:w="109"/>
        <w:gridCol w:w="109"/>
        <w:gridCol w:w="181"/>
        <w:gridCol w:w="571"/>
        <w:gridCol w:w="109"/>
        <w:gridCol w:w="109"/>
        <w:gridCol w:w="109"/>
        <w:gridCol w:w="109"/>
        <w:gridCol w:w="203"/>
        <w:gridCol w:w="726"/>
        <w:gridCol w:w="122"/>
        <w:gridCol w:w="109"/>
        <w:gridCol w:w="109"/>
        <w:gridCol w:w="109"/>
        <w:gridCol w:w="209"/>
        <w:gridCol w:w="690"/>
        <w:gridCol w:w="126"/>
        <w:gridCol w:w="109"/>
        <w:gridCol w:w="109"/>
        <w:gridCol w:w="109"/>
        <w:gridCol w:w="196"/>
        <w:gridCol w:w="701"/>
        <w:gridCol w:w="176"/>
      </w:tblGrid>
      <w:tr>
        <w:trPr/>
        <w:tc>
          <w:tcPr>
            <w:tcW w:w="82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March 31, 2026</w:t>
            </w:r>
          </w:p>
        </w:tc>
      </w:tr>
      <w:tr>
        <w:trPr/>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424,612 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424,612 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121,149 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551,936 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225,653 </w:t>
            </w:r>
          </w:p>
        </w:tc>
        <w:tc>
          <w:tcPr>
            <w:tcW w:w="13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51,311 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828,900 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828,900 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92,296 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269,544 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269,544 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76,352 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76,352 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330,580 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126,287 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26,137 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483,004 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483,004 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82,129 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274,891 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274,891 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39,256 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196,880 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196,880 </w:t>
            </w:r>
          </w:p>
        </w:tc>
        <w:tc>
          <w:tcPr>
            <w:tcW w:w="12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(72,223)</w:t>
            </w:r>
          </w:p>
        </w:tc>
        <w:tc>
          <w:tcPr>
            <w:tcW w:w="12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124,657 </w:t>
            </w:r>
          </w:p>
        </w:tc>
        <w:tc>
          <w:tcPr>
            <w:tcW w:w="1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1"/>
        <w:gridCol w:w="286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$1.0 million of interest income from notes receivable from Founders recorded in the first quarter of fiscal 2026,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$1.8 million of equity income from CCV recorded in the first quarter of fiscal 2026, which has been recast from the "Other Investments" segment to Corporate to conform to the current period presentation.</w:t>
            </w:r>
          </w:p>
        </w:tc>
      </w:tr>
    </w:tbl>
    <w:tbl>
      <w:tblPr>
        <w:tblW w:w="10205" w:type="dxa"/>
        <w:jc w:val="left"/>
        <w:tblInd w:w="0" w:type="dxa"/>
        <w:tblLayout w:type="fixed"/>
        <w:tblCellMar>
          <w:top w:w="28" w:type="dxa"/>
          <w:left w:w="28" w:type="dxa"/>
          <w:bottom w:w="28" w:type="dxa"/>
          <w:right w:w="28" w:type="dxa"/>
        </w:tblCellMar>
      </w:tblPr>
      <w:tblGrid>
        <w:gridCol w:w="1014"/>
        <w:gridCol w:w="864"/>
        <w:gridCol w:w="850"/>
        <w:gridCol w:w="109"/>
        <w:gridCol w:w="109"/>
        <w:gridCol w:w="109"/>
        <w:gridCol w:w="181"/>
        <w:gridCol w:w="646"/>
        <w:gridCol w:w="109"/>
        <w:gridCol w:w="109"/>
        <w:gridCol w:w="109"/>
        <w:gridCol w:w="109"/>
        <w:gridCol w:w="264"/>
        <w:gridCol w:w="942"/>
        <w:gridCol w:w="158"/>
        <w:gridCol w:w="109"/>
        <w:gridCol w:w="109"/>
        <w:gridCol w:w="109"/>
        <w:gridCol w:w="109"/>
        <w:gridCol w:w="109"/>
        <w:gridCol w:w="217"/>
        <w:gridCol w:w="777"/>
        <w:gridCol w:w="131"/>
        <w:gridCol w:w="109"/>
        <w:gridCol w:w="109"/>
        <w:gridCol w:w="109"/>
        <w:gridCol w:w="227"/>
        <w:gridCol w:w="765"/>
        <w:gridCol w:w="137"/>
        <w:gridCol w:w="109"/>
        <w:gridCol w:w="109"/>
        <w:gridCol w:w="109"/>
        <w:gridCol w:w="196"/>
        <w:gridCol w:w="701"/>
        <w:gridCol w:w="173"/>
      </w:tblGrid>
      <w:tr>
        <w:trPr/>
        <w:tc>
          <w:tcPr>
            <w:tcW w:w="10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c>
          <w:tcPr>
            <w:tcW w:w="1397" w:type="dxa"/>
            <w:gridSpan w:val="6"/>
            <w:tcBorders/>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355,810 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37,670 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232,923 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453,586 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172,900 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626,486 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77,051 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233,379 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272,055 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91,801 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363,856 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222,003 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222,003 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49,284 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29,162 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132,609 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132,609 </w:t>
            </w:r>
          </w:p>
        </w:tc>
        <w:tc>
          <w:tcPr>
            <w:tcW w:w="13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(56,813)</w:t>
            </w:r>
          </w:p>
        </w:tc>
        <w:tc>
          <w:tcPr>
            <w:tcW w:w="13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7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$1.2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$3.5 million of equity income from CCV, which has been recast from the "Other Investments" segment to Corporate to conform to the current period presentation.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6227" w:type="dxa"/>
        <w:jc w:val="left"/>
        <w:tblInd w:w="0" w:type="dxa"/>
        <w:tblLayout w:type="fixed"/>
        <w:tblCellMar>
          <w:top w:w="28" w:type="dxa"/>
          <w:left w:w="28" w:type="dxa"/>
          <w:bottom w:w="28" w:type="dxa"/>
          <w:right w:w="28" w:type="dxa"/>
        </w:tblCellMar>
      </w:tblPr>
      <w:tblGrid>
        <w:gridCol w:w="814"/>
        <w:gridCol w:w="717"/>
        <w:gridCol w:w="719"/>
        <w:gridCol w:w="109"/>
        <w:gridCol w:w="109"/>
        <w:gridCol w:w="109"/>
        <w:gridCol w:w="185"/>
        <w:gridCol w:w="663"/>
        <w:gridCol w:w="111"/>
        <w:gridCol w:w="109"/>
        <w:gridCol w:w="109"/>
        <w:gridCol w:w="109"/>
        <w:gridCol w:w="181"/>
        <w:gridCol w:w="646"/>
        <w:gridCol w:w="109"/>
        <w:gridCol w:w="109"/>
        <w:gridCol w:w="109"/>
        <w:gridCol w:w="109"/>
        <w:gridCol w:w="181"/>
        <w:gridCol w:w="766"/>
        <w:gridCol w:w="154"/>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230,478 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86,260 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1,501,426 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2,126,757 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199,418 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1,829,628 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233,774 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1,395,256 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12: 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839" w:type="dxa"/>
        <w:jc w:val="left"/>
        <w:tblInd w:w="0" w:type="dxa"/>
        <w:tblLayout w:type="fixed"/>
        <w:tblCellMar>
          <w:top w:w="28" w:type="dxa"/>
          <w:left w:w="28" w:type="dxa"/>
          <w:bottom w:w="28" w:type="dxa"/>
          <w:right w:w="28" w:type="dxa"/>
        </w:tblCellMar>
      </w:tblPr>
      <w:tblGrid>
        <w:gridCol w:w="1502"/>
        <w:gridCol w:w="1325"/>
        <w:gridCol w:w="1328"/>
        <w:gridCol w:w="109"/>
        <w:gridCol w:w="109"/>
        <w:gridCol w:w="109"/>
        <w:gridCol w:w="214"/>
        <w:gridCol w:w="766"/>
        <w:gridCol w:w="129"/>
        <w:gridCol w:w="109"/>
        <w:gridCol w:w="109"/>
        <w:gridCol w:w="109"/>
        <w:gridCol w:w="214"/>
        <w:gridCol w:w="766"/>
        <w:gridCol w:w="129"/>
        <w:gridCol w:w="109"/>
        <w:gridCol w:w="109"/>
        <w:gridCol w:w="109"/>
        <w:gridCol w:w="274"/>
        <w:gridCol w:w="97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67,090 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54,024 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63,348 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(11,701)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53,031 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42,323 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279,303 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211,191 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252,049 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275,963 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207,783 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15,698 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58,551 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40,283 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338,530 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310,278 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(251,636)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(219,858)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(234,947)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86,894 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64,150 </w:t>
            </w:r>
          </w:p>
        </w:tc>
        <w:tc>
          <w:tcPr>
            <w:tcW w:w="12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5,432 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12,913 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124,185 </w:t>
            </w:r>
          </w:p>
        </w:tc>
        <w:tc>
          <w:tcPr>
            <w:tcW w:w="1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70,843 </w:t>
            </w:r>
          </w:p>
        </w:tc>
        <w:tc>
          <w:tcPr>
            <w:tcW w:w="12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23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condensed consolidated statements of cash flows information:</w:t>
      </w:r>
    </w:p>
    <w:tbl>
      <w:tblPr>
        <w:tblW w:w="7341" w:type="dxa"/>
        <w:jc w:val="left"/>
        <w:tblInd w:w="0" w:type="dxa"/>
        <w:tblLayout w:type="fixed"/>
        <w:tblCellMar>
          <w:top w:w="28" w:type="dxa"/>
          <w:left w:w="28" w:type="dxa"/>
          <w:bottom w:w="28" w:type="dxa"/>
          <w:right w:w="28" w:type="dxa"/>
        </w:tblCellMar>
      </w:tblPr>
      <w:tblGrid>
        <w:gridCol w:w="1725"/>
        <w:gridCol w:w="1520"/>
        <w:gridCol w:w="1525"/>
        <w:gridCol w:w="109"/>
        <w:gridCol w:w="109"/>
        <w:gridCol w:w="109"/>
        <w:gridCol w:w="181"/>
        <w:gridCol w:w="646"/>
        <w:gridCol w:w="109"/>
        <w:gridCol w:w="109"/>
        <w:gridCol w:w="109"/>
        <w:gridCol w:w="109"/>
        <w:gridCol w:w="181"/>
        <w:gridCol w:w="64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505,239 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370,062 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514,738 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of promissory note to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preferred equity investment converted to equity in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13: SUBSEQUENT EVENTS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Maple Empeños Acquisition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April 17, 2026, we acquired the assets of 32 pawn store locations in Guatemala operating under the name "Maple Empeños" for approximately $6.0 million. The preliminary purchase price allocation for this transaction has not yet been completed and is based on preliminary estimates that are subject to change as additional information becomes available. Final amounts, including tangible assets, identifiable intangible assets, if any, and goodwill, will be disclosed in accordance with ASC 805 in future filings.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“Part I, Item 1A — Risk Factors” of our Annual Report on Form 10-K for the year ended September 30, 2025,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pStyle w:val="TextBody"/>
        <w:bidi w:val="0"/>
        <w:spacing w:lineRule="auto" w:line="288" w:before="180" w:after="283"/>
        <w:jc w:val="both"/>
        <w:rPr>
          <w:rFonts w:ascii="Arial Narrow;sans-serif" w:hAnsi="Arial Narrow;sans-serif"/>
          <w:b/>
          <w:color w:val="00497F"/>
          <w:sz w:val="28"/>
        </w:rPr>
      </w:pPr>
      <w:r>
        <w:rPr>
          <w:rFonts w:ascii="Arial Narrow;sans-serif" w:hAnsi="Arial Narrow;sans-serif"/>
          <w:b/>
          <w:color w:val="00497F"/>
          <w:sz w:val="28"/>
        </w:rPr>
        <w:t>Business Developments</w:t>
      </w:r>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Share Repurchase Program</w:t>
      </w:r>
    </w:p>
    <w:p>
      <w:pPr>
        <w:pStyle w:val="TextBody"/>
        <w:bidi w:val="0"/>
        <w:spacing w:lineRule="auto" w:line="288" w:before="180" w:after="283"/>
        <w:jc w:val="both"/>
        <w:rPr/>
      </w:pPr>
      <w:r>
        <w:rPr>
          <w:rFonts w:ascii="Arial Narrow;sans-serif" w:hAnsi="Arial Narrow;sans-serif"/>
          <w:b w:val="false"/>
          <w:color w:val="000000"/>
          <w:sz w:val="20"/>
        </w:rPr>
        <w:t xml:space="preserve">On November 11, 2025, the Board of Directors (“Board”) approved a new share repurchase program which replaced the previous program that expired on May 3, 2025. </w:t>
      </w: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9</w:t>
      </w:r>
      <w:r>
        <w:rPr>
          <w:color w:val="000000"/>
          <w:shd w:fill="FFFFFF" w:val="clear"/>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Under the new program, we are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Acquisition of Founders One, LLC</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On January 2, 2026, we acquired a controlling interest in Founders One, LLC ("Founders"), which through its subsidiary, Simple Management Group, Inc. ("SMG"), operated 105 pawn stores in the U.S. and 11 additional countries at the time of acquisition. This transaction expands our geographic footprint in attractive markets, including Florida and Puerto Rico and provides a platform for domestic and international growth. Following the transaction, we own 87.7% of Founders, which controls SMG with an 85.1% ownership interest. SMG's results are consolidated in our financial statements from January 2, 2026 and are reported within our SMG segment.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 Narrow;sans-serif" w:hAnsi="Arial Narrow;sans-serif"/>
          <w:b/>
          <w:color w:val="00497F"/>
          <w:sz w:val="28"/>
        </w:rPr>
      </w:pPr>
      <w:r>
        <w:rPr>
          <w:rFonts w:ascii="Arial Narrow;sans-serif" w:hAnsi="Arial Narrow;sans-serif"/>
          <w:b/>
          <w:color w:val="00497F"/>
          <w:sz w:val="28"/>
        </w:rPr>
        <w:t>Business Overview</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EZCORP is a Delaware corporation headquartered in Austin, Texas. We are a leading provider of pawn services in the United States and Latin America. Pawn loans are non-recourse loans collateralized by personal property. We also sell merchandise, primarily collateral forfeited from unpaid loans and pre-owned merchandise purchased from customers.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left"/>
        <w:tblInd w:w="0" w:type="dxa"/>
        <w:tblLayout w:type="fixed"/>
        <w:tblCellMar>
          <w:top w:w="28" w:type="dxa"/>
          <w:left w:w="28" w:type="dxa"/>
          <w:bottom w:w="28" w:type="dxa"/>
          <w:right w:w="28" w:type="dxa"/>
        </w:tblCellMar>
      </w:tblPr>
      <w:tblGrid>
        <w:gridCol w:w="1007"/>
        <w:gridCol w:w="886"/>
        <w:gridCol w:w="891"/>
        <w:gridCol w:w="2167"/>
        <w:gridCol w:w="2167"/>
        <w:gridCol w:w="3087"/>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pawn business</w:t>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84"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21"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60"/>
        <w:jc w:val="both"/>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repay the amount advanced plus any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for sale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Because a significant portion of our inventory and sales involve gold and jewelry, our results can be influenced by the market price of gold and diamonds.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 </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U.S., PSC historically is highest in our fourth fiscal quarter (July through September) due to a higher average PLO balance during the summer and is lowest in our third fiscal quarter (April through June) following the tax refund season. Merchandise sales historically are highest in the U.S. in our first and second fiscal quarters (October through March) due to the holiday season, Valentine’s Day jewelry sales and our customers’ receipt of tax refunds. In Latin America, most of our customers receive additional compensation from their employers in December, and many receive additional compensation in June or July, applying downward pressure on PLO balances and fueling merchandise sales in those periods. As a net effect of these and other factors and excluding discrete charges, our consolidated income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300" w:after="283"/>
        <w:jc w:val="left"/>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 gross profit (“Jewelry Scrap GP”) for the three and six months ended March 31, 2026 and 2025:</w:t>
      </w:r>
    </w:p>
    <w:p>
      <w:pPr>
        <w:pStyle w:val="TextBody"/>
        <w:bidi w:val="0"/>
        <w:spacing w:before="180" w:after="283"/>
        <w:jc w:val="both"/>
        <w:rPr/>
      </w:pPr>
      <w:r>
        <w:rPr/>
      </w:r>
    </w:p>
    <w:p>
      <w:pPr>
        <w:pStyle w:val="TextBody"/>
        <w:bidi w:val="0"/>
        <w:spacing w:before="120" w:after="283"/>
        <w:jc w:val="center"/>
        <w:rPr/>
      </w:pPr>
      <w:r>
        <w:rPr/>
        <w:drawing>
          <wp:inline distT="0" distB="0" distL="0" distR="0">
            <wp:extent cx="6381750" cy="309562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381750" cy="3095625"/>
                    </a:xfrm>
                    <a:prstGeom prst="rect">
                      <a:avLst/>
                    </a:prstGeom>
                  </pic:spPr>
                </pic:pic>
              </a:graphicData>
            </a:graphic>
          </wp:inline>
        </w:drawing>
      </w:r>
      <w:bookmarkStart w:id="1" w:name="i-2"/>
      <w:bookmarkEnd w:id="1"/>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geographic disbursement for the three and six months ended March 31, 2026 and 2025:</w:t>
      </w:r>
    </w:p>
    <w:p>
      <w:pPr>
        <w:pStyle w:val="TextBody"/>
        <w:bidi w:val="0"/>
        <w:spacing w:before="120" w:after="283"/>
        <w:jc w:val="center"/>
        <w:rPr/>
      </w:pPr>
      <w:r>
        <w:rPr/>
        <w:drawing>
          <wp:inline distT="0" distB="0" distL="0" distR="0">
            <wp:extent cx="6381750" cy="3095625"/>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Non-GAAP Constant Currency and Same-Store Financial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six months ended March 31, 2026 and 2025 were as follows:</w:t>
      </w:r>
    </w:p>
    <w:tbl>
      <w:tblPr>
        <w:tblW w:w="6831"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14"/>
        <w:gridCol w:w="207"/>
        <w:gridCol w:w="151"/>
        <w:gridCol w:w="151"/>
        <w:gridCol w:w="151"/>
        <w:gridCol w:w="151"/>
        <w:gridCol w:w="214"/>
        <w:gridCol w:w="207"/>
        <w:gridCol w:w="214"/>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0" w:after="0"/>
        <w:jc w:val="both"/>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180" w:after="283"/>
        <w:jc w:val="both"/>
        <w:rPr/>
      </w:pPr>
      <w:r>
        <w:rPr>
          <w:rFonts w:ascii="Arial Narrow;sans-serif" w:hAnsi="Arial Narrow;sans-serif"/>
          <w:b w:val="false"/>
          <w:color w:val="000000"/>
          <w:sz w:val="20"/>
        </w:rPr>
        <w:t xml:space="preserve">As a result of the acquisition of Founders and SMG effective January 2, 2026, the composition of our reportable segments changed beginning in the second quarter of fiscal 2026. Refer to Note 2: Acquisitions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for further details. SMG is now reported as a standalone reportable segment. Our equity interest in CCV is now included within Corporate. Prior period segment information has been recast to reclassify CCV equity income and interest income from notes receivable from Founders from the "Other Investments" segment to Corporate. Because SMG was not a consolidated subsidiary in any prior period presented, no prior period SMG segment results exist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U.S. Pawn — all pawn activities in the United States, except for SMG;</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Latin America Pawn — all pawn activities in Mexico and other parts of Latin America, except for SMG; and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SMG — all pawn activities of Simple Management Group, Inc. </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Store Count by Segment</w:t>
      </w:r>
    </w:p>
    <w:tbl>
      <w:tblPr>
        <w:tblW w:w="6976" w:type="dxa"/>
        <w:jc w:val="left"/>
        <w:tblInd w:w="0" w:type="dxa"/>
        <w:tblLayout w:type="fixed"/>
        <w:tblCellMar>
          <w:top w:w="28" w:type="dxa"/>
          <w:left w:w="28" w:type="dxa"/>
          <w:bottom w:w="28" w:type="dxa"/>
          <w:right w:w="28" w:type="dxa"/>
        </w:tblCellMar>
      </w:tblPr>
      <w:tblGrid>
        <w:gridCol w:w="718"/>
        <w:gridCol w:w="630"/>
        <w:gridCol w:w="632"/>
        <w:gridCol w:w="279"/>
        <w:gridCol w:w="279"/>
        <w:gridCol w:w="281"/>
        <w:gridCol w:w="115"/>
        <w:gridCol w:w="115"/>
        <w:gridCol w:w="115"/>
        <w:gridCol w:w="499"/>
        <w:gridCol w:w="499"/>
        <w:gridCol w:w="501"/>
        <w:gridCol w:w="115"/>
        <w:gridCol w:w="115"/>
        <w:gridCol w:w="115"/>
        <w:gridCol w:w="203"/>
        <w:gridCol w:w="203"/>
        <w:gridCol w:w="151"/>
        <w:gridCol w:w="115"/>
        <w:gridCol w:w="115"/>
        <w:gridCol w:w="115"/>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March 31,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2025</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2026</w:t>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 March 31,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180" w:after="283"/>
        <w:jc w:val="left"/>
        <w:rPr/>
      </w:pPr>
      <w:r>
        <w:rPr>
          <w:rFonts w:ascii="Arial Narrow;sans-serif" w:hAnsi="Arial Narrow;sans-serif"/>
          <w:b/>
          <w:color w:val="000000"/>
          <w:sz w:val="20"/>
        </w:rPr>
        <w:t>Three Months Ended March 31, 2026 vs. Three Months Ended March 31, 2025</w:t>
      </w:r>
      <w:r>
        <w:rPr>
          <w:rFonts w:ascii="Arial Narrow;sans-serif" w:hAnsi="Arial Narrow;sans-serif"/>
          <w:b/>
          <w:i/>
          <w:color w:val="000000"/>
          <w:sz w:val="20"/>
        </w:rPr>
        <w:br/>
        <w:br/>
      </w: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332" w:type="dxa"/>
        <w:jc w:val="left"/>
        <w:tblInd w:w="0" w:type="dxa"/>
        <w:tblLayout w:type="fixed"/>
        <w:tblCellMar>
          <w:top w:w="28" w:type="dxa"/>
          <w:left w:w="28" w:type="dxa"/>
          <w:bottom w:w="28" w:type="dxa"/>
          <w:right w:w="28" w:type="dxa"/>
        </w:tblCellMar>
      </w:tblPr>
      <w:tblGrid>
        <w:gridCol w:w="1306"/>
        <w:gridCol w:w="1153"/>
        <w:gridCol w:w="1155"/>
        <w:gridCol w:w="109"/>
        <w:gridCol w:w="109"/>
        <w:gridCol w:w="109"/>
        <w:gridCol w:w="181"/>
        <w:gridCol w:w="586"/>
        <w:gridCol w:w="241"/>
        <w:gridCol w:w="109"/>
        <w:gridCol w:w="109"/>
        <w:gridCol w:w="109"/>
        <w:gridCol w:w="181"/>
        <w:gridCol w:w="586"/>
        <w:gridCol w:w="241"/>
        <w:gridCol w:w="109"/>
        <w:gridCol w:w="109"/>
        <w:gridCol w:w="109"/>
        <w:gridCol w:w="211"/>
        <w:gridCol w:w="211"/>
        <w:gridCol w:w="299"/>
      </w:tblGrid>
      <w:tr>
        <w:trPr/>
        <w:tc>
          <w:tcPr>
            <w:tcW w:w="13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98,770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87,548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127,884 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48,237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42,143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55,490 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228%</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22,832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3,663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1,940bps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169,871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133,378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27%</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78,080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48,961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59%</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78,080</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48,957</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59%</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Pawn collateral - general merchandise </w:t>
            </w:r>
            <w:r>
              <w:rPr>
                <w:rFonts w:ascii="Arial Narrow;sans-serif" w:hAnsi="Arial Narrow;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(460)bps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Pawn collateral - jewelry </w:t>
            </w:r>
            <w:r>
              <w:rPr>
                <w:rFonts w:ascii="Arial Narrow;sans-serif" w:hAnsi="Arial Narrow;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460bps</w:t>
            </w:r>
          </w:p>
        </w:tc>
      </w:tr>
    </w:tbl>
    <w:tbl>
      <w:tblPr>
        <w:tblW w:w="9417" w:type="dxa"/>
        <w:jc w:val="left"/>
        <w:tblInd w:w="0" w:type="dxa"/>
        <w:tblLayout w:type="fixed"/>
        <w:tblCellMar>
          <w:top w:w="28" w:type="dxa"/>
          <w:left w:w="28" w:type="dxa"/>
          <w:bottom w:w="28" w:type="dxa"/>
          <w:right w:w="28" w:type="dxa"/>
        </w:tblCellMar>
      </w:tblPr>
      <w:tblGrid>
        <w:gridCol w:w="124"/>
        <w:gridCol w:w="109"/>
        <w:gridCol w:w="109"/>
        <w:gridCol w:w="2658"/>
        <w:gridCol w:w="2658"/>
        <w:gridCol w:w="3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Prior period has been recast to conform to an updated allocation methodology implemented in the current period. The change was not material.</w:t>
            </w:r>
          </w:p>
        </w:tc>
      </w:tr>
    </w:tbl>
    <w:p>
      <w:pPr>
        <w:pStyle w:val="TextBody"/>
        <w:bidi w:val="0"/>
        <w:spacing w:lineRule="auto" w:line="288" w:before="300" w:after="180"/>
        <w:jc w:val="both"/>
        <w:rPr/>
      </w:pPr>
      <w:r>
        <w:rPr>
          <w:rFonts w:ascii="Arial Narrow;sans-serif" w:hAnsi="Arial Narrow;sans-serif"/>
          <w:b w:val="false"/>
          <w:color w:val="000000"/>
          <w:sz w:val="20"/>
          <w:shd w:fill="FFFF00" w:val="clear"/>
        </w:rPr>
        <w:br/>
        <w:br/>
      </w:r>
      <w:r>
        <w:rPr>
          <w:rFonts w:ascii="Arial Narrow;sans-serif" w:hAnsi="Arial Narrow;sans-serif"/>
          <w:b w:val="false"/>
          <w:color w:val="000000"/>
          <w:sz w:val="20"/>
        </w:rPr>
        <w:t xml:space="preserve">PLO ended the quarter at $230.5 million, an increase of 16% (13% on a same-store basis) due to increase in average loan size, strong loan demand and improved operational performance.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Net inventory increased 20% due to the increase in PLO, layaways and purchases. Inventory turnover remained consistent at 2.3x. Aged general merchandise decreased by 95 bps to 2.3%, or $0.9 million of total general merchandise inventory.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Total revenues and gross profit increased 27%, driven by increased jewelry scrap sales, PSC, and merchandise sales.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Pawn service charges increased 13% as a result of higher average PLO.</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9% (7% on a same-store basis), and sales gross margin increased by 170bps to 38%.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228%, and jewelry scrap sales gross margin increased from 22% to 41% due to increase in gold price and jewelry purchases.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9% (6% on a same-store basis) primarily due to increased labor, in line with store activity.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59% to $78.1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store count increased by 12 to 559 due to the El Bufalo acquisition in the second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Latin America Pawn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tbl>
      <w:tblPr>
        <w:tblW w:w="10205" w:type="dxa"/>
        <w:jc w:val="left"/>
        <w:tblInd w:w="0" w:type="dxa"/>
        <w:tblLayout w:type="fixed"/>
        <w:tblCellMar>
          <w:top w:w="28" w:type="dxa"/>
          <w:left w:w="28" w:type="dxa"/>
          <w:bottom w:w="28" w:type="dxa"/>
          <w:right w:w="28" w:type="dxa"/>
        </w:tblCellMar>
      </w:tblPr>
      <w:tblGrid>
        <w:gridCol w:w="972"/>
        <w:gridCol w:w="776"/>
        <w:gridCol w:w="778"/>
        <w:gridCol w:w="109"/>
        <w:gridCol w:w="109"/>
        <w:gridCol w:w="109"/>
        <w:gridCol w:w="181"/>
        <w:gridCol w:w="586"/>
        <w:gridCol w:w="241"/>
        <w:gridCol w:w="109"/>
        <w:gridCol w:w="109"/>
        <w:gridCol w:w="109"/>
        <w:gridCol w:w="181"/>
        <w:gridCol w:w="586"/>
        <w:gridCol w:w="241"/>
        <w:gridCol w:w="109"/>
        <w:gridCol w:w="109"/>
        <w:gridCol w:w="109"/>
        <w:gridCol w:w="333"/>
        <w:gridCol w:w="315"/>
        <w:gridCol w:w="316"/>
        <w:gridCol w:w="109"/>
        <w:gridCol w:w="109"/>
        <w:gridCol w:w="109"/>
        <w:gridCol w:w="267"/>
        <w:gridCol w:w="867"/>
        <w:gridCol w:w="356"/>
        <w:gridCol w:w="109"/>
        <w:gridCol w:w="109"/>
        <w:gridCol w:w="109"/>
        <w:gridCol w:w="458"/>
        <w:gridCol w:w="458"/>
        <w:gridCol w:w="658"/>
      </w:tblGrid>
      <w:tr>
        <w:trPr/>
        <w:tc>
          <w:tcPr>
            <w:tcW w:w="9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Three Months Ended March 31, </w:t>
            </w:r>
          </w:p>
        </w:tc>
      </w:tr>
      <w:tr>
        <w:trPr/>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37,976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28,323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34,186</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21%</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61,448 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23,535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15,769</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20,982</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33%</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410bps</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966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2,184</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126%</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1,379bps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1,374bps</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64,030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45,074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57,366</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27%</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37,817 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2,453 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18,774</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13,736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17,096</w:t>
            </w:r>
            <w:r>
              <w:rPr>
                <w:color w:val="000000"/>
              </w:rPr>
              <w:t>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(63)%</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19,117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13,873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17,147</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Average monthly ending pawn loan balance per store </w:t>
            </w:r>
            <w:r>
              <w:rPr>
                <w:rFonts w:ascii="Arial Narrow;sans-serif" w:hAnsi="Arial Narrow;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(860)bps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(960)bps</w:t>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860bps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960bps</w:t>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tbl>
      <w:tblPr>
        <w:tblW w:w="6786"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514"/>
        <w:gridCol w:w="514"/>
        <w:gridCol w:w="516"/>
        <w:gridCol w:w="109"/>
        <w:gridCol w:w="109"/>
        <w:gridCol w:w="109"/>
        <w:gridCol w:w="714"/>
        <w:gridCol w:w="714"/>
        <w:gridCol w:w="10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(Constant Currency)</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Same-store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r>
    </w:tbl>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PLO improved to $86.3 million, an increase of 38% (27% on constant currency basis). On a same-store basis, PLO increased 25% (15% increase on a constant currency basis) due to strong loan demand and improved operational performance.</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Net inventory increased 21% (10% on a constant currency basis) due to an increase in PLO. Inventory turnover remained consistent at 3.2x. On a same-store basis, net inventory increased by 11% (consistent on a constant currency basis). Aged general merchandise decreased below 1% of total general merchandise inventory.</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Total revenues increased 34% (19% on constant currency basis), and gross profit increased 42% (27% on a constant currency basis), primarily due to increased jewelry scrap sales, PSC, and merchandise sales.</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PSC increased to $38.0 million, an increase of 34% (21% on a constant currency basis) as a result of higher average PLO.</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Merchandise sales increased 31% (17% on constant currency basis) and increased 21% on a same-store basis (8% increase on a constant currency basis). Merchandise sales gross margin increased to 34% from 30%. </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64%, and jewelry scrap sales gross margin increased to 38% from 24% due to increase in gold price.</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45% (29% increase on a constant currency basis) and increased 33% on a same-store basis (19% increase on a constant currency basis) due to increased labor, in line with store activity and minimum wage increases.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38% to $19.1 million (24% on a constant currency basis).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store count increased by 4 to 840 during the quarter due to the addition of 4 de novo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SMG segment. As described above, SMG is consolidated in our financial statements beginning January 2, 2026; accordingly, prior period results do not include SMG operating results and period-over-period comparisons for this segment are not meaningful.</w:t>
      </w:r>
    </w:p>
    <w:tbl>
      <w:tblPr>
        <w:tblW w:w="5966"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77"/>
        <w:gridCol w:w="898"/>
        <w:gridCol w:w="369"/>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14,382</w:t>
            </w: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17,819 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5,905</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5,850</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26,137</w:t>
            </w:r>
            <w:r>
              <w:rPr>
                <w:color w:val="000000"/>
              </w:rPr>
              <w:t> </w:t>
            </w:r>
          </w:p>
        </w:tc>
        <w:tc>
          <w:tcPr>
            <w:tcW w:w="3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16,614 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8,849</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8,811</w:t>
            </w:r>
            <w:r>
              <w:rPr>
                <w:color w:val="000000"/>
              </w:rPr>
              <w:t> </w:t>
            </w:r>
          </w:p>
        </w:tc>
        <w:tc>
          <w:tcPr>
            <w:tcW w:w="3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before="0" w:after="0"/>
        <w:jc w:val="both"/>
        <w:rPr/>
      </w:pPr>
      <w:r>
        <w:rPr/>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PLO of $32.6 million and net inventory of $26.1 million, with aged general merchandise below 1% of total general merchandise inventory.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Total revenues were $51.3 million, comprised of jewelry scrap sales of $19.1 million, merchandise sales of $17.8 million and PSC of $14.4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Gross profit was $26.1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gross margin was 33.1%.</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gross margin was 30.6%, benefiting from the elevated gold price environment.</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totaled $16.6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Segment contribution was $8.8 million, reflecting the first quarter of SMG operating results following the January 2, 2026 consolidation.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store count increased during the quarter by 2 to 107 due to the addition of de novo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Items</w:t>
      </w:r>
    </w:p>
    <w:p>
      <w:pPr>
        <w:pStyle w:val="TextBody"/>
        <w:bidi w:val="0"/>
        <w:spacing w:lineRule="auto" w:line="288" w:before="180" w:after="180"/>
        <w:jc w:val="both"/>
        <w:rPr/>
      </w:pPr>
      <w:r>
        <w:rPr>
          <w:rFonts w:ascii="Arial Narrow;sans-serif" w:hAnsi="Arial Narrow;sans-serif"/>
          <w:b w:val="false"/>
          <w:color w:val="000000"/>
          <w:sz w:val="20"/>
        </w:rPr>
        <w:t xml:space="preserve">The following table reconciles our consolidated segment contribution discussed above to consolidated net income including items that affect our consolidated financial results but are not allocated among segments. Prior period amounts have been recast to conform to the current period presentation. See Note 11: Segment Information </w:t>
      </w:r>
      <w:r>
        <w:rPr>
          <w:rFonts w:ascii="Arial Narrow;sans-serif" w:hAnsi="Arial Narrow;sans-serif"/>
          <w:b w:val="false"/>
          <w:color w:val="000000"/>
          <w:sz w:val="20"/>
          <w:shd w:fill="FFFFFF" w:val="clear"/>
        </w:rPr>
        <w:t>of Notes to Condensed Consolidated Financial Statements included in “Part I, Item 1 — Financial Statements.”</w:t>
      </w:r>
    </w:p>
    <w:tbl>
      <w:tblPr>
        <w:tblW w:w="6573" w:type="dxa"/>
        <w:jc w:val="left"/>
        <w:tblInd w:w="0" w:type="dxa"/>
        <w:tblLayout w:type="fixed"/>
        <w:tblCellMar>
          <w:top w:w="28" w:type="dxa"/>
          <w:left w:w="28" w:type="dxa"/>
          <w:bottom w:w="28" w:type="dxa"/>
          <w:right w:w="28" w:type="dxa"/>
        </w:tblCellMar>
      </w:tblPr>
      <w:tblGrid>
        <w:gridCol w:w="1128"/>
        <w:gridCol w:w="995"/>
        <w:gridCol w:w="996"/>
        <w:gridCol w:w="109"/>
        <w:gridCol w:w="109"/>
        <w:gridCol w:w="109"/>
        <w:gridCol w:w="181"/>
        <w:gridCol w:w="646"/>
        <w:gridCol w:w="109"/>
        <w:gridCol w:w="109"/>
        <w:gridCol w:w="109"/>
        <w:gridCol w:w="109"/>
        <w:gridCol w:w="181"/>
        <w:gridCol w:w="571"/>
        <w:gridCol w:w="109"/>
        <w:gridCol w:w="109"/>
        <w:gridCol w:w="109"/>
        <w:gridCol w:w="109"/>
        <w:gridCol w:w="198"/>
        <w:gridCol w:w="198"/>
        <w:gridCol w:w="280"/>
      </w:tblGrid>
      <w:tr>
        <w:trPr/>
        <w:tc>
          <w:tcPr>
            <w:tcW w:w="112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37%</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155%</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76%</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95%</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bl>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$43.2 million or 69% over the prior year quarter, primarily due to improved operating results from the U.S. Pawn and Latin America Pawn segments, and the acquisition of SMG in the second quarter of fiscal 2026. </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General and administrative expense increased $9.4 million or 37%, primarily due to labor costs (including higher incentive compensation) and expenses associated with SMG.</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Interest expense increased $5.1 million or 155%, primarily driven by the issuance of 2032 Senior Notes in the second quarter fiscal 2025.</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 xml:space="preserve">Other (income) expense improved $2.0 million primarily due to the non-cash gain on remeasurement of our previously held equity interest in Founders, in connection with the January 2, 2026 acquisition. </w:t>
      </w:r>
    </w:p>
    <w:p>
      <w:pPr>
        <w:pStyle w:val="TextBody"/>
        <w:bidi w:val="0"/>
        <w:spacing w:lineRule="auto" w:line="268" w:before="0" w:after="0"/>
        <w:jc w:val="both"/>
        <w:rPr>
          <w:rFonts w:ascii="Arial Narrow;sans-serif" w:hAnsi="Arial Narrow;sans-serif"/>
          <w:b w:val="false"/>
          <w:color w:val="000000"/>
          <w:sz w:val="20"/>
        </w:rPr>
      </w:pPr>
      <w:r>
        <w:rPr>
          <w:rFonts w:ascii="Arial Narrow;sans-serif" w:hAnsi="Arial Narrow;sans-serif"/>
          <w:b w:val="false"/>
          <w:color w:val="000000"/>
          <w:sz w:val="20"/>
        </w:rPr>
        <w:t>Income tax expense increased $6.9 million primarily due to an increase in income before taxes of $31.1 million.</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2025,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Six Months Ended March 31, 2026 vs. Six Months Ended March 31, 2025</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482" w:type="dxa"/>
        <w:jc w:val="left"/>
        <w:tblInd w:w="0" w:type="dxa"/>
        <w:tblLayout w:type="fixed"/>
        <w:tblCellMar>
          <w:top w:w="28" w:type="dxa"/>
          <w:left w:w="28" w:type="dxa"/>
          <w:bottom w:w="28" w:type="dxa"/>
          <w:right w:w="28" w:type="dxa"/>
        </w:tblCellMar>
      </w:tblPr>
      <w:tblGrid>
        <w:gridCol w:w="1306"/>
        <w:gridCol w:w="1153"/>
        <w:gridCol w:w="1155"/>
        <w:gridCol w:w="109"/>
        <w:gridCol w:w="109"/>
        <w:gridCol w:w="109"/>
        <w:gridCol w:w="181"/>
        <w:gridCol w:w="661"/>
        <w:gridCol w:w="241"/>
        <w:gridCol w:w="109"/>
        <w:gridCol w:w="109"/>
        <w:gridCol w:w="109"/>
        <w:gridCol w:w="181"/>
        <w:gridCol w:w="661"/>
        <w:gridCol w:w="241"/>
        <w:gridCol w:w="109"/>
        <w:gridCol w:w="109"/>
        <w:gridCol w:w="109"/>
        <w:gridCol w:w="211"/>
        <w:gridCol w:w="211"/>
        <w:gridCol w:w="299"/>
      </w:tblGrid>
      <w:tr>
        <w:trPr/>
        <w:tc>
          <w:tcPr>
            <w:tcW w:w="13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193,944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175,424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245,715 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101,592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89,387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34,983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7,193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1,620bps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330,580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272,055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22%</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176,148 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163,199 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148,813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103,440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148,813</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103,447</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(20)bps</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Pawn service charges increased 11% as a result of higher average PLO.</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9%, and merchandise sale gross margin increased 170 bps.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181%, and jewelry scrap sales gross margin increased from 22% to 38% due to increase in gold price and jewelry purchases.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8% (6% on a same-store basis), primarily due to increased labor, in line with store activity.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$45.4 million, or 44%, primarily due to the changes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tbl>
      <w:tblPr>
        <w:tblW w:w="10205" w:type="dxa"/>
        <w:jc w:val="left"/>
        <w:tblInd w:w="0" w:type="dxa"/>
        <w:tblLayout w:type="fixed"/>
        <w:tblCellMar>
          <w:top w:w="28" w:type="dxa"/>
          <w:left w:w="28" w:type="dxa"/>
          <w:bottom w:w="28" w:type="dxa"/>
          <w:right w:w="28" w:type="dxa"/>
        </w:tblCellMar>
      </w:tblPr>
      <w:tblGrid>
        <w:gridCol w:w="972"/>
        <w:gridCol w:w="776"/>
        <w:gridCol w:w="777"/>
        <w:gridCol w:w="109"/>
        <w:gridCol w:w="109"/>
        <w:gridCol w:w="109"/>
        <w:gridCol w:w="181"/>
        <w:gridCol w:w="586"/>
        <w:gridCol w:w="241"/>
        <w:gridCol w:w="109"/>
        <w:gridCol w:w="109"/>
        <w:gridCol w:w="109"/>
        <w:gridCol w:w="181"/>
        <w:gridCol w:w="586"/>
        <w:gridCol w:w="241"/>
        <w:gridCol w:w="109"/>
        <w:gridCol w:w="109"/>
        <w:gridCol w:w="109"/>
        <w:gridCol w:w="333"/>
        <w:gridCol w:w="315"/>
        <w:gridCol w:w="316"/>
        <w:gridCol w:w="109"/>
        <w:gridCol w:w="109"/>
        <w:gridCol w:w="109"/>
        <w:gridCol w:w="267"/>
        <w:gridCol w:w="867"/>
        <w:gridCol w:w="356"/>
        <w:gridCol w:w="109"/>
        <w:gridCol w:w="109"/>
        <w:gridCol w:w="109"/>
        <w:gridCol w:w="458"/>
        <w:gridCol w:w="458"/>
        <w:gridCol w:w="659"/>
      </w:tblGrid>
      <w:tr>
        <w:trPr/>
        <w:tc>
          <w:tcPr>
            <w:tcW w:w="9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Six Months Ended March 31, </w:t>
            </w:r>
          </w:p>
        </w:tc>
      </w:tr>
      <w:tr>
        <w:trPr/>
        <w:tc>
          <w:tcPr>
            <w:tcW w:w="2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74,719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57,499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68,645</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19%</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127,620 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47,571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33,044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43,326</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31%</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390bps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9,870 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87%</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3,964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1,226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3,535</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188%</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1,268bps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1,257bps</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126,287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91,801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115,535</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26%</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74,700 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4,827 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38,890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28,954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36,008</w:t>
            </w:r>
            <w:r>
              <w:rPr>
                <w:color w:val="000000"/>
              </w:rPr>
              <w:t>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(36)%</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39,256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29,162</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36,142</w:t>
            </w:r>
            <w:r>
              <w:rPr>
                <w:color w:val="000000"/>
              </w:rPr>
              <w:t>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Average monthly ending pawn loan balance per store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2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6786"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514"/>
        <w:gridCol w:w="514"/>
        <w:gridCol w:w="516"/>
        <w:gridCol w:w="109"/>
        <w:gridCol w:w="109"/>
        <w:gridCol w:w="109"/>
        <w:gridCol w:w="714"/>
        <w:gridCol w:w="714"/>
        <w:gridCol w:w="10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(Constant Currency)</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six months ended March 31, 2026, net store count increased by 25 due to the acquisition of 14 stores and the opening of 11 de novo stores.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PSC increased 30% to $74.7 million (19% to $68.6 million on a constant currency basis) as a result of higher average PLO and new stores.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27% (16% on a constant currency basis) and 18% on a same-store basis (8% on a constant currency basis). Merchandise sales gross margin increased 400 bps to 34% from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109% (87% constant currency basis), and jewelry scrap sales gross margin increased from 23% to 36% due to increase in gold price.</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40% (27% increase on a constant currency basis) and increased by 29% on a same-store basis (17% increase on a constant currency basis). The constant currency increase was primarily due to increased labor, in line with store activity and minimum wage increases.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$10.1 million, or 35% ($7.0 million, or 24%, on a constant currency basis),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SMG segment. As described above, SMG is consolidated in our financial statements beginning January 2, 2026; accordingly, prior period results do not include SMG operating results and period-over-period comparisons for this segment are not meaningful.</w:t>
      </w:r>
    </w:p>
    <w:tbl>
      <w:tblPr>
        <w:tblW w:w="5801"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47"/>
        <w:gridCol w:w="802"/>
        <w:gridCol w:w="330"/>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14,382</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17,819 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5,905</w:t>
            </w:r>
            <w:r>
              <w:rPr>
                <w:color w:val="000000"/>
              </w:rPr>
              <w:t> </w:t>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5,850</w:t>
            </w:r>
            <w:r>
              <w:rPr>
                <w:color w:val="000000"/>
              </w:rPr>
              <w:t> </w:t>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26,137</w:t>
            </w:r>
            <w:r>
              <w:rPr>
                <w:color w:val="000000"/>
              </w:rPr>
              <w:t> </w:t>
            </w:r>
          </w:p>
        </w:tc>
        <w:tc>
          <w:tcPr>
            <w:tcW w:w="3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8,849</w:t>
            </w:r>
            <w:r>
              <w:rPr>
                <w:color w:val="000000"/>
              </w:rPr>
              <w:t> </w:t>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8,811</w:t>
            </w:r>
            <w:r>
              <w:rPr>
                <w:color w:val="000000"/>
              </w:rPr>
              <w:t> </w:t>
            </w:r>
          </w:p>
        </w:tc>
        <w:tc>
          <w:tcPr>
            <w:tcW w:w="33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Pawn service charges were $14.4 million, and merchandise sales gross profit was $5.9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Jewelry scrap sales gross profit was $5.9 million, reflecting a gross margin of 31%.</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Store expenses were $16.6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Segment contribution was $8.8 million, reflecting SMG operating results from the January 2, 2026 consolidation date through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Items</w:t>
      </w:r>
    </w:p>
    <w:p>
      <w:pPr>
        <w:pStyle w:val="TextBody"/>
        <w:bidi w:val="0"/>
        <w:spacing w:lineRule="auto" w:line="288" w:before="180" w:after="180"/>
        <w:jc w:val="left"/>
        <w:rPr/>
      </w:pPr>
      <w:r>
        <w:rPr>
          <w:rFonts w:ascii="Arial Narrow;sans-serif" w:hAnsi="Arial Narrow;sans-serif"/>
          <w:b w:val="false"/>
          <w:color w:val="000000"/>
          <w:sz w:val="20"/>
        </w:rPr>
        <w:t xml:space="preserve">The following table reconciles our consolidated segment contribution discussed above to consolidated net income including items that affect our consolidated financial results but are not allocated among segments. Prior period amounts have been recast to conform to the current period presentation. See Note 11: Segment Information </w:t>
      </w:r>
      <w:r>
        <w:rPr>
          <w:rFonts w:ascii="Arial Narrow;sans-serif" w:hAnsi="Arial Narrow;sans-serif"/>
          <w:b w:val="false"/>
          <w:color w:val="000000"/>
          <w:sz w:val="20"/>
          <w:shd w:fill="FFFFFF" w:val="clear"/>
        </w:rPr>
        <w:t>of Notes to Condensed Consolidated Financial Statements included in “Part I, Item 1 — Financial Statements.”</w:t>
      </w:r>
    </w:p>
    <w:tbl>
      <w:tblPr>
        <w:tblW w:w="6678" w:type="dxa"/>
        <w:jc w:val="left"/>
        <w:tblInd w:w="0" w:type="dxa"/>
        <w:tblLayout w:type="fixed"/>
        <w:tblCellMar>
          <w:top w:w="28" w:type="dxa"/>
          <w:left w:w="28" w:type="dxa"/>
          <w:bottom w:w="28" w:type="dxa"/>
          <w:right w:w="28" w:type="dxa"/>
        </w:tblCellMar>
      </w:tblPr>
      <w:tblGrid>
        <w:gridCol w:w="1127"/>
        <w:gridCol w:w="994"/>
        <w:gridCol w:w="998"/>
        <w:gridCol w:w="109"/>
        <w:gridCol w:w="109"/>
        <w:gridCol w:w="109"/>
        <w:gridCol w:w="181"/>
        <w:gridCol w:w="661"/>
        <w:gridCol w:w="109"/>
        <w:gridCol w:w="109"/>
        <w:gridCol w:w="109"/>
        <w:gridCol w:w="109"/>
        <w:gridCol w:w="181"/>
        <w:gridCol w:w="661"/>
        <w:gridCol w:w="109"/>
        <w:gridCol w:w="109"/>
        <w:gridCol w:w="109"/>
        <w:gridCol w:w="109"/>
        <w:gridCol w:w="198"/>
        <w:gridCol w:w="198"/>
        <w:gridCol w:w="280"/>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196,880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132,609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48%</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157%</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87%</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124,657 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75,796 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93,888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56,406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66%</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br/>
        <w:br/>
      </w:r>
      <w:r>
        <w:rPr>
          <w:rFonts w:ascii="Arial Narrow;sans-serif" w:hAnsi="Arial Narrow;sans-serif"/>
          <w:b w:val="false"/>
          <w:color w:val="000000"/>
          <w:sz w:val="20"/>
        </w:rPr>
        <w:t>Segment contribution increased $64.3 million or 48% over the prior year period, primarily due to improved operating results of the U.S. Pawn and Latin America Pawn segments, and the acquisition of SMG in the second quarter of fiscal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$11.9 million or 24%, primarily due to labor costs (including higher incentive compensation) and expenses associated with 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Interest expense increased $10.1 million or 157%, primarily driven by the issuance of 2032 Senior Notes in the second quarter fiscal 2025.</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Interest income increased $3.4 million or 87%, primarily due to an increase in the average Cash and cash equivalents held during the period as compared to the prior period.</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 xml:space="preserve">Other (income) expense improved $3.1 million primarily due to the non-cash gain on remeasurement of our previously held equity interest in Founders, in connection with the January 2, 2026 acquisition. </w:t>
      </w:r>
    </w:p>
    <w:p>
      <w:pPr>
        <w:pStyle w:val="TextBody"/>
        <w:bidi w:val="0"/>
        <w:spacing w:lineRule="auto" w:line="288" w:before="180" w:after="283"/>
        <w:jc w:val="both"/>
        <w:rPr/>
      </w:pPr>
      <w:r>
        <w:rPr>
          <w:rFonts w:ascii="Arial Narrow;sans-serif" w:hAnsi="Arial Narrow;sans-serif"/>
          <w:b w:val="false"/>
          <w:color w:val="000000"/>
          <w:sz w:val="20"/>
        </w:rPr>
        <w:t>Income tax expense increased $11.4 million, primarily due to an increase in income before income taxes of $48.9 million for the six months ended March 31, 2026</w:t>
      </w:r>
      <w:r>
        <w:rPr>
          <w:color w:val="000000"/>
        </w:rPr>
        <w:t xml:space="preserve"> </w:t>
      </w:r>
      <w:r>
        <w:rPr>
          <w:rFonts w:ascii="Arial Narrow;sans-serif" w:hAnsi="Arial Narrow;sans-serif"/>
          <w:b w:val="false"/>
          <w:color w:val="000000"/>
          <w:sz w:val="20"/>
        </w:rPr>
        <w:t xml:space="preserve">compared to the same period in the prior year. </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2025,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cash and cash equivalents balance was $354.2 million at March 31, 2026 compared to $469.5 million at September 30, 2025. Our cash and equivalents are primarily held in cash depository accounts with banks in geographies we operate or invested in high quality, short-term liquid investments. The decrease in cash and cash equivalents is primarily driven by the retirement of SMG’s existing third-party indebtedness and cash used for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9138" w:type="dxa"/>
        <w:jc w:val="left"/>
        <w:tblInd w:w="0" w:type="dxa"/>
        <w:tblLayout w:type="fixed"/>
        <w:tblCellMar>
          <w:top w:w="28" w:type="dxa"/>
          <w:left w:w="28" w:type="dxa"/>
          <w:bottom w:w="28" w:type="dxa"/>
          <w:right w:w="28" w:type="dxa"/>
        </w:tblCellMar>
      </w:tblPr>
      <w:tblGrid>
        <w:gridCol w:w="1925"/>
        <w:gridCol w:w="1698"/>
        <w:gridCol w:w="1701"/>
        <w:gridCol w:w="109"/>
        <w:gridCol w:w="109"/>
        <w:gridCol w:w="109"/>
        <w:gridCol w:w="181"/>
        <w:gridCol w:w="691"/>
        <w:gridCol w:w="109"/>
        <w:gridCol w:w="109"/>
        <w:gridCol w:w="109"/>
        <w:gridCol w:w="109"/>
        <w:gridCol w:w="181"/>
        <w:gridCol w:w="646"/>
        <w:gridCol w:w="109"/>
        <w:gridCol w:w="109"/>
        <w:gridCol w:w="109"/>
        <w:gridCol w:w="109"/>
        <w:gridCol w:w="268"/>
        <w:gridCol w:w="268"/>
        <w:gridCol w:w="380"/>
      </w:tblGrid>
      <w:tr>
        <w:trPr/>
        <w:tc>
          <w:tcPr>
            <w:tcW w:w="192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Six Months Ended</w:t>
              <w:br/>
              <w:t xml:space="preserve">March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290%</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(151)%</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(114,651)</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334,931 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(134)%</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$24.7 million increase in cash flows provided by operating activities year-over-year was primarily due to an increase in net income and non-cash adjustments, partially offset by changes in working capital.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$42.8 million increase in cash flows used in investing activities year-over-year was primarily due to a $39.1 million increase in net pawn lending outflows and a $45.3 million increase in net cash flows used related to acquisitions, investments and capital expenditures, partially offset by a $41.6 million increase in cash inflows from the sale of forfeited collateral.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six months ended March 31, 2026, cash used in financing activities was driven primarily by the retirement of SMG’s existing third-party indebtedness. In the comparable prior year-period, cash provided by financing activities consisted primarily of proceeds from the issuance of the 2032 Senior Notes, partially offset by debt issuance costs paid in connection with that offering.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net effect of these changes was a $114.7 million decrease during the current year to date period, resulting in a $370.1 million ending cash, cash equivalents and restricted cash balance.</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both"/>
        <w:rPr/>
      </w:pPr>
      <w:r>
        <w:rPr>
          <w:rFonts w:ascii="Arial Narrow;sans-serif" w:hAnsi="Arial Narrow;sans-serif"/>
          <w:b w:val="false"/>
          <w:color w:val="000000"/>
          <w:sz w:val="20"/>
        </w:rPr>
        <w:t>On November 11, 2025, the Board approved a new share repurchase program which replaced the previous program that expired on May 3, 2025.</w:t>
      </w:r>
      <w:r>
        <w:rPr>
          <w:color w:val="000000"/>
          <w:shd w:fill="FFFFFF" w:val="clear"/>
        </w:rPr>
        <w:t xml:space="preserve"> </w:t>
      </w:r>
      <w:r>
        <w:rPr>
          <w:rFonts w:ascii="Arial Narrow;sans-serif" w:hAnsi="Arial Narrow;sans-serif"/>
          <w:b w:val="false"/>
          <w:color w:val="000000"/>
          <w:sz w:val="20"/>
        </w:rPr>
        <w:t>Under the new program, we are authorized to repurchase up to $50 million of our Class A Non-Voting common shares over the next three years (the “2026 Common Stock Repurchase Program”). During the six months ended March 31, 2026, the Company repurchased and retired 155,838 of our Class A Common Stock for $4.0 million under the 2026 Common Stock Repurchase Program.</w:t>
      </w:r>
      <w:r>
        <w:rPr>
          <w:color w:val="000000"/>
          <w:shd w:fill="FFFFFF" w:val="clear"/>
        </w:rPr>
        <w:t xml:space="preserve"> </w:t>
      </w: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9</w:t>
      </w:r>
      <w:r>
        <w:rPr>
          <w:color w:val="000000"/>
          <w:shd w:fill="FFFFFF" w:val="clear"/>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p>
    <w:p>
      <w:pPr>
        <w:pStyle w:val="TextBody"/>
        <w:bidi w:val="0"/>
        <w:spacing w:lineRule="auto" w:line="288" w:before="180" w:after="283"/>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Depending on the level of acquisition activity and other factors, our ability to repay our longer term debt obligations, including the convertible debt maturing in December 2029 and the senior notes due April 2032, may require us to refinance these obligations through the issuance of new debt securities, equity securities, convertible securities or through new credit facilities.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have been no material changes to the contractual obligations disclosed in “Part II, Item 7 — Management’s Discussion and Analysis of Financial Condition and Results of Operations” of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bidi w:val="0"/>
        <w:spacing w:lineRule="auto" w:line="288" w:before="180" w:after="283"/>
        <w:jc w:val="both"/>
        <w:rPr/>
      </w:pPr>
      <w:r>
        <w:rPr>
          <w:rFonts w:ascii="Arial Narrow;sans-serif" w:hAnsi="Arial Narrow;sans-serif"/>
          <w:b w:val="false"/>
          <w:color w:val="000000"/>
          <w:sz w:val="20"/>
        </w:rPr>
        <w:t xml:space="preserve">See </w:t>
      </w:r>
      <w:r>
        <w:rPr>
          <w:rFonts w:ascii="Arial Narrow;sans-serif" w:hAnsi="Arial Narrow;sans-serif"/>
          <w:b w:val="false"/>
          <w:color w:val="000000"/>
          <w:sz w:val="20"/>
          <w:shd w:fill="FFFFFF" w:val="clear"/>
        </w:rPr>
        <w:t>Note 1</w:t>
      </w:r>
      <w:r>
        <w:rPr>
          <w:color w:val="000000"/>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 xml:space="preserve">of this Quarterly Report for recently issued accounting pronouncements including the expected dates of adoption and estimated effects, if any,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2025 and “Part II, Item 1A — Risk Factors” of this Report.</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2025. There have been no material changes in our reported market risks or risk management policies since the filing of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Under the supervision and with the participation of our Chief Executive Officer and Chief Financial Officer, our management evaluated the effectiveness of the design and operation of our disclosure controls and procedures as of March 31, 2026. Our principal executive officer and principal financial officer have concluded that as of March 31, 2026,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pStyle w:val="TextBody"/>
        <w:bidi w:val="0"/>
        <w:spacing w:lineRule="auto" w:line="288" w:before="180" w:after="283"/>
        <w:jc w:val="both"/>
        <w:rPr/>
      </w:pPr>
      <w:r>
        <w:rPr>
          <w:rFonts w:ascii="Arial Narrow;sans-serif" w:hAnsi="Arial Narrow;sans-serif"/>
          <w:b w:val="false"/>
          <w:color w:val="000000"/>
          <w:sz w:val="20"/>
        </w:rPr>
        <w:t>The Company acquired a controlling interest in Founders One, LLC on January 2, 2026 and 12 pawn stores in Texas in a purchase business combination completed on January 12, 2026. As discussed in SEC staff guidance, a company may conclude it will exclude acquired businesses from the assessment of internal control over financial reporting during the first year after completion of an acquisition. In light of the overlap between a company’s disclosure controls and procedures and its internal control over financial reporting, the evaluation of disclosure controls and procedures may also exclude an assessment of the disclosure controls and procedures of the acquired entity that are subsumed in internal control over financial reporting. In consideration of the SEC staff guidance, we excluded these acquisitions from our assessment of the effectiveness of disclosure controls and procedures as of March 31, 2026. The total assets and total revenues excluded from our assessment represented 16% and 12%</w:t>
      </w:r>
      <w:r>
        <w:rPr>
          <w:color w:val="000000"/>
        </w:rPr>
        <w:t xml:space="preserve"> </w:t>
      </w:r>
      <w:r>
        <w:rPr>
          <w:rFonts w:ascii="Arial Narrow;sans-serif" w:hAnsi="Arial Narrow;sans-serif"/>
          <w:b w:val="false"/>
          <w:color w:val="000000"/>
          <w:sz w:val="20"/>
        </w:rPr>
        <w:t>of the Company’s consolidated total assets and consolidated total revenues, respectively, as of and for the three months ended March 31, 2026.</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bidi w:val="0"/>
        <w:spacing w:lineRule="auto" w:line="288" w:before="180" w:after="283"/>
        <w:jc w:val="both"/>
        <w:rPr/>
      </w:pPr>
      <w:r>
        <w:rPr>
          <w:rFonts w:ascii="Arial Narrow;sans-serif" w:hAnsi="Arial Narrow;sans-serif"/>
          <w:b w:val="false"/>
          <w:color w:val="000000"/>
          <w:sz w:val="20"/>
        </w:rPr>
        <w:t>See </w:t>
      </w:r>
      <w:r>
        <w:rPr>
          <w:rFonts w:ascii="Arial Narrow;sans-serif" w:hAnsi="Arial Narrow;sans-serif"/>
          <w:b w:val="false"/>
          <w:color w:val="000000"/>
          <w:sz w:val="20"/>
          <w:shd w:fill="FFFFFF" w:val="clear"/>
        </w:rPr>
        <w:t>Note 10: Commitments And Contingencies</w:t>
      </w:r>
      <w:r>
        <w:rPr>
          <w:color w:val="000000"/>
        </w:rPr>
        <w:t> </w:t>
      </w:r>
      <w:r>
        <w:rPr>
          <w:rFonts w:ascii="Arial Narrow;sans-serif" w:hAnsi="Arial Narrow;sans-serif"/>
          <w:b w:val="false"/>
          <w:color w:val="000000"/>
          <w:sz w:val="20"/>
          <w:shd w:fill="FFFFFF" w:val="clear"/>
        </w:rPr>
        <w:t>of Notes to Condensed Consolidated Financial Statements included in “Part I, 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Important risk factors that could affect our operations and financial performance, or that could cause results or events to differ from current expectations, are described in “Part I, Item 1A — Risk Factors” of our Annual Report on Form 10-K for the year ended September 30, 2025, as supplemented by the information set forth below.</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i/>
          <w:color w:val="000000"/>
          <w:sz w:val="20"/>
        </w:rPr>
      </w:pPr>
      <w:r>
        <w:rPr>
          <w:rFonts w:ascii="Arial Narrow;sans-serif" w:hAnsi="Arial Narrow;sans-serif"/>
          <w:b/>
          <w:i/>
          <w:color w:val="000000"/>
          <w:sz w:val="20"/>
        </w:rPr>
        <w:t>Our use of artificial intelligence subjects us to incremental risks, which could adversely affect our financial condition and results of operations.</w:t>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the course of conducting our business, we utilize artificial intelligence (“AI”) and machine learning technologies (collectively, "AI Technologies"). Our use, non-use, misapplication of or failure to extract value from AI Technologies could negatively impact our financial position, results of operations, business prospects or reputation. </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AI Technologies may generate incomplete, inaccurate or misleading outputs. Our integration of AI Technologies into our internal processes, systems, and operations may be delayed or unsuccessful, which could negatively affect our ability to enhance existing products or develop new products and could result in increased costs and system or other failures. If our competitors are able to deploy AI Technologies faster, more efficiently or more effectively, we may lose competitive advantage or market share. Also, our reputation or competitive position could also be adversely impacted if our use of AI Technologies becomes controversial. Evolving laws, regulatory frameworks, and advancements related to AI Technologies may impose incremental compliance burdens or expose us to liability. Our use of AI Technologies could inadvertently result in discriminatory or unfair outcomes, which could result in regulatory scrutiny, litigation or reputational harm.</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have programs in place to detect, contain, and respond to cybersecurity incidents; however, our use of AI Technologies may heighten our exposure to cybersecurity risks, including potential cyber-attacks, data breaches or misuse of data. As AI Technologies evolve, potential cyber-attacks may become more frequent or sophisticated and we may not be able to anticipate, prevent or detect security incidents or cyber-attacks. </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rely on third-party vendors for AI Technologies, and our business could be negatively impacted if the vendors or AI Technologies become unavailable, fail or are ineffective or otherwise flawed.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March 31, 2026. </w:t>
      </w:r>
    </w:p>
    <w:tbl>
      <w:tblPr>
        <w:tblW w:w="10205" w:type="dxa"/>
        <w:jc w:val="left"/>
        <w:tblInd w:w="0" w:type="dxa"/>
        <w:tblLayout w:type="fixed"/>
        <w:tblCellMar>
          <w:top w:w="28" w:type="dxa"/>
          <w:left w:w="28" w:type="dxa"/>
          <w:bottom w:w="28" w:type="dxa"/>
          <w:right w:w="28" w:type="dxa"/>
        </w:tblCellMar>
      </w:tblPr>
      <w:tblGrid>
        <w:gridCol w:w="578"/>
        <w:gridCol w:w="451"/>
        <w:gridCol w:w="453"/>
        <w:gridCol w:w="109"/>
        <w:gridCol w:w="109"/>
        <w:gridCol w:w="109"/>
        <w:gridCol w:w="581"/>
        <w:gridCol w:w="453"/>
        <w:gridCol w:w="455"/>
        <w:gridCol w:w="109"/>
        <w:gridCol w:w="109"/>
        <w:gridCol w:w="109"/>
        <w:gridCol w:w="276"/>
        <w:gridCol w:w="786"/>
        <w:gridCol w:w="153"/>
        <w:gridCol w:w="109"/>
        <w:gridCol w:w="109"/>
        <w:gridCol w:w="109"/>
        <w:gridCol w:w="812"/>
        <w:gridCol w:w="713"/>
        <w:gridCol w:w="715"/>
        <w:gridCol w:w="109"/>
        <w:gridCol w:w="109"/>
        <w:gridCol w:w="109"/>
        <w:gridCol w:w="482"/>
        <w:gridCol w:w="1595"/>
        <w:gridCol w:w="394"/>
      </w:tblGrid>
      <w:tr>
        <w:trPr/>
        <w:tc>
          <w:tcPr>
            <w:tcW w:w="5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Approximate Dollar Value of Shares That May Yet Be Purchased Under the Programs (1)</w:t>
            </w:r>
          </w:p>
        </w:tc>
      </w:tr>
      <w:tr>
        <w:trPr/>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2026 through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50,000 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1, 2026 through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61,441 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61,441 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48,452 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94,397 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94,397 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46,000 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155,838 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155,838 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46,000 </w:t>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16"/>
        </w:rPr>
      </w:pPr>
      <w:r>
        <w:rPr>
          <w:rFonts w:ascii="Arial Narrow;sans-serif" w:hAnsi="Arial Narrow;sans-serif"/>
          <w:b w:val="false"/>
          <w:color w:val="000000"/>
          <w:sz w:val="16"/>
        </w:rPr>
        <w:t>(1) In November 2025, the Board of Directors approved a share repurchase program, under which we were authorized to repurchase up to $50.0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ITEM 5. Other Information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March 4, 2026, Pablo Lagos Espinosa, Director, as sole beneficial owner of Lakeside Growth Enterprises, LP, entered into a prearranged trading plan to sell up to 20,000 shares of the Company’s Class A Non-Voting Common Stock, structured as 10,000 shares between June 5, 2026 and June 4, 2027 and 10,000 shares between July 6, 2026 and June 4, 2027, pursuant to the terms of the plan. The plan is designed to satisfy the affirmative defense conditions of Rule 10b5-1(c) under the Exchange Act and comply with the Company’s policies regarding stock transactions.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than as described above, no Director or Executive Officer adopted, modified or terminated any contract, instruction, written plan or other trading arrangement relating to the purchase or sale of Company securities during the fiscal quarter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ITEM 6. EXHIBITS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38"/>
        <w:gridCol w:w="209"/>
        <w:gridCol w:w="210"/>
        <w:gridCol w:w="1906"/>
        <w:gridCol w:w="1890"/>
        <w:gridCol w:w="1897"/>
        <w:gridCol w:w="109"/>
        <w:gridCol w:w="109"/>
        <w:gridCol w:w="109"/>
        <w:gridCol w:w="160"/>
        <w:gridCol w:w="160"/>
        <w:gridCol w:w="161"/>
        <w:gridCol w:w="176"/>
        <w:gridCol w:w="158"/>
        <w:gridCol w:w="158"/>
        <w:gridCol w:w="200"/>
        <w:gridCol w:w="200"/>
        <w:gridCol w:w="201"/>
        <w:gridCol w:w="223"/>
        <w:gridCol w:w="223"/>
        <w:gridCol w:w="225"/>
        <w:gridCol w:w="109"/>
        <w:gridCol w:w="109"/>
        <w:gridCol w:w="109"/>
        <w:gridCol w:w="277"/>
        <w:gridCol w:w="277"/>
        <w:gridCol w:w="402"/>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6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6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c4814e513284b7e8142dceba7a0bacf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641" w:type="dxa"/>
        <w:jc w:val="left"/>
        <w:tblInd w:w="0" w:type="dxa"/>
        <w:tblLayout w:type="fixed"/>
        <w:tblCellMar>
          <w:top w:w="28" w:type="dxa"/>
          <w:left w:w="28" w:type="dxa"/>
          <w:bottom w:w="28" w:type="dxa"/>
          <w:right w:w="28" w:type="dxa"/>
        </w:tblCellMar>
      </w:tblPr>
      <w:tblGrid>
        <w:gridCol w:w="184"/>
        <w:gridCol w:w="162"/>
        <w:gridCol w:w="164"/>
        <w:gridCol w:w="329"/>
        <w:gridCol w:w="329"/>
        <w:gridCol w:w="331"/>
        <w:gridCol w:w="109"/>
        <w:gridCol w:w="109"/>
        <w:gridCol w:w="109"/>
        <w:gridCol w:w="531"/>
        <w:gridCol w:w="531"/>
        <w:gridCol w:w="75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Timothy K. Jugmans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Lachlan P. Given, Chief Executive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Lachlan P. Given,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Timothy K. Jugmans, Chief Financial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Timothy K. Jugmans,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EZCORP, Inc. hereby certify that (a) EZCORP’s Quarterly Report on Form 10-Q for the quarter ended March 31, 2026,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3743" w:type="dxa"/>
        <w:jc w:val="left"/>
        <w:tblInd w:w="0" w:type="dxa"/>
        <w:tblLayout w:type="fixed"/>
        <w:tblCellMar>
          <w:top w:w="28" w:type="dxa"/>
          <w:left w:w="28" w:type="dxa"/>
          <w:bottom w:w="28" w:type="dxa"/>
          <w:right w:w="28" w:type="dxa"/>
        </w:tblCellMar>
      </w:tblPr>
      <w:tblGrid>
        <w:gridCol w:w="607"/>
        <w:gridCol w:w="535"/>
        <w:gridCol w:w="538"/>
        <w:gridCol w:w="219"/>
        <w:gridCol w:w="219"/>
        <w:gridCol w:w="219"/>
        <w:gridCol w:w="219"/>
        <w:gridCol w:w="219"/>
        <w:gridCol w:w="219"/>
        <w:gridCol w:w="219"/>
        <w:gridCol w:w="219"/>
        <w:gridCol w:w="311"/>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May 6, 2026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tbl>
      <w:tblPr>
        <w:tblW w:w="3809" w:type="dxa"/>
        <w:jc w:val="left"/>
        <w:tblInd w:w="0" w:type="dxa"/>
        <w:tblLayout w:type="fixed"/>
        <w:tblCellMar>
          <w:top w:w="28" w:type="dxa"/>
          <w:left w:w="28" w:type="dxa"/>
          <w:bottom w:w="28" w:type="dxa"/>
          <w:right w:w="28" w:type="dxa"/>
        </w:tblCellMar>
      </w:tblPr>
      <w:tblGrid>
        <w:gridCol w:w="630"/>
        <w:gridCol w:w="553"/>
        <w:gridCol w:w="556"/>
        <w:gridCol w:w="220"/>
        <w:gridCol w:w="220"/>
        <w:gridCol w:w="220"/>
        <w:gridCol w:w="220"/>
        <w:gridCol w:w="220"/>
        <w:gridCol w:w="220"/>
        <w:gridCol w:w="220"/>
        <w:gridCol w:w="220"/>
        <w:gridCol w:w="310"/>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Date: May 6, 2026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19293</Words>
  <Characters>108031</Characters>
  <CharactersWithSpaces>125397</CharactersWithSpaces>
  <Paragraphs>3892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