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173990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11"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47"/>
          <w:szCs w:val="47"/>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-325120</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December 31, 2019 or</w:t>
      </w:r>
    </w:p>
    <w:p>
      <w:pPr>
        <w:ind w:left="620" w:hanging="585"/>
        <w:spacing w:after="0" w:line="227" w:lineRule="auto"/>
        <w:tabs>
          <w:tab w:leader="none" w:pos="620" w:val="left"/>
        </w:tabs>
        <w:numPr>
          <w:ilvl w:val="0"/>
          <w:numId w:val="2"/>
        </w:numPr>
        <w:rPr>
          <w:rFonts w:ascii="MS PGothic" w:cs="MS PGothic" w:eastAsia="MS PGothic" w:hAnsi="MS PGothic"/>
          <w:sz w:val="47"/>
          <w:szCs w:val="47"/>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30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51435</wp:posOffset>
            </wp:positionV>
            <wp:extent cx="2006600"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EZCORP, INC.</w:t>
      </w:r>
    </w:p>
    <w:p>
      <w:pPr>
        <w:spacing w:after="0" w:line="1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29" w:right="259" w:bottom="1440" w:gutter="0" w:footer="0" w:header="0"/>
        </w:sectPr>
      </w:pPr>
    </w:p>
    <w:p>
      <w:pPr>
        <w:spacing w:after="0" w:line="163" w:lineRule="exact"/>
        <w:rPr>
          <w:sz w:val="24"/>
          <w:szCs w:val="24"/>
          <w:color w:val="auto"/>
        </w:rPr>
      </w:pPr>
    </w:p>
    <w:p>
      <w:pPr>
        <w:ind w:left="404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2880"/>
        <w:spacing w:after="0"/>
        <w:rPr>
          <w:sz w:val="20"/>
          <w:szCs w:val="20"/>
          <w:color w:val="auto"/>
        </w:rPr>
      </w:pPr>
      <w:r>
        <w:rPr>
          <w:rFonts w:ascii="Arial" w:cs="Arial" w:eastAsia="Arial" w:hAnsi="Arial"/>
          <w:sz w:val="13"/>
          <w:szCs w:val="13"/>
          <w:b w:val="1"/>
          <w:bCs w:val="1"/>
          <w:color w:val="auto"/>
        </w:rPr>
        <w:t>74-2540145</w:t>
      </w:r>
    </w:p>
    <w:p>
      <w:pPr>
        <w:spacing w:after="0" w:line="57" w:lineRule="exact"/>
        <w:rPr>
          <w:sz w:val="24"/>
          <w:szCs w:val="24"/>
          <w:color w:val="auto"/>
        </w:rPr>
      </w:pPr>
    </w:p>
    <w:p>
      <w:pPr>
        <w:sectPr>
          <w:pgSz w:w="11900" w:h="16838" w:orient="portrait"/>
          <w:cols w:equalWidth="0" w:num="2">
            <w:col w:w="7100" w:space="720"/>
            <w:col w:w="3580"/>
          </w:cols>
          <w:pgMar w:left="240" w:top="229" w:right="259" w:bottom="1440" w:gutter="0" w:footer="0" w:header="0"/>
          <w:type w:val="continuous"/>
        </w:sectPr>
      </w:pPr>
    </w:p>
    <w:p>
      <w:pPr>
        <w:ind w:left="26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71" w:lineRule="exact"/>
        <w:rPr>
          <w:sz w:val="24"/>
          <w:szCs w:val="24"/>
          <w:color w:val="auto"/>
        </w:rPr>
      </w:pPr>
    </w:p>
    <w:p>
      <w:pPr>
        <w:sectPr>
          <w:pgSz w:w="11900" w:h="16838" w:orient="portrait"/>
          <w:cols w:equalWidth="0" w:num="2">
            <w:col w:w="6400" w:space="720"/>
            <w:col w:w="4280"/>
          </w:cols>
          <w:pgMar w:left="240" w:top="229" w:right="259" w:bottom="1440" w:gutter="0" w:footer="0" w:header="0"/>
          <w:type w:val="continuous"/>
        </w:sectPr>
      </w:pPr>
    </w:p>
    <w:p>
      <w:pPr>
        <w:ind w:left="2100"/>
        <w:spacing w:after="0"/>
        <w:rPr>
          <w:sz w:val="20"/>
          <w:szCs w:val="20"/>
          <w:color w:val="auto"/>
        </w:rPr>
      </w:pPr>
      <w:r>
        <w:rPr>
          <w:rFonts w:ascii="Arial" w:cs="Arial" w:eastAsia="Arial" w:hAnsi="Arial"/>
          <w:sz w:val="12"/>
          <w:szCs w:val="12"/>
          <w:b w:val="1"/>
          <w:bCs w:val="1"/>
          <w:color w:val="auto"/>
        </w:rPr>
        <w:t>2500 Bee Cave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Bldg 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Rollingwood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78746</w:t>
      </w:r>
    </w:p>
    <w:p>
      <w:pPr>
        <w:spacing w:after="0" w:line="69" w:lineRule="exact"/>
        <w:rPr>
          <w:sz w:val="24"/>
          <w:szCs w:val="24"/>
          <w:color w:val="auto"/>
        </w:rPr>
      </w:pPr>
    </w:p>
    <w:p>
      <w:pPr>
        <w:sectPr>
          <w:pgSz w:w="11900" w:h="16838" w:orient="portrait"/>
          <w:cols w:equalWidth="0" w:num="6">
            <w:col w:w="3360" w:space="340"/>
            <w:col w:w="580" w:space="280"/>
            <w:col w:w="560" w:space="320"/>
            <w:col w:w="780" w:space="280"/>
            <w:col w:w="760" w:space="720"/>
            <w:col w:w="3420"/>
          </w:cols>
          <w:pgMar w:left="240" w:top="229" w:right="259" w:bottom="1440" w:gutter="0" w:footer="0" w:header="0"/>
          <w:type w:val="continuous"/>
        </w:sectPr>
      </w:pPr>
    </w:p>
    <w:p>
      <w:pPr>
        <w:ind w:left="32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57" w:lineRule="exact"/>
        <w:rPr>
          <w:sz w:val="24"/>
          <w:szCs w:val="24"/>
          <w:color w:val="auto"/>
        </w:rPr>
      </w:pPr>
    </w:p>
    <w:p>
      <w:pPr>
        <w:sectPr>
          <w:pgSz w:w="11900" w:h="16838" w:orient="portrait"/>
          <w:cols w:equalWidth="0" w:num="2">
            <w:col w:w="7120" w:space="720"/>
            <w:col w:w="3560"/>
          </w:cols>
          <w:pgMar w:left="240" w:top="229" w:right="25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118110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6"/>
                <w:szCs w:val="16"/>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Name of each exchange on which registered</w:t>
            </w:r>
          </w:p>
        </w:tc>
        <w:tc>
          <w:tcPr>
            <w:tcW w:w="3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54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Class A Non-voting Common Stock, par value $.01 per</w:t>
            </w:r>
          </w:p>
        </w:tc>
        <w:tc>
          <w:tcPr>
            <w:tcW w:w="1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EZPW</w:t>
            </w:r>
          </w:p>
        </w:tc>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3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r>
        <w:trPr>
          <w:trHeight w:val="186"/>
        </w:trPr>
        <w:tc>
          <w:tcPr>
            <w:tcW w:w="354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w:t>
            </w:r>
          </w:p>
        </w:tc>
        <w:tc>
          <w:tcPr>
            <w:tcW w:w="1940" w:type="dxa"/>
            <w:vAlign w:val="bottom"/>
            <w:gridSpan w:val="2"/>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3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1" w:lineRule="exact"/>
        <w:rPr>
          <w:sz w:val="24"/>
          <w:szCs w:val="24"/>
          <w:color w:val="auto"/>
        </w:rPr>
      </w:pPr>
    </w:p>
    <w:p>
      <w:pPr>
        <w:ind w:right="1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61" w:lineRule="exact"/>
        <w:rPr>
          <w:sz w:val="24"/>
          <w:szCs w:val="24"/>
          <w:color w:val="auto"/>
        </w:rPr>
      </w:pPr>
    </w:p>
    <w:tbl>
      <w:tblPr>
        <w:tblLayout w:type="fixed"/>
        <w:tblInd w:w="1900" w:type="dxa"/>
        <w:tblCellMar>
          <w:top w:w="0" w:type="dxa"/>
          <w:left w:w="0" w:type="dxa"/>
          <w:bottom w:w="0" w:type="dxa"/>
          <w:right w:w="0" w:type="dxa"/>
        </w:tblCellMar>
      </w:tblPr>
      <w:tr>
        <w:trPr>
          <w:trHeight w:val="257"/>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9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ind w:left="160"/>
              <w:spacing w:after="0"/>
              <w:rPr>
                <w:sz w:val="20"/>
                <w:szCs w:val="20"/>
                <w:color w:val="auto"/>
              </w:rPr>
            </w:pPr>
            <w:r>
              <w:rPr>
                <w:rFonts w:ascii="Arial" w:cs="Arial" w:eastAsia="Arial" w:hAnsi="Arial"/>
                <w:sz w:val="14"/>
                <w:szCs w:val="14"/>
                <w:color w:val="auto"/>
              </w:rPr>
              <w:t>Accelerated Filer</w:t>
            </w:r>
          </w:p>
        </w:tc>
        <w:tc>
          <w:tcPr>
            <w:tcW w:w="1380" w:type="dxa"/>
            <w:vAlign w:val="bottom"/>
          </w:tcPr>
          <w:p>
            <w:pPr>
              <w:ind w:left="1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9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ind w:left="160"/>
              <w:spacing w:after="0"/>
              <w:rPr>
                <w:sz w:val="20"/>
                <w:szCs w:val="20"/>
                <w:color w:val="auto"/>
              </w:rPr>
            </w:pPr>
            <w:r>
              <w:rPr>
                <w:rFonts w:ascii="Arial" w:cs="Arial" w:eastAsia="Arial" w:hAnsi="Arial"/>
                <w:sz w:val="14"/>
                <w:szCs w:val="14"/>
                <w:color w:val="auto"/>
              </w:rPr>
              <w:t>Smaller Reporting Company</w:t>
            </w:r>
          </w:p>
        </w:tc>
        <w:tc>
          <w:tcPr>
            <w:tcW w:w="1380" w:type="dxa"/>
            <w:vAlign w:val="bottom"/>
          </w:tcPr>
          <w:p>
            <w:pPr>
              <w:ind w:left="1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Emerging Growth Company</w:t>
            </w:r>
          </w:p>
        </w:tc>
        <w:tc>
          <w:tcPr>
            <w:tcW w:w="1380" w:type="dxa"/>
            <w:vAlign w:val="bottom"/>
          </w:tcPr>
          <w:p>
            <w:pPr>
              <w:ind w:left="1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APPLICABLE ONLY TO CORPORATE ISSUERS:</w:t>
      </w:r>
    </w:p>
    <w:p>
      <w:pPr>
        <w:spacing w:after="0" w:line="10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4"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As of January 29, 2020, 52,651,188 shares of the registrant’s Class A Non-voting Common Stock ("Class A Common Stock"), par value $.01 per share, and 2,970,171 shares of the registrant’s Class B Voting Common Stock, par value $.01 per share, were outstanding.</w:t>
      </w:r>
    </w:p>
    <w:p>
      <w:pPr>
        <w:sectPr>
          <w:pgSz w:w="11900" w:h="16838" w:orient="portrait"/>
          <w:cols w:equalWidth="0" w:num="1">
            <w:col w:w="11400"/>
          </w:cols>
          <w:pgMar w:left="240" w:top="229"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3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39"/>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60" w:type="dxa"/>
            <w:vAlign w:val="bottom"/>
            <w:gridSpan w:val="12"/>
          </w:tcPr>
          <w:p>
            <w:pPr>
              <w:jc w:val="center"/>
              <w:ind w:right="3340"/>
              <w:spacing w:after="0"/>
              <w:rPr>
                <w:sz w:val="20"/>
                <w:szCs w:val="20"/>
                <w:color w:val="auto"/>
              </w:rPr>
            </w:pPr>
            <w:r>
              <w:rPr>
                <w:rFonts w:ascii="Arial" w:cs="Arial" w:eastAsia="Arial" w:hAnsi="Arial"/>
                <w:sz w:val="18"/>
                <w:szCs w:val="18"/>
                <w:b w:val="1"/>
                <w:bCs w:val="1"/>
                <w:color w:val="auto"/>
                <w:w w:val="96"/>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60" w:type="dxa"/>
            <w:vAlign w:val="bottom"/>
            <w:gridSpan w:val="12"/>
          </w:tcPr>
          <w:p>
            <w:pPr>
              <w:jc w:val="center"/>
              <w:ind w:right="336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306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8120" w:type="dxa"/>
            <w:vAlign w:val="bottom"/>
            <w:gridSpan w:val="1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bottom w:val="single" w:sz="8" w:color="0000EE"/>
            </w:tcBorders>
            <w:gridSpan w:val="10"/>
          </w:tcPr>
          <w:p>
            <w:pPr>
              <w:spacing w:after="0"/>
              <w:rPr>
                <w:rFonts w:ascii="Arial" w:cs="Arial" w:eastAsia="Arial" w:hAnsi="Arial"/>
                <w:sz w:val="18"/>
                <w:szCs w:val="18"/>
                <w:i w:val="1"/>
                <w:iCs w:val="1"/>
                <w:color w:val="0000EE"/>
                <w:w w:val="90"/>
              </w:rPr>
            </w:pPr>
            <w:hyperlink w:anchor="page3">
              <w:r>
                <w:rPr>
                  <w:rFonts w:ascii="Arial" w:cs="Arial" w:eastAsia="Arial" w:hAnsi="Arial"/>
                  <w:sz w:val="18"/>
                  <w:szCs w:val="18"/>
                  <w:i w:val="1"/>
                  <w:iCs w:val="1"/>
                  <w:color w:val="0000EE"/>
                  <w:w w:val="90"/>
                </w:rPr>
                <w:t>Item 1. Financial Statements</w:t>
              </w:r>
            </w:hyperlink>
          </w:p>
        </w:tc>
        <w:tc>
          <w:tcPr>
            <w:tcW w:w="8760" w:type="dxa"/>
            <w:vAlign w:val="bottom"/>
            <w:gridSpan w:val="2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December 31, 2019 and 2018 and September 30, 2019 (Unaudited)</w:t>
              </w:r>
            </w:hyperlink>
          </w:p>
        </w:tc>
        <w:tc>
          <w:tcPr>
            <w:tcW w:w="230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2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December 31, 2019 and 2018 (Unaudited)</w:t>
              </w:r>
            </w:hyperlink>
          </w:p>
        </w:tc>
        <w:tc>
          <w:tcPr>
            <w:tcW w:w="16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tcBorders>
              <w:bottom w:val="single" w:sz="8" w:color="0000EE"/>
            </w:tcBorders>
            <w:gridSpan w:val="2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Months Ended December 31, 2019 and 2018</w:t>
              </w:r>
            </w:hyperlink>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w:t>
              </w:r>
            </w:hyperlink>
          </w:p>
        </w:tc>
        <w:tc>
          <w:tcPr>
            <w:tcW w:w="9640" w:type="dxa"/>
            <w:vAlign w:val="bottom"/>
            <w:gridSpan w:val="26"/>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80" w:type="dxa"/>
            <w:vAlign w:val="bottom"/>
            <w:tcBorders>
              <w:bottom w:val="single" w:sz="8" w:color="0000EE"/>
            </w:tcBorders>
            <w:gridSpan w:val="28"/>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Condensed Consolidated Statements of Stockholders’ Equity for the Periods Ended December 31, 2019 and 2018 (Unaudited)</w:t>
              </w:r>
            </w:hyperlink>
          </w:p>
        </w:tc>
        <w:tc>
          <w:tcPr>
            <w:tcW w:w="14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tcBorders>
              <w:bottom w:val="single" w:sz="8" w:color="0000EE"/>
            </w:tcBorders>
            <w:gridSpan w:val="2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December 31, 2019 and 2018 (Unaudited)</w:t>
              </w:r>
            </w:hyperlink>
          </w:p>
        </w:tc>
        <w:tc>
          <w:tcPr>
            <w:tcW w:w="16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Condensed Consolidated Financial Statements (Unaudited)</w:t>
              </w:r>
            </w:hyperlink>
          </w:p>
        </w:tc>
        <w:tc>
          <w:tcPr>
            <w:tcW w:w="502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00" w:type="dxa"/>
            <w:vAlign w:val="bottom"/>
            <w:tcBorders>
              <w:bottom w:val="single" w:sz="8" w:color="0000EE"/>
            </w:tcBorders>
            <w:gridSpan w:val="21"/>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Note 1: Organization and Summary of Significant Accounting Policies</w:t>
              </w:r>
            </w:hyperlink>
          </w:p>
        </w:tc>
        <w:tc>
          <w:tcPr>
            <w:tcW w:w="498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Note 2: Acquisitions</w:t>
              </w:r>
            </w:hyperlink>
          </w:p>
        </w:tc>
        <w:tc>
          <w:tcPr>
            <w:tcW w:w="8580" w:type="dxa"/>
            <w:vAlign w:val="bottom"/>
            <w:gridSpan w:val="2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2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 3: Earnings Per Share</w:t>
              </w:r>
            </w:hyperlink>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Note 4: Leases</w:t>
              </w:r>
            </w:hyperlink>
          </w:p>
        </w:tc>
        <w:tc>
          <w:tcPr>
            <w:tcW w:w="880" w:type="dxa"/>
            <w:vAlign w:val="bottom"/>
            <w:tcBorders>
              <w:top w:val="single" w:sz="8" w:color="0000EE"/>
            </w:tcBorders>
            <w:gridSpan w:val="7"/>
          </w:tcPr>
          <w:p>
            <w:pPr>
              <w:spacing w:after="0"/>
              <w:rPr>
                <w:sz w:val="24"/>
                <w:szCs w:val="24"/>
                <w:color w:val="auto"/>
              </w:rPr>
            </w:pPr>
          </w:p>
        </w:tc>
        <w:tc>
          <w:tcPr>
            <w:tcW w:w="8120" w:type="dxa"/>
            <w:vAlign w:val="bottom"/>
            <w:gridSpan w:val="1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 5: Strategic Investments</w:t>
              </w:r>
            </w:hyperlink>
          </w:p>
        </w:tc>
        <w:tc>
          <w:tcPr>
            <w:tcW w:w="7940" w:type="dxa"/>
            <w:vAlign w:val="bottom"/>
            <w:gridSpan w:val="1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2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 6: Fair Value Measurements</w:t>
              </w:r>
            </w:hyperlink>
          </w:p>
        </w:tc>
        <w:tc>
          <w:tcPr>
            <w:tcW w:w="180" w:type="dxa"/>
            <w:vAlign w:val="bottom"/>
            <w:gridSpan w:val="2"/>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Note 7: Debt</w:t>
              </w:r>
            </w:hyperlink>
          </w:p>
        </w:tc>
        <w:tc>
          <w:tcPr>
            <w:tcW w:w="1480" w:type="dxa"/>
            <w:vAlign w:val="bottom"/>
            <w:tcBorders>
              <w:top w:val="single" w:sz="8" w:color="0000EE"/>
            </w:tcBorders>
            <w:gridSpan w:val="12"/>
          </w:tcPr>
          <w:p>
            <w:pPr>
              <w:spacing w:after="0"/>
              <w:rPr>
                <w:sz w:val="24"/>
                <w:szCs w:val="24"/>
                <w:color w:val="auto"/>
              </w:rPr>
            </w:pPr>
          </w:p>
        </w:tc>
        <w:tc>
          <w:tcPr>
            <w:tcW w:w="766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Note 8: Stock Compensation</w:t>
              </w:r>
            </w:hyperlink>
          </w:p>
        </w:tc>
        <w:tc>
          <w:tcPr>
            <w:tcW w:w="8000" w:type="dxa"/>
            <w:vAlign w:val="bottom"/>
            <w:gridSpan w:val="1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Note 9: Contingencies</w:t>
              </w:r>
            </w:hyperlink>
          </w:p>
        </w:tc>
        <w:tc>
          <w:tcPr>
            <w:tcW w:w="8460" w:type="dxa"/>
            <w:vAlign w:val="bottom"/>
            <w:gridSpan w:val="1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2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Note 10: Segment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Note 11: Supplemental Consolidated Financial Information</w:t>
              </w:r>
            </w:hyperlink>
          </w:p>
        </w:tc>
        <w:tc>
          <w:tcPr>
            <w:tcW w:w="5800" w:type="dxa"/>
            <w:vAlign w:val="bottom"/>
            <w:gridSpan w:val="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25"/>
          </w:tcPr>
          <w:p>
            <w:pPr>
              <w:spacing w:after="0"/>
              <w:rPr>
                <w:rFonts w:ascii="Arial" w:cs="Arial" w:eastAsia="Arial" w:hAnsi="Arial"/>
                <w:sz w:val="18"/>
                <w:szCs w:val="18"/>
                <w:i w:val="1"/>
                <w:iCs w:val="1"/>
                <w:color w:val="0000EE"/>
                <w:w w:val="91"/>
              </w:rPr>
            </w:pPr>
            <w:hyperlink w:anchor="page19">
              <w:r>
                <w:rPr>
                  <w:rFonts w:ascii="Arial" w:cs="Arial" w:eastAsia="Arial" w:hAnsi="Arial"/>
                  <w:sz w:val="18"/>
                  <w:szCs w:val="18"/>
                  <w:i w:val="1"/>
                  <w:iCs w:val="1"/>
                  <w:color w:val="0000EE"/>
                  <w:w w:val="91"/>
                </w:rPr>
                <w:t>Item 2. Management’s Discussion and Analysis of Financial Condition and Results of Operations</w:t>
              </w:r>
            </w:hyperlink>
          </w:p>
        </w:tc>
        <w:tc>
          <w:tcPr>
            <w:tcW w:w="382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31"/>
          </w:tcPr>
          <w:p>
            <w:pPr>
              <w:spacing w:after="0"/>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2"/>
          </w:tcPr>
          <w:p>
            <w:pPr>
              <w:spacing w:after="0"/>
              <w:rPr>
                <w:rFonts w:ascii="Arial" w:cs="Arial" w:eastAsia="Arial" w:hAnsi="Arial"/>
                <w:sz w:val="18"/>
                <w:szCs w:val="18"/>
                <w:i w:val="1"/>
                <w:iCs w:val="1"/>
                <w:color w:val="0000EE"/>
                <w:w w:val="90"/>
              </w:rPr>
            </w:pPr>
            <w:hyperlink w:anchor="page30">
              <w:r>
                <w:rPr>
                  <w:rFonts w:ascii="Arial" w:cs="Arial" w:eastAsia="Arial" w:hAnsi="Arial"/>
                  <w:sz w:val="18"/>
                  <w:szCs w:val="18"/>
                  <w:i w:val="1"/>
                  <w:iCs w:val="1"/>
                  <w:color w:val="0000EE"/>
                  <w:w w:val="90"/>
                </w:rPr>
                <w:t>Item 4. Controls and Procedures</w:t>
              </w:r>
            </w:hyperlink>
          </w:p>
        </w:tc>
        <w:tc>
          <w:tcPr>
            <w:tcW w:w="2520" w:type="dxa"/>
            <w:vAlign w:val="bottom"/>
            <w:tcBorders>
              <w:top w:val="single" w:sz="8" w:color="0000EE"/>
            </w:tcBorders>
            <w:gridSpan w:val="8"/>
          </w:tcPr>
          <w:p>
            <w:pPr>
              <w:spacing w:after="0"/>
              <w:rPr>
                <w:sz w:val="24"/>
                <w:szCs w:val="24"/>
                <w:color w:val="auto"/>
              </w:rPr>
            </w:pPr>
          </w:p>
        </w:tc>
        <w:tc>
          <w:tcPr>
            <w:tcW w:w="5960" w:type="dxa"/>
            <w:vAlign w:val="bottom"/>
            <w:gridSpan w:val="11"/>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372"/>
        </w:trPr>
        <w:tc>
          <w:tcPr>
            <w:tcW w:w="40" w:type="dxa"/>
            <w:vAlign w:val="bottom"/>
          </w:tcPr>
          <w:p>
            <w:pPr>
              <w:spacing w:after="0"/>
              <w:rPr>
                <w:sz w:val="24"/>
                <w:szCs w:val="24"/>
                <w:color w:val="auto"/>
              </w:rPr>
            </w:pPr>
          </w:p>
        </w:tc>
        <w:tc>
          <w:tcPr>
            <w:tcW w:w="11180" w:type="dxa"/>
            <w:vAlign w:val="bottom"/>
            <w:gridSpan w:val="3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 —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9"/>
          </w:tcPr>
          <w:p>
            <w:pPr>
              <w:spacing w:after="0"/>
              <w:rPr>
                <w:rFonts w:ascii="Arial" w:cs="Arial" w:eastAsia="Arial" w:hAnsi="Arial"/>
                <w:sz w:val="18"/>
                <w:szCs w:val="18"/>
                <w:i w:val="1"/>
                <w:iCs w:val="1"/>
                <w:color w:val="0000EE"/>
                <w:w w:val="89"/>
              </w:rPr>
            </w:pPr>
            <w:hyperlink w:anchor="page31">
              <w:r>
                <w:rPr>
                  <w:rFonts w:ascii="Arial" w:cs="Arial" w:eastAsia="Arial" w:hAnsi="Arial"/>
                  <w:sz w:val="18"/>
                  <w:szCs w:val="18"/>
                  <w:i w:val="1"/>
                  <w:iCs w:val="1"/>
                  <w:color w:val="0000EE"/>
                  <w:w w:val="89"/>
                </w:rPr>
                <w:t>Item 1. Legal Proceedings</w:t>
              </w:r>
            </w:hyperlink>
          </w:p>
        </w:tc>
        <w:tc>
          <w:tcPr>
            <w:tcW w:w="500" w:type="dxa"/>
            <w:vAlign w:val="bottom"/>
            <w:tcBorders>
              <w:top w:val="single" w:sz="8" w:color="0000EE"/>
            </w:tcBorders>
            <w:gridSpan w:val="5"/>
          </w:tcPr>
          <w:p>
            <w:pPr>
              <w:spacing w:after="0"/>
              <w:rPr>
                <w:sz w:val="24"/>
                <w:szCs w:val="24"/>
                <w:color w:val="auto"/>
              </w:rPr>
            </w:pPr>
          </w:p>
        </w:tc>
        <w:tc>
          <w:tcPr>
            <w:tcW w:w="8440" w:type="dxa"/>
            <w:vAlign w:val="bottom"/>
            <w:gridSpan w:val="1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8"/>
                <w:szCs w:val="18"/>
                <w:i w:val="1"/>
                <w:iCs w:val="1"/>
                <w:color w:val="0000EE"/>
                <w:w w:val="90"/>
              </w:rPr>
            </w:pPr>
            <w:hyperlink w:anchor="page31">
              <w:r>
                <w:rPr>
                  <w:rFonts w:ascii="Arial" w:cs="Arial" w:eastAsia="Arial" w:hAnsi="Arial"/>
                  <w:sz w:val="18"/>
                  <w:szCs w:val="18"/>
                  <w:i w:val="1"/>
                  <w:iCs w:val="1"/>
                  <w:color w:val="0000EE"/>
                  <w:w w:val="90"/>
                </w:rPr>
                <w:t>Item 1A. Risk Factors</w:t>
              </w:r>
            </w:hyperlink>
          </w:p>
        </w:tc>
        <w:tc>
          <w:tcPr>
            <w:tcW w:w="9260" w:type="dxa"/>
            <w:vAlign w:val="bottom"/>
            <w:gridSpan w:val="2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Borders>
              <w:bottom w:val="single" w:sz="8" w:color="0000EE"/>
            </w:tcBorders>
            <w:gridSpan w:val="21"/>
          </w:tcPr>
          <w:p>
            <w:pPr>
              <w:spacing w:after="0"/>
              <w:rPr>
                <w:rFonts w:ascii="Arial" w:cs="Arial" w:eastAsia="Arial" w:hAnsi="Arial"/>
                <w:sz w:val="18"/>
                <w:szCs w:val="18"/>
                <w:i w:val="1"/>
                <w:iCs w:val="1"/>
                <w:color w:val="0000EE"/>
                <w:w w:val="89"/>
              </w:rPr>
            </w:pPr>
            <w:hyperlink w:anchor="page32">
              <w:r>
                <w:rPr>
                  <w:rFonts w:ascii="Arial" w:cs="Arial" w:eastAsia="Arial" w:hAnsi="Arial"/>
                  <w:sz w:val="18"/>
                  <w:szCs w:val="18"/>
                  <w:i w:val="1"/>
                  <w:iCs w:val="1"/>
                  <w:color w:val="0000EE"/>
                  <w:w w:val="89"/>
                </w:rPr>
                <w:t>Item 2. Unregistered Sales of Equity Securities and Use of Proceeds</w:t>
              </w:r>
            </w:hyperlink>
          </w:p>
        </w:tc>
        <w:tc>
          <w:tcPr>
            <w:tcW w:w="594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31"/>
          </w:tcPr>
          <w:p>
            <w:pPr>
              <w:spacing w:after="0"/>
              <w:rPr>
                <w:rFonts w:ascii="Arial" w:cs="Arial" w:eastAsia="Arial" w:hAnsi="Arial"/>
                <w:sz w:val="18"/>
                <w:szCs w:val="18"/>
                <w:i w:val="1"/>
                <w:iCs w:val="1"/>
                <w:color w:val="0000EE"/>
              </w:rPr>
            </w:pPr>
            <w:hyperlink w:anchor="page32">
              <w:r>
                <w:rPr>
                  <w:rFonts w:ascii="Arial" w:cs="Arial" w:eastAsia="Arial" w:hAnsi="Arial"/>
                  <w:sz w:val="18"/>
                  <w:szCs w:val="18"/>
                  <w:i w:val="1"/>
                  <w:iCs w:val="1"/>
                  <w:color w:val="0000EE"/>
                </w:rPr>
                <w:t>Item 6. 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700" w:type="dxa"/>
            <w:vAlign w:val="bottom"/>
            <w:gridSpan w:val="2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SIGNATURES</w:t>
              </w:r>
            </w:hyperlink>
          </w:p>
        </w:tc>
        <w:tc>
          <w:tcPr>
            <w:tcW w:w="10080" w:type="dxa"/>
            <w:vAlign w:val="bottom"/>
            <w:gridSpan w:val="2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100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September 30,</w:t>
            </w:r>
          </w:p>
        </w:tc>
      </w:tr>
      <w:tr>
        <w:trPr>
          <w:trHeight w:val="174"/>
        </w:trPr>
        <w:tc>
          <w:tcPr>
            <w:tcW w:w="7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2019</w:t>
            </w:r>
          </w:p>
        </w:tc>
      </w:tr>
      <w:tr>
        <w:trPr>
          <w:trHeight w:val="384"/>
        </w:trPr>
        <w:tc>
          <w:tcPr>
            <w:tcW w:w="7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5"/>
          </w:tcPr>
          <w:p>
            <w:pPr>
              <w:ind w:left="760"/>
              <w:spacing w:after="0"/>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143,141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297,031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157,567</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Pawn loans</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195,586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193,984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199,058</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service charges receivable,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32,250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31,558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31,802</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Inventory, net</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187,369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175,422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179,355</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Notes receivable,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26,711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7,182</w:t>
            </w: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36,142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31,483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30,796</w:t>
            </w: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601,938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756,189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605,760</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Investments in unconsolidated affiliates</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29,272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35,511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34,516</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65,246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69,770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67,357</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Lease right-of-use asset</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225,950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301,282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296,638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300,527</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Intangible assets, net</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68,995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55,956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68,044</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Notes receivable,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1,117</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Deferred tax asset, net</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2,123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10,104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1,998</w:t>
            </w:r>
          </w:p>
        </w:tc>
      </w:tr>
      <w:tr>
        <w:trPr>
          <w:trHeight w:val="270"/>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4,442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4,383</w:t>
            </w:r>
          </w:p>
        </w:tc>
      </w:tr>
      <w:tr>
        <w:trPr>
          <w:trHeight w:val="283"/>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1,300,942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1,233,209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1,083,702</w:t>
            </w:r>
          </w:p>
        </w:tc>
      </w:tr>
      <w:tr>
        <w:trPr>
          <w:trHeight w:val="278"/>
        </w:trPr>
        <w:tc>
          <w:tcPr>
            <w:tcW w:w="7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Current maturities of long-term debt, net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190,238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214</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51,621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57,380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77,957</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Customer layaway deposits</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12,548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11,747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12,915</w:t>
            </w: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Lease liability</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48,052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778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112,436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259,365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91,086</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241,209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229,928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238,380</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Deferred tax liability, net</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2,119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9,617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1,985</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Lease liability</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186,352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liabilities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7,226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6,150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7,302</w:t>
            </w: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549,342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505,060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338,753</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Commitments and contingencies (Note 9)</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57"/>
        </w:trPr>
        <w:tc>
          <w:tcPr>
            <w:tcW w:w="7780" w:type="dxa"/>
            <w:vAlign w:val="bottom"/>
          </w:tcPr>
          <w:p>
            <w:pPr>
              <w:ind w:left="500"/>
              <w:spacing w:after="0" w:line="157" w:lineRule="exact"/>
              <w:rPr>
                <w:sz w:val="20"/>
                <w:szCs w:val="20"/>
                <w:color w:val="auto"/>
              </w:rPr>
            </w:pPr>
            <w:r>
              <w:rPr>
                <w:rFonts w:ascii="Arial" w:cs="Arial" w:eastAsia="Arial" w:hAnsi="Arial"/>
                <w:sz w:val="14"/>
                <w:szCs w:val="14"/>
                <w:color w:val="auto"/>
                <w:w w:val="99"/>
              </w:rPr>
              <w:t>Class A Non-voting Common Stock, par value $.01 per share; shares authorized: 100 million; issued and outstanding:</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7780" w:type="dxa"/>
            <w:vAlign w:val="bottom"/>
          </w:tcPr>
          <w:p>
            <w:pPr>
              <w:ind w:left="500"/>
              <w:spacing w:after="0"/>
              <w:rPr>
                <w:sz w:val="20"/>
                <w:szCs w:val="20"/>
                <w:color w:val="auto"/>
              </w:rPr>
            </w:pPr>
            <w:r>
              <w:rPr>
                <w:rFonts w:ascii="Arial" w:cs="Arial" w:eastAsia="Arial" w:hAnsi="Arial"/>
                <w:sz w:val="14"/>
                <w:szCs w:val="14"/>
                <w:color w:val="auto"/>
                <w:w w:val="98"/>
              </w:rPr>
              <w:t>52,886,122 as of December 31, 2019; 52,475,070 as of December 31, 2018; and 52,565,064 as of September 30, 2019</w:t>
            </w:r>
          </w:p>
        </w:tc>
        <w:tc>
          <w:tcPr>
            <w:tcW w:w="1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526</w:t>
            </w:r>
          </w:p>
        </w:tc>
      </w:tr>
      <w:tr>
        <w:trPr>
          <w:trHeight w:val="163"/>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5"/>
              </w:rPr>
              <w:t>Class B Voting Common Stock, convertible, par value $.01 per share; shares authorized: 3 million; issued and outstanding:</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4"/>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2,970,171</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407,440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400,081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407,628</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Retained earnings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389,928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383,256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389,163</w:t>
            </w: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(46,327)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(48,739)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(52,398)</w:t>
            </w: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EZCORP, Inc. stockholders’ equity</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751,600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735,152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744,949</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Noncontrolling interest</w:t>
            </w: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778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equity</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751,600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728,149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744,949</w:t>
            </w:r>
          </w:p>
        </w:tc>
      </w:tr>
      <w:tr>
        <w:trPr>
          <w:trHeight w:val="243"/>
        </w:trPr>
        <w:tc>
          <w:tcPr>
            <w:tcW w:w="7780" w:type="dxa"/>
            <w:vAlign w:val="bottom"/>
          </w:tcPr>
          <w:p>
            <w:pPr>
              <w:ind w:left="40"/>
              <w:spacing w:after="0"/>
              <w:rPr>
                <w:sz w:val="20"/>
                <w:szCs w:val="20"/>
                <w:color w:val="auto"/>
              </w:rPr>
            </w:pPr>
            <w:r>
              <w:rPr>
                <w:rFonts w:ascii="Arial" w:cs="Arial" w:eastAsia="Arial" w:hAnsi="Arial"/>
                <w:sz w:val="14"/>
                <w:szCs w:val="14"/>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1,300,942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1,233,209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1,083,702</w:t>
            </w: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20"/>
          </w:cols>
          <w:pgMar w:left="240" w:top="121"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379"/>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3"/>
          </w:tcPr>
          <w:p>
            <w:pPr>
              <w:jc w:val="center"/>
              <w:ind w:left="720"/>
              <w:spacing w:after="0"/>
              <w:rPr>
                <w:sz w:val="20"/>
                <w:szCs w:val="20"/>
                <w:color w:val="auto"/>
              </w:rPr>
            </w:pPr>
            <w:r>
              <w:rPr>
                <w:rFonts w:ascii="Arial" w:cs="Arial" w:eastAsia="Arial" w:hAnsi="Arial"/>
                <w:sz w:val="14"/>
                <w:szCs w:val="14"/>
                <w:b w:val="1"/>
                <w:bCs w:val="1"/>
                <w:color w:val="auto"/>
                <w:w w:val="95"/>
              </w:rPr>
              <w:t>(Unaudited)</w:t>
            </w:r>
          </w:p>
        </w:tc>
        <w:tc>
          <w:tcPr>
            <w:tcW w:w="1020" w:type="dxa"/>
            <w:vAlign w:val="bottom"/>
          </w:tcPr>
          <w:p>
            <w:pPr>
              <w:spacing w:after="0"/>
              <w:rPr>
                <w:sz w:val="24"/>
                <w:szCs w:val="24"/>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center"/>
              <w:ind w:right="139"/>
              <w:spacing w:after="0"/>
              <w:rPr>
                <w:sz w:val="20"/>
                <w:szCs w:val="20"/>
                <w:color w:val="auto"/>
              </w:rPr>
            </w:pPr>
            <w:r>
              <w:rPr>
                <w:rFonts w:ascii="Arial" w:cs="Arial" w:eastAsia="Arial" w:hAnsi="Arial"/>
                <w:sz w:val="14"/>
                <w:szCs w:val="14"/>
                <w:i w:val="1"/>
                <w:iCs w:val="1"/>
                <w:color w:val="auto"/>
                <w:w w:val="92"/>
              </w:rPr>
              <w:t>(in thousands, except per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126,728</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121,024</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9,281</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84,725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83,519</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1,871</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222,435</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215,695</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84,076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77,112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7,754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8,050</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130,069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130,049</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90,625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90,853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13,165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7,733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6,848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sale or disposal of assets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4,442</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116,591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115,308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13,478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14,741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5,329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8,791</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Equity in net loss of unconsolidated affiliates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5,897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1,119</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of investment in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13,274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expense (income)</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1,759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net of tax</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EZCORP,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(3,366)</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(loss) per share attributable to EZCORP, Inc. — continuing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Diluted earnings (loss)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55,666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55,032</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55,687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55,032</w:t>
            </w:r>
          </w:p>
        </w:tc>
      </w:tr>
      <w:tr>
        <w:trPr>
          <w:trHeight w:val="33"/>
        </w:trPr>
        <w:tc>
          <w:tcPr>
            <w:tcW w:w="8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5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379"/>
        </w:trPr>
        <w:tc>
          <w:tcPr>
            <w:tcW w:w="8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24"/>
                <w:szCs w:val="24"/>
                <w:color w:val="auto"/>
              </w:rPr>
            </w:pPr>
          </w:p>
        </w:tc>
      </w:tr>
      <w:tr>
        <w:trPr>
          <w:trHeight w:val="209"/>
        </w:trPr>
        <w:tc>
          <w:tcPr>
            <w:tcW w:w="8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8"/>
                <w:szCs w:val="18"/>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4"/>
              </w:rPr>
              <w:t>1,238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comprehensive gain (loss):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Foreign currency translation gain (loss), net of income tax expense for our investment in unconsolidated affiliate of $122 and</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9"/>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$87 for the three months ended December 31, 2019 and 2018.</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4"/>
              </w:rPr>
              <w:t>6,071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(6,383)</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94"/>
              </w:rPr>
              <w:t>7,309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(10,226)</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noncontrolling interest</w:t>
            </w:r>
          </w:p>
        </w:tc>
        <w:tc>
          <w:tcPr>
            <w:tcW w:w="8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44"/>
        </w:trPr>
        <w:tc>
          <w:tcPr>
            <w:tcW w:w="8580" w:type="dxa"/>
            <w:vAlign w:val="bottom"/>
          </w:tcPr>
          <w:p>
            <w:pPr>
              <w:ind w:left="40"/>
              <w:spacing w:after="0"/>
              <w:rPr>
                <w:sz w:val="20"/>
                <w:szCs w:val="20"/>
                <w:color w:val="auto"/>
              </w:rPr>
            </w:pPr>
            <w:r>
              <w:rPr>
                <w:rFonts w:ascii="Arial" w:cs="Arial" w:eastAsia="Arial" w:hAnsi="Arial"/>
                <w:sz w:val="16"/>
                <w:szCs w:val="16"/>
                <w:color w:val="auto"/>
              </w:rPr>
              <w:t>Comprehensive income (loss) attributable to EZCORP, Inc.</w:t>
            </w:r>
          </w:p>
        </w:tc>
        <w:tc>
          <w:tcPr>
            <w:tcW w:w="86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94"/>
              </w:rPr>
              <w:t>7,309</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(9,749)</w:t>
            </w: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20" w:type="dxa"/>
            <w:vAlign w:val="bottom"/>
            <w:gridSpan w:val="8"/>
          </w:tcPr>
          <w:p>
            <w:pPr>
              <w:ind w:left="5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163"/>
              <w:spacing w:after="0"/>
              <w:rPr>
                <w:sz w:val="20"/>
                <w:szCs w:val="20"/>
                <w:color w:val="auto"/>
              </w:rPr>
            </w:pPr>
            <w:r>
              <w:rPr>
                <w:rFonts w:ascii="Arial" w:cs="Arial" w:eastAsia="Arial" w:hAnsi="Arial"/>
                <w:sz w:val="14"/>
                <w:szCs w:val="14"/>
                <w:b w:val="1"/>
                <w:bCs w:val="1"/>
                <w:color w:val="auto"/>
                <w:w w:val="95"/>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3"/>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vMerge w:val="restart"/>
          </w:tcPr>
          <w:p>
            <w:pPr>
              <w:jc w:val="right"/>
              <w:ind w:right="41"/>
              <w:spacing w:after="0" w:line="13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740" w:type="dxa"/>
            <w:vAlign w:val="bottom"/>
          </w:tcPr>
          <w:p>
            <w:pPr>
              <w:spacing w:after="0"/>
              <w:rPr>
                <w:sz w:val="5"/>
                <w:szCs w:val="5"/>
                <w:color w:val="auto"/>
              </w:rPr>
            </w:pPr>
          </w:p>
        </w:tc>
        <w:tc>
          <w:tcPr>
            <w:tcW w:w="9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100" w:type="dxa"/>
            <w:vAlign w:val="bottom"/>
            <w:gridSpan w:val="2"/>
            <w:vMerge w:val="restart"/>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00" w:type="dxa"/>
            <w:vAlign w:val="bottom"/>
            <w:gridSpan w:val="2"/>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gridSpan w:val="2"/>
          </w:tcPr>
          <w:p>
            <w:pPr>
              <w:spacing w:after="0"/>
              <w:rPr>
                <w:sz w:val="16"/>
                <w:szCs w:val="16"/>
                <w:color w:val="auto"/>
              </w:rPr>
            </w:pPr>
          </w:p>
        </w:tc>
        <w:tc>
          <w:tcPr>
            <w:tcW w:w="13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88"/>
              </w:rPr>
              <w:t>Comprehensive Loss</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16"/>
          </w:tcPr>
          <w:p>
            <w:pPr>
              <w:ind w:left="60"/>
              <w:spacing w:after="0"/>
              <w:rPr>
                <w:sz w:val="20"/>
                <w:szCs w:val="20"/>
                <w:color w:val="auto"/>
              </w:rPr>
            </w:pPr>
            <w:r>
              <w:rPr>
                <w:rFonts w:ascii="Arial" w:cs="Arial" w:eastAsia="Arial" w:hAnsi="Arial"/>
                <w:sz w:val="14"/>
                <w:szCs w:val="14"/>
                <w:b w:val="1"/>
                <w:bCs w:val="1"/>
                <w:color w:val="auto"/>
                <w:w w:val="92"/>
              </w:rPr>
              <w:t>(Unaudited, except balances as of September 30, 2018)</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6"/>
          </w:tcPr>
          <w:p>
            <w:pPr>
              <w:jc w:val="right"/>
              <w:ind w:right="641"/>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September 30, 2018</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54,585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397,927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386,622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(42,356)</w:t>
            </w:r>
          </w:p>
        </w:tc>
        <w:tc>
          <w:tcPr>
            <w:tcW w:w="2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739,408</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2,247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0"/>
        </w:trPr>
        <w:tc>
          <w:tcPr>
            <w:tcW w:w="3740" w:type="dxa"/>
            <w:vAlign w:val="bottom"/>
          </w:tcPr>
          <w:p>
            <w:pPr>
              <w:ind w:left="280"/>
              <w:spacing w:after="0"/>
              <w:rPr>
                <w:sz w:val="20"/>
                <w:szCs w:val="20"/>
                <w:color w:val="auto"/>
              </w:rPr>
            </w:pPr>
            <w:r>
              <w:rPr>
                <w:rFonts w:ascii="Arial" w:cs="Arial" w:eastAsia="Arial" w:hAnsi="Arial"/>
                <w:sz w:val="16"/>
                <w:szCs w:val="16"/>
                <w:color w:val="auto"/>
                <w:w w:val="94"/>
              </w:rPr>
              <w:t>Taxes paid related to net share settlement of equity</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40" w:type="dxa"/>
            <w:vAlign w:val="bottom"/>
          </w:tcPr>
          <w:p>
            <w:pPr>
              <w:ind w:left="280"/>
              <w:spacing w:after="0"/>
              <w:rPr>
                <w:sz w:val="20"/>
                <w:szCs w:val="20"/>
                <w:color w:val="auto"/>
              </w:rPr>
            </w:pPr>
            <w:r>
              <w:rPr>
                <w:rFonts w:ascii="Arial" w:cs="Arial" w:eastAsia="Arial" w:hAnsi="Arial"/>
                <w:sz w:val="16"/>
                <w:szCs w:val="16"/>
                <w:color w:val="auto"/>
              </w:rPr>
              <w:t>awards</w:t>
            </w: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Transfer of subsidiary shares to noncontrolling</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w:t>
            </w: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3,195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Foreign currency translation loss</w:t>
            </w: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(6,383)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(6,383)</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(3,843)</w:t>
            </w:r>
          </w:p>
        </w:tc>
        <w:tc>
          <w:tcPr>
            <w:tcW w:w="0" w:type="dxa"/>
            <w:vAlign w:val="bottom"/>
          </w:tcPr>
          <w:p>
            <w:pPr>
              <w:spacing w:after="0"/>
              <w:rPr>
                <w:sz w:val="1"/>
                <w:szCs w:val="1"/>
                <w:color w:val="auto"/>
              </w:rPr>
            </w:pPr>
          </w:p>
        </w:tc>
      </w:tr>
      <w:tr>
        <w:trPr>
          <w:trHeight w:val="244"/>
        </w:trPr>
        <w:tc>
          <w:tcPr>
            <w:tcW w:w="3740" w:type="dxa"/>
            <w:vAlign w:val="bottom"/>
          </w:tcPr>
          <w:p>
            <w:pPr>
              <w:ind w:left="40"/>
              <w:spacing w:after="0"/>
              <w:rPr>
                <w:sz w:val="20"/>
                <w:szCs w:val="20"/>
                <w:color w:val="auto"/>
              </w:rPr>
            </w:pPr>
            <w:r>
              <w:rPr>
                <w:rFonts w:ascii="Arial" w:cs="Arial" w:eastAsia="Arial" w:hAnsi="Arial"/>
                <w:sz w:val="16"/>
                <w:szCs w:val="16"/>
                <w:color w:val="auto"/>
              </w:rPr>
              <w:t>Balances as of December 31, 2018</w:t>
            </w: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55,445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400,081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383,256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(48,739)</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(7,003)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728,149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8"/>
          </w:tcPr>
          <w:p>
            <w:pPr>
              <w:ind w:left="34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restart"/>
          </w:tcPr>
          <w:p>
            <w:pPr>
              <w:jc w:val="right"/>
              <w:ind w:right="260"/>
              <w:spacing w:after="0" w:line="13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vMerge w:val="restart"/>
          </w:tcPr>
          <w:p>
            <w:pPr>
              <w:jc w:val="right"/>
              <w:ind w:right="101"/>
              <w:spacing w:after="0" w:line="139" w:lineRule="exact"/>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restart"/>
          </w:tcPr>
          <w:p>
            <w:pPr>
              <w:jc w:val="center"/>
              <w:ind w:right="580"/>
              <w:spacing w:after="0" w:line="13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gridSpan w:val="2"/>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Par Value</w:t>
            </w:r>
          </w:p>
        </w:tc>
        <w:tc>
          <w:tcPr>
            <w:tcW w:w="8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6"/>
                <w:szCs w:val="16"/>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Comprehensive 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18"/>
          </w:tcPr>
          <w:p>
            <w:pPr>
              <w:ind w:left="520"/>
              <w:spacing w:after="0"/>
              <w:rPr>
                <w:sz w:val="20"/>
                <w:szCs w:val="20"/>
                <w:color w:val="auto"/>
              </w:rPr>
            </w:pPr>
            <w:r>
              <w:rPr>
                <w:rFonts w:ascii="Arial" w:cs="Arial" w:eastAsia="Arial" w:hAnsi="Arial"/>
                <w:sz w:val="14"/>
                <w:szCs w:val="14"/>
                <w:b w:val="1"/>
                <w:bCs w:val="1"/>
                <w:color w:val="auto"/>
              </w:rPr>
              <w:t>(Unaudited, except balances as of September 30, 2019)</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gridSpan w:val="5"/>
          </w:tcPr>
          <w:p>
            <w:pPr>
              <w:jc w:val="right"/>
              <w:ind w:right="181"/>
              <w:spacing w:after="0"/>
              <w:rPr>
                <w:sz w:val="20"/>
                <w:szCs w:val="20"/>
                <w:color w:val="auto"/>
              </w:rPr>
            </w:pPr>
            <w:r>
              <w:rPr>
                <w:rFonts w:ascii="Arial" w:cs="Arial" w:eastAsia="Arial" w:hAnsi="Arial"/>
                <w:sz w:val="14"/>
                <w:szCs w:val="14"/>
                <w:i w:val="1"/>
                <w:iCs w:val="1"/>
                <w:color w:val="auto"/>
                <w:w w:val="90"/>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Balances as of September 30, 2019</w:t>
            </w: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55,535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407,628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389,163</w:t>
            </w:r>
          </w:p>
        </w:tc>
        <w:tc>
          <w:tcPr>
            <w:tcW w:w="340" w:type="dxa"/>
            <w:vAlign w:val="bottom"/>
            <w:tcBorders>
              <w:bottom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744,949</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1,695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760" w:type="dxa"/>
            <w:vAlign w:val="bottom"/>
            <w:gridSpan w:val="4"/>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120" w:type="dxa"/>
            <w:vAlign w:val="bottom"/>
          </w:tcPr>
          <w:p>
            <w:pPr>
              <w:spacing w:after="0"/>
              <w:rPr>
                <w:sz w:val="20"/>
                <w:szCs w:val="20"/>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6"/>
                <w:szCs w:val="16"/>
                <w:color w:val="auto"/>
              </w:rPr>
              <w:t>(1,395)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gain</w:t>
            </w: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6,071</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Purchase and retirement of treasury stock</w:t>
            </w: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6"/>
                <w:szCs w:val="16"/>
                <w:color w:val="auto"/>
              </w:rPr>
              <w:t>(488)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44"/>
        </w:trPr>
        <w:tc>
          <w:tcPr>
            <w:tcW w:w="3740" w:type="dxa"/>
            <w:vAlign w:val="bottom"/>
          </w:tcPr>
          <w:p>
            <w:pPr>
              <w:ind w:left="40"/>
              <w:spacing w:after="0"/>
              <w:rPr>
                <w:sz w:val="20"/>
                <w:szCs w:val="20"/>
                <w:color w:val="auto"/>
              </w:rPr>
            </w:pPr>
            <w:r>
              <w:rPr>
                <w:rFonts w:ascii="Arial" w:cs="Arial" w:eastAsia="Arial" w:hAnsi="Arial"/>
                <w:sz w:val="16"/>
                <w:szCs w:val="16"/>
                <w:color w:val="auto"/>
              </w:rPr>
              <w:t>Balances as of December 31, 2019</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55,856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559</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407,440</w:t>
            </w:r>
          </w:p>
        </w:tc>
        <w:tc>
          <w:tcPr>
            <w:tcW w:w="8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389,928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w w:val="89"/>
              </w:rPr>
              <w:t>$</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(46,327)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751,600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379"/>
        </w:trPr>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left="66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4"/>
                <w:szCs w:val="24"/>
                <w:color w:val="auto"/>
              </w:rPr>
            </w:pPr>
          </w:p>
        </w:tc>
      </w:tr>
      <w:tr>
        <w:trPr>
          <w:trHeight w:val="209"/>
        </w:trPr>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left="660"/>
              <w:spacing w:after="0"/>
              <w:rPr>
                <w:sz w:val="20"/>
                <w:szCs w:val="20"/>
                <w:color w:val="auto"/>
              </w:rPr>
            </w:pPr>
            <w:r>
              <w:rPr>
                <w:rFonts w:ascii="Arial" w:cs="Arial" w:eastAsia="Arial" w:hAnsi="Arial"/>
                <w:sz w:val="14"/>
                <w:szCs w:val="14"/>
                <w:i w:val="1"/>
                <w:iCs w:val="1"/>
                <w:color w:val="auto"/>
                <w:w w:val="92"/>
              </w:rPr>
              <w:t>(in thousands)</w:t>
            </w:r>
          </w:p>
        </w:tc>
        <w:tc>
          <w:tcPr>
            <w:tcW w:w="1000" w:type="dxa"/>
            <w:vAlign w:val="bottom"/>
          </w:tcPr>
          <w:p>
            <w:pPr>
              <w:spacing w:after="0"/>
              <w:rPr>
                <w:sz w:val="18"/>
                <w:szCs w:val="18"/>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(3,843)</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income (loss) to net 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7,733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6,848</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discount and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5,585</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Amortization of lease right-of-use asset</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11,474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(1,376)</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352</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Impairment of investment in unconsolidated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13,274</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Other adjustments</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5,052</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2,238</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Loss from investments in unconsolidated affiliates</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5,897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1,119</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Service charges and fees receivable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685</w:t>
            </w: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(1,564)</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w:t>
            </w: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(3,445)</w:t>
            </w:r>
          </w:p>
        </w:tc>
      </w:tr>
      <w:tr>
        <w:trPr>
          <w:trHeight w:val="217"/>
        </w:trPr>
        <w:tc>
          <w:tcPr>
            <w:tcW w:w="8320" w:type="dxa"/>
            <w:vAlign w:val="bottom"/>
          </w:tcPr>
          <w:p>
            <w:pPr>
              <w:ind w:left="820"/>
              <w:spacing w:after="0"/>
              <w:rPr>
                <w:sz w:val="20"/>
                <w:szCs w:val="20"/>
                <w:color w:val="auto"/>
              </w:rPr>
            </w:pPr>
            <w:r>
              <w:rPr>
                <w:rFonts w:ascii="Arial" w:cs="Arial" w:eastAsia="Arial" w:hAnsi="Arial"/>
                <w:sz w:val="16"/>
                <w:szCs w:val="16"/>
                <w:color w:val="auto"/>
              </w:rPr>
              <w:t>Net cash (used in) provided by operating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(10,918)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23,381</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Loans made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(187,362)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(186,588)</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repaid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109,623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106,643</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76,515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70,594</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(5,880)</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Acquisitions, net of cash acquired</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collections on notes receivable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7,284</w:t>
            </w:r>
          </w:p>
        </w:tc>
      </w:tr>
      <w:tr>
        <w:trPr>
          <w:trHeight w:val="217"/>
        </w:trPr>
        <w:tc>
          <w:tcPr>
            <w:tcW w:w="8320" w:type="dxa"/>
            <w:vAlign w:val="bottom"/>
          </w:tcPr>
          <w:p>
            <w:pPr>
              <w:ind w:left="8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(6,798)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(8,279)</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(3,288)</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Payout of deferred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Proceeds from borrowings, net of issuance costs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743</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(2,612)</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(782)</w:t>
            </w:r>
          </w:p>
        </w:tc>
      </w:tr>
      <w:tr>
        <w:trPr>
          <w:trHeight w:val="33"/>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(19,301)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11,708</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162,442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285,578</w:t>
            </w:r>
          </w:p>
        </w:tc>
      </w:tr>
      <w:tr>
        <w:trPr>
          <w:trHeight w:val="33"/>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143,141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297,286</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09"/>
        </w:trPr>
        <w:tc>
          <w:tcPr>
            <w:tcW w:w="8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82,878</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80,301</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00"/>
          </w:cols>
          <w:pgMar w:left="240" w:top="121" w:right="259"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1" w:right="25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When used in this report, the terms “we,” “us,” “our,” “EZCORP” and the “Company” mean EZCORP, Inc. and its consolidated subsidiaries, collectively.</w:t>
      </w:r>
    </w:p>
    <w:p>
      <w:pPr>
        <w:spacing w:after="0" w:line="18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are a leading provider of pawn loans in the United States and Latin America. Pawn loans are non-recourse loans collateralized by tangible property. We also sell merchandise, primarily collateral forfeited from pawn lending operations and used merchandise purchased from customers, and operate a small number of financial services stores in Canada.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accounting principles generally accepted in the United States (“GAAP”)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which are of a normal, recurring nature. All intercompany accounts and transactions have been eliminated in consolidation.</w:t>
      </w:r>
    </w:p>
    <w:p>
      <w:pPr>
        <w:spacing w:after="0" w:line="134" w:lineRule="exact"/>
        <w:rPr>
          <w:sz w:val="20"/>
          <w:szCs w:val="20"/>
          <w:color w:val="auto"/>
        </w:rPr>
      </w:pPr>
    </w:p>
    <w:p>
      <w:pPr>
        <w:jc w:val="both"/>
        <w:ind w:right="40"/>
        <w:spacing w:after="0" w:line="286" w:lineRule="auto"/>
        <w:rPr>
          <w:rFonts w:ascii="Arial" w:cs="Arial" w:eastAsia="Arial" w:hAnsi="Arial"/>
          <w:sz w:val="17"/>
          <w:szCs w:val="17"/>
          <w:color w:val="0000EE"/>
        </w:rPr>
      </w:pPr>
      <w:hyperlink r:id="rId13">
        <w:r>
          <w:rPr>
            <w:rFonts w:ascii="Arial" w:cs="Arial" w:eastAsia="Arial" w:hAnsi="Arial"/>
            <w:sz w:val="17"/>
            <w:szCs w:val="17"/>
            <w:color w:val="auto"/>
          </w:rPr>
          <w:t xml:space="preserve">The accompanying financial statements should be read in conjunction with the consolidated financial statements and notes included in our </w:t>
        </w:r>
        <w:r>
          <w:rPr>
            <w:rFonts w:ascii="Arial" w:cs="Arial" w:eastAsia="Arial" w:hAnsi="Arial"/>
            <w:sz w:val="17"/>
            <w:szCs w:val="17"/>
            <w:u w:val="single" w:color="auto"/>
            <w:color w:val="0000EE"/>
          </w:rPr>
          <w:t>Annual Report on</w:t>
        </w:r>
      </w:hyperlink>
      <w:r>
        <w:rPr>
          <w:rFonts w:ascii="Arial" w:cs="Arial" w:eastAsia="Arial" w:hAnsi="Arial"/>
          <w:sz w:val="17"/>
          <w:szCs w:val="17"/>
          <w:color w:val="auto"/>
        </w:rPr>
        <w:t xml:space="preserve"> </w:t>
      </w:r>
      <w:hyperlink r:id="rId13">
        <w:r>
          <w:rPr>
            <w:rFonts w:ascii="Arial" w:cs="Arial" w:eastAsia="Arial" w:hAnsi="Arial"/>
            <w:sz w:val="17"/>
            <w:szCs w:val="17"/>
            <w:u w:val="single" w:color="auto"/>
            <w:color w:val="0000EE"/>
          </w:rPr>
          <w:t>Form 10-K for the year ended September 30, 2019</w:t>
        </w:r>
        <w:r>
          <w:rPr>
            <w:rFonts w:ascii="Arial" w:cs="Arial" w:eastAsia="Arial" w:hAnsi="Arial"/>
            <w:sz w:val="17"/>
            <w:szCs w:val="17"/>
            <w:color w:val="000000"/>
          </w:rPr>
          <w:t>. The balance sheet as of September 30, 2019 has been derived from the audited financial statements at that</w:t>
        </w:r>
      </w:hyperlink>
      <w:r>
        <w:rPr>
          <w:rFonts w:ascii="Arial" w:cs="Arial" w:eastAsia="Arial" w:hAnsi="Arial"/>
          <w:sz w:val="17"/>
          <w:szCs w:val="17"/>
          <w:color w:val="0000EE"/>
        </w:rPr>
        <w:t xml:space="preserve"> </w:t>
      </w:r>
      <w:r>
        <w:rPr>
          <w:rFonts w:ascii="Arial" w:cs="Arial" w:eastAsia="Arial" w:hAnsi="Arial"/>
          <w:sz w:val="17"/>
          <w:szCs w:val="17"/>
          <w:color w:val="000000"/>
        </w:rPr>
        <w:t>date but does not include all of the information and footnotes required by GAAP for complete financial statements.</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business is subject to seasonal variations, and operating results for the three months ended December 31, 2019 and 2018 (the "current quarter" and "prior-year quarter," respectively) are not necessarily indicative of the results of operations for the full fiscal year.</w:t>
      </w:r>
    </w:p>
    <w:p>
      <w:pPr>
        <w:spacing w:after="0" w:line="116" w:lineRule="exact"/>
        <w:rPr>
          <w:sz w:val="20"/>
          <w:szCs w:val="20"/>
          <w:color w:val="auto"/>
        </w:rPr>
      </w:pPr>
    </w:p>
    <w:p>
      <w:pPr>
        <w:ind w:right="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in significant accounting policies as described in our </w:t>
      </w:r>
      <w:hyperlink r:id="rId13">
        <w:r>
          <w:rPr>
            <w:rFonts w:ascii="Arial" w:cs="Arial" w:eastAsia="Arial" w:hAnsi="Arial"/>
            <w:sz w:val="18"/>
            <w:szCs w:val="18"/>
            <w:u w:val="single" w:color="auto"/>
            <w:color w:val="0000EE"/>
          </w:rPr>
          <w:t>Annual Report on Form 10-K for the year ended September 30, 2019</w:t>
        </w:r>
      </w:hyperlink>
      <w:r>
        <w:rPr>
          <w:rFonts w:ascii="Arial" w:cs="Arial" w:eastAsia="Arial" w:hAnsi="Arial"/>
          <w:sz w:val="18"/>
          <w:szCs w:val="18"/>
          <w:color w:val="auto"/>
        </w:rPr>
        <w:t>, other than those described below and in Note 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inventories,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these estimates under different assumptions or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17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February 2016, the FASB issued ASU 2016-02, Leases (Topic 842). This Accounting Standards Update ("ASU") requires companies to generally recognize on the balance sheet operating and financing lease liabilities and corresponding right-of-use assets. The provisions of this ASU are effective as of the beginning of our fiscal 2020 on October 1, 2019. We adopted this ASU using the optional prospective transition method provided under ASU 2018-11, Leases, (Topic 842): Targeted Improvement as of October 1, 2019. We additionally elected the package of practical expedients under Accounting Standards Codification (“ASC”) 842-10-65-1(f) as well as the practical expedient not to separate lease and non-lease components for all real estate leases under ASC 842-10-15-37. Further, we have elected an accounting policy not to record right-of-use assets and lease liabilities for all leases which have a duration of less than 12-months. See Note 4 for additional discussion.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left="660" w:right="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This ASU, along with subsequently issued related ASUs, requires financial assets (or groups of financial assets) measured at amortized cost basis to be presented at the net amount expected to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collected, among other provisions. Early adoption is permitted for fiscal years beginning after December 15, 2018, including interim periods within those fiscal years. A reporting entity should generally apply the amendment on a modified retrospective basis through a cumulative-effect adjustment to retained earnings as of the beginning of the first reporting period in which the amendment is effective. We have not identified any impacts to our financial statements that we believe will be material as a result of the adoption of the ASU, although we continue to evaluate the impact of adoption. We believe we are following an appropriate timeline to allow for proper recognition, presentation and disclosure upon adoption of this ASU which is effective for the first quarter of our fiscal 2021.</w:t>
      </w:r>
    </w:p>
    <w:p>
      <w:pPr>
        <w:spacing w:after="0" w:line="139" w:lineRule="exact"/>
        <w:rPr>
          <w:sz w:val="20"/>
          <w:szCs w:val="20"/>
          <w:color w:val="auto"/>
        </w:rPr>
      </w:pPr>
    </w:p>
    <w:p>
      <w:pPr>
        <w:ind w:right="340"/>
        <w:spacing w:after="0" w:line="264" w:lineRule="auto"/>
        <w:rPr>
          <w:rFonts w:ascii="Arial" w:cs="Arial" w:eastAsia="Arial" w:hAnsi="Arial"/>
          <w:sz w:val="18"/>
          <w:szCs w:val="18"/>
          <w:color w:val="0000EE"/>
        </w:rPr>
      </w:pPr>
      <w:hyperlink r:id="rId14">
        <w:r>
          <w:rPr>
            <w:rFonts w:ascii="Arial" w:cs="Arial" w:eastAsia="Arial" w:hAnsi="Arial"/>
            <w:sz w:val="18"/>
            <w:szCs w:val="18"/>
            <w:color w:val="auto"/>
          </w:rPr>
          <w:t xml:space="preserve">Please refer to </w:t>
        </w:r>
        <w:r>
          <w:rPr>
            <w:rFonts w:ascii="Arial" w:cs="Arial" w:eastAsia="Arial" w:hAnsi="Arial"/>
            <w:sz w:val="18"/>
            <w:szCs w:val="18"/>
            <w:u w:val="single" w:color="auto"/>
            <w:color w:val="0000EE"/>
          </w:rPr>
          <w:t>Note 1 of Notes to Consolidated Financial Statements included in "Part II, Item 8 — Financial Statements and Supplementary Data" of our</w:t>
        </w:r>
      </w:hyperlink>
      <w:r>
        <w:rPr>
          <w:rFonts w:ascii="Arial" w:cs="Arial" w:eastAsia="Arial" w:hAnsi="Arial"/>
          <w:sz w:val="18"/>
          <w:szCs w:val="18"/>
          <w:color w:val="auto"/>
        </w:rPr>
        <w:t xml:space="preserve"> </w:t>
      </w:r>
      <w:hyperlink r:id="rId14">
        <w:r>
          <w:rPr>
            <w:rFonts w:ascii="Arial" w:cs="Arial" w:eastAsia="Arial" w:hAnsi="Arial"/>
            <w:sz w:val="18"/>
            <w:szCs w:val="18"/>
            <w:u w:val="single" w:color="auto"/>
            <w:color w:val="0000EE"/>
          </w:rPr>
          <w:t>Annual Report on Form 10-K for the year ended September 30, 2019</w:t>
        </w:r>
        <w:r>
          <w:rPr>
            <w:rFonts w:ascii="Arial" w:cs="Arial" w:eastAsia="Arial" w:hAnsi="Arial"/>
            <w:sz w:val="18"/>
            <w:szCs w:val="18"/>
            <w:color w:val="0000EE"/>
          </w:rPr>
          <w:t xml:space="preserve"> </w:t>
        </w:r>
        <w:r>
          <w:rPr>
            <w:rFonts w:ascii="Arial" w:cs="Arial" w:eastAsia="Arial" w:hAnsi="Arial"/>
            <w:sz w:val="18"/>
            <w:szCs w:val="18"/>
            <w:color w:val="000000"/>
          </w:rPr>
          <w:t>for discussion of our significant accounting policies and other accounting</w:t>
        </w:r>
      </w:hyperlink>
      <w:r>
        <w:rPr>
          <w:rFonts w:ascii="Arial" w:cs="Arial" w:eastAsia="Arial" w:hAnsi="Arial"/>
          <w:sz w:val="18"/>
          <w:szCs w:val="18"/>
          <w:color w:val="0000EE"/>
        </w:rPr>
        <w:t xml:space="preserve"> </w:t>
      </w:r>
      <w:r>
        <w:rPr>
          <w:rFonts w:ascii="Arial" w:cs="Arial" w:eastAsia="Arial" w:hAnsi="Arial"/>
          <w:sz w:val="18"/>
          <w:szCs w:val="18"/>
          <w:color w:val="000000"/>
        </w:rPr>
        <w:t>pronouncements issued but not yet adopted.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June 2019, we acquired assets related to seven pawn stores operating under the name "Metro Pawn" in Nevada, entering the Reno market and expanding our presence in the Las Vegas metropolitan area, for an aggregate purchase price of $7.0 million in cash, of which $3.9 million was recorded as goodwill. In December 2018, we acquired assets related to five pawn stores in Mexico for an aggregate purchase price of $0.3 million in cash, of which $0.1 million was recorded as goodwill. We expect substantially all goodwill attributable to the fiscal 2019 acquisitions to be deductible for tax purposes. We have concluded that these acquisitions were immaterial to our overall consolidated financial results and, therefore, have omitted information that would otherwise be required.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318"/>
        </w:trPr>
        <w:tc>
          <w:tcPr>
            <w:tcW w:w="8120" w:type="dxa"/>
            <w:vAlign w:val="bottom"/>
          </w:tcPr>
          <w:p>
            <w:pPr>
              <w:spacing w:after="0"/>
              <w:rPr>
                <w:sz w:val="24"/>
                <w:szCs w:val="24"/>
                <w:color w:val="auto"/>
              </w:rPr>
            </w:pPr>
          </w:p>
        </w:tc>
        <w:tc>
          <w:tcPr>
            <w:tcW w:w="3300" w:type="dxa"/>
            <w:vAlign w:val="bottom"/>
            <w:gridSpan w:val="5"/>
          </w:tcPr>
          <w:p>
            <w:pPr>
              <w:jc w:val="right"/>
              <w:ind w:right="371"/>
              <w:spacing w:after="0"/>
              <w:rPr>
                <w:sz w:val="20"/>
                <w:szCs w:val="20"/>
                <w:color w:val="auto"/>
              </w:rPr>
            </w:pPr>
            <w:r>
              <w:rPr>
                <w:rFonts w:ascii="Arial" w:cs="Arial" w:eastAsia="Arial" w:hAnsi="Arial"/>
                <w:sz w:val="14"/>
                <w:szCs w:val="14"/>
                <w:i w:val="1"/>
                <w:iCs w:val="1"/>
                <w:color w:val="auto"/>
              </w:rPr>
              <w:t>(in thousands, except per share amounts)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 attributable to EZCORP (A)</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EZCORP (C)</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9"/>
        </w:trPr>
        <w:tc>
          <w:tcPr>
            <w:tcW w:w="8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55,666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Dilutive effect of restricted stock*</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stock and common stock equivalents (E)</w:t>
            </w:r>
          </w:p>
        </w:tc>
        <w:tc>
          <w:tcPr>
            <w:tcW w:w="9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55,687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55,032</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9"/>
        </w:trPr>
        <w:tc>
          <w:tcPr>
            <w:tcW w:w="8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 attributable to EZCORP:</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9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earnings (loss) per share (C / D)</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r>
      <w:tr>
        <w:trPr>
          <w:trHeight w:val="109"/>
        </w:trPr>
        <w:tc>
          <w:tcPr>
            <w:tcW w:w="8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Diluted earnings (loss) per share attributable to EZCORP:</w:t>
            </w: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9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earnings (loss) per share (C / 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9"/>
        </w:trPr>
        <w:tc>
          <w:tcPr>
            <w:tcW w:w="8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Potential common shares excluded from the calculation of diluted earnings per share above*: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2,626</w:t>
            </w:r>
          </w:p>
        </w:tc>
      </w:tr>
    </w:tbl>
    <w:p>
      <w:pPr>
        <w:spacing w:after="0" w:line="386" w:lineRule="exact"/>
        <w:rPr>
          <w:sz w:val="20"/>
          <w:szCs w:val="20"/>
          <w:color w:val="auto"/>
        </w:rPr>
      </w:pPr>
    </w:p>
    <w:p>
      <w:pPr>
        <w:ind w:left="34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7 for discussion of the terms and conditions of the potential impact of the 2019 Convertible Notes Warrants, 2024 Convertible Notes and 2025 Convertible Notes. As required by ASC 260-10-45-19, amount excludes all potential common shares for periods when there is a loss from continuing operations.</w:t>
      </w:r>
    </w:p>
    <w:p>
      <w:pPr>
        <w:spacing w:after="0" w:line="120" w:lineRule="exact"/>
        <w:rPr>
          <w:sz w:val="20"/>
          <w:szCs w:val="20"/>
          <w:color w:val="auto"/>
        </w:rPr>
      </w:pPr>
    </w:p>
    <w:p>
      <w:pPr>
        <w:ind w:left="340" w:right="14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described in Note 1, we adopted ASU 2016-02, Leases (Topic 842) as of October 1, 2019. We lease our pawn locations and corporate offices under operating leases and determine if an arrangement is or contains a lease at inception. After an initial lease term of generally three to ten years, our real property lease agreements typically allow renewals in three to five-year increments. We generally account for the initial lease term of our pawn locations as up to ten years, including renewal options. Our corporate office is leased through March 2029 with annually escalating rent and includes two five-year extension options at the end of the initial lease term. Our pawn location lease agreements generally include rent escalations throughout the initial lease term, with certain future rental payments contingent on increases in a consumer price index, included in variable lease expense. Many leases include both lease and non-lease components, which we have elected not to account for separately. Lease components generally include rent, taxes and insurance, while non-lease components generally include common area or other maintenance.</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weighted-average remaining lease term for operating leases as of December 31, 2019 was 6.02 years. As our leases generally do not include an implicit rate, we compute our incremental borrowing rate based on information available at the lease commencement date applying the portfolio approach to groups of leases with similar characteristics. We used incremental borrowing rates that match the duration of the remaining lease terms of our operating leases on a fully collateralized basis upon adoption as of October 1, 2019 to initially measure our lease liability. The weighted average incremental borrowing rate used to measure our lease liability as of December 31, 2019 was 8.44%.</w:t>
      </w:r>
    </w:p>
    <w:p>
      <w:pPr>
        <w:spacing w:after="0" w:line="13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details of our right-of-use asset and lease liability recognized upon adoption of ASC 842 computed based on the consumer price index and foreign currency exchange rate as applicable then in effect and excluding executory costs on October 1, 2019 are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Right-of-use asset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246,028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Straight-line rent accrual</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(8,479)</w:t>
            </w:r>
          </w:p>
        </w:tc>
      </w:tr>
      <w:tr>
        <w:trPr>
          <w:trHeight w:val="27"/>
        </w:trPr>
        <w:tc>
          <w:tcPr>
            <w:tcW w:w="98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237,549</w:t>
            </w:r>
          </w:p>
        </w:tc>
      </w:tr>
      <w:tr>
        <w:trPr>
          <w:trHeight w:val="122"/>
        </w:trPr>
        <w:tc>
          <w:tcPr>
            <w:tcW w:w="9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liability, current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45,272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Lease liability, non-current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200,756</w:t>
            </w:r>
          </w:p>
        </w:tc>
      </w:tr>
      <w:tr>
        <w:trPr>
          <w:trHeight w:val="27"/>
        </w:trPr>
        <w:tc>
          <w:tcPr>
            <w:tcW w:w="98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98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246,028</w:t>
            </w:r>
          </w:p>
        </w:tc>
      </w:tr>
      <w:tr>
        <w:trPr>
          <w:trHeight w:val="27"/>
        </w:trPr>
        <w:tc>
          <w:tcPr>
            <w:tcW w:w="9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included in "Operations" and "Administrative" expense, based on the underlying lease use, in our condensed consolidated statements of operations for the three months ended December 31, 2019 are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16,526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Variable lease expense</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2,807</w:t>
            </w: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8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19,333</w:t>
            </w:r>
          </w:p>
        </w:tc>
      </w:tr>
      <w:tr>
        <w:trPr>
          <w:trHeight w:val="27"/>
        </w:trPr>
        <w:tc>
          <w:tcPr>
            <w:tcW w:w="98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Maturity of our lease liabilities as of December 31, 2019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Nine months ending September 30, 2020</w:t>
            </w:r>
          </w:p>
        </w:tc>
        <w:tc>
          <w:tcPr>
            <w:tcW w:w="6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47,822</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5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58,922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5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49,943</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5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40,548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5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31,309</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73,695</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302,239</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Less: Portion representing interest</w:t>
            </w:r>
          </w:p>
        </w:tc>
        <w:tc>
          <w:tcPr>
            <w:tcW w:w="5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(67,835)</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234,404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jc w:val="right"/>
              <w:ind w:right="3970"/>
              <w:spacing w:after="0"/>
              <w:rPr>
                <w:sz w:val="20"/>
                <w:szCs w:val="20"/>
                <w:color w:val="auto"/>
              </w:rPr>
            </w:pPr>
            <w:r>
              <w:rPr>
                <w:rFonts w:ascii="Arial" w:cs="Arial" w:eastAsia="Arial" w:hAnsi="Arial"/>
                <w:sz w:val="18"/>
                <w:szCs w:val="18"/>
                <w:color w:val="auto"/>
              </w:rPr>
              <w:t>7</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2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line="45"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Prior to our adoption of ASC 842, future minimum undiscounted rentals due under non-cancelable leases as of September 30, 2019 for each subsequent fiscal year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69,291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60,588</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46,720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32,062</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19,969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39,256</w:t>
            </w:r>
          </w:p>
        </w:tc>
      </w:tr>
      <w:tr>
        <w:trPr>
          <w:trHeight w:val="27"/>
        </w:trPr>
        <w:tc>
          <w:tcPr>
            <w:tcW w:w="98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267,886</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present the changes in our lease right-of-use asset and lease liabilities gross in our condensed consolidated statements of cash flows. The supplemental cash flow information relating to our operating leases for the three months ended December 31, 2019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3" w:lineRule="exact"/>
        <w:rPr>
          <w:sz w:val="20"/>
          <w:szCs w:val="20"/>
          <w:color w:val="auto"/>
        </w:rPr>
      </w:pPr>
    </w:p>
    <w:p>
      <w:pPr>
        <w:ind w:left="40"/>
        <w:spacing w:after="0"/>
        <w:tabs>
          <w:tab w:leader="none" w:pos="9840" w:val="left"/>
          <w:tab w:leader="none" w:pos="11020" w:val="left"/>
        </w:tabs>
        <w:rPr>
          <w:sz w:val="20"/>
          <w:szCs w:val="20"/>
          <w:color w:val="auto"/>
        </w:rPr>
      </w:pPr>
      <w:r>
        <w:rPr>
          <w:rFonts w:ascii="Arial" w:cs="Arial" w:eastAsia="Arial" w:hAnsi="Arial"/>
          <w:sz w:val="18"/>
          <w:szCs w:val="18"/>
          <w:color w:val="auto"/>
        </w:rPr>
        <w:t>Lease right-of-use assets obtained in exchange for operating lease liabilities subsequent to adoption of ASC 842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748</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INVESTMENTS</w:t>
      </w:r>
    </w:p>
    <w:p>
      <w:pPr>
        <w:spacing w:after="0" w:line="175"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color w:val="auto"/>
        </w:rPr>
        <w:t>As of December 31, 2019, we owned 214,183,714 shares, or approximately 34.75%, of Cash Converters International Limited ("Cash Converters International"). The following tables present summary financial information for Cash Converters International’s most recently reported results after translation to U.S. dollars: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318"/>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center"/>
              <w:ind w:left="537"/>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173,826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229,105</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152,483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148,195</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326,309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377,300</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9"/>
        </w:trPr>
        <w:tc>
          <w:tcPr>
            <w:tcW w:w="8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77,434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122,924</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26,163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15,449</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222,712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238,927</w:t>
            </w:r>
          </w:p>
        </w:tc>
      </w:tr>
      <w:tr>
        <w:trPr>
          <w:trHeight w:val="257"/>
        </w:trPr>
        <w:tc>
          <w:tcPr>
            <w:tcW w:w="8560" w:type="dxa"/>
            <w:vAlign w:val="bottom"/>
          </w:tcPr>
          <w:p>
            <w:pPr>
              <w:ind w:left="28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326,309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377,300</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319"/>
        </w:trPr>
        <w:tc>
          <w:tcPr>
            <w:tcW w:w="8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1"/>
              </w:rPr>
              <w:t>Fiscal Year Ended June 30,</w:t>
            </w: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318"/>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center"/>
              <w:ind w:left="537"/>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201,365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201,800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111,932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128,366</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profit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17,443</w:t>
            </w:r>
          </w:p>
        </w:tc>
      </w:tr>
      <w:tr>
        <w:trPr>
          <w:trHeight w:val="27"/>
        </w:trPr>
        <w:tc>
          <w:tcPr>
            <w:tcW w:w="8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October 21, 2019, Cash Converters International agreed to settle a class action lawsuit previously filed on behalf of borrowers residing in Queensland, Australia who took out personal loans from Cash Converters International between July 30, 2009 and June 30, 2013. Cash Converters International agreed to pay AUD $42.5 million, subject to court approval. We recorded a charge, net of tax, of $7.1 million for our proportionate share of the settlement in the current quarter related to this event, in addition to our regularly included share of earnings from Cash Converters International. Cash Converters International has indicated that it expects to pay the settlement amount with cash on hand and cash flow from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assets and liabilities discussed below are classified in one of the following three categories based on the inputs used to develop their fair values: Level 1</w:t>
      </w:r>
    </w:p>
    <w:p>
      <w:pPr>
        <w:spacing w:after="0" w:line="4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Quoted market prices in active markets for identical assets or liabilities; Level 2 — Other observable market-based inputs or unobservable inputs that are corroborated by market data; and Level 3 — Unobservable</w:t>
      </w:r>
    </w:p>
    <w:p>
      <w:pPr>
        <w:spacing w:after="0" w:line="13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inputs that are not corroborated by market data. We have elected not to measure at fair value any eligible items for which fair value measurement is optional. There were no transfers in or out of Level 1, Level 2 or Level 3 for financial assets or liabilities measured at fair value on a recurring basis during the periods presented.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and liabilities that were not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6"/>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940" w:type="dxa"/>
            <w:vAlign w:val="bottom"/>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center"/>
              <w:ind w:left="621"/>
              <w:spacing w:after="0"/>
              <w:rPr>
                <w:sz w:val="20"/>
                <w:szCs w:val="20"/>
                <w:color w:val="auto"/>
              </w:rPr>
            </w:pPr>
            <w:r>
              <w:rPr>
                <w:rFonts w:ascii="Arial" w:cs="Arial" w:eastAsia="Arial" w:hAnsi="Arial"/>
                <w:sz w:val="14"/>
                <w:szCs w:val="14"/>
                <w:b w:val="1"/>
                <w:bCs w:val="1"/>
                <w:color w:val="auto"/>
                <w:w w:val="94"/>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4480" w:type="dxa"/>
            <w:vAlign w:val="bottom"/>
          </w:tcPr>
          <w:p>
            <w:pPr>
              <w:spacing w:after="0"/>
              <w:rPr>
                <w:sz w:val="22"/>
                <w:szCs w:val="22"/>
                <w:color w:val="auto"/>
              </w:rPr>
            </w:pPr>
          </w:p>
        </w:tc>
        <w:tc>
          <w:tcPr>
            <w:tcW w:w="138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8"/>
              </w:rPr>
              <w:t>December 31, 2019</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ind w:left="80"/>
              <w:spacing w:after="0"/>
              <w:rPr>
                <w:sz w:val="20"/>
                <w:szCs w:val="20"/>
                <w:color w:val="auto"/>
              </w:rPr>
            </w:pPr>
            <w:r>
              <w:rPr>
                <w:rFonts w:ascii="Arial" w:cs="Arial" w:eastAsia="Arial" w:hAnsi="Arial"/>
                <w:sz w:val="15"/>
                <w:szCs w:val="15"/>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7,450</w:t>
            </w:r>
          </w:p>
        </w:tc>
        <w:tc>
          <w:tcPr>
            <w:tcW w:w="10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7,729</w:t>
            </w:r>
          </w:p>
        </w:tc>
        <w:tc>
          <w:tcPr>
            <w:tcW w:w="120" w:type="dxa"/>
            <w:vAlign w:val="bottom"/>
          </w:tcPr>
          <w:p>
            <w:pPr>
              <w:spacing w:after="0"/>
              <w:rPr>
                <w:sz w:val="21"/>
                <w:szCs w:val="21"/>
                <w:color w:val="auto"/>
              </w:rPr>
            </w:pPr>
          </w:p>
        </w:tc>
        <w:tc>
          <w:tcPr>
            <w:tcW w:w="260" w:type="dxa"/>
            <w:vAlign w:val="bottom"/>
          </w:tcPr>
          <w:p>
            <w:pPr>
              <w:jc w:val="right"/>
              <w:ind w:right="57"/>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ind w:left="700"/>
              <w:spacing w:after="0"/>
              <w:rPr>
                <w:sz w:val="20"/>
                <w:szCs w:val="20"/>
                <w:color w:val="auto"/>
              </w:rPr>
            </w:pPr>
            <w:r>
              <w:rPr>
                <w:rFonts w:ascii="Arial" w:cs="Arial" w:eastAsia="Arial" w:hAnsi="Arial"/>
                <w:sz w:val="18"/>
                <w:szCs w:val="18"/>
                <w:color w:val="auto"/>
              </w:rPr>
              <w:t>—   $</w:t>
            </w:r>
          </w:p>
        </w:tc>
        <w:tc>
          <w:tcPr>
            <w:tcW w:w="1420" w:type="dxa"/>
            <w:vAlign w:val="bottom"/>
            <w:gridSpan w:val="3"/>
          </w:tcPr>
          <w:p>
            <w:pPr>
              <w:ind w:left="700"/>
              <w:spacing w:after="0"/>
              <w:rPr>
                <w:sz w:val="20"/>
                <w:szCs w:val="20"/>
                <w:color w:val="auto"/>
              </w:rPr>
            </w:pPr>
            <w:r>
              <w:rPr>
                <w:rFonts w:ascii="Arial" w:cs="Arial" w:eastAsia="Arial" w:hAnsi="Arial"/>
                <w:sz w:val="18"/>
                <w:szCs w:val="18"/>
                <w:color w:val="auto"/>
              </w:rPr>
              <w:t>—   $</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7,729</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2.89% promissory note receivable due April 2024</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1,124</w:t>
            </w:r>
          </w:p>
        </w:tc>
      </w:tr>
      <w:tr>
        <w:trPr>
          <w:trHeight w:val="27"/>
        </w:trPr>
        <w:tc>
          <w:tcPr>
            <w:tcW w:w="4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ectPr>
          <w:pgSz w:w="11900" w:h="16884" w:orient="portrait"/>
          <w:cols w:equalWidth="0" w:num="1">
            <w:col w:w="11420"/>
          </w:cols>
          <w:pgMar w:left="240" w:top="121"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106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29,272</w:t>
            </w:r>
          </w:p>
        </w:tc>
        <w:tc>
          <w:tcPr>
            <w:tcW w:w="4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42,460</w:t>
            </w:r>
          </w:p>
        </w:tc>
        <w:tc>
          <w:tcPr>
            <w:tcW w:w="4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34,555</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7,905</w:t>
            </w:r>
          </w:p>
        </w:tc>
      </w:tr>
      <w:tr>
        <w:trPr>
          <w:trHeight w:val="27"/>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22"/>
        </w:trPr>
        <w:tc>
          <w:tcPr>
            <w:tcW w:w="38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112,740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136,634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136,634</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820" w:type="dxa"/>
            <w:vAlign w:val="bottom"/>
          </w:tcPr>
          <w:p>
            <w:pPr>
              <w:ind w:left="280"/>
              <w:spacing w:after="0"/>
              <w:rPr>
                <w:sz w:val="20"/>
                <w:szCs w:val="20"/>
                <w:color w:val="auto"/>
              </w:rPr>
            </w:pPr>
            <w:r>
              <w:rPr>
                <w:rFonts w:ascii="Arial" w:cs="Arial" w:eastAsia="Arial" w:hAnsi="Arial"/>
                <w:sz w:val="18"/>
                <w:szCs w:val="18"/>
                <w:color w:val="auto"/>
              </w:rPr>
              <w:t>2025 Convertible Notes</w:t>
            </w:r>
          </w:p>
        </w:tc>
        <w:tc>
          <w:tcPr>
            <w:tcW w:w="10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127,902</w:t>
            </w:r>
          </w:p>
        </w:tc>
        <w:tc>
          <w:tcPr>
            <w:tcW w:w="4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136,965</w:t>
            </w:r>
          </w:p>
        </w:tc>
        <w:tc>
          <w:tcPr>
            <w:tcW w:w="48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136,965</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 unsecured debt due 2024</w:t>
            </w:r>
          </w:p>
        </w:tc>
        <w:tc>
          <w:tcPr>
            <w:tcW w:w="10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1,042</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w:t>
            </w: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43"/>
        </w:trPr>
        <w:tc>
          <w:tcPr>
            <w:tcW w:w="3820" w:type="dxa"/>
            <w:vAlign w:val="bottom"/>
          </w:tcPr>
          <w:p>
            <w:pPr>
              <w:ind w:left="280"/>
              <w:spacing w:after="0"/>
              <w:rPr>
                <w:sz w:val="20"/>
                <w:szCs w:val="20"/>
                <w:color w:val="auto"/>
              </w:rPr>
            </w:pPr>
            <w:r>
              <w:rPr>
                <w:rFonts w:ascii="Arial" w:cs="Arial" w:eastAsia="Arial" w:hAnsi="Arial"/>
                <w:sz w:val="18"/>
                <w:szCs w:val="18"/>
                <w:color w:val="auto"/>
              </w:rPr>
              <w:t>CASHMAX secured borrowing facility</w:t>
            </w:r>
          </w:p>
        </w:tc>
        <w:tc>
          <w:tcPr>
            <w:tcW w:w="10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4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404</w:t>
            </w:r>
          </w:p>
        </w:tc>
        <w:tc>
          <w:tcPr>
            <w:tcW w:w="48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404</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Carrying Value</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8"/>
          </w:tcPr>
          <w:p>
            <w:pPr>
              <w:ind w:left="340"/>
              <w:spacing w:after="0"/>
              <w:rPr>
                <w:sz w:val="20"/>
                <w:szCs w:val="20"/>
                <w:color w:val="auto"/>
              </w:rPr>
            </w:pPr>
            <w:r>
              <w:rPr>
                <w:rFonts w:ascii="Arial" w:cs="Arial" w:eastAsia="Arial" w:hAnsi="Arial"/>
                <w:sz w:val="14"/>
                <w:szCs w:val="14"/>
                <w:b w:val="1"/>
                <w:bCs w:val="1"/>
                <w:color w:val="auto"/>
              </w:rPr>
              <w:t>Estimated Fair Value</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44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10"/>
          </w:tcPr>
          <w:p>
            <w:pPr>
              <w:jc w:val="center"/>
              <w:ind w:left="595"/>
              <w:spacing w:after="0"/>
              <w:rPr>
                <w:sz w:val="20"/>
                <w:szCs w:val="20"/>
                <w:color w:val="auto"/>
              </w:rPr>
            </w:pPr>
            <w:r>
              <w:rPr>
                <w:rFonts w:ascii="Arial" w:cs="Arial" w:eastAsia="Arial" w:hAnsi="Arial"/>
                <w:sz w:val="14"/>
                <w:szCs w:val="14"/>
                <w:b w:val="1"/>
                <w:bCs w:val="1"/>
                <w:color w:val="auto"/>
                <w:w w:val="93"/>
              </w:rPr>
              <w:t>Fair Value Measurement Using</w:t>
            </w:r>
          </w:p>
        </w:tc>
        <w:tc>
          <w:tcPr>
            <w:tcW w:w="90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64"/>
        </w:trPr>
        <w:tc>
          <w:tcPr>
            <w:tcW w:w="44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gridSpan w:val="2"/>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December 31, 2018</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22"/>
                <w:szCs w:val="22"/>
                <w:color w:val="auto"/>
              </w:rPr>
            </w:pPr>
          </w:p>
        </w:tc>
      </w:tr>
      <w:tr>
        <w:trPr>
          <w:trHeight w:val="387"/>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ind w:left="40"/>
              <w:spacing w:after="0"/>
              <w:rPr>
                <w:sz w:val="20"/>
                <w:szCs w:val="20"/>
                <w:color w:val="auto"/>
              </w:rPr>
            </w:pPr>
            <w:r>
              <w:rPr>
                <w:rFonts w:ascii="Arial" w:cs="Arial" w:eastAsia="Arial" w:hAnsi="Arial"/>
                <w:sz w:val="15"/>
                <w:szCs w:val="15"/>
                <w:i w:val="1"/>
                <w:iCs w:val="1"/>
                <w:color w:val="auto"/>
              </w:rPr>
              <w:t>(in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31,310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33,710</w:t>
            </w:r>
          </w:p>
        </w:tc>
        <w:tc>
          <w:tcPr>
            <w:tcW w:w="100" w:type="dxa"/>
            <w:vAlign w:val="bottom"/>
          </w:tcPr>
          <w:p>
            <w:pPr>
              <w:spacing w:after="0"/>
              <w:rPr>
                <w:sz w:val="21"/>
                <w:szCs w:val="21"/>
                <w:color w:val="auto"/>
              </w:rPr>
            </w:pPr>
          </w:p>
        </w:tc>
        <w:tc>
          <w:tcPr>
            <w:tcW w:w="260" w:type="dxa"/>
            <w:vAlign w:val="bottom"/>
            <w:gridSpan w:val="2"/>
          </w:tcPr>
          <w:p>
            <w:pPr>
              <w:jc w:val="right"/>
              <w:ind w:right="63"/>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33,710</w:t>
            </w:r>
          </w:p>
        </w:tc>
        <w:tc>
          <w:tcPr>
            <w:tcW w:w="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35,511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122"/>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2019 Convertible Notes</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190,076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190,613</w:t>
            </w:r>
          </w:p>
        </w:tc>
        <w:tc>
          <w:tcPr>
            <w:tcW w:w="100" w:type="dxa"/>
            <w:vAlign w:val="bottom"/>
          </w:tcPr>
          <w:p>
            <w:pPr>
              <w:spacing w:after="0"/>
              <w:rPr>
                <w:sz w:val="21"/>
                <w:szCs w:val="21"/>
                <w:color w:val="auto"/>
              </w:rPr>
            </w:pPr>
          </w:p>
        </w:tc>
        <w:tc>
          <w:tcPr>
            <w:tcW w:w="260" w:type="dxa"/>
            <w:vAlign w:val="bottom"/>
            <w:gridSpan w:val="2"/>
          </w:tcPr>
          <w:p>
            <w:pPr>
              <w:jc w:val="right"/>
              <w:ind w:right="63"/>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190,613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107,182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145,202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145,202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2025 Convertible Notes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121,316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134,447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134,447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 unsecured debt due 2024</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w:t>
            </w:r>
          </w:p>
        </w:tc>
        <w:tc>
          <w:tcPr>
            <w:tcW w:w="60" w:type="dxa"/>
            <w:vAlign w:val="bottom"/>
          </w:tcPr>
          <w:p>
            <w:pPr>
              <w:spacing w:after="0"/>
              <w:rPr>
                <w:sz w:val="21"/>
                <w:szCs w:val="2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CASHMAX secured borrowing facility</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1,160</w:t>
            </w:r>
          </w:p>
        </w:tc>
        <w:tc>
          <w:tcPr>
            <w:tcW w:w="60" w:type="dxa"/>
            <w:vAlign w:val="bottom"/>
          </w:tcPr>
          <w:p>
            <w:pPr>
              <w:spacing w:after="0"/>
              <w:rPr>
                <w:sz w:val="21"/>
                <w:szCs w:val="21"/>
                <w:color w:val="auto"/>
              </w:rPr>
            </w:pPr>
          </w:p>
        </w:tc>
      </w:tr>
      <w:tr>
        <w:trPr>
          <w:trHeight w:val="426"/>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Carrying Value</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8"/>
          </w:tcPr>
          <w:p>
            <w:pPr>
              <w:ind w:left="380"/>
              <w:spacing w:after="0"/>
              <w:rPr>
                <w:sz w:val="20"/>
                <w:szCs w:val="20"/>
                <w:color w:val="auto"/>
              </w:rPr>
            </w:pPr>
            <w:r>
              <w:rPr>
                <w:rFonts w:ascii="Arial" w:cs="Arial" w:eastAsia="Arial" w:hAnsi="Arial"/>
                <w:sz w:val="14"/>
                <w:szCs w:val="14"/>
                <w:b w:val="1"/>
                <w:bCs w:val="1"/>
                <w:color w:val="auto"/>
              </w:rPr>
              <w:t>Estimated Fair Value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4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rPr>
              <w:t>Fair Value Measurement Using</w:t>
            </w:r>
          </w:p>
        </w:tc>
        <w:tc>
          <w:tcPr>
            <w:tcW w:w="9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r>
      <w:tr>
        <w:trPr>
          <w:trHeight w:val="264"/>
        </w:trPr>
        <w:tc>
          <w:tcPr>
            <w:tcW w:w="4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September 30, 2019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Level 3</w:t>
            </w:r>
          </w:p>
        </w:tc>
        <w:tc>
          <w:tcPr>
            <w:tcW w:w="60" w:type="dxa"/>
            <w:vAlign w:val="bottom"/>
            <w:tcBorders>
              <w:bottom w:val="single" w:sz="8" w:color="auto"/>
            </w:tcBorders>
          </w:tcPr>
          <w:p>
            <w:pPr>
              <w:spacing w:after="0"/>
              <w:rPr>
                <w:sz w:val="22"/>
                <w:szCs w:val="22"/>
                <w:color w:val="auto"/>
              </w:rPr>
            </w:pPr>
          </w:p>
        </w:tc>
      </w:tr>
      <w:tr>
        <w:trPr>
          <w:trHeight w:val="387"/>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ind w:left="80"/>
              <w:spacing w:after="0"/>
              <w:rPr>
                <w:sz w:val="20"/>
                <w:szCs w:val="20"/>
                <w:color w:val="auto"/>
              </w:rPr>
            </w:pPr>
            <w:r>
              <w:rPr>
                <w:rFonts w:ascii="Arial" w:cs="Arial" w:eastAsia="Arial" w:hAnsi="Arial"/>
                <w:sz w:val="15"/>
                <w:szCs w:val="15"/>
                <w:i w:val="1"/>
                <w:iCs w:val="1"/>
                <w:color w:val="auto"/>
              </w:rPr>
              <w:t>(in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7,582</w:t>
            </w:r>
          </w:p>
        </w:tc>
        <w:tc>
          <w:tcPr>
            <w:tcW w:w="100" w:type="dxa"/>
            <w:vAlign w:val="bottom"/>
          </w:tcPr>
          <w:p>
            <w:pPr>
              <w:spacing w:after="0"/>
              <w:rPr>
                <w:sz w:val="21"/>
                <w:szCs w:val="21"/>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7,582</w:t>
            </w:r>
          </w:p>
        </w:tc>
        <w:tc>
          <w:tcPr>
            <w:tcW w:w="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2.89% promissory note receivable due April 2024</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34,516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28,308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20,252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8,056</w:t>
            </w:r>
          </w:p>
        </w:tc>
        <w:tc>
          <w:tcPr>
            <w:tcW w:w="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22"/>
        </w:trPr>
        <w:tc>
          <w:tcPr>
            <w:tcW w:w="4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139,969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2025 Convertible Notes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126,210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138,345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138,345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 unsecured debt due 2024</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CASHMAX secured borrowing facility</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21"/>
                <w:szCs w:val="21"/>
                <w:color w:val="auto"/>
              </w:rPr>
            </w:pPr>
          </w:p>
        </w:tc>
      </w:tr>
      <w:tr>
        <w:trPr>
          <w:trHeight w:val="675"/>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estimate that the carrying value of our cash and cash equivalents, pawn loans, pawn service charges receivable, current consumer loans, fees and interest receivable and other debt approximate fair value. We consider our cash and cash equivalents to be measured using Level 1 inputs and our pawn loans, pawn service charges receivable, consumer loans, fees and interest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3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measured the fair value of the remaining deferred compensation fee due in fiscal 2020 from the sale of Prestaciones Finmart, S.A.P.I. de C.V., SOFOM, E.N.R. ("Grupo Finmart") to Alpha Holding, S.A. de C.V. (“AlphaCredit”) in September 2016 as of December 31, 2019 under a discounted cash flow approach considering the estimated credit ratings for Grupo Finmart and AlphaCredit, with discount rates of primarily 7%. Certain of the significant inputs used for the valuation were not observable in the market. Significant increases or decreases in the underlying assumptions used to value the notes receivable could significantly increase or decrease these fair value estimates. We remain obligated to indemnify AlphaCredit for any tax obligations arising from the Grupo Finmart business that are attributable to periods prior to the completion of the sale in September 2016, referred to as “pre-closing taxes.” Those obligations continue until the expiration of the statute of limitations applicable to the pre-closing periods. In August 2019, AlphaCredit notified us of a potential indemnity claim for certain pre-closing taxes, but the nature, extent and validity of such claim has yet to be determined. We review the financial statements of Grupo Finmart and AlphaCredit including the calculation of synthetic credit spreads as described above in making our determination that the Parent Loan Notes are collectible on an ongoing basis.</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equity method of accounting is followed for our 13% ownership in a previously consolidated variable interest entity ("RDC") over which we no longer have the power to direct the activities that most significantly affect its economic performance. We believe that its fair value approximates carrying value although such fair value is highly variable and includes significant unobservable inputs.</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measured the fair value of the 2024 and 2025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debt instruments outstanding, contractual maturities and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6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Debt Discount</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80" w:type="dxa"/>
            <w:vAlign w:val="bottom"/>
          </w:tcPr>
          <w:p>
            <w:pPr>
              <w:spacing w:after="0"/>
              <w:rPr>
                <w:sz w:val="13"/>
                <w:szCs w:val="13"/>
                <w:color w:val="auto"/>
              </w:rPr>
            </w:pPr>
          </w:p>
        </w:tc>
        <w:tc>
          <w:tcPr>
            <w:tcW w:w="8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and Issuance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85"/>
        </w:trPr>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2019 Convertible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195,000</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190,076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w w:val="99"/>
              </w:rPr>
              <w:t>2019 Convertible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40"/>
              <w:spacing w:after="0"/>
              <w:rPr>
                <w:sz w:val="20"/>
                <w:szCs w:val="20"/>
                <w:color w:val="auto"/>
              </w:rPr>
            </w:pPr>
            <w:r>
              <w:rPr>
                <w:rFonts w:ascii="Arial" w:cs="Arial" w:eastAsia="Arial" w:hAnsi="Arial"/>
                <w:sz w:val="16"/>
                <w:szCs w:val="16"/>
                <w:color w:val="auto"/>
                <w:w w:val="97"/>
              </w:rPr>
              <w:t>Notes Embedded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Derivative</w:t>
            </w: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2024 Convertible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(31,010)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112,740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143,750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107,182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143,750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(32,439)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111,311</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w w:val="99"/>
              </w:rPr>
              <w:t>2025 Convertible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172,500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(44,598)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127,902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(51,184)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121,316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(46,290)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126,210</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8.5% unsecured</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due 2024*</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1,237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rPr>
              <w:t>CASHMAX</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40"/>
              <w:spacing w:after="0"/>
              <w:rPr>
                <w:sz w:val="20"/>
                <w:szCs w:val="20"/>
                <w:color w:val="auto"/>
              </w:rPr>
            </w:pPr>
            <w:r>
              <w:rPr>
                <w:rFonts w:ascii="Arial" w:cs="Arial" w:eastAsia="Arial" w:hAnsi="Arial"/>
                <w:sz w:val="16"/>
                <w:szCs w:val="16"/>
                <w:color w:val="auto"/>
              </w:rPr>
              <w:t>secured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40"/>
              <w:spacing w:after="0"/>
              <w:rPr>
                <w:sz w:val="20"/>
                <w:szCs w:val="20"/>
                <w:color w:val="auto"/>
              </w:rPr>
            </w:pPr>
            <w:r>
              <w:rPr>
                <w:rFonts w:ascii="Arial" w:cs="Arial" w:eastAsia="Arial" w:hAnsi="Arial"/>
                <w:sz w:val="16"/>
                <w:szCs w:val="16"/>
                <w:color w:val="auto"/>
              </w:rPr>
              <w:t>borrowing</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restart"/>
          </w:tcPr>
          <w:p>
            <w:pPr>
              <w:jc w:val="right"/>
              <w:ind w:right="38"/>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ind w:right="4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ind w:right="18"/>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rPr>
                <w:sz w:val="20"/>
                <w:szCs w:val="20"/>
                <w:color w:val="auto"/>
              </w:rPr>
            </w:pPr>
            <w:r>
              <w:rPr>
                <w:rFonts w:ascii="Arial" w:cs="Arial" w:eastAsia="Arial" w:hAnsi="Arial"/>
                <w:sz w:val="16"/>
                <w:szCs w:val="16"/>
                <w:color w:val="auto"/>
              </w:rPr>
              <w:t>facility*</w:t>
            </w:r>
          </w:p>
        </w:tc>
        <w:tc>
          <w:tcPr>
            <w:tcW w:w="2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317,696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(76,272)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241,424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513,668</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420,166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317,976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238,594</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rPr>
              <w:t>Less current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portion</w:t>
            </w: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195,162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190,238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long-</w:t>
            </w:r>
          </w:p>
        </w:tc>
        <w:tc>
          <w:tcPr>
            <w:tcW w:w="2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317,481</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(76,272)</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241,209</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318,506</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(88,578)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229,928</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317,762</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(79,382)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238,380</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term debt</w:t>
            </w: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1420" w:right="1840" w:hanging="284"/>
        <w:spacing w:after="0" w:line="253" w:lineRule="auto"/>
        <w:tabs>
          <w:tab w:leader="none" w:pos="1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 translated from Guatemalan quetzals and Canadian dollars as of applicable period end. Certain disclosures omitted due to materiality considerations.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4"/>
              </w:rPr>
              <w:t>Schedule of Contractual Maturities</w:t>
            </w:r>
          </w:p>
        </w:tc>
        <w:tc>
          <w:tcPr>
            <w:tcW w:w="5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Less Than 1 Year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1 - 3 Years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3 - 5 Years</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More Than 5 Years</w:t>
            </w:r>
          </w:p>
        </w:tc>
      </w:tr>
      <w:tr>
        <w:trPr>
          <w:trHeight w:val="38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6"/>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 Convertible Notes*</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143,750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143,750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2025 Convertible Notes*</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172,500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172,500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8.5% unsecured debt due 2024</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CASHMAX secured borrowing facility</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gridSpan w:val="2"/>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317,696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316,646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1420" w:hanging="284"/>
        <w:spacing w:after="0"/>
        <w:tabs>
          <w:tab w:leader="none" w:pos="1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the potential impact of embedded derivatives.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5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318"/>
        </w:trPr>
        <w:tc>
          <w:tcPr>
            <w:tcW w:w="8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4"/>
                <w:szCs w:val="24"/>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Convertible Notes:</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Contractual interest expense</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1,076</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deferred financing costs</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2,643</w:t>
            </w: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interest expense</w:t>
            </w: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3,719</w:t>
            </w:r>
          </w:p>
        </w:tc>
      </w:tr>
      <w:tr>
        <w:trPr>
          <w:trHeight w:val="109"/>
        </w:trPr>
        <w:tc>
          <w:tcPr>
            <w:tcW w:w="85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2024 Convertible Notes:</w:t>
            </w: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Contractual interest expense</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Amortization of debt discount and deferred financing costs</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1,429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1,325</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interest expense</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2,462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2,358</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9"/>
        </w:trPr>
        <w:tc>
          <w:tcPr>
            <w:tcW w:w="8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 Convertible Notes: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Contractual interest expense</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1,024</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deferred financing costs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1,691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1,573</w:t>
            </w:r>
          </w:p>
        </w:tc>
      </w:tr>
      <w:tr>
        <w:trPr>
          <w:trHeight w:val="257"/>
        </w:trPr>
        <w:tc>
          <w:tcPr>
            <w:tcW w:w="8580" w:type="dxa"/>
            <w:vAlign w:val="bottom"/>
          </w:tcPr>
          <w:p>
            <w:pPr>
              <w:ind w:left="500"/>
              <w:spacing w:after="0"/>
              <w:rPr>
                <w:sz w:val="20"/>
                <w:szCs w:val="20"/>
                <w:color w:val="auto"/>
              </w:rPr>
            </w:pPr>
            <w:r>
              <w:rPr>
                <w:rFonts w:ascii="Arial" w:cs="Arial" w:eastAsia="Arial" w:hAnsi="Arial"/>
                <w:sz w:val="18"/>
                <w:szCs w:val="18"/>
                <w:color w:val="auto"/>
              </w:rPr>
              <w:t>Total interest expense</w:t>
            </w: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2,715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2,597</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2.375% Convertible Senior Notes Due 2025</w:t>
      </w:r>
    </w:p>
    <w:p>
      <w:pPr>
        <w:spacing w:after="0" w:line="33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May 2018, we issued $172.5 million aggregate principal amount of 2.375% Convertible Senior Notes Due 2025 (the “2025 Convertible Notes”). The 2025 Convertible Notes were issued pursuant to an indenture dated May 14, 2018 (the "2018 Indenture") by and between us and Wells Fargo Bank, National Association, as the original trustee. The 2025 Convertible Notes were issued in a private offering under Rule 144A under the Securities Act of 1933. The</w:t>
      </w:r>
    </w:p>
    <w:p>
      <w:pPr>
        <w:ind w:right="40"/>
        <w:spacing w:after="0" w:line="270" w:lineRule="auto"/>
        <w:rPr>
          <w:sz w:val="20"/>
          <w:szCs w:val="20"/>
          <w:color w:val="auto"/>
        </w:rPr>
      </w:pPr>
      <w:r>
        <w:rPr>
          <w:rFonts w:ascii="Arial" w:cs="Arial" w:eastAsia="Arial" w:hAnsi="Arial"/>
          <w:sz w:val="17"/>
          <w:szCs w:val="17"/>
          <w:color w:val="auto"/>
        </w:rPr>
        <w:t>2025 Convertible Notes pay interest semi-annually in arrears at a rate of 2.375% per annum on May 1 and November 1 of each year, commencing November 1, 2018, and mature on May 1, 2025 (the "2025 Maturity Date"), unless converted, redeemed or repurchased in accordance with their terms prior to such date. The carrying amount of the 2025 Convertible Notes as a separate equity-classified instrument (the “2025 Convertible Notes Embedded Derivative”) included in “Additional paid-in capital” in our condensed consolidated balance sheets of December 31, 2019 was $39.0 million. The effective interest rate for the three months ended December 31, 2019 was approximately 9%. As of December 31, 2019, the remaining unamortized debt discount and issuance costs will be amortized through the 2025 Maturity Date assuming no early conversion.</w:t>
      </w:r>
    </w:p>
    <w:p>
      <w:pPr>
        <w:spacing w:after="0" w:line="2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2025 Convertible Notes are convertible into cash or shares of Class A Non-voting Common Stock ("Class A Common Stock"), or any combination thereof, at our option subject to satisfaction of certain conditions and during the periods described in the 2018 Indenture, based on an initial conversion rate of 62.8931 shares of Class A Common Stock per $1,000 principal amount of 2025 Convertible Notes (equivalent to an initial conversion price of $15.90 per share of our Class A Common Stock). We account for the Class A Common Stock issuable upon conversion under the treasury stock method. To the extent our average share price is over $15.90 per share for any fiscal quarter or year-to-date period, we are required to recognize incremental dilution of our earnings per share.</w:t>
      </w:r>
    </w:p>
    <w:p>
      <w:pPr>
        <w:spacing w:after="0" w:line="30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among other triggers described in the 2018 Indenture, the market price of our Class A Common Stock meets the threshold based on at least 20 of the final 30 trading days of the quarter for the 2025 Convertible Notes to become convertible at the option of the holders during the subsequent quarter, we may be required to classify the 2025 Convertible Notes as current on our condensed consolidated balance sheets for each quarter in which such triggers are met. The stock trading price condition</w:t>
      </w:r>
    </w:p>
    <w:p>
      <w:pPr>
        <w:sectPr>
          <w:pgSz w:w="11900" w:h="16838" w:orient="portrait"/>
          <w:cols w:equalWidth="0" w:num="1">
            <w:col w:w="11420"/>
          </w:cols>
          <w:pgMar w:left="240" w:top="122"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other triggers are measured on a quarter-by-quarter basis and were not met as of December 31, 2019. As of December 31, 2019, the if-converted value of the 2025 Convertible Notes did not exceed the principal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2.875% Convertible Senior Notes Due 2024</w:t>
      </w:r>
    </w:p>
    <w:p>
      <w:pPr>
        <w:spacing w:after="0" w:line="3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July 2017, we issued $143.75 million aggregate principal amount of 2.875% Convertible Senior Notes Due 2024 (the “2024 Convertible Notes”). The 2024 Convertible Notes were issued pursuant to an indenture dated July 5, 2017 (the "2017 Indenture") by and between us and Wells Fargo Bank, National Association, as the original trustee. The 2024 Convertible Notes were issued in a private offering under Rule 144A under the Securities Act of 1933. The</w:t>
      </w:r>
    </w:p>
    <w:p>
      <w:pPr>
        <w:ind w:right="60"/>
        <w:spacing w:after="0" w:line="270" w:lineRule="auto"/>
        <w:rPr>
          <w:sz w:val="20"/>
          <w:szCs w:val="20"/>
          <w:color w:val="auto"/>
        </w:rPr>
      </w:pPr>
      <w:r>
        <w:rPr>
          <w:rFonts w:ascii="Arial" w:cs="Arial" w:eastAsia="Arial" w:hAnsi="Arial"/>
          <w:sz w:val="17"/>
          <w:szCs w:val="17"/>
          <w:color w:val="auto"/>
        </w:rPr>
        <w:t>2024 Convertible Notes pay interest semi-annually in arrears at a rate of 2.875% per annum on January 1 and July 1 of each year, commencing January 1, 2018, and mature on July 1, 2024 (the "2024 Maturity Date"), unless converted, redeemed or repurchased in accordance with their terms prior to such date. The carrying amount of the 2024 Convertible Notes as a separate equity-classified instrument (the “2024 Convertible Notes Embedded Derivative”) included in “Additional paid-in capital” in our condensed consolidated balance sheets of December 31, 2019 was $25.3 million. The effective interest rate for the three months ended December 31, 2019 was approximately 9%. As of December 31, 2019, the remaining unamortized debt discount and issuance costs will be amortized through the 2024 Maturity Date assuming no early conversion.</w:t>
      </w:r>
    </w:p>
    <w:p>
      <w:pPr>
        <w:spacing w:after="0" w:line="1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2024 Convertible Notes are convertible into cash or shares of Class A Common Stock, or any combination thereof, at our option subject to satisfaction of certain conditions and during the periods described in the 2017 Indenture, based on an initial conversion rate of 100 shares of Class A Common Stock</w:t>
      </w:r>
    </w:p>
    <w:p>
      <w:pPr>
        <w:ind w:right="240"/>
        <w:spacing w:after="0" w:line="255" w:lineRule="auto"/>
        <w:rPr>
          <w:sz w:val="20"/>
          <w:szCs w:val="20"/>
          <w:color w:val="auto"/>
        </w:rPr>
      </w:pPr>
      <w:r>
        <w:rPr>
          <w:rFonts w:ascii="Arial" w:cs="Arial" w:eastAsia="Arial" w:hAnsi="Arial"/>
          <w:sz w:val="18"/>
          <w:szCs w:val="18"/>
          <w:color w:val="auto"/>
        </w:rPr>
        <w:t>per $1,000 principal amount of 2024 Convertible Notes (equivalent to an initial conversion price of $10.00 per share of our Class A Common Stock). We account for the Class A Common Stock issuable upon conversion under the treasury stock method. To the extent our average share price is over $10.00 per share for any fiscal quarter, we are required to recognize incremental dilution of our earnings per share.</w:t>
      </w:r>
    </w:p>
    <w:p>
      <w:pPr>
        <w:spacing w:after="0" w:line="13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among other triggers described in the 2017 Indenture, the market price of our Class A Common Stock meets the threshold based on at least 20 of the final 30 trading days of the quarter for the 2024 Convertible Notes to become convertible at the option of the holders during the subsequent quarter, we may be required to classify the 2024 Convertible Notes as current on our condensed consolidated balance sheets for each quarter in which such triggers are met. The stock trading price condition and other triggers are measured on a quarter-by-quarter basis and were not met as of December 31, 2019. As of December 31, 2019, the if-converted value of the 2024 Convertible Notes did not exceed the principal amount.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52525"/>
        </w:rPr>
        <w:t xml:space="preserve">In June 2014, we issued $200 million aggregate principal amount of 2.125% Cash Convertible Senior </w:t>
      </w:r>
      <w:r>
        <w:rPr>
          <w:rFonts w:ascii="Arial" w:cs="Arial" w:eastAsia="Arial" w:hAnsi="Arial"/>
          <w:sz w:val="18"/>
          <w:szCs w:val="18"/>
          <w:color w:val="000000"/>
        </w:rPr>
        <w:t>Notes Due 2019 (the "2019 Convertible Notes"), with</w:t>
      </w:r>
      <w:r>
        <w:rPr>
          <w:rFonts w:ascii="Arial" w:cs="Arial" w:eastAsia="Arial" w:hAnsi="Arial"/>
          <w:sz w:val="18"/>
          <w:szCs w:val="18"/>
          <w:color w:val="252525"/>
        </w:rPr>
        <w:t xml:space="preserve"> </w:t>
      </w:r>
      <w:r>
        <w:rPr>
          <w:rFonts w:ascii="Arial" w:cs="Arial" w:eastAsia="Arial" w:hAnsi="Arial"/>
          <w:sz w:val="18"/>
          <w:szCs w:val="18"/>
          <w:color w:val="000000"/>
        </w:rPr>
        <w:t xml:space="preserve">an additional $30 million principal amount of 2019 Convertible Notes issued in July 2014. </w:t>
      </w:r>
      <w:r>
        <w:rPr>
          <w:rFonts w:ascii="Arial" w:cs="Arial" w:eastAsia="Arial" w:hAnsi="Arial"/>
          <w:sz w:val="18"/>
          <w:szCs w:val="18"/>
          <w:color w:val="252525"/>
        </w:rPr>
        <w:t>In</w:t>
      </w:r>
      <w:r>
        <w:rPr>
          <w:rFonts w:ascii="Arial" w:cs="Arial" w:eastAsia="Arial" w:hAnsi="Arial"/>
          <w:sz w:val="18"/>
          <w:szCs w:val="18"/>
          <w:color w:val="000000"/>
        </w:rPr>
        <w:t xml:space="preserve"> July 2017, we used $34.4 million of net proceeds from the 2024 Convertible Notes offering to repurchase and retire $35.0 million aggregate principal amount of 2019 Convertible Notes. </w:t>
      </w:r>
      <w:r>
        <w:rPr>
          <w:rFonts w:ascii="Arial" w:cs="Arial" w:eastAsia="Arial" w:hAnsi="Arial"/>
          <w:sz w:val="18"/>
          <w:szCs w:val="18"/>
          <w:color w:val="252525"/>
        </w:rPr>
        <w:t>The 2019 Convertible Notes paid</w:t>
      </w:r>
      <w:r>
        <w:rPr>
          <w:rFonts w:ascii="Arial" w:cs="Arial" w:eastAsia="Arial" w:hAnsi="Arial"/>
          <w:sz w:val="18"/>
          <w:szCs w:val="18"/>
          <w:color w:val="000000"/>
        </w:rPr>
        <w:t xml:space="preserve"> </w:t>
      </w:r>
      <w:r>
        <w:rPr>
          <w:rFonts w:ascii="Arial" w:cs="Arial" w:eastAsia="Arial" w:hAnsi="Arial"/>
          <w:sz w:val="18"/>
          <w:szCs w:val="18"/>
          <w:color w:val="252525"/>
        </w:rPr>
        <w:t>interest semi-annually in arrears at a rate of 2.125% per annum on June 15 and December 15 of each year. The 2019 Convertible Notes matured on June 15, 2019 (the "2019 Maturity Date")</w:t>
      </w:r>
      <w:r>
        <w:rPr>
          <w:rFonts w:ascii="Arial" w:cs="Arial" w:eastAsia="Arial" w:hAnsi="Arial"/>
          <w:sz w:val="18"/>
          <w:szCs w:val="18"/>
          <w:color w:val="000000"/>
        </w:rPr>
        <w:t>, and the remaining $195.0 million aggregate principal amount outstanding plus accrued interest was repaid using cash on</w:t>
      </w:r>
      <w:r>
        <w:rPr>
          <w:rFonts w:ascii="Arial" w:cs="Arial" w:eastAsia="Arial" w:hAnsi="Arial"/>
          <w:sz w:val="18"/>
          <w:szCs w:val="18"/>
          <w:color w:val="252525"/>
        </w:rPr>
        <w:t xml:space="preserve"> </w:t>
      </w:r>
      <w:r>
        <w:rPr>
          <w:rFonts w:ascii="Arial" w:cs="Arial" w:eastAsia="Arial" w:hAnsi="Arial"/>
          <w:sz w:val="18"/>
          <w:szCs w:val="18"/>
          <w:color w:val="000000"/>
        </w:rPr>
        <w:t>hand.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Warrants</w:t>
      </w:r>
    </w:p>
    <w:p>
      <w:pPr>
        <w:spacing w:after="0" w:line="17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connection with the issuance of the 2019 Convertible Notes, we also sold net-share-settled warrants (the “2019 Convertible Notes Warrants”). The 2019 Convertible Notes Warrants allow for the purchase of up to approximately 14.3 million shares of our Class A Common Stock at a strike price of $20.83 per share. We account for the Class A Common Stock issuable upon exercise under the treasury stock method. As a result of the 2019 Convertible Notes Warrants, we will experience dilution to our diluted earnings per share if our average closing stock price exceeds $20.83 for any fiscal quarter before expiration of the warrants. The unexpired 2019 Convertible Notes Warrants expire on various dates from January 2020 through April 2020 and, if exercised, must be settled in net shares of our Class A Common Stock. Therefore, upon expiration of the 2019 Convertible Notes Warrants, we would issue shares of Class A Common Stock to the purchasers of the 2019 Convertible Notes Warrants that represent the value by which the price of the Class A Common Stock exceeds the strike price stipulated within the particular warrant agreement, if any. As of December 31, 2019, there were a maximum of 5.0 million shares of Class A Common Stock issuable under the 2019 Convertible Notes Warrants outstanding.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CASHMAX Secured Borrowing Facility</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November 2018, we entered into a receivables securitization facility with a third-party lender (the "lender") to provide funding for installment loan originations in our Canadian CASHMAX business. Under the facility, a variable interest entity (the "trust") has the right, subject to various conditions, to borrow up to CAD $25 million from the lender (the "third-party loan") and use the proceeds to purchase interests in installment loan receivables generated by CASHMAX. The trust uses collections on the transferred receivables to pay various amounts in accordance with an agreed priority arrangement, including expenses, its obligations under the third-party loan and, to the extent available, amounts owned to CASHMAX with respect to the purchase price of the transferred receivables and CASHMAX's retained interest in the receivables. CASHMAX has no obligation with respect to the third-party loan or the transferred receivables except to (a) service the underlying installment loans on behalf of the trust and (b) pay amounts owing under or repurchase the underlying installment loans in the event of a breach by CASHMAX or in certain other limited circumstances. The facility is nonrecourse to EZCORP, allowed borrowing through November 2019, and fully matures in November 2021. Our obligation under the facility as of December 31, 2019 was $0.4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 AND STOCK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December 2019, our Board of Directors authorized the repurchase of up to $60.0 million of our Class A Common Stock over three years. During the current quarter, we repurchased and retired 142,409 shares of our Class A Common Stock for $963,000, which amount was allocated between "Additional paid-in capital" and "Retained earnings" in our condensed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17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As of September 30, 2019, the EZCORP, Inc. 2010 Long-Term Incentive Plan, which has been approved by our Board of Directors, permitted grants of options, restricted stock awards and stock appreciation rights covering up to 5,485,649 shares of our Class A Common Stock.</w:t>
      </w:r>
    </w:p>
    <w:p>
      <w:pPr>
        <w:spacing w:after="0" w:line="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the current quarter, we granted a total of 222,912 restricted stock awards to our nine non-employee directors. These awards vest on September 30, 2020 and are subject only to service conditions.</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number of long-term incentive award shares and units granted are generally determined based on our share price as of the beginning of the fiscal year, which was $6.46 for fiscal 2020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CONTINGENCIES</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Currently and from time to time, we are involved in various claims, suits, investigations and legal proceedings, including the lawsuit described below. While we are unable to determine the ultimate outcome of any current litigation or regulatory actions (except as noted below), we believe their resolution will not have a material adverse effect on our financial condition, results of operations or liquidity.</w:t>
      </w:r>
    </w:p>
    <w:p>
      <w:pPr>
        <w:spacing w:after="0" w:line="1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i w:val="1"/>
          <w:iCs w:val="1"/>
          <w:color w:val="auto"/>
        </w:rPr>
        <w:t xml:space="preserve">Federal Securities Litigation </w:t>
      </w:r>
      <w:r>
        <w:rPr>
          <w:rFonts w:ascii="Arial" w:cs="Arial" w:eastAsia="Arial" w:hAnsi="Arial"/>
          <w:sz w:val="18"/>
          <w:szCs w:val="18"/>
          <w:color w:val="auto"/>
        </w:rPr>
        <w:t>— In July 2015 and August 2015, two substantially identical lawsuits were filed in the United States District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Western District of Texas. Those lawsuits were subsequently consolidated into a single action under the caption </w:t>
      </w:r>
      <w:r>
        <w:rPr>
          <w:rFonts w:ascii="Arial" w:cs="Arial" w:eastAsia="Arial" w:hAnsi="Arial"/>
          <w:sz w:val="18"/>
          <w:szCs w:val="18"/>
          <w:i w:val="1"/>
          <w:iCs w:val="1"/>
          <w:color w:val="auto"/>
        </w:rPr>
        <w:t>In re EZCORP, Inc.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(Master File No. 1:15-cv-00608-SS). The original complaint related to the Company’s announcement on July 17, 2015 that it will restate its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January 2016, the plaintiffs filed an Amended Class Action Complaint (the "Amended Complaint"), which asserted that the Company and Mark E. Kuchenrither, our former Chief Financial Officer, violated Section 10(b) of the Securities Exchange Act and Rule 10b-5, issued materially false or misleading statements concerning the Company and its internal controls, specifically regarding the financial performance of Grupo Finmart. The plaintiffs also allege that Mr. Kuchenrither, as a controlling person of the Company, violated Section 20(a) of the Securities Exchange Act.</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October 2016, the Court granted the defendants’ motion to dismiss and dismissed the Amended Complaint without prejudice. In November 2016, the plaintiffs filed a Second Amended Consolidated Class Action Complaint (“Second Amended Complaint”), raising the same claims previously dismissed by the Court, but reducing the class period (November 7, 2013 to October 20, 2015 instead of November 6, 2012 to October 20, 2015). In May 2017, the Court granted the defendants’ motion to dismiss with regard to claims related to accounting errors relating to Grupo Finmart’s bad debt reserve calculations for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“nonperforming” loans, but denied the motion to dismiss with regard to claims relating to accounting errors related to certain sales of loan portfolios to third parties.</w:t>
      </w:r>
    </w:p>
    <w:p>
      <w:pPr>
        <w:spacing w:after="0" w:line="1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Following discovery on the surviving claims, the plaintiff filed a Motion for Leave to File a Third Amended Complaint, seeking to revive the "nonperforming" loan claims that the Court previously dismissed, and on July 26, 2018, the Court granted the plaintiff's motion for leave to amend, thus accepting the Third Amended Consolidated Class Action Complaint. The Court issued an order certifying the class and approving the class representative and class counsel in February 2019, and we appealed that order to the U.S. Fifth Circuit Court of Appeals, which appeal was granted in March 2019.</w:t>
      </w:r>
    </w:p>
    <w:p>
      <w:pPr>
        <w:spacing w:after="0" w:line="10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May 30, 2019, the parties agreed to a mediated settlement of all remaining claims, and on June 18, 2019 entered into a Stipulation and Agreement of Settlement reflecting the terms of the agreed settlement, which called for the payment of $4.9 million by the defendants. Following a settlement fairness hearing on December 6, 2019, the Court entered a judgment approving the agreed settlement and dismissing the claims asserted against the defendants. The settlement amount (which was covered by applicable directors' and officers' liability insurance) has been disbursed as provided in the approved settlement.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2" w:right="27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INFORMATION</w:t>
      </w:r>
    </w:p>
    <w:p>
      <w:pPr>
        <w:spacing w:after="0" w:line="1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first quarter of fiscal 2020, we revised the financial information our chief operating decision maker (currently our chief executive officer) reviews for operational decision-making purposes and for allocation of capital to include the separate financial results of our Lana business. Our historical segment results have been recast to conform to current presentation. We currently report our segments as follows: U.S. Pawn — all pawn activities in the United States; Latin America Pawn — all pawn activities in Mexico and other parts of Latin America; Lana — our differentiated customer-centric engagement platform; and Other International — primarily our equity interest in the net income of Cash Converters International and consumer finance activities in Canada. There are no inter-segment revenues presented below, and the amounts below were determined in accordance with the same accounting principles used in our condensed consolidated financial statements. While we expect the operations of the Lana segment to have a positive impact on our pawn loan redemption rates and therefore our pawn service charges and yield, the pawn service charges will all be reported in our pawn segments rather than allocated to the Lana segment. Only discrete revenues related to the Lana segment will be reported in the Lana segment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Three Months Ended December 31, 2019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Latin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160" w:type="dxa"/>
            <w:vAlign w:val="bottom"/>
          </w:tcPr>
          <w:p>
            <w:pPr>
              <w:spacing w:after="0"/>
              <w:rPr>
                <w:sz w:val="12"/>
                <w:szCs w:val="12"/>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Lana</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left="153"/>
              <w:spacing w:after="0"/>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95,354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31,374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126,728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126,728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64,090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20,635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84,725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84,725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37"/>
        </w:trPr>
        <w:tc>
          <w:tcPr>
            <w:tcW w:w="33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165,597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55,445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222,435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222,435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84,076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4,755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7"/>
        </w:trPr>
        <w:tc>
          <w:tcPr>
            <w:tcW w:w="33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99,478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29,734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130,069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130,069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Segment and corporate expenses (income):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68,059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19,983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90,625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90,625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17,489</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2,865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Loss on sale or disposal of assets and</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Equity in net loss of unconsolidated</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28,554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8,127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28,879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8"/>
              </w:rPr>
              <w:t>Income from continuing operations before</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28,879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(25,855)</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jc w:val="right"/>
              <w:ind w:right="432"/>
              <w:spacing w:after="0"/>
              <w:rPr>
                <w:sz w:val="20"/>
                <w:szCs w:val="20"/>
                <w:color w:val="auto"/>
              </w:rPr>
            </w:pPr>
            <w:r>
              <w:rPr>
                <w:rFonts w:ascii="Arial" w:cs="Arial" w:eastAsia="Arial" w:hAnsi="Arial"/>
                <w:sz w:val="18"/>
                <w:szCs w:val="18"/>
                <w:color w:val="auto"/>
                <w:w w:val="99"/>
              </w:rPr>
              <w:t>14</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7"/>
        </w:trPr>
        <w:tc>
          <w:tcPr>
            <w:tcW w:w="102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w w:val="93"/>
              </w:rPr>
              <w:t>Three Months Ended December 31, 2018</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Latin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2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Lana</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8"/>
              </w:rPr>
              <w:t>Pawn</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95,103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25,921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121,024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121,024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19,294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83,519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83,519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37"/>
        </w:trPr>
        <w:tc>
          <w:tcPr>
            <w:tcW w:w="310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165,928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47,986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215,695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215,695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77,112</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8,050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7"/>
        </w:trPr>
        <w:tc>
          <w:tcPr>
            <w:tcW w:w="3100" w:type="dxa"/>
            <w:vAlign w:val="bottom"/>
            <w:gridSpan w:val="2"/>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101,270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27,482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130,049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130,049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and corporate expenses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67,937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18,196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90,853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90,853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13,165</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1"/>
              </w:rPr>
              <w:t>Loss on sale or disposal of assets and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8,690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8,791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80"/>
              <w:spacing w:after="0"/>
              <w:rPr>
                <w:sz w:val="20"/>
                <w:szCs w:val="20"/>
                <w:color w:val="auto"/>
              </w:rPr>
            </w:pPr>
            <w:r>
              <w:rPr>
                <w:rFonts w:ascii="Arial" w:cs="Arial" w:eastAsia="Arial" w:hAnsi="Arial"/>
                <w:sz w:val="18"/>
                <w:szCs w:val="18"/>
                <w:color w:val="auto"/>
                <w:w w:val="99"/>
              </w:rPr>
              <w:t>Equity in net loss of unconsolidated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Impairment of investments in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27,445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Loss from continuing operations before</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16,285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(21,003)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42"/>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4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SUPPLEMENTAL CONSOLIDATED FINANCIAL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Consolidated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2019</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2018</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2019</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143,141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297,031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4,875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 and restricted cash</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143,141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297,286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162,442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pawn service charges receivable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41,838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uncollectible pawn service charges receivable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(10,036)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31,558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31,802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inventory</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197,519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185,706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189,092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Inventory reserves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(9,737)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187,369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175,422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179,355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Accounts receivable and other</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14,126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10,889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4,875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Convertible Notes Hedges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36,142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31,483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30,796</w:t>
            </w:r>
          </w:p>
        </w:tc>
      </w:tr>
      <w:tr>
        <w:trPr>
          <w:trHeight w:val="109"/>
        </w:trPr>
        <w:tc>
          <w:tcPr>
            <w:tcW w:w="7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 gross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270,335</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253,336</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265,922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(198,565)</w:t>
            </w:r>
          </w:p>
        </w:tc>
      </w:tr>
      <w:tr>
        <w:trPr>
          <w:trHeight w:val="297"/>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65,246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69,770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67,357</w:t>
            </w:r>
          </w:p>
        </w:tc>
      </w:tr>
      <w:tr>
        <w:trPr>
          <w:trHeight w:val="109"/>
        </w:trPr>
        <w:tc>
          <w:tcPr>
            <w:tcW w:w="7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12,534</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15,141</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25,946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52,011</w:t>
            </w:r>
          </w:p>
        </w:tc>
      </w:tr>
      <w:tr>
        <w:trPr>
          <w:trHeight w:val="257"/>
        </w:trPr>
        <w:tc>
          <w:tcPr>
            <w:tcW w:w="7440" w:type="dxa"/>
            <w:vAlign w:val="bottom"/>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51,621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57,380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77,957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discussion in this section contains forward-looking statements that are based on our current expectations. Actual results could differ materially from those </w:t>
      </w:r>
      <w:hyperlink r:id="rId16">
        <w:r>
          <w:rPr>
            <w:rFonts w:ascii="Arial" w:cs="Arial" w:eastAsia="Arial" w:hAnsi="Arial"/>
            <w:sz w:val="16"/>
            <w:szCs w:val="16"/>
            <w:color w:val="auto"/>
          </w:rPr>
          <w:t xml:space="preserve">expressed or implied by the forward-looking statements due to a number of risks, uncertainties and other factors, including those identified in </w:t>
        </w:r>
        <w:r>
          <w:rPr>
            <w:rFonts w:ascii="Arial" w:cs="Arial" w:eastAsia="Arial" w:hAnsi="Arial"/>
            <w:sz w:val="16"/>
            <w:szCs w:val="16"/>
            <w:u w:val="single" w:color="auto"/>
            <w:color w:val="0000EE"/>
          </w:rPr>
          <w:t>"Part I, Item 1A</w:t>
        </w:r>
      </w:hyperlink>
    </w:p>
    <w:p>
      <w:pPr>
        <w:spacing w:after="0"/>
        <w:rPr>
          <w:rFonts w:ascii="Arial" w:cs="Arial" w:eastAsia="Arial" w:hAnsi="Arial"/>
          <w:sz w:val="16"/>
          <w:szCs w:val="16"/>
          <w:color w:val="0000EE"/>
        </w:rPr>
      </w:pPr>
      <w:hyperlink r:id="rId16">
        <w:r>
          <w:rPr>
            <w:rFonts w:ascii="Arial" w:cs="Arial" w:eastAsia="Arial" w:hAnsi="Arial"/>
            <w:sz w:val="16"/>
            <w:szCs w:val="16"/>
            <w:u w:val="single" w:color="auto"/>
            <w:color w:val="0000EE"/>
          </w:rPr>
          <w:t>— Risk Factors" of our Annual Report on Form 10-K for the year ended September 30, 2019</w:t>
        </w:r>
        <w:r>
          <w:rPr>
            <w:rFonts w:ascii="Arial" w:cs="Arial" w:eastAsia="Arial" w:hAnsi="Arial"/>
            <w:sz w:val="16"/>
            <w:szCs w:val="16"/>
            <w:color w:val="000000"/>
          </w:rPr>
          <w:t>, as supplemented by the information set forth in “Part I, Item 3</w:t>
        </w:r>
      </w:hyperlink>
    </w:p>
    <w:p>
      <w:pPr>
        <w:spacing w:after="0" w:line="32" w:lineRule="exact"/>
        <w:rPr>
          <w:rFonts w:ascii="Arial" w:cs="Arial" w:eastAsia="Arial" w:hAnsi="Arial"/>
          <w:sz w:val="16"/>
          <w:szCs w:val="16"/>
          <w:color w:val="0000EE"/>
        </w:rPr>
      </w:pPr>
    </w:p>
    <w:p>
      <w:pPr>
        <w:spacing w:after="0"/>
        <w:rPr>
          <w:rFonts w:ascii="Arial" w:cs="Arial" w:eastAsia="Arial" w:hAnsi="Arial"/>
          <w:sz w:val="16"/>
          <w:szCs w:val="16"/>
          <w:color w:val="0000EE"/>
        </w:rPr>
      </w:pPr>
      <w:r>
        <w:rPr>
          <w:rFonts w:ascii="Arial" w:cs="Arial" w:eastAsia="Arial" w:hAnsi="Arial"/>
          <w:sz w:val="18"/>
          <w:szCs w:val="18"/>
          <w:color w:val="auto"/>
        </w:rPr>
        <w:t>— Quantitative and Qualitative Disclosures about Market Risk.”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Financial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EZCORP is a Delaware corporation headquartered in Austin, Texas. We are a leading provider of pawn loans in the United States and Latin America.</w:t>
      </w:r>
    </w:p>
    <w:p>
      <w:pPr>
        <w:spacing w:after="0" w:line="18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Most Efficient Provider of Cash; and</w:t>
      </w:r>
    </w:p>
    <w:p>
      <w:pPr>
        <w:sectPr>
          <w:pgSz w:w="11900" w:h="16838" w:orient="portrait"/>
          <w:cols w:equalWidth="0" w:num="1">
            <w:col w:w="11420"/>
          </w:cols>
          <w:pgMar w:left="240" w:top="122"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pawn service charges (“PSC”). The following charts present sources of net revenues, including PSC, merchandise sales gross profit ("Merchandise sales GP") and jewelry scrapping gross profit ("Jewelry scrapping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848985" cy="2375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present sources of net revenues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848985" cy="23755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present store counts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848985" cy="2375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Activities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our pawn stores, we offer pawn loans, which are typically small, nonrecourse loans collateralized by tangible personal property. We earn pawn service charges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 and the perceived probability of the loan’s redemption.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and our ability to sell that merchandise in a timely manner. As a significant portion of our inventory and sales involve gold and jewelry, our results can be heavily influenced by the market price of gold.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Expansion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plan to expand the number of locations we operate through opening new (“de novo”) locations and through acquisitions in both Latin America and the United States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Quarterly Results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Historically, pawn service charges are highest in our fourth fiscal quarter (July through September) due to a higher average loan balance during the summer lending season in the United States and lowest in our third fiscal quarter (April through June) following the tax refund season in the United States. Merchandise sales are highest in our first and second fiscal quarters (October through March) due to the holiday season, jewelry sales in the United States surrounding Valentine’s Day and the availability of tax refunds in the United States. Most of our customers in Latin America receive additional compensation from their employers in December, and many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 fiscal quarter (April through June).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first quarter of fiscal 2020, we revised the financial information our chief operating decision maker (currently our chief executive officer) reviews for operational decision-making purposes and for allocation of capital to include the separate financial results of our Lana business. Our historical segment results have been recast to conform to current presentation. We currently report our segments as follows: U.S. Pawn - all pawn activities in the United States; Latin America Pawn - all pawn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activities in Mexico and other parts of Latin America; Lana - our customer-centric digital engagement platform; and Other International - primarily our equity interest in the net income of Cash Converters International and consumer finance activities in Canada. While we expect the operations of the Lana segment to have a positive impact on our pawn loan redemption rates and therefore our pawn service charges and yield, the pawn service charges will all be reported in our pawn segments rather than allocated to the Lana segment. Only discrete revenues related to the Lana segment will be reported in the Lana segment results. As a digital offering, Lana has no separate physical store locations.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of October 1, 2019, we adopted Accounting Standards Update ("ASU"), Leases (Topic 842). This ASU required companies to generally recognize on the balance sheet operating and financing lease liabilities and corresponding right-of-use assets. We recorded a net right-of-use asset of $237.5 million and a net lease liability of $246.0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9"/>
              </w:rPr>
              <w:t>Three Months Ended December 31, 2019</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Pawn</w:t>
            </w:r>
          </w:p>
        </w:tc>
        <w:tc>
          <w:tcPr>
            <w:tcW w:w="15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7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jc w:val="center"/>
              <w:ind w:right="1730"/>
              <w:spacing w:after="0"/>
              <w:rPr>
                <w:sz w:val="20"/>
                <w:szCs w:val="20"/>
                <w:color w:val="auto"/>
              </w:rPr>
            </w:pPr>
            <w:r>
              <w:rPr>
                <w:rFonts w:ascii="Arial" w:cs="Arial" w:eastAsia="Arial" w:hAnsi="Arial"/>
                <w:sz w:val="18"/>
                <w:szCs w:val="18"/>
                <w:color w:val="auto"/>
                <w:w w:val="89"/>
              </w:rPr>
              <w:t>As of September 30, 2019</w:t>
            </w:r>
          </w:p>
        </w:tc>
        <w:tc>
          <w:tcPr>
            <w:tcW w:w="332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228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jc w:val="center"/>
              <w:ind w:right="1770"/>
              <w:spacing w:after="0"/>
              <w:rPr>
                <w:sz w:val="20"/>
                <w:szCs w:val="20"/>
                <w:color w:val="auto"/>
              </w:rPr>
            </w:pPr>
            <w:r>
              <w:rPr>
                <w:rFonts w:ascii="Arial" w:cs="Arial" w:eastAsia="Arial" w:hAnsi="Arial"/>
                <w:sz w:val="18"/>
                <w:szCs w:val="18"/>
                <w:color w:val="auto"/>
                <w:w w:val="90"/>
              </w:rPr>
              <w:t>As of December 31, 2019</w:t>
            </w:r>
          </w:p>
        </w:tc>
        <w:tc>
          <w:tcPr>
            <w:tcW w:w="2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9"/>
              </w:rPr>
              <w:t>Three Months Ended December 31, 2018</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Pawn</w:t>
            </w:r>
          </w:p>
        </w:tc>
        <w:tc>
          <w:tcPr>
            <w:tcW w:w="15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7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jc w:val="center"/>
              <w:ind w:right="1730"/>
              <w:spacing w:after="0"/>
              <w:rPr>
                <w:sz w:val="20"/>
                <w:szCs w:val="20"/>
                <w:color w:val="auto"/>
              </w:rPr>
            </w:pPr>
            <w:r>
              <w:rPr>
                <w:rFonts w:ascii="Arial" w:cs="Arial" w:eastAsia="Arial" w:hAnsi="Arial"/>
                <w:sz w:val="18"/>
                <w:szCs w:val="18"/>
                <w:color w:val="auto"/>
                <w:w w:val="89"/>
              </w:rPr>
              <w:t>As of September 30, 2018</w:t>
            </w:r>
          </w:p>
        </w:tc>
        <w:tc>
          <w:tcPr>
            <w:tcW w:w="332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228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jc w:val="center"/>
              <w:ind w:right="1750"/>
              <w:spacing w:after="0"/>
              <w:rPr>
                <w:sz w:val="20"/>
                <w:szCs w:val="20"/>
                <w:color w:val="auto"/>
              </w:rPr>
            </w:pPr>
            <w:r>
              <w:rPr>
                <w:rFonts w:ascii="Arial" w:cs="Arial" w:eastAsia="Arial" w:hAnsi="Arial"/>
                <w:sz w:val="18"/>
                <w:szCs w:val="18"/>
                <w:color w:val="auto"/>
                <w:w w:val="91"/>
              </w:rPr>
              <w:t>Locations acquired</w:t>
            </w:r>
          </w:p>
        </w:tc>
        <w:tc>
          <w:tcPr>
            <w:tcW w:w="2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780" w:type="dxa"/>
            <w:vAlign w:val="bottom"/>
          </w:tcPr>
          <w:p>
            <w:pPr>
              <w:jc w:val="center"/>
              <w:ind w:right="1770"/>
              <w:spacing w:after="0"/>
              <w:rPr>
                <w:sz w:val="20"/>
                <w:szCs w:val="20"/>
                <w:color w:val="auto"/>
              </w:rPr>
            </w:pPr>
            <w:r>
              <w:rPr>
                <w:rFonts w:ascii="Arial" w:cs="Arial" w:eastAsia="Arial" w:hAnsi="Arial"/>
                <w:sz w:val="18"/>
                <w:szCs w:val="18"/>
                <w:color w:val="auto"/>
                <w:w w:val="90"/>
              </w:rPr>
              <w:t>As of December 31, 2018</w:t>
            </w:r>
          </w:p>
        </w:tc>
        <w:tc>
          <w:tcPr>
            <w:tcW w:w="2280" w:type="dxa"/>
            <w:vAlign w:val="bottom"/>
          </w:tcPr>
          <w:p>
            <w:pPr>
              <w:spacing w:after="0"/>
              <w:rPr>
                <w:sz w:val="20"/>
                <w:szCs w:val="20"/>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80" w:type="dxa"/>
            <w:vAlign w:val="bottom"/>
            <w:vMerge w:val="restart"/>
          </w:tcPr>
          <w:p>
            <w:pPr>
              <w:jc w:val="right"/>
              <w:ind w:right="170"/>
              <w:spacing w:after="0"/>
              <w:rPr>
                <w:sz w:val="20"/>
                <w:szCs w:val="20"/>
                <w:color w:val="auto"/>
              </w:rPr>
            </w:pPr>
            <w:r>
              <w:rPr>
                <w:rFonts w:ascii="Arial" w:cs="Arial" w:eastAsia="Arial" w:hAnsi="Arial"/>
                <w:sz w:val="18"/>
                <w:szCs w:val="18"/>
                <w:color w:val="auto"/>
              </w:rPr>
              <w:t>19</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December 31, 2019 vs. Three Months Ended December 31, 2018</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tables, as well as the discussion that follows, should be read with the accompanying condensed consolidated financial statements and related notes. All comparisons, unless otherwise noted, are to the prior-year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64,090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64,225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95,354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95,103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33,990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35,955</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(200)bps</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6,552</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(7)%</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1,042</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31%</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600bps</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48</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(25)%</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99,478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101,270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w:t>
            </w:r>
          </w:p>
        </w:tc>
      </w:tr>
      <w:tr>
        <w:trPr>
          <w:trHeight w:val="324"/>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68,059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67,937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2,865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3,035</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(6)%</w:t>
            </w:r>
          </w:p>
        </w:tc>
      </w:tr>
      <w:tr>
        <w:trPr>
          <w:trHeight w:val="237"/>
        </w:trPr>
        <w:tc>
          <w:tcPr>
            <w:tcW w:w="662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28,554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30,298</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w:t>
            </w: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318"/>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Other segment expense</w:t>
            </w:r>
          </w:p>
        </w:tc>
        <w:tc>
          <w:tcPr>
            <w:tcW w:w="32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2,853</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(100)%</w:t>
            </w: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28,554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27,445</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Net earning assets (a)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305,336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299,160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304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100bps</w:t>
            </w:r>
          </w:p>
        </w:tc>
      </w:tr>
    </w:tbl>
    <w:p>
      <w:pPr>
        <w:spacing w:after="0" w:line="170" w:lineRule="exact"/>
        <w:rPr>
          <w:sz w:val="20"/>
          <w:szCs w:val="20"/>
          <w:color w:val="auto"/>
        </w:rPr>
      </w:pPr>
    </w:p>
    <w:p>
      <w:pPr>
        <w:ind w:left="380" w:hanging="345"/>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8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Segment contribution increased $1.1 million, or 4%, to $28.6 million. While net revenues decreased $1.8 million, or 2%, to $99.5 million, total expenses decreased $2.9 million to $70.9 million due primarily to a $2.9 million prior-period recognition of an uncollectible receivable balance from a bankrupt refining partner with no comparable charge in the current period. Operations expense was flat to the prior-year quarter, with a slight improvement in depreciation and amortization.</w:t>
      </w: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revenue attributable to same stores and new stores added since the prior-year quarter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Pawn service charges were flat as acquired stores offset a 1% decrease in average ending monthly pawn loan balances outstanding during the current quarter.</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Merchandise sales were flat with gross margin on merchandise sales down 200 basis points to 36%, the low end of our target range. The decline in gross margin was due to holiday sales promotions and our continued efforts to reduce general merchandise inventory aged greater than 360 days, which ended the quarter at 6.8% of total general merchandise inventory, improved from 8.9% at the end of the prior-year quarter. As a result, merchandise sales gross profit decreased 5% to $34.0 million.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Jewelry scrapping sales gross profit increased 31% to $1.4 million due primarily to higher scrapping margins as a result of increased gold market prices.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Scrap sales margins increased 600 basis points to 22%. Scrap volume decreased year-over-year as we continue to focus on retail sales for jewelry disposition.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to the financial information prepared in conformity with accounting principles generally accepted in the United States ("GAAP"), we provide certain other non-GAAP financial information on a constant currency basis ("constant currency"). We use constant currency results to evaluate our Latin America Pawn operations, which are denominated primarily in Mexican pesos, Guatemalan quetzals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so are not directly calculable from the above rates. Constant currency results, where presented, also exclude the foreign currency gain or loss. The end-of-period and approximate average exchange rates for each applicable currency as compared to U.S. dollars as of and for the three months ended December 31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4"/>
              </w:rPr>
              <w:t>December 31,</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6800" w:type="dxa"/>
            <w:vAlign w:val="bottom"/>
            <w:gridSpan w:val="2"/>
          </w:tcPr>
          <w:p>
            <w:pPr>
              <w:ind w:left="6500"/>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3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22"/>
                <w:szCs w:val="22"/>
                <w:color w:val="auto"/>
              </w:rPr>
            </w:pPr>
          </w:p>
        </w:tc>
        <w:tc>
          <w:tcPr>
            <w:tcW w:w="1600" w:type="dxa"/>
            <w:vAlign w:val="bottom"/>
          </w:tcPr>
          <w:p>
            <w:pPr>
              <w:jc w:val="right"/>
              <w:ind w:right="696"/>
              <w:spacing w:after="0"/>
              <w:rPr>
                <w:sz w:val="20"/>
                <w:szCs w:val="20"/>
                <w:color w:val="auto"/>
              </w:rPr>
            </w:pPr>
            <w:r>
              <w:rPr>
                <w:rFonts w:ascii="Arial" w:cs="Arial" w:eastAsia="Arial" w:hAnsi="Arial"/>
                <w:sz w:val="14"/>
                <w:szCs w:val="14"/>
                <w:b w:val="1"/>
                <w:bCs w:val="1"/>
                <w:color w:val="auto"/>
              </w:rPr>
              <w:t>2019</w:t>
            </w: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121"/>
        </w:trPr>
        <w:tc>
          <w:tcPr>
            <w:tcW w:w="60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Mexican peso</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5"/>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19.2</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Guatemalan quetzal</w:t>
            </w: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00" w:type="dxa"/>
            <w:vAlign w:val="bottom"/>
          </w:tcPr>
          <w:p>
            <w:pPr>
              <w:jc w:val="right"/>
              <w:ind w:right="276"/>
              <w:spacing w:after="0"/>
              <w:rPr>
                <w:sz w:val="20"/>
                <w:szCs w:val="20"/>
                <w:color w:val="auto"/>
              </w:rPr>
            </w:pPr>
            <w:r>
              <w:rPr>
                <w:rFonts w:ascii="Arial" w:cs="Arial" w:eastAsia="Arial" w:hAnsi="Arial"/>
                <w:sz w:val="18"/>
                <w:szCs w:val="18"/>
                <w:color w:val="auto"/>
              </w:rPr>
              <w:t>7.5</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7.6</w:t>
            </w:r>
          </w:p>
        </w:tc>
      </w:tr>
      <w:tr>
        <w:trPr>
          <w:trHeight w:val="27"/>
        </w:trPr>
        <w:tc>
          <w:tcPr>
            <w:tcW w:w="6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Honduran lempira</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5"/>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24.3</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Peruvian sol</w:t>
            </w: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0" w:type="dxa"/>
            <w:vAlign w:val="bottom"/>
          </w:tcPr>
          <w:p>
            <w:pPr>
              <w:jc w:val="right"/>
              <w:ind w:right="276"/>
              <w:spacing w:after="0"/>
              <w:rPr>
                <w:sz w:val="20"/>
                <w:szCs w:val="20"/>
                <w:color w:val="auto"/>
              </w:rPr>
            </w:pPr>
            <w:r>
              <w:rPr>
                <w:rFonts w:ascii="Arial" w:cs="Arial" w:eastAsia="Arial" w:hAnsi="Arial"/>
                <w:sz w:val="18"/>
                <w:szCs w:val="18"/>
                <w:color w:val="auto"/>
              </w:rPr>
              <w:t>3.3</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459"/>
        </w:trPr>
        <w:tc>
          <w:tcPr>
            <w:tcW w:w="6080" w:type="dxa"/>
            <w:vAlign w:val="bottom"/>
          </w:tcPr>
          <w:p>
            <w:pPr>
              <w:ind w:left="5620"/>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Financial Information."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6"/>
          </w:tcPr>
          <w:p>
            <w:pPr>
              <w:jc w:val="right"/>
              <w:ind w:right="652"/>
              <w:spacing w:after="0"/>
              <w:rPr>
                <w:sz w:val="20"/>
                <w:szCs w:val="20"/>
                <w:color w:val="auto"/>
              </w:rPr>
            </w:pPr>
            <w:r>
              <w:rPr>
                <w:rFonts w:ascii="Arial" w:cs="Arial" w:eastAsia="Arial" w:hAnsi="Arial"/>
                <w:sz w:val="14"/>
                <w:szCs w:val="14"/>
                <w:b w:val="1"/>
                <w:bCs w:val="1"/>
                <w:color w:val="auto"/>
              </w:rPr>
              <w:t>Three Months Ended December 31,</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2019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2018 (GAAP)</w:t>
            </w:r>
          </w:p>
        </w:tc>
        <w:tc>
          <w:tcPr>
            <w:tcW w:w="10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52"/>
              <w:spacing w:after="0" w:line="153" w:lineRule="exact"/>
              <w:rPr>
                <w:sz w:val="20"/>
                <w:szCs w:val="20"/>
                <w:color w:val="auto"/>
              </w:rPr>
            </w:pPr>
            <w:r>
              <w:rPr>
                <w:rFonts w:ascii="Arial" w:cs="Arial" w:eastAsia="Arial" w:hAnsi="Arial"/>
                <w:sz w:val="14"/>
                <w:szCs w:val="14"/>
                <w:b w:val="1"/>
                <w:bCs w:val="1"/>
                <w:color w:val="auto"/>
                <w:w w:val="93"/>
              </w:rPr>
              <w:t>2019 (Constant</w:t>
            </w:r>
          </w:p>
        </w:tc>
        <w:tc>
          <w:tcPr>
            <w:tcW w:w="12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Currency)</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4"/>
          </w:tcPr>
          <w:p>
            <w:pPr>
              <w:jc w:val="right"/>
              <w:ind w:right="592"/>
              <w:spacing w:after="0"/>
              <w:rPr>
                <w:sz w:val="20"/>
                <w:szCs w:val="20"/>
                <w:color w:val="auto"/>
              </w:rPr>
            </w:pPr>
            <w:r>
              <w:rPr>
                <w:rFonts w:ascii="Arial" w:cs="Arial" w:eastAsia="Arial" w:hAnsi="Arial"/>
                <w:sz w:val="14"/>
                <w:szCs w:val="14"/>
                <w:i w:val="1"/>
                <w:iCs w:val="1"/>
                <w:color w:val="auto"/>
              </w:rPr>
              <w:t>(in USD thousands)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20,635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19,294</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20,197</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31,374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25,921</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30,526</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8,662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7,957</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8,434</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43"/>
        </w:trPr>
        <w:tc>
          <w:tcPr>
            <w:tcW w:w="45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(300)bps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(300)bps</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2,729</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3,366</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189</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407</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6"/>
              </w:rPr>
              <w:t>115%</w:t>
            </w:r>
          </w:p>
        </w:tc>
        <w:tc>
          <w:tcPr>
            <w:tcW w:w="0" w:type="dxa"/>
            <w:vAlign w:val="bottom"/>
          </w:tcPr>
          <w:p>
            <w:pPr>
              <w:spacing w:after="0"/>
              <w:rPr>
                <w:sz w:val="1"/>
                <w:szCs w:val="1"/>
                <w:color w:val="auto"/>
              </w:rPr>
            </w:pPr>
          </w:p>
        </w:tc>
      </w:tr>
      <w:tr>
        <w:trPr>
          <w:trHeight w:val="243"/>
        </w:trPr>
        <w:tc>
          <w:tcPr>
            <w:tcW w:w="45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500bps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500bps</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(43)%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27,482</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29,062</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19,983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18,196</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19,573</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1,422</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1,844</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37"/>
        </w:trPr>
        <w:tc>
          <w:tcPr>
            <w:tcW w:w="452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7,862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7,864</w:t>
            </w:r>
          </w:p>
        </w:tc>
        <w:tc>
          <w:tcPr>
            <w:tcW w:w="10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7,645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Other segment (income) expense (a)</w:t>
            </w:r>
          </w:p>
        </w:tc>
        <w:tc>
          <w:tcPr>
            <w:tcW w:w="1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1,073</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8,127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6,791</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7,847</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Net earning assets (b)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77,619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70,246</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75,327</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w w:val="93"/>
              </w:rPr>
              <w:t>Average monthly ending pawn loan balance per store (c)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121</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116</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100bps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100bps</w:t>
            </w: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100bps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80" w:right="360" w:hanging="345"/>
        <w:spacing w:after="0" w:line="253"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Fiscal 2020 constant currency amount excludes net GAAP basis foreign currency transaction gains of $0.1 million resulting from movement in exchange rates. The net foreign currency transaction gains for fiscal 2019 of $0.1 million are included in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Rate is solely inclusive of results from Mexico Pawn.</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1" w:right="29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Segment contribution increased $1.3 million, or 20%, to $8.1 million (16% on a constant currency basis) with net revenue growth of $2.3 million, or 8% ($1.6 million, or 6%, on a constant currency basis), to $29.7 million. Operations expense increased $1.8 million, or 10% ($1.4 million, or 8% on a constant currency basis), to $20.0 million due primarily to 22 new store openings, along with relocations and expansions of existing stores.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revenue attributable to same stores and new stores added since the prior-year quarter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856"/>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Pawn service charges increased 7% (5% on a constant currency basis). The average ending monthly pawn loan balance outstanding during the current quarter was down 2% (4% on a constant currency basis), offset by the addition of 22 new stores since the end of the prior-year quarter. Pawn loan yield and redemption rates improved 100 basis points each, to 16% and 79%, respectively, reflecting improved lending guidance from our point-of-sale system.</w:t>
      </w:r>
    </w:p>
    <w:p>
      <w:pPr>
        <w:spacing w:after="0" w:line="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Merchandise sales increased 21% (18% on a constant currency basis), largely attributable to a revised incentive program for store team members implemented in fiscal 2020, with an offsetting 300 basis point decline in margins. As a result of these factors and foreign currency impacts, merchandise sales gross profit was up 9% to $8.7 million (6% to $8.4 million on a constant currency basis).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Social welfare programs recently implemented in Mexico have provided additional cash to a portion of our customers, contributing to the lower loan demand and increased sales volume. These programs are directed towards a variety of citizens such as the elderly, disabled, single mothers, certain farmers, micro-businesses and certain students. Based on government announcements, we anticipate these programs will continue on an ongoing basis, but expect our customers’ needs to return to more traditional patterns in six to twelve months.</w:t>
      </w:r>
    </w:p>
    <w:p>
      <w:pPr>
        <w:spacing w:after="0" w:line="1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Jewelry scrapping sales increased 25% (23% on a constant currency basis) on greater volume, with a 500 basis point increase in margin to 12% as we benefited from an overall increase in commodity gold prices.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segment expenses compared favorably as a result of a prior-year quarter reserve of $1.5 million against a receivable balance deemed uncollectible from a refiner.</w:t>
      </w:r>
    </w:p>
    <w:p>
      <w:pPr>
        <w:spacing w:after="0" w:line="11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Operations expense increased 10% (8% on a constant currency basis). Same store operations expense increased 7%, with the remainder of the increase attributable to a 5% increase in ending store count over the prior-year quarter and costs to open de novo stores. Depreciation and amortization increased 33% (30% on a constant currency basis) from the addition of stores and capital investment in existing and acquired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Lana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vMerge w:val="restart"/>
          </w:tcPr>
          <w:p>
            <w:pPr>
              <w:jc w:val="right"/>
              <w:ind w:right="58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expense and other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2,090</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(37)%</w:t>
            </w:r>
          </w:p>
        </w:tc>
        <w:tc>
          <w:tcPr>
            <w:tcW w:w="0" w:type="dxa"/>
            <w:vAlign w:val="bottom"/>
          </w:tcPr>
          <w:p>
            <w:pPr>
              <w:spacing w:after="0"/>
              <w:rPr>
                <w:sz w:val="1"/>
                <w:szCs w:val="1"/>
                <w:color w:val="auto"/>
              </w:rPr>
            </w:pPr>
          </w:p>
        </w:tc>
      </w:tr>
      <w:tr>
        <w:trPr>
          <w:trHeight w:val="257"/>
        </w:trPr>
        <w:tc>
          <w:tcPr>
            <w:tcW w:w="6980" w:type="dxa"/>
            <w:vAlign w:val="bottom"/>
          </w:tcPr>
          <w:p>
            <w:pPr>
              <w:ind w:left="280"/>
              <w:spacing w:after="0"/>
              <w:rPr>
                <w:sz w:val="20"/>
                <w:szCs w:val="20"/>
                <w:color w:val="auto"/>
              </w:rPr>
            </w:pPr>
            <w:r>
              <w:rPr>
                <w:rFonts w:ascii="Arial" w:cs="Arial" w:eastAsia="Arial" w:hAnsi="Arial"/>
                <w:sz w:val="18"/>
                <w:szCs w:val="18"/>
                <w:color w:val="auto"/>
              </w:rPr>
              <w:t>Segment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launched our customer-centric digital engagement platform (“Lana”) in the current quarter, initially serving customers in select Florida locations. This platform currently offers the ability for customers at select locations to remotely extend their pawn loans through digital payments using their Lana account, and will allow us to leverage our existing store and pawn customer base to expand customer acquisition and retention and enable rapid deployment of new products. Discrete revenues to date are minimal as the product offering launched late in the current quarter, and all fees from pawn loan extensions, including those made through the Lana platform, are reported in the pawn segments.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presents selected financial data for the Other International segment after translation to U.S. dollars from its functional currency of primarily Australian and Canadian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980" w:type="dxa"/>
            <w:vAlign w:val="bottom"/>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Consumer loan fees, interest and other</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1,781</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(53)%</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Equity in net loss of unconsolidated affiliates</w:t>
            </w:r>
          </w:p>
        </w:tc>
        <w:tc>
          <w:tcPr>
            <w:tcW w:w="100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1,119</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427%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loss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(6,308)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153%</w:t>
            </w: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expense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13,368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(99)%</w:t>
            </w:r>
          </w:p>
        </w:tc>
        <w:tc>
          <w:tcPr>
            <w:tcW w:w="0" w:type="dxa"/>
            <w:vAlign w:val="bottom"/>
          </w:tcPr>
          <w:p>
            <w:pPr>
              <w:spacing w:after="0"/>
              <w:rPr>
                <w:sz w:val="1"/>
                <w:szCs w:val="1"/>
                <w:color w:val="auto"/>
              </w:rPr>
            </w:pPr>
          </w:p>
        </w:tc>
      </w:tr>
      <w:tr>
        <w:trPr>
          <w:trHeight w:val="257"/>
        </w:trPr>
        <w:tc>
          <w:tcPr>
            <w:tcW w:w="6980" w:type="dxa"/>
            <w:vAlign w:val="bottom"/>
          </w:tcPr>
          <w:p>
            <w:pPr>
              <w:ind w:left="500"/>
              <w:spacing w:after="0"/>
              <w:rPr>
                <w:sz w:val="20"/>
                <w:szCs w:val="20"/>
                <w:color w:val="auto"/>
              </w:rPr>
            </w:pPr>
            <w:r>
              <w:rPr>
                <w:rFonts w:ascii="Arial" w:cs="Arial" w:eastAsia="Arial" w:hAnsi="Arial"/>
                <w:sz w:val="18"/>
                <w:szCs w:val="18"/>
                <w:color w:val="auto"/>
              </w:rPr>
              <w:t>Segment loss</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(6,477)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(15,861)</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Segment loss was $6.5 million, an improvement of $9.4 million from the prior-year quarter primarily due to:</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$13.3 million impairment of Cash Converters International in the prior-year quarter with no impairment in the current quarter; and</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operating expenses of $1.4 million subsequent to the deconsolidation of a previously consolidated variable interest entity ("RDC") in mid-fiscal 2019; partially offset by</w:t>
      </w:r>
    </w:p>
    <w:p>
      <w:pPr>
        <w:spacing w:after="0" w:line="116"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$7.1 million charge, ($10.1 million, net of a $3.0 million tax benefit) in the first quarter of fiscal 2020 for our share of the Cash Converters International settlement of a Queensland, Australia class action lawsuit.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(loss)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8"/>
              </w:rPr>
              <w:t>Three Months Ended December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28,879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16,285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77%</w:t>
            </w: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13,165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33%</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2,350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sale or disposal of assets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5,167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8,690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(84)%</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(85)%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EZCORP,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Segment contribution increased 77% over the prior-year quarter, including positive developments in our Latin America and US Pawn segments as well as favorable comparisons against prior-year quarter expenses related to a refiner’s bankruptcy and our investment in Cash Converters International.</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Administrative expenses increased $4.3 million primarily as a result of higher labor, cloud computing costs and professional fees. Professional fees include costs related to the remediation of the material weakness in our information technology general controls, fess related to the current quarter adoption of a new lease accounting standard, severance fees pursuant to cost reduction strategies and other smaller items.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Loss on sale or disposal of assets and other includes a $0.6 million charge in the current quarter due to termination of a non-core software project.</w:t>
      </w:r>
    </w:p>
    <w:p>
      <w:pPr>
        <w:spacing w:after="0" w:line="18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Interest expense decreased $3.5 million, or 41%, primarily due to the reduction of interest expense on our </w:t>
      </w:r>
      <w:r>
        <w:rPr>
          <w:rFonts w:ascii="Arial" w:cs="Arial" w:eastAsia="Arial" w:hAnsi="Arial"/>
          <w:sz w:val="17"/>
          <w:szCs w:val="17"/>
          <w:color w:val="252525"/>
        </w:rPr>
        <w:t>2.125% Cash Convertible Senior</w:t>
      </w:r>
      <w:r>
        <w:rPr>
          <w:rFonts w:ascii="Arial" w:cs="Arial" w:eastAsia="Arial" w:hAnsi="Arial"/>
          <w:sz w:val="17"/>
          <w:szCs w:val="17"/>
          <w:color w:val="auto"/>
        </w:rPr>
        <w:t xml:space="preserve"> Notes Due 2019 ("2019 Convertible Notes") which were repaid June 17, 2019. Prior to repayment, the principal amount of these notes was $195.0 million.</w:t>
      </w:r>
    </w:p>
    <w:p>
      <w:pPr>
        <w:spacing w:after="0" w:line="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Interest income decreased $2.5 million, or 84%, primarily due to the declining principal balance on the Prestaciones Finmart, S.A.P.I. de C.V., SOFOM, E.N.R. ("Grupo Finmart") notes receivable as they are repaid in accordance with their agreed amortization schedule, in addition to the reduction of interest earned on outstanding cash balances after our 2019 Convertible Notes were repaid in June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$2.8 million due primarily to:</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$7.7 million increase in income from continuing operations before income taxes; and</w:t>
      </w:r>
    </w:p>
    <w:p>
      <w:pPr>
        <w:spacing w:after="0" w:line="171"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$0.7 million reduction in tax benefit from the December 2019 vesting of restricted stock units compared to the prior estimates of the related tax benefit that was recorded over their 3-year vesting period. The lower than expected tax benefit relates to the lower related share price upon vesting compared to the grant date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 a summary of the selected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23,381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(8,279)</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0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11,708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Cash and Cash Equivalents and Restricted Cash for the Three Months Ended December 31, 2019 vs. Three Months Ended December 31, 2018</w:t>
      </w:r>
    </w:p>
    <w:p>
      <w:pPr>
        <w:spacing w:after="0" w:line="19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decrease in cash flows from operating activities year-over-year was due to $37.3 million of changes in working capital, offset by a $3.1 million increase in net income, exclusive of non-cash items. Changes in working capital included certain required prepayments and payments of accounts payable, including certain discrete items, accrued as of September 30, 2019. We continue to refine efforts to most efficiently manage working capital.</w:t>
      </w:r>
    </w:p>
    <w:p>
      <w:pPr>
        <w:spacing w:after="0" w:line="11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increase in cash flows from investing activities year-over-year was primarily due to an $8.1 million net decrease in investment in customer loan growth, partially offset by a $7.3 million net decrease in principal collections on notes receivable.</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decrease in cash flows from financing activities year-over-year was primarily due to $1.0 million in common stock repurchases and a net $1.1 million reduction in debt proceeds, offset by a $1.9 million decrease in cash paid for employee net share settlement of individual tax liabilities on vested share-based awards.</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net effect of these and other smaller items was a $19.3 million decrease in cash on hand during the current year-to-date period, resulting in a $143.1 million ending cash balance. Of the ending cash balance at December 31, 2019, $39.9 million was not unavailable to fund domestic operations as we intend to permanently reinvest those funds in our foreign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December 2019, our Board of Directors authorized a stock repurchase program that will allow us to repurchase up to $60 million of our Class A Non-voting Common Stock over three years. 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During the current quarter, we repurchased and retired 142,409 shares of our Class A Common Stock for $963,000. Through January 29, 2020, we have repurchased and retired an additional 234,394 shares of our Class A Common Stock for $1,504,000, bringing our total repurchases to date (as of January 29, 2020) to 376,803 shares for $2,467,000.</w:t>
      </w:r>
    </w:p>
    <w:p>
      <w:pPr>
        <w:spacing w:after="0" w:line="11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anticipate that cash flow from operations and cash on hand will be adequate to fund anticipated stock repurchases, our contractual obligations, planned de novo store growth, capital expenditures and working capital requirements through fiscal 2020. We continue to explore accretive acquisition opportunities, both large and small, and may choose to pursue additional debt, equity or equity-linked financings in the future should the need arise.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20"/>
        <w:spacing w:after="0" w:line="279" w:lineRule="auto"/>
        <w:rPr>
          <w:rFonts w:ascii="Arial" w:cs="Arial" w:eastAsia="Arial" w:hAnsi="Arial"/>
          <w:sz w:val="17"/>
          <w:szCs w:val="17"/>
          <w:color w:val="0000EE"/>
        </w:rPr>
      </w:pPr>
      <w:hyperlink r:id="rId20">
        <w:r>
          <w:rPr>
            <w:rFonts w:ascii="Arial" w:cs="Arial" w:eastAsia="Arial" w:hAnsi="Arial"/>
            <w:sz w:val="17"/>
            <w:szCs w:val="17"/>
            <w:color w:val="auto"/>
          </w:rPr>
          <w:t xml:space="preserve">In </w:t>
        </w:r>
        <w:r>
          <w:rPr>
            <w:rFonts w:ascii="Arial" w:cs="Arial" w:eastAsia="Arial" w:hAnsi="Arial"/>
            <w:sz w:val="17"/>
            <w:szCs w:val="17"/>
            <w:u w:val="single" w:color="auto"/>
            <w:color w:val="0000EE"/>
          </w:rPr>
          <w:t>"Part II, Item 7 — Management's Discussion and Analysis of Financial Condition and Results of Operations" of our Annual Report on Form 10-K for the</w:t>
        </w:r>
      </w:hyperlink>
      <w:r>
        <w:rPr>
          <w:rFonts w:ascii="Arial" w:cs="Arial" w:eastAsia="Arial" w:hAnsi="Arial"/>
          <w:sz w:val="17"/>
          <w:szCs w:val="17"/>
          <w:color w:val="auto"/>
        </w:rPr>
        <w:t xml:space="preserve"> </w:t>
      </w:r>
      <w:hyperlink r:id="rId20">
        <w:r>
          <w:rPr>
            <w:rFonts w:ascii="Arial" w:cs="Arial" w:eastAsia="Arial" w:hAnsi="Arial"/>
            <w:sz w:val="17"/>
            <w:szCs w:val="17"/>
            <w:u w:val="single" w:color="auto"/>
            <w:color w:val="0000EE"/>
          </w:rPr>
          <w:t>year ended September 30, 2019</w:t>
        </w:r>
        <w:r>
          <w:rPr>
            <w:rFonts w:ascii="Arial" w:cs="Arial" w:eastAsia="Arial" w:hAnsi="Arial"/>
            <w:sz w:val="17"/>
            <w:szCs w:val="17"/>
            <w:color w:val="000000"/>
          </w:rPr>
          <w:t>, we reported that we had $631.7 million in total contractual obligations as of September 30, 2019. There have been no</w:t>
        </w:r>
      </w:hyperlink>
      <w:r>
        <w:rPr>
          <w:rFonts w:ascii="Arial" w:cs="Arial" w:eastAsia="Arial" w:hAnsi="Arial"/>
          <w:sz w:val="17"/>
          <w:szCs w:val="17"/>
          <w:color w:val="0000EE"/>
        </w:rPr>
        <w:t xml:space="preserve"> </w:t>
      </w:r>
      <w:r>
        <w:rPr>
          <w:rFonts w:ascii="Arial" w:cs="Arial" w:eastAsia="Arial" w:hAnsi="Arial"/>
          <w:sz w:val="17"/>
          <w:szCs w:val="17"/>
          <w:color w:val="000000"/>
        </w:rPr>
        <w:t>material changes to this total obligation since September 30, 2019, other than changes as the result of adoption of accounting standards as further discussed in Note 1 of Notes to Interim Condensed Consolidated Financial Statements included in "Part I, Item 1 — Financial Statements."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2019, these collectively amounted to $22.5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 and 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w:t>
      </w:r>
      <w:hyperlink r:id="rId16">
        <w:r>
          <w:rPr>
            <w:rFonts w:ascii="Arial" w:cs="Arial" w:eastAsia="Arial" w:hAnsi="Arial"/>
            <w:sz w:val="17"/>
            <w:szCs w:val="17"/>
            <w:color w:val="auto"/>
          </w:rPr>
          <w:t xml:space="preserve">factors that could cause results or events to differ from current expectations are identified and described in </w:t>
        </w:r>
        <w:r>
          <w:rPr>
            <w:rFonts w:ascii="Arial" w:cs="Arial" w:eastAsia="Arial" w:hAnsi="Arial"/>
            <w:sz w:val="17"/>
            <w:szCs w:val="17"/>
            <w:u w:val="single" w:color="auto"/>
            <w:color w:val="0000EE"/>
          </w:rPr>
          <w:t>"Part I, Item 1A — Risk Factors" of our Annual</w:t>
        </w:r>
      </w:hyperlink>
      <w:r>
        <w:rPr>
          <w:rFonts w:ascii="Arial" w:cs="Arial" w:eastAsia="Arial" w:hAnsi="Arial"/>
          <w:sz w:val="17"/>
          <w:szCs w:val="17"/>
          <w:color w:val="auto"/>
        </w:rPr>
        <w:t xml:space="preserve"> </w:t>
      </w:r>
      <w:hyperlink r:id="rId16">
        <w:r>
          <w:rPr>
            <w:rFonts w:ascii="Arial" w:cs="Arial" w:eastAsia="Arial" w:hAnsi="Arial"/>
            <w:sz w:val="17"/>
            <w:szCs w:val="17"/>
            <w:u w:val="single" w:color="auto"/>
            <w:color w:val="0000EE"/>
          </w:rPr>
          <w:t>Report on Form 10-K for the year ended September 30, 2019</w:t>
        </w:r>
        <w:r>
          <w:rPr>
            <w:rFonts w:ascii="Arial" w:cs="Arial" w:eastAsia="Arial" w:hAnsi="Arial"/>
            <w:sz w:val="17"/>
            <w:szCs w:val="17"/>
            <w:color w:val="000000"/>
          </w:rPr>
          <w:t>.</w:t>
        </w:r>
      </w:hyperlink>
    </w:p>
    <w:p>
      <w:pPr>
        <w:spacing w:after="0" w:line="12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0"/>
        <w:spacing w:after="0" w:line="264" w:lineRule="auto"/>
        <w:rPr>
          <w:rFonts w:ascii="Arial" w:cs="Arial" w:eastAsia="Arial" w:hAnsi="Arial"/>
          <w:sz w:val="18"/>
          <w:szCs w:val="18"/>
          <w:color w:val="0000EE"/>
        </w:rPr>
      </w:pPr>
      <w:r>
        <w:rPr>
          <w:rFonts w:ascii="Arial" w:cs="Arial" w:eastAsia="Arial" w:hAnsi="Arial"/>
          <w:sz w:val="18"/>
          <w:szCs w:val="18"/>
          <w:color w:val="auto"/>
        </w:rPr>
        <w:t xml:space="preserve">Market risks relating to our operations result primarily from changes in interest rates, gold values and foreign currency exchange rates, and are described in </w:t>
      </w:r>
      <w:hyperlink r:id="rId21">
        <w:r>
          <w:rPr>
            <w:rFonts w:ascii="Arial" w:cs="Arial" w:eastAsia="Arial" w:hAnsi="Arial"/>
            <w:sz w:val="18"/>
            <w:szCs w:val="18"/>
            <w:color w:val="auto"/>
          </w:rPr>
          <w:t xml:space="preserve">detail in </w:t>
        </w:r>
        <w:r>
          <w:rPr>
            <w:rFonts w:ascii="Arial" w:cs="Arial" w:eastAsia="Arial" w:hAnsi="Arial"/>
            <w:sz w:val="18"/>
            <w:szCs w:val="18"/>
            <w:u w:val="single" w:color="auto"/>
            <w:color w:val="0000EE"/>
          </w:rPr>
          <w:t>"Part II, Item 7A — Quantitative and Qualitative Disclosures about Market Risk" of our Annual Report on Form 10-K for the year ended September</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30, 2019</w:t>
        </w:r>
        <w:r>
          <w:rPr>
            <w:rFonts w:ascii="Arial" w:cs="Arial" w:eastAsia="Arial" w:hAnsi="Arial"/>
            <w:sz w:val="18"/>
            <w:szCs w:val="18"/>
            <w:color w:val="000000"/>
          </w:rPr>
          <w:t>. There have been no material changes to our exposure to market risks since September 30, 2019.</w:t>
        </w:r>
      </w:hyperlink>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ind w:right="400"/>
        <w:spacing w:after="0" w:line="279"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the supervision and with the participation of our Chief Executive Officer and Chief Financial Officer, our management evaluated the effectiveness of the design and operation of our disclosure controls and procedures as of December 31, 2019. Based on that evaluation, our Chief Executive Officer and Chief Financial Officer concluded that our disclosure controls and procedures were not effective as of December 31, 2019 due to the continuing existence of a material weakness in internal control over financial reporting described below (which we view as an integral part of our disclosure controls and procedures). Based on the performance of additional procedures designed to ensure the reliability of our financial reporting, we believe that the condensed consolidated financial statements included in this Quarterly Report on Form 10-Q fairly present, in all material respects, our financial position, results of operations and cash flows as of the dates, and for the periods, presented, in conformity with accounting principles generally accepted in the United States (“GAAP”).</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212529"/>
        </w:rPr>
        <w:t>We implemented internal controls to ensure we adequately evaluated our leases and properly assessed the impact of Topic 842 on our financial statements upon adoption on October 1, 2019. There were no significant changes to our internal control over financial reporting due to the adoption of the new standard.</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second quarter of fiscal 2019, we identified deficiencies in our information technology general controls (ITGCs) that are designed to prevent or detect unauthorized access or changes to certain information technology (IT) systems that support our financial reporting processes. Our related IT dependent manual and application controls that are impacted by the affected ITGCs were also deemed ineffective as they rely on reports generated by the IT systems subject to ITGCs, resulting in our inability to place reliance on internal controls over related financial statement accounts and assertions. At that time, we determined that the ITGC deficiencies represent a material weakness in our internal control over financial reporting and reported that material weakness in our Quarterly Report on Form 10-Q for the quarter ended March 31, 2019. Because we have not fully remediated that material weakness as of December 31, 2019, we have concluded that our internal control over financial reporting was not effective as of that date.</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2019, we have continued to implement, manage and monitor a remediation plan focused on IT control enhancements across our logical access and change management processes, including the evaluation of automation tools, where applicable, and database monitoring activities. Management believes it is taking the appropriate steps to remediate the underlying ITGC deficiencies, including allowing the controls to operate for a time period to produce sufficient testing sample sizes.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hanging="325"/>
        <w:spacing w:after="0" w:line="277"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60" w:hanging="325"/>
        <w:spacing w:after="0" w:line="277"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9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Important risk factors that could affect our operations and financial performance, or that could cause results or events to differ from current expectations, are described in </w:t>
      </w:r>
      <w:hyperlink r:id="rId16">
        <w:r>
          <w:rPr>
            <w:rFonts w:ascii="Arial" w:cs="Arial" w:eastAsia="Arial" w:hAnsi="Arial"/>
            <w:sz w:val="18"/>
            <w:szCs w:val="18"/>
            <w:u w:val="single" w:color="auto"/>
            <w:color w:val="0000EE"/>
          </w:rPr>
          <w:t>"Part I, Item 1A — Risk Factors" of our Annual Report on Form 10-K for the year ended September 30, 2019</w:t>
        </w:r>
      </w:hyperlink>
      <w:r>
        <w:rPr>
          <w:rFonts w:ascii="Arial" w:cs="Arial" w:eastAsia="Arial" w:hAnsi="Arial"/>
          <w:sz w:val="18"/>
          <w:szCs w:val="18"/>
          <w:color w:val="auto"/>
        </w:rPr>
        <w: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1" w:right="29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table below provides certain information about our repurchase of shares of Class A Non-voting Common Stock during the quarter ended December 31, 2019. All such repurchases were made in open market transactions at prevailing market prices and were executed pursuant to a trading plan adopted by the Company pursuant to Rule 10b5-1 under the Securities Exchange Act of 1934.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Total Price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Paid for</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Average Price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20" w:type="dxa"/>
            <w:vAlign w:val="bottom"/>
          </w:tcPr>
          <w:p>
            <w:pPr>
              <w:spacing w:after="0"/>
              <w:rPr>
                <w:sz w:val="12"/>
                <w:szCs w:val="12"/>
                <w:color w:val="auto"/>
              </w:rPr>
            </w:pPr>
          </w:p>
        </w:tc>
        <w:tc>
          <w:tcPr>
            <w:tcW w:w="14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20" w:type="dxa"/>
            <w:vAlign w:val="bottom"/>
          </w:tcPr>
          <w:p>
            <w:pPr>
              <w:spacing w:after="0"/>
              <w:rPr>
                <w:sz w:val="12"/>
                <w:szCs w:val="12"/>
                <w:color w:val="auto"/>
              </w:rPr>
            </w:pPr>
          </w:p>
        </w:tc>
        <w:tc>
          <w:tcPr>
            <w:tcW w:w="14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Shares Purchased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Plans or Programs (1)</w:t>
            </w:r>
          </w:p>
        </w:tc>
        <w:tc>
          <w:tcPr>
            <w:tcW w:w="0" w:type="dxa"/>
            <w:vAlign w:val="bottom"/>
          </w:tcPr>
          <w:p>
            <w:pPr>
              <w:spacing w:after="0"/>
              <w:rPr>
                <w:sz w:val="1"/>
                <w:szCs w:val="1"/>
                <w:color w:val="auto"/>
              </w:rPr>
            </w:pPr>
          </w:p>
        </w:tc>
      </w:tr>
      <w:tr>
        <w:trPr>
          <w:trHeight w:val="385"/>
        </w:trPr>
        <w:tc>
          <w:tcPr>
            <w:tcW w:w="4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7"/>
          </w:tcPr>
          <w:p>
            <w:pPr>
              <w:ind w:left="340"/>
              <w:spacing w:after="0"/>
              <w:rPr>
                <w:sz w:val="20"/>
                <w:szCs w:val="20"/>
                <w:color w:val="auto"/>
              </w:rPr>
            </w:pPr>
            <w:r>
              <w:rPr>
                <w:rFonts w:ascii="Arial" w:cs="Arial" w:eastAsia="Arial" w:hAnsi="Arial"/>
                <w:sz w:val="14"/>
                <w:szCs w:val="14"/>
                <w:i w:val="1"/>
                <w:iCs w:val="1"/>
                <w:color w:val="auto"/>
                <w:w w:val="99"/>
              </w:rPr>
              <w:t>(in thousands, except average price paid per share data)</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2019 through October 31, 2019</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November 1, 2019 through November 30, 2019</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2019 through December 31, 2019</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59,037</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59,037</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20" w:right="2320" w:hanging="285"/>
        <w:spacing w:after="0" w:line="246" w:lineRule="auto"/>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On December 2, 2019, our Board of Directors approved a program to repurchase up to $60.0 million of our Class A Non-voting Common Stock over three years. Under the stock repurchase program, we may purchase Class A Non-voting common stock from time to time at management's discretion in accordance with applicable securities laws, including through open market transactions, block or privately negotiated transactions, or any combination thereof. In addition, we may purchase shares pursuant to a trading plan meeting the requirements of Rule 10b5-1 under the Securities Exchange Act of 1934. 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of Directors, such as liquidity and capital needs and the availability of attractive alternative investment opportunities. The Board of Directors has reserved the right to modify, suspend or terminate the program at any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5"/>
              </w:rPr>
              <w:t>Exhibit No.</w:t>
            </w:r>
          </w:p>
        </w:tc>
        <w:tc>
          <w:tcPr>
            <w:tcW w:w="40" w:type="dxa"/>
            <w:vAlign w:val="bottom"/>
          </w:tcPr>
          <w:p>
            <w:pPr>
              <w:spacing w:after="0"/>
              <w:rPr>
                <w:sz w:val="16"/>
                <w:szCs w:val="16"/>
                <w:color w:val="auto"/>
              </w:rPr>
            </w:pPr>
          </w:p>
        </w:tc>
        <w:tc>
          <w:tcPr>
            <w:tcW w:w="10000" w:type="dxa"/>
            <w:vAlign w:val="bottom"/>
            <w:gridSpan w:val="6"/>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21"/>
        </w:trPr>
        <w:tc>
          <w:tcPr>
            <w:tcW w:w="3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8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3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r>
      <w:tr>
        <w:trPr>
          <w:trHeight w:val="203"/>
        </w:trPr>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0000FF"/>
            </w:tcBorders>
            <w:shd w:val="clear" w:color="auto" w:fill="CCEEFF"/>
          </w:tcPr>
          <w:p>
            <w:pPr>
              <w:jc w:val="center"/>
              <w:spacing w:after="0" w:line="202" w:lineRule="exact"/>
              <w:rPr>
                <w:rFonts w:ascii="Arial" w:cs="Arial" w:eastAsia="Arial" w:hAnsi="Arial"/>
                <w:sz w:val="18"/>
                <w:szCs w:val="18"/>
                <w:color w:val="0000FF"/>
                <w:w w:val="93"/>
              </w:rPr>
            </w:pPr>
            <w:hyperlink w:anchor="page34">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1†</w:t>
              </w:r>
            </w:hyperlink>
          </w:p>
        </w:tc>
        <w:tc>
          <w:tcPr>
            <w:tcW w:w="540" w:type="dxa"/>
            <w:vAlign w:val="bottom"/>
            <w:tcBorders>
              <w:bottom w:val="single" w:sz="8" w:color="CCEEFF"/>
            </w:tcBorders>
            <w:gridSpan w:val="3"/>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2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1"/>
              </w:rPr>
            </w:pPr>
            <w:hyperlink w:anchor="page34">
              <w:r>
                <w:rPr>
                  <w:rFonts w:ascii="Arial" w:cs="Arial" w:eastAsia="Arial" w:hAnsi="Arial"/>
                  <w:sz w:val="18"/>
                  <w:szCs w:val="18"/>
                  <w:color w:val="0000FF"/>
                  <w:w w:val="91"/>
                </w:rPr>
                <w:t>Certification of Stuart I. Grimshaw, Chief Executive Officer, pursuant to Rule 13a-14(a) under the Securities Exchange Act of 1934, as</w:t>
              </w:r>
            </w:hyperlink>
          </w:p>
        </w:tc>
        <w:tc>
          <w:tcPr>
            <w:tcW w:w="280" w:type="dxa"/>
            <w:vAlign w:val="bottom"/>
            <w:tcBorders>
              <w:bottom w:val="single" w:sz="8" w:color="CCEEFF"/>
            </w:tcBorders>
            <w:shd w:val="clear" w:color="auto" w:fill="CCEEFF"/>
          </w:tcPr>
          <w:p>
            <w:pPr>
              <w:spacing w:after="0"/>
              <w:rPr>
                <w:sz w:val="17"/>
                <w:szCs w:val="17"/>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adopted pursuant to Section 302 of the Sarbanes-Oxley Act of 2002</w:t>
              </w:r>
            </w:hyperlink>
          </w:p>
        </w:tc>
        <w:tc>
          <w:tcPr>
            <w:tcW w:w="5120" w:type="dxa"/>
            <w:vAlign w:val="bottom"/>
            <w:tcBorders>
              <w:bottom w:val="single" w:sz="8" w:color="CCEEFF"/>
            </w:tcBorders>
            <w:gridSpan w:val="5"/>
            <w:shd w:val="clear" w:color="auto" w:fill="CCEEFF"/>
          </w:tcPr>
          <w:p>
            <w:pPr>
              <w:spacing w:after="0"/>
              <w:rPr>
                <w:sz w:val="21"/>
                <w:szCs w:val="21"/>
                <w:color w:val="auto"/>
              </w:rPr>
            </w:pPr>
          </w:p>
        </w:tc>
      </w:tr>
      <w:tr>
        <w:trPr>
          <w:trHeight w:val="203"/>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jc w:val="center"/>
              <w:spacing w:after="0" w:line="202" w:lineRule="exact"/>
              <w:rPr>
                <w:rFonts w:ascii="Arial" w:cs="Arial" w:eastAsia="Arial" w:hAnsi="Arial"/>
                <w:sz w:val="18"/>
                <w:szCs w:val="18"/>
                <w:color w:val="0000FF"/>
                <w:w w:val="93"/>
              </w:rPr>
            </w:pPr>
            <w:hyperlink w:anchor="page35">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w:t>
              </w:r>
            </w:hyperlink>
          </w:p>
        </w:tc>
        <w:tc>
          <w:tcPr>
            <w:tcW w:w="5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6"/>
          </w:tcPr>
          <w:p>
            <w:pPr>
              <w:spacing w:after="0" w:line="202" w:lineRule="exact"/>
              <w:rPr>
                <w:rFonts w:ascii="Arial" w:cs="Arial" w:eastAsia="Arial" w:hAnsi="Arial"/>
                <w:sz w:val="18"/>
                <w:szCs w:val="18"/>
                <w:color w:val="0000FF"/>
                <w:w w:val="96"/>
              </w:rPr>
            </w:pPr>
            <w:hyperlink w:anchor="page35">
              <w:r>
                <w:rPr>
                  <w:rFonts w:ascii="Arial" w:cs="Arial" w:eastAsia="Arial" w:hAnsi="Arial"/>
                  <w:sz w:val="18"/>
                  <w:szCs w:val="18"/>
                  <w:color w:val="0000FF"/>
                  <w:w w:val="96"/>
                </w:rPr>
                <w:t>Certification of Daniel M. Chism, Chief Financial Officer, pursuant to Rule 13a-14(a) under the Securities Exchange Act of 1934, as</w:t>
              </w:r>
            </w:hyperlink>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35">
              <w:r>
                <w:rPr>
                  <w:rFonts w:ascii="Arial" w:cs="Arial" w:eastAsia="Arial" w:hAnsi="Arial"/>
                  <w:sz w:val="18"/>
                  <w:szCs w:val="18"/>
                  <w:color w:val="0000FF"/>
                </w:rPr>
                <w:t>adopted pursuant to Section 302 of the Sarbanes-Oxley Act of 2002</w:t>
              </w:r>
            </w:hyperlink>
          </w:p>
        </w:tc>
        <w:tc>
          <w:tcPr>
            <w:tcW w:w="460" w:type="dxa"/>
            <w:vAlign w:val="bottom"/>
            <w:gridSpan w:val="2"/>
          </w:tcPr>
          <w:p>
            <w:pPr>
              <w:spacing w:after="0"/>
              <w:rPr>
                <w:sz w:val="17"/>
                <w:szCs w:val="17"/>
                <w:color w:val="auto"/>
              </w:rPr>
            </w:pPr>
          </w:p>
        </w:tc>
      </w:tr>
      <w:tr>
        <w:trPr>
          <w:trHeight w:val="48"/>
        </w:trPr>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8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3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FF"/>
            </w:tcBorders>
            <w:gridSpan w:val="3"/>
            <w:shd w:val="clear" w:color="auto" w:fill="CCEEFF"/>
          </w:tcPr>
          <w:p>
            <w:pPr>
              <w:jc w:val="center"/>
              <w:spacing w:after="0" w:line="202" w:lineRule="exact"/>
              <w:rPr>
                <w:rFonts w:ascii="Arial" w:cs="Arial" w:eastAsia="Arial" w:hAnsi="Arial"/>
                <w:sz w:val="18"/>
                <w:szCs w:val="18"/>
                <w:color w:val="0000FF"/>
                <w:w w:val="90"/>
              </w:rPr>
            </w:pPr>
            <w:hyperlink w:anchor="page36">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1††</w:t>
              </w:r>
            </w:hyperlink>
          </w:p>
        </w:tc>
        <w:tc>
          <w:tcPr>
            <w:tcW w:w="50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440" w:type="dxa"/>
            <w:vAlign w:val="bottom"/>
            <w:tcBorders>
              <w:bottom w:val="single" w:sz="8" w:color="0000FF"/>
            </w:tcBorders>
            <w:gridSpan w:val="3"/>
            <w:shd w:val="clear" w:color="auto" w:fill="CCEEFF"/>
          </w:tcPr>
          <w:p>
            <w:pPr>
              <w:spacing w:after="0" w:line="202" w:lineRule="exact"/>
              <w:rPr>
                <w:rFonts w:ascii="Arial" w:cs="Arial" w:eastAsia="Arial" w:hAnsi="Arial"/>
                <w:sz w:val="18"/>
                <w:szCs w:val="18"/>
                <w:color w:val="0000FF"/>
                <w:w w:val="92"/>
              </w:rPr>
            </w:pPr>
            <w:hyperlink w:anchor="page36">
              <w:r>
                <w:rPr>
                  <w:rFonts w:ascii="Arial" w:cs="Arial" w:eastAsia="Arial" w:hAnsi="Arial"/>
                  <w:sz w:val="18"/>
                  <w:szCs w:val="18"/>
                  <w:color w:val="0000FF"/>
                  <w:w w:val="92"/>
                </w:rPr>
                <w:t>Certifications of Stuart I. Grimshaw, Chief Executive Officer, and Daniel M. Chism, Chief Financial Officer, pursuant to 18 U.S.C.</w:t>
              </w:r>
            </w:hyperlink>
          </w:p>
        </w:tc>
        <w:tc>
          <w:tcPr>
            <w:tcW w:w="560" w:type="dxa"/>
            <w:vAlign w:val="bottom"/>
            <w:tcBorders>
              <w:bottom w:val="single" w:sz="8" w:color="CCEEFF"/>
            </w:tcBorders>
            <w:gridSpan w:val="3"/>
            <w:shd w:val="clear" w:color="auto" w:fill="CCEEFF"/>
          </w:tcPr>
          <w:p>
            <w:pPr>
              <w:spacing w:after="0"/>
              <w:rPr>
                <w:sz w:val="17"/>
                <w:szCs w:val="17"/>
                <w:color w:val="auto"/>
              </w:rPr>
            </w:pPr>
          </w:p>
        </w:tc>
      </w:tr>
      <w:tr>
        <w:trPr>
          <w:trHeight w:val="244"/>
        </w:trPr>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00" w:type="dxa"/>
            <w:vAlign w:val="bottom"/>
            <w:gridSpan w:val="6"/>
            <w:shd w:val="clear" w:color="auto" w:fill="CCEEFF"/>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Section 1350, as adopted pursuant to Section 906 of the Sarbanes-Oxley Act of 2002</w:t>
              </w:r>
            </w:hyperlink>
          </w:p>
        </w:tc>
      </w:tr>
      <w:tr>
        <w:trPr>
          <w:trHeight w:val="243"/>
        </w:trPr>
        <w:tc>
          <w:tcPr>
            <w:tcW w:w="1380" w:type="dxa"/>
            <w:vAlign w:val="bottom"/>
            <w:tcBorders>
              <w:top w:val="single" w:sz="8" w:color="CCEEFF"/>
            </w:tcBorders>
            <w:gridSpan w:val="6"/>
          </w:tcPr>
          <w:p>
            <w:pPr>
              <w:jc w:val="center"/>
              <w:ind w:right="120"/>
              <w:spacing w:after="0"/>
              <w:rPr>
                <w:sz w:val="20"/>
                <w:szCs w:val="20"/>
                <w:color w:val="auto"/>
              </w:rPr>
            </w:pPr>
            <w:r>
              <w:rPr>
                <w:rFonts w:ascii="Arial" w:cs="Arial" w:eastAsia="Arial" w:hAnsi="Arial"/>
                <w:sz w:val="18"/>
                <w:szCs w:val="18"/>
                <w:color w:val="auto"/>
                <w:w w:val="90"/>
              </w:rPr>
              <w:t>101.INS†††</w:t>
            </w:r>
          </w:p>
        </w:tc>
        <w:tc>
          <w:tcPr>
            <w:tcW w:w="40" w:type="dxa"/>
            <w:vAlign w:val="bottom"/>
            <w:tcBorders>
              <w:top w:val="single" w:sz="8" w:color="CCEEFF"/>
            </w:tcBorders>
          </w:tcPr>
          <w:p>
            <w:pPr>
              <w:spacing w:after="0"/>
              <w:rPr>
                <w:sz w:val="21"/>
                <w:szCs w:val="21"/>
                <w:color w:val="auto"/>
              </w:rPr>
            </w:pPr>
          </w:p>
        </w:tc>
        <w:tc>
          <w:tcPr>
            <w:tcW w:w="61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3900" w:type="dxa"/>
            <w:vAlign w:val="bottom"/>
            <w:tcBorders>
              <w:top w:val="single" w:sz="8" w:color="CCEEFF"/>
            </w:tcBorders>
            <w:gridSpan w:val="4"/>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91"/>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380" w:type="dxa"/>
            <w:vAlign w:val="bottom"/>
            <w:gridSpan w:val="6"/>
          </w:tcPr>
          <w:p>
            <w:pPr>
              <w:jc w:val="center"/>
              <w:ind w:right="120"/>
              <w:spacing w:after="0"/>
              <w:rPr>
                <w:sz w:val="20"/>
                <w:szCs w:val="20"/>
                <w:color w:val="auto"/>
              </w:rPr>
            </w:pPr>
            <w:r>
              <w:rPr>
                <w:rFonts w:ascii="Arial" w:cs="Arial" w:eastAsia="Arial" w:hAnsi="Arial"/>
                <w:sz w:val="18"/>
                <w:szCs w:val="18"/>
                <w:color w:val="auto"/>
                <w:w w:val="93"/>
              </w:rPr>
              <w:t>101.CAL†††</w:t>
            </w:r>
          </w:p>
        </w:tc>
        <w:tc>
          <w:tcPr>
            <w:tcW w:w="4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92"/>
              </w:rPr>
              <w:t>101.DEF†††</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380" w:type="dxa"/>
            <w:vAlign w:val="bottom"/>
            <w:gridSpan w:val="6"/>
          </w:tcPr>
          <w:p>
            <w:pPr>
              <w:jc w:val="center"/>
              <w:ind w:right="120"/>
              <w:spacing w:after="0"/>
              <w:rPr>
                <w:sz w:val="20"/>
                <w:szCs w:val="20"/>
                <w:color w:val="auto"/>
              </w:rPr>
            </w:pPr>
            <w:r>
              <w:rPr>
                <w:rFonts w:ascii="Arial" w:cs="Arial" w:eastAsia="Arial" w:hAnsi="Arial"/>
                <w:sz w:val="18"/>
                <w:szCs w:val="18"/>
                <w:color w:val="auto"/>
                <w:w w:val="94"/>
              </w:rPr>
              <w:t>101.LAB†††</w:t>
            </w:r>
          </w:p>
        </w:tc>
        <w:tc>
          <w:tcPr>
            <w:tcW w:w="4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43"/>
        </w:trPr>
        <w:tc>
          <w:tcPr>
            <w:tcW w:w="1380" w:type="dxa"/>
            <w:vAlign w:val="bottom"/>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88"/>
              </w:rPr>
              <w:t>101.PRE†††</w:t>
            </w:r>
          </w:p>
        </w:tc>
        <w:tc>
          <w:tcPr>
            <w:tcW w:w="40" w:type="dxa"/>
            <w:vAlign w:val="bottom"/>
            <w:shd w:val="clear" w:color="auto" w:fill="CCEEFF"/>
          </w:tcPr>
          <w:p>
            <w:pPr>
              <w:spacing w:after="0"/>
              <w:rPr>
                <w:sz w:val="21"/>
                <w:szCs w:val="21"/>
                <w:color w:val="auto"/>
              </w:rPr>
            </w:pPr>
          </w:p>
        </w:tc>
        <w:tc>
          <w:tcPr>
            <w:tcW w:w="10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hanging="465"/>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22"/>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500" w:right="260" w:hanging="465"/>
        <w:spacing w:after="0" w:line="293"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December 31, 2019, December 31, 2018 and September 30, 2019; (ii) Condensed Consolidated Statements of Operations for the three months ended December 31, 2019 and December 31, 2018; (iii) Condensed Consolidated Statements of Comprehensive Income (Loss) for the three months ended December 31, 2019 and December 31, 2018; (iv) Condensed Consolidated Statements of Stockholders' Equity for the three months ended December 31, 2019 and December 31, 2018; (v) Condensed Consolidated Statements of Cash Flows for the three months ended December 31, 2019 and December 31, 2018; and (vi) Notes to Interim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February 3, 2020</w:t>
      </w:r>
      <w:r>
        <w:rPr>
          <w:sz w:val="20"/>
          <w:szCs w:val="20"/>
          <w:color w:val="auto"/>
        </w:rPr>
        <w:tab/>
      </w:r>
      <w:r>
        <w:rPr>
          <w:rFonts w:ascii="Arial" w:cs="Arial" w:eastAsia="Arial" w:hAnsi="Arial"/>
          <w:sz w:val="16"/>
          <w:szCs w:val="16"/>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395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Daniel M. Chism,</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121"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3, 2020</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Daniel M. Chism,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Daniel M. Chism, certify that:</w:t>
      </w:r>
    </w:p>
    <w:p>
      <w:pPr>
        <w:spacing w:after="0" w:line="171"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3, 2020</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1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Daniel M. Chism</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Certifications of Stuart I. Grimshaw, Chief Executive Officer, and Daniel M. Chism, Chief Financial Officer, pursuant to 18 U.S.C. Section 1350, as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December 31, 2019,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Date: 2/3/2020</w:t>
            </w:r>
          </w:p>
        </w:tc>
        <w:tc>
          <w:tcPr>
            <w:tcW w:w="3640" w:type="dxa"/>
            <w:vAlign w:val="bottom"/>
          </w:tcPr>
          <w:p>
            <w:pPr>
              <w:ind w:left="20"/>
              <w:spacing w:after="0"/>
              <w:rPr>
                <w:sz w:val="20"/>
                <w:szCs w:val="20"/>
                <w:color w:val="auto"/>
              </w:rPr>
            </w:pPr>
            <w:r>
              <w:rPr>
                <w:rFonts w:ascii="Arial" w:cs="Arial" w:eastAsia="Arial" w:hAnsi="Arial"/>
                <w:sz w:val="18"/>
                <w:szCs w:val="18"/>
                <w:color w:val="auto"/>
              </w:rPr>
              <w:t>/s/ Stuart I. Grimshaw</w:t>
            </w:r>
          </w:p>
        </w:tc>
      </w:tr>
      <w:tr>
        <w:trPr>
          <w:trHeight w:val="27"/>
        </w:trPr>
        <w:tc>
          <w:tcPr>
            <w:tcW w:w="75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Stuart I. Grimshaw</w:t>
            </w:r>
          </w:p>
        </w:tc>
      </w:tr>
      <w:tr>
        <w:trPr>
          <w:trHeight w:val="270"/>
        </w:trPr>
        <w:tc>
          <w:tcPr>
            <w:tcW w:w="750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94"/>
        </w:trPr>
        <w:tc>
          <w:tcPr>
            <w:tcW w:w="7500" w:type="dxa"/>
            <w:vAlign w:val="bottom"/>
          </w:tcPr>
          <w:p>
            <w:pPr>
              <w:spacing w:after="0"/>
              <w:rPr>
                <w:sz w:val="20"/>
                <w:szCs w:val="20"/>
                <w:color w:val="auto"/>
              </w:rPr>
            </w:pPr>
            <w:r>
              <w:rPr>
                <w:rFonts w:ascii="Arial" w:cs="Arial" w:eastAsia="Arial" w:hAnsi="Arial"/>
                <w:sz w:val="18"/>
                <w:szCs w:val="18"/>
                <w:color w:val="auto"/>
              </w:rPr>
              <w:t>Date: 2/3/2020</w:t>
            </w:r>
          </w:p>
        </w:tc>
        <w:tc>
          <w:tcPr>
            <w:tcW w:w="3640" w:type="dxa"/>
            <w:vAlign w:val="bottom"/>
          </w:tcPr>
          <w:p>
            <w:pPr>
              <w:ind w:left="20"/>
              <w:spacing w:after="0"/>
              <w:rPr>
                <w:sz w:val="20"/>
                <w:szCs w:val="20"/>
                <w:color w:val="auto"/>
              </w:rPr>
            </w:pPr>
            <w:r>
              <w:rPr>
                <w:rFonts w:ascii="Arial" w:cs="Arial" w:eastAsia="Arial" w:hAnsi="Arial"/>
                <w:sz w:val="18"/>
                <w:szCs w:val="18"/>
                <w:color w:val="auto"/>
              </w:rPr>
              <w:t>/s/ Daniel M. Chism</w:t>
            </w:r>
          </w:p>
        </w:tc>
      </w:tr>
      <w:tr>
        <w:trPr>
          <w:trHeight w:val="27"/>
        </w:trPr>
        <w:tc>
          <w:tcPr>
            <w:tcW w:w="75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Daniel M. Chism</w:t>
            </w:r>
          </w:p>
        </w:tc>
      </w:tr>
      <w:tr>
        <w:trPr>
          <w:trHeight w:val="432"/>
        </w:trPr>
        <w:tc>
          <w:tcPr>
            <w:tcW w:w="750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emdash "/>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emdash "/>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13" Type="http://schemas.openxmlformats.org/officeDocument/2006/relationships/hyperlink" Target="http://www.sec.gov/Archives/edgar/data/876523/000087652319000069/a2019-q410xk.htm" TargetMode="External"/><Relationship Id="rId14" Type="http://schemas.openxmlformats.org/officeDocument/2006/relationships/hyperlink" Target="http://www.sec.gov/Archives/edgar/data/876523/000087652319000069/a2019-q410xk.htm#sF82713BE3B2754AEA45B1DE76BAFAD79" TargetMode="External"/><Relationship Id="rId16" Type="http://schemas.openxmlformats.org/officeDocument/2006/relationships/hyperlink" Target="http://www.sec.gov/Archives/edgar/data/876523/000087652319000069/a2019-q410xk.htm#s9492C285CD745D458CD01A8FC47EB87C" TargetMode="External"/><Relationship Id="rId20" Type="http://schemas.openxmlformats.org/officeDocument/2006/relationships/hyperlink" Target="http://www.sec.gov/Archives/edgar/data/876523/000087652319000069/a2019-q410xk.htm#sAF4F0A2FB4F8575E9A3FCEAC28AA36D0" TargetMode="External"/><Relationship Id="rId21" Type="http://schemas.openxmlformats.org/officeDocument/2006/relationships/hyperlink" Target="http://www.sec.gov/Archives/edgar/data/876523/000087652319000069/a2019-q410xk.htm#sDA01EB4371AE5EB78634064C9B2C16CB"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2020-02-17T16:48:11Z</dcterms:created>
  <dcterms:modified xsi:type="dcterms:W3CDTF">2020-02-17T16:48:11Z</dcterms:modified>
</cp:coreProperties>
</file>