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9"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06"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24, 2025</w:t>
      </w:r>
    </w:p>
    <w:p>
      <w:pPr>
        <w:spacing w:after="0" w:line="179"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EZCORP,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7"/>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0-19424</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8"/>
                <w:szCs w:val="18"/>
                <w:b w:val="1"/>
                <w:bCs w:val="1"/>
                <w:color w:val="auto"/>
                <w:w w:val="98"/>
              </w:rPr>
              <w:t>74-2540145</w:t>
            </w:r>
          </w:p>
        </w:tc>
      </w:tr>
      <w:tr>
        <w:trPr>
          <w:trHeight w:val="146"/>
        </w:trPr>
        <w:tc>
          <w:tcPr>
            <w:tcW w:w="1820" w:type="dxa"/>
            <w:vAlign w:val="bottom"/>
          </w:tcPr>
          <w:p>
            <w:pPr>
              <w:jc w:val="center"/>
              <w:ind w:right="10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40" w:type="dxa"/>
            <w:vAlign w:val="bottom"/>
          </w:tcPr>
          <w:p>
            <w:pPr>
              <w:jc w:val="center"/>
              <w:ind w:right="78"/>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20" w:type="dxa"/>
            <w:vAlign w:val="bottom"/>
          </w:tcPr>
          <w:p>
            <w:pPr>
              <w:jc w:val="center"/>
              <w:ind w:left="20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2500 Bee Cave Road, Bldg One, Suite 200, Rollingwood, Texas 78746</w:t>
            </w:r>
          </w:p>
        </w:tc>
        <w:tc>
          <w:tcPr>
            <w:tcW w:w="1420" w:type="dxa"/>
            <w:vAlign w:val="bottom"/>
          </w:tcPr>
          <w:p>
            <w:pPr>
              <w:spacing w:after="0"/>
              <w:rPr>
                <w:sz w:val="24"/>
                <w:szCs w:val="24"/>
                <w:color w:val="auto"/>
              </w:rPr>
            </w:pPr>
          </w:p>
        </w:tc>
      </w:tr>
      <w:tr>
        <w:trPr>
          <w:trHeight w:val="190"/>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20" w:type="dxa"/>
            <w:vAlign w:val="bottom"/>
          </w:tcPr>
          <w:p>
            <w:pPr>
              <w:spacing w:after="0"/>
              <w:rPr>
                <w:sz w:val="16"/>
                <w:szCs w:val="16"/>
                <w:color w:val="auto"/>
              </w:rPr>
            </w:pPr>
          </w:p>
        </w:tc>
      </w:tr>
      <w:tr>
        <w:trPr>
          <w:trHeight w:val="388"/>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(512) 314-3400</w:t>
            </w:r>
          </w:p>
        </w:tc>
        <w:tc>
          <w:tcPr>
            <w:tcW w:w="1420" w:type="dxa"/>
            <w:vAlign w:val="bottom"/>
          </w:tcPr>
          <w:p>
            <w:pPr>
              <w:spacing w:after="0"/>
              <w:rPr>
                <w:sz w:val="24"/>
                <w:szCs w:val="24"/>
                <w:color w:val="auto"/>
              </w:rPr>
            </w:pPr>
          </w:p>
        </w:tc>
      </w:tr>
      <w:tr>
        <w:trPr>
          <w:trHeight w:val="283"/>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tc>
        <w:tc>
          <w:tcPr>
            <w:tcW w:w="1420" w:type="dxa"/>
            <w:vAlign w:val="bottom"/>
          </w:tcPr>
          <w:p>
            <w:pPr>
              <w:spacing w:after="0"/>
              <w:rPr>
                <w:sz w:val="24"/>
                <w:szCs w:val="24"/>
                <w:color w:val="auto"/>
              </w:rPr>
            </w:pPr>
          </w:p>
        </w:tc>
      </w:tr>
    </w:tbl>
    <w:p>
      <w:pPr>
        <w:ind w:right="680"/>
        <w:spacing w:after="0" w:line="26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95"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351"/>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4"/>
                <w:szCs w:val="24"/>
                <w:color w:val="auto"/>
              </w:rPr>
            </w:pPr>
          </w:p>
        </w:tc>
        <w:tc>
          <w:tcPr>
            <w:tcW w:w="1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00" w:type="dxa"/>
            <w:vAlign w:val="bottom"/>
          </w:tcPr>
          <w:p>
            <w:pPr>
              <w:spacing w:after="0"/>
              <w:rPr>
                <w:sz w:val="24"/>
                <w:szCs w:val="24"/>
                <w:color w:val="auto"/>
              </w:rPr>
            </w:pPr>
          </w:p>
        </w:tc>
        <w:tc>
          <w:tcPr>
            <w:tcW w:w="4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1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EZPW</w:t>
            </w:r>
          </w:p>
        </w:tc>
        <w:tc>
          <w:tcPr>
            <w:tcW w:w="1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NASDAQ Stock Market</w:t>
            </w:r>
          </w:p>
        </w:tc>
        <w:tc>
          <w:tcPr>
            <w:tcW w:w="28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bl>
    <w:p>
      <w:pPr>
        <w:spacing w:after="0" w:line="8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86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 Other Events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March 24, 2025, EZCORP, Inc. (the “Company”) issued a press release announcing its intention to offer $300,000,000 aggregate principal amount of senior notes due 2032 (the “Notes”) in a private offering that is exempt from the registration requirements of the Securities Act of 1933, as amended (the “Securities Act”). The Notes are to be offered and sold only to persons reasonably believed to be qualified institutional buyers pursuant to Rule 144A under the Securities Act or outside the United States to certain non-U.S. persons in reliance on Regulation S under the Securities Act. A copy of the press release is attached as Exhibit 99.1 to this Report and incorporated by reference herein.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310" w:lineRule="exact"/>
        <w:rPr>
          <w:sz w:val="20"/>
          <w:szCs w:val="20"/>
          <w:color w:val="auto"/>
        </w:rPr>
      </w:pPr>
    </w:p>
    <w:p>
      <w:pPr>
        <w:ind w:left="480" w:hanging="45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93" w:lineRule="exact"/>
        <w:rPr>
          <w:sz w:val="20"/>
          <w:szCs w:val="20"/>
          <w:color w:val="auto"/>
        </w:rPr>
      </w:pPr>
    </w:p>
    <w:p>
      <w:pPr>
        <w:ind w:left="200"/>
        <w:spacing w:after="0"/>
        <w:tabs>
          <w:tab w:leader="none" w:pos="7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March 24, 2025, announcing the offering of senior notes due 2032</w:t>
      </w:r>
    </w:p>
    <w:p>
      <w:pPr>
        <w:spacing w:after="0" w:line="27" w:lineRule="exact"/>
        <w:rPr>
          <w:sz w:val="20"/>
          <w:szCs w:val="20"/>
          <w:color w:val="auto"/>
        </w:rPr>
      </w:pPr>
    </w:p>
    <w:p>
      <w:pPr>
        <w:ind w:left="220"/>
        <w:spacing w:after="0"/>
        <w:tabs>
          <w:tab w:leader="none" w:pos="70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726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EZCORP, INC.</w:t>
            </w:r>
          </w:p>
        </w:tc>
      </w:tr>
      <w:tr>
        <w:trPr>
          <w:trHeight w:val="28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24, 2025</w:t>
            </w:r>
          </w:p>
        </w:tc>
        <w:tc>
          <w:tcPr>
            <w:tcW w:w="29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Ellen Bryant</w:t>
            </w:r>
          </w:p>
        </w:tc>
      </w:tr>
      <w:tr>
        <w:trPr>
          <w:trHeight w:val="218"/>
        </w:trPr>
        <w:tc>
          <w:tcPr>
            <w:tcW w:w="39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Ellen Bryant</w:t>
            </w:r>
          </w:p>
        </w:tc>
      </w:tr>
      <w:tr>
        <w:trPr>
          <w:trHeight w:val="234"/>
        </w:trPr>
        <w:tc>
          <w:tcPr>
            <w:tcW w:w="39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Secretary</w:t>
            </w:r>
          </w:p>
        </w:tc>
      </w:tr>
    </w:tbl>
    <w:p>
      <w:pPr>
        <w:sectPr>
          <w:pgSz w:w="11900" w:h="16838" w:orient="portrait"/>
          <w:cols w:equalWidth="0" w:num="1">
            <w:col w:w="11220"/>
          </w:cols>
          <w:pgMar w:left="320" w:top="1049" w:right="3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2771140</wp:posOffset>
            </wp:positionH>
            <wp:positionV relativeFrom="page">
              <wp:posOffset>911860</wp:posOffset>
            </wp:positionV>
            <wp:extent cx="2005965" cy="3003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5965" cy="3003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EZCORP Announces Private Offering of $300,000,000 of Senior Notes Due 2032</w:t>
      </w:r>
    </w:p>
    <w:p>
      <w:pPr>
        <w:spacing w:after="0" w:line="2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Austin, Texas (March 24, 2025) </w:t>
      </w:r>
      <w:r>
        <w:rPr>
          <w:rFonts w:ascii="Times New Roman" w:cs="Times New Roman" w:eastAsia="Times New Roman" w:hAnsi="Times New Roman"/>
          <w:sz w:val="18"/>
          <w:szCs w:val="18"/>
          <w:color w:val="auto"/>
        </w:rPr>
        <w:t>- EZCORP, Inc. (NASDAQ: EZPW) (the “Company”), a leading provider of pawn transactions in the United States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Latin America, announced today that it intends to offer, subject to market conditions and other factors, $300,000,000 aggregate principal amount of its senior notes due 2032 (the “Notes”) in a private offering. The Notes will be senior unsecured obligations of the Company and will be fully and unconditionally guaranteed by certain of the Company’s wholly owned domestic subsidiaries (the “Guarantors”) and may be guaranteed in the future by certain other existing and future subsidiaries that guarantee certain indebtedness of the Company or any Guarantor.</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expects to use a portion of the net proceeds from the offering of the Notes to repay its outstanding 2.375% Convertible Senior Notes Due 2025 at maturity, and the remainder for general corporate purposes.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Notes are being offered in a private placement, solely to persons reasonably believed to be qualified institutional buyers pursuant to Rule 144A under the Securities Act of 1933, as amended (the “Securities Act”), or outside the United States to certain non-U.S. persons in reliance on Regulation S under the Securities Act. The offer and sale of the Notes and related guarantees have not been registered under the Securities Act, or the securities laws of any state or other jurisdiction, and may not be offered or sold in the United States absent registration or an applicable exemption from the registration requirements of the Securities Act and other applicable securities laws. There is no assurance that the offering of the Notes will be completed or, if completed, the terms on which it is completed.</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is neither an offer to sell nor a solicitation of an offer to buy any securities, nor will there be any sale of these securities in any state or jurisdiction in which such an offer, solicitation or sale would be unlawful prior to the registration or qualification under the securities laws of any such state or jurisdiction.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announcement contains certain forward-looking statements. Forward-looking statements include, but are not limited to, statements that refer to projections, forecasts, or other characterizations of future events or circumstances, including any underlying assumptions. The words “anticipate,” “believe,” “continue,” “could,” “estimate,” “expect,” “intends,” “may,” “might,” “plan,” “seeks,” “possible,” “potential,” “predict,” “project,” “prospects,” “guidance,” “outlook,” “should,” “would,” “will,” and similar expressions may identify forward-looking statements, but the absence of these words does not mean that a statement is not forward-looking. These statements are based on the Company’s current expectations as to the outcome and timing of future events. All statements, other than statements of historical facts, including all statements regarding the proposed offering of the Notes or intended use of proceeds thereof, that address activities or results that the Company plans, expects, believes, projects, estimates or anticipates will, should or may occur in the future, including future capital expenditures and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and current or future litigation.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ABOUT EZCORP</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Formed in 1989, EZCORP has grown into a leading provider of pawn transactions in the United States and Latin America. We also sell pre-owned and recycled merchandise, primarily collateral forfeited from pawn lending operations and merchandise purchased from customers. We are dedicated to satisfying the short-term cash needs of consumers who are both cash and credit constrained, focusing on an industry-leading customer experience. EZCORP is traded on NASDAQ under the symbol EZPW and is a member of the S&amp;P 1000 Index and Nasdaq Composite Index.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Investor_Relations@ezcorp.com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(512) 314-2220</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2025-03-24T07:37:27Z</dcterms:created>
  <dcterms:modified xsi:type="dcterms:W3CDTF">2025-03-24T07:37:27Z</dcterms:modified>
</cp:coreProperties>
</file>