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SEC Form 3</w:t>
            </w: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2080" w:type="dxa"/>
            <w:vAlign w:val="bottom"/>
          </w:tcPr>
          <w:p>
            <w:pPr>
              <w:ind w:left="700"/>
              <w:spacing w:after="0" w:line="2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3</w:t>
            </w:r>
          </w:p>
        </w:tc>
        <w:tc>
          <w:tcPr>
            <w:tcW w:w="7120" w:type="dxa"/>
            <w:vAlign w:val="bottom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restart"/>
          </w:tcPr>
          <w:p>
            <w:pPr>
              <w:jc w:val="center"/>
              <w:ind w:lef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1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7170420</wp:posOffset>
            </wp:positionH>
            <wp:positionV relativeFrom="paragraph">
              <wp:posOffset>-655320</wp:posOffset>
            </wp:positionV>
            <wp:extent cx="59690" cy="6686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5824220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Filed pursuant to Section 16(a) of the Securities Exchange Act of 1934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13970</wp:posOffset>
            </wp:positionV>
            <wp:extent cx="7272020" cy="44164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416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</w:sectPr>
      </w:pPr>
    </w:p>
    <w:p>
      <w:pPr>
        <w:spacing w:after="0" w:line="3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>Kuthy Francisco</w:t>
              </w:r>
            </w:hyperlink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5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10/04/2016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3. Issuer Name </w:t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Ticker or Trading Symbol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EZCORP INC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EZPW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480"/>
            <w:col w:w="62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</w:tr>
      <w:tr>
        <w:trPr>
          <w:trHeight w:val="2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2500 BEE CAVE ROAD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BLDG. 1, SUITE 200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72"/>
        </w:trPr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ROLLINGWOOD TX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4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78746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6" w:right="160" w:hanging="6"/>
        <w:spacing w:after="0" w:line="250" w:lineRule="auto"/>
        <w:tabs>
          <w:tab w:leader="none" w:pos="156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President - Mexico Pawn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4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If Amendment, Date of Original Filed (Month/Day/Year)</w:t>
      </w:r>
    </w:p>
    <w:p>
      <w:pPr>
        <w:spacing w:after="0" w:line="272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3" w:right="38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Individual or Joint/Group Filing (Check Applicable Line)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83" w:hanging="316"/>
        <w:spacing w:after="0"/>
        <w:tabs>
          <w:tab w:leader="none" w:pos="483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2" w:lineRule="exact"/>
        <w:rPr>
          <w:rFonts w:ascii="Times New Roman" w:cs="Times New Roman" w:eastAsia="Times New Roman" w:hAnsi="Times New Roman"/>
          <w:sz w:val="16"/>
          <w:szCs w:val="16"/>
          <w:color w:val="0000FF"/>
        </w:rPr>
      </w:pPr>
    </w:p>
    <w:p>
      <w:pPr>
        <w:ind w:left="483" w:right="640"/>
        <w:spacing w:after="0" w:line="250" w:lineRule="auto"/>
        <w:rPr>
          <w:rFonts w:ascii="Times New Roman" w:cs="Times New Roman" w:eastAsia="Times New Roman" w:hAnsi="Times New Roman"/>
          <w:sz w:val="16"/>
          <w:szCs w:val="16"/>
          <w:color w:val="0000FF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474" w:space="720"/>
            <w:col w:w="3006" w:space="397"/>
            <w:col w:w="282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200" w:val="left"/>
          <w:tab w:leader="none" w:pos="22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(Zip)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Beneficially Owned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 Nature of Indirect Beneficial Ownership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ind w:left="16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Beneficially Owned (Instr. 4)</w:t>
            </w: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 Direct (D)</w:t>
            </w:r>
          </w:p>
        </w:tc>
        <w:tc>
          <w:tcPr>
            <w:tcW w:w="30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</w:tr>
      <w:tr>
        <w:trPr>
          <w:trHeight w:val="149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90"/>
        </w:trPr>
        <w:tc>
          <w:tcPr>
            <w:tcW w:w="3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3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38"/>
        </w:trPr>
        <w:tc>
          <w:tcPr>
            <w:tcW w:w="3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Class A Non-Voting Common Stock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11,507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4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Beneficially Owned</w:t>
            </w: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920" w:type="dxa"/>
            <w:vAlign w:val="bottom"/>
            <w:gridSpan w:val="6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5.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6. Nature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Underlying Derivative Security (Instr. 4)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Form: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Amount</w:t>
            </w: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or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Number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Title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of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Date</w:t>
            </w: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Shares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Restricted Stock Units</w:t>
            </w: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jc w:val="right"/>
              <w:ind w:right="30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960" w:type="dxa"/>
            <w:vAlign w:val="bottom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Class A Non-Voting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49,070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60" w:type="dxa"/>
            <w:vAlign w:val="bottom"/>
            <w:vMerge w:val="restart"/>
          </w:tcPr>
          <w:p>
            <w:pPr>
              <w:jc w:val="center"/>
              <w:ind w:left="6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Total Non-Derivative Securities Beneficially Owned includes 5,000 unvested Restricted Stock Awards.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The shares vest, in whole or in part, on September 30, 2018, subject to the attainment of specified performance goals.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4"/>
        </w:numPr>
        <w:rPr>
          <w:rFonts w:ascii="Times New Roman" w:cs="Times New Roman" w:eastAsia="Times New Roman" w:hAnsi="Times New Roman"/>
          <w:sz w:val="14"/>
          <w:szCs w:val="14"/>
          <w:color w:val="008000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Each unit represents a contingent right to receive one share of EZCORP Class A Non-Voting Common Stock at the time of vesting.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3810</wp:posOffset>
            </wp:positionV>
            <wp:extent cx="1362075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6700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700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10/12/2016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3810</wp:posOffset>
            </wp:positionV>
            <wp:extent cx="5080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260"/>
          </w:cols>
          <w:pgMar w:left="240" w:top="220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5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5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2AE8944A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625558EC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%1."/>
      <w:numFmt w:val="decimal"/>
      <w:start w:val="1"/>
    </w:lvl>
  </w:abstractNum>
  <w:abstractNum w:abstractNumId="4">
    <w:nsid w:val="46E87CC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1" Type="http://schemas.openxmlformats.org/officeDocument/2006/relationships/hyperlink" Target="http://www.sec.gov/cgi-bin/browse-edgar?action=getcompany&amp;CIK=0001687194" TargetMode="External"/><Relationship Id="rId12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2020-01-19T09:31:58Z</dcterms:created>
  <dcterms:modified xsi:type="dcterms:W3CDTF">2020-01-19T09:31:58Z</dcterms:modified>
</cp:coreProperties>
</file>