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Hurrell David John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Information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 liability associated with the vesting of restricted stock granted on February 1,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does not include 49,236 Derivative Securities currently held by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6985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6817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2020-01-16T05:19:52Z</dcterms:created>
  <dcterms:modified xsi:type="dcterms:W3CDTF">2020-01-16T05:19:52Z</dcterms:modified>
</cp:coreProperties>
</file>