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Kulas Jason A.</w:t>
              </w:r>
            </w:hyperlink>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EZCORP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EZPW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2500 BEE CAVE ROAD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03/03/2023</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BLDG. 1, SUITE 200</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ROLLINGWOOD TX</w:t>
            </w:r>
          </w:p>
        </w:tc>
        <w:tc>
          <w:tcPr>
            <w:tcW w:w="20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78746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5"/>
                <w:szCs w:val="15"/>
                <w:color w:val="auto"/>
              </w:rPr>
            </w:pPr>
          </w:p>
        </w:tc>
        <w:tc>
          <w:tcPr>
            <w:tcW w:w="160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Non-Voting Common Stock</w:t>
            </w:r>
          </w:p>
        </w:tc>
        <w:tc>
          <w:tcPr>
            <w:tcW w:w="160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18,038</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44,528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Non-Voting Common Stock</w:t>
            </w: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114,017</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15"/>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vest on the day immediately preceding the date of the Company's 2024 Stockholders Meeting (but no later than March 31,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March 1, 2023 (day before the Company's 2023 Annual Stockholders Meeting). No consideration was paid for the award other than services rendered and to be rendered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Carrie Putnam,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03/07/2023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6158"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2023-03-07T16:29:31Z</dcterms:created>
  <dcterms:modified xsi:type="dcterms:W3CDTF">2023-03-07T16:29:31Z</dcterms:modified>
</cp:coreProperties>
</file>